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146B40">
      <w:pPr>
        <w:rPr>
          <w:rFonts w:hint="eastAsia" w:eastAsiaTheme="minorEastAsia"/>
          <w:lang w:eastAsia="zh-CN"/>
        </w:rPr>
        <w:sectPr>
          <w:pgSz w:w="11906" w:h="16838"/>
          <w:pgMar w:top="1440" w:right="1800" w:bottom="1440" w:left="1800" w:header="851" w:footer="992" w:gutter="0"/>
          <w:cols w:space="425" w:num="1"/>
          <w:docGrid w:type="lines" w:linePitch="312" w:charSpace="0"/>
        </w:sectPr>
      </w:pPr>
      <w:r>
        <w:rPr>
          <w:rFonts w:hint="eastAsia" w:eastAsiaTheme="minorEastAsia"/>
          <w:lang w:eastAsia="zh-CN"/>
        </w:rPr>
        <w:drawing>
          <wp:inline distT="0" distB="0" distL="114300" distR="114300">
            <wp:extent cx="7764145" cy="5488940"/>
            <wp:effectExtent l="0" t="0" r="12700" b="8255"/>
            <wp:docPr id="1" name="图片 1" descr="20260923152304739_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0260923152304739_0001"/>
                    <pic:cNvPicPr>
                      <a:picLocks noChangeAspect="1"/>
                    </pic:cNvPicPr>
                  </pic:nvPicPr>
                  <pic:blipFill>
                    <a:blip r:embed="rId5"/>
                    <a:stretch>
                      <a:fillRect/>
                    </a:stretch>
                  </pic:blipFill>
                  <pic:spPr>
                    <a:xfrm rot="16200000">
                      <a:off x="0" y="0"/>
                      <a:ext cx="7764145" cy="5488940"/>
                    </a:xfrm>
                    <a:prstGeom prst="rect">
                      <a:avLst/>
                    </a:prstGeom>
                  </pic:spPr>
                </pic:pic>
              </a:graphicData>
            </a:graphic>
          </wp:inline>
        </w:drawing>
      </w:r>
    </w:p>
    <w:p w14:paraId="6AF660F8">
      <w:pPr>
        <w:pStyle w:val="11"/>
        <w:jc w:val="center"/>
        <w:rPr>
          <w:rFonts w:ascii="Times New Roman" w:hAnsi="Times New Roman"/>
          <w:b/>
          <w:sz w:val="48"/>
          <w:szCs w:val="48"/>
        </w:rPr>
      </w:pPr>
      <w:r>
        <w:rPr>
          <w:rFonts w:hint="eastAsia" w:ascii="Times New Roman" w:hAnsi="Times New Roman"/>
          <w:b/>
          <w:sz w:val="48"/>
          <w:szCs w:val="48"/>
        </w:rPr>
        <w:t>目</w:t>
      </w:r>
      <w:r>
        <w:rPr>
          <w:rFonts w:ascii="Times New Roman" w:hAnsi="Times New Roman"/>
          <w:b/>
          <w:sz w:val="48"/>
          <w:szCs w:val="48"/>
        </w:rPr>
        <w:t xml:space="preserve">     </w:t>
      </w:r>
      <w:r>
        <w:rPr>
          <w:rFonts w:hint="eastAsia" w:ascii="Times New Roman" w:hAnsi="Times New Roman"/>
          <w:b/>
          <w:sz w:val="48"/>
          <w:szCs w:val="48"/>
        </w:rPr>
        <w:t>录</w:t>
      </w:r>
    </w:p>
    <w:p w14:paraId="494E0A58">
      <w:pPr>
        <w:pStyle w:val="13"/>
        <w:tabs>
          <w:tab w:val="right" w:leader="dot" w:pos="9628"/>
        </w:tabs>
        <w:spacing w:before="200" w:after="200"/>
        <w:rPr>
          <w:rFonts w:hint="eastAsia" w:ascii="宋体" w:hAnsi="宋体"/>
          <w:b w:val="0"/>
          <w:bCs w:val="0"/>
          <w:caps w:val="0"/>
          <w:szCs w:val="24"/>
          <w:u w:val="none"/>
        </w:rPr>
      </w:pPr>
      <w:r>
        <w:rPr>
          <w:rFonts w:ascii="宋体" w:hAnsi="宋体"/>
          <w:b w:val="0"/>
          <w:bCs w:val="0"/>
          <w:caps w:val="0"/>
          <w:sz w:val="28"/>
          <w:szCs w:val="28"/>
        </w:rPr>
        <w:fldChar w:fldCharType="begin"/>
      </w:r>
      <w:r>
        <w:rPr>
          <w:rFonts w:ascii="宋体" w:hAnsi="宋体"/>
          <w:b w:val="0"/>
          <w:bCs w:val="0"/>
          <w:caps w:val="0"/>
          <w:sz w:val="28"/>
          <w:szCs w:val="28"/>
        </w:rPr>
        <w:instrText xml:space="preserve"> TOC \o "1-3" \h \z \u </w:instrText>
      </w:r>
      <w:r>
        <w:rPr>
          <w:rFonts w:ascii="宋体" w:hAnsi="宋体"/>
          <w:b w:val="0"/>
          <w:bCs w:val="0"/>
          <w:caps w:val="0"/>
          <w:sz w:val="28"/>
          <w:szCs w:val="28"/>
        </w:rPr>
        <w:fldChar w:fldCharType="separate"/>
      </w:r>
      <w:r>
        <w:rPr>
          <w:rStyle w:val="19"/>
          <w:rFonts w:hint="eastAsia" w:ascii="宋体" w:hAnsi="宋体"/>
          <w:u w:val="none"/>
        </w:rPr>
        <w:fldChar w:fldCharType="begin"/>
      </w:r>
      <w:r>
        <w:rPr>
          <w:rStyle w:val="19"/>
          <w:rFonts w:hint="eastAsia" w:ascii="宋体" w:hAnsi="宋体"/>
          <w:u w:val="none"/>
        </w:rPr>
        <w:instrText xml:space="preserve"> </w:instrText>
      </w:r>
      <w:r>
        <w:rPr>
          <w:rFonts w:hint="eastAsia" w:ascii="宋体" w:hAnsi="宋体"/>
          <w:u w:val="none"/>
        </w:rPr>
        <w:instrText xml:space="preserve">HYPERLINK \l "_Toc211960295"</w:instrText>
      </w:r>
      <w:r>
        <w:rPr>
          <w:rStyle w:val="19"/>
          <w:rFonts w:hint="eastAsia" w:ascii="宋体" w:hAnsi="宋体"/>
          <w:u w:val="none"/>
        </w:rPr>
        <w:instrText xml:space="preserve"> </w:instrText>
      </w:r>
      <w:r>
        <w:rPr>
          <w:rStyle w:val="19"/>
          <w:rFonts w:hint="eastAsia" w:ascii="宋体" w:hAnsi="宋体"/>
          <w:u w:val="none"/>
        </w:rPr>
        <w:fldChar w:fldCharType="separate"/>
      </w:r>
      <w:r>
        <w:rPr>
          <w:rStyle w:val="19"/>
          <w:rFonts w:hint="eastAsia" w:ascii="宋体" w:hAnsi="宋体"/>
          <w:u w:val="none"/>
        </w:rPr>
        <w:t>第一章  招标公告</w:t>
      </w:r>
      <w:r>
        <w:rPr>
          <w:rFonts w:hint="eastAsia" w:ascii="宋体" w:hAnsi="宋体"/>
          <w:u w:val="none"/>
        </w:rPr>
        <w:tab/>
      </w:r>
      <w:r>
        <w:rPr>
          <w:rFonts w:hint="eastAsia" w:ascii="宋体" w:hAnsi="宋体"/>
          <w:u w:val="none"/>
        </w:rPr>
        <w:fldChar w:fldCharType="begin"/>
      </w:r>
      <w:r>
        <w:rPr>
          <w:rFonts w:hint="eastAsia" w:ascii="宋体" w:hAnsi="宋体"/>
          <w:u w:val="none"/>
        </w:rPr>
        <w:instrText xml:space="preserve"> </w:instrText>
      </w:r>
      <w:r>
        <w:rPr>
          <w:rFonts w:ascii="宋体" w:hAnsi="宋体"/>
          <w:u w:val="none"/>
        </w:rPr>
        <w:instrText xml:space="preserve">PAGEREF _Toc211960295 \h</w:instrText>
      </w:r>
      <w:r>
        <w:rPr>
          <w:rFonts w:hint="eastAsia" w:ascii="宋体" w:hAnsi="宋体"/>
          <w:u w:val="none"/>
        </w:rPr>
        <w:instrText xml:space="preserve"> </w:instrText>
      </w:r>
      <w:r>
        <w:rPr>
          <w:rFonts w:hint="eastAsia" w:ascii="宋体" w:hAnsi="宋体"/>
          <w:u w:val="none"/>
        </w:rPr>
        <w:fldChar w:fldCharType="separate"/>
      </w:r>
      <w:r>
        <w:rPr>
          <w:rFonts w:ascii="宋体" w:hAnsi="宋体"/>
          <w:u w:val="none"/>
        </w:rPr>
        <w:t>1</w:t>
      </w:r>
      <w:r>
        <w:rPr>
          <w:rFonts w:hint="eastAsia" w:ascii="宋体" w:hAnsi="宋体"/>
          <w:u w:val="none"/>
        </w:rPr>
        <w:fldChar w:fldCharType="end"/>
      </w:r>
      <w:r>
        <w:rPr>
          <w:rStyle w:val="19"/>
          <w:rFonts w:hint="eastAsia" w:ascii="宋体" w:hAnsi="宋体"/>
          <w:u w:val="none"/>
        </w:rPr>
        <w:fldChar w:fldCharType="end"/>
      </w:r>
    </w:p>
    <w:p w14:paraId="236E3AB1">
      <w:pPr>
        <w:pStyle w:val="13"/>
        <w:tabs>
          <w:tab w:val="right" w:leader="dot" w:pos="9628"/>
        </w:tabs>
        <w:spacing w:before="200" w:after="200"/>
        <w:rPr>
          <w:rFonts w:hint="eastAsia" w:ascii="宋体" w:hAnsi="宋体"/>
          <w:b w:val="0"/>
          <w:bCs w:val="0"/>
          <w:caps w:val="0"/>
          <w:szCs w:val="24"/>
          <w:u w:val="none"/>
        </w:rPr>
      </w:pPr>
      <w:r>
        <w:rPr>
          <w:rStyle w:val="19"/>
          <w:rFonts w:hint="eastAsia" w:ascii="宋体" w:hAnsi="宋体"/>
          <w:u w:val="none"/>
        </w:rPr>
        <w:fldChar w:fldCharType="begin"/>
      </w:r>
      <w:r>
        <w:rPr>
          <w:rStyle w:val="19"/>
          <w:rFonts w:hint="eastAsia" w:ascii="宋体" w:hAnsi="宋体"/>
          <w:u w:val="none"/>
        </w:rPr>
        <w:instrText xml:space="preserve"> </w:instrText>
      </w:r>
      <w:r>
        <w:rPr>
          <w:rFonts w:hint="eastAsia" w:ascii="宋体" w:hAnsi="宋体"/>
          <w:u w:val="none"/>
        </w:rPr>
        <w:instrText xml:space="preserve">HYPERLINK \l "_Toc211960296"</w:instrText>
      </w:r>
      <w:r>
        <w:rPr>
          <w:rStyle w:val="19"/>
          <w:rFonts w:hint="eastAsia" w:ascii="宋体" w:hAnsi="宋体"/>
          <w:u w:val="none"/>
        </w:rPr>
        <w:instrText xml:space="preserve"> </w:instrText>
      </w:r>
      <w:r>
        <w:rPr>
          <w:rStyle w:val="19"/>
          <w:rFonts w:hint="eastAsia" w:ascii="宋体" w:hAnsi="宋体"/>
          <w:u w:val="none"/>
        </w:rPr>
        <w:fldChar w:fldCharType="separate"/>
      </w:r>
      <w:r>
        <w:rPr>
          <w:rStyle w:val="19"/>
          <w:rFonts w:hint="eastAsia" w:ascii="宋体" w:hAnsi="宋体"/>
          <w:u w:val="none"/>
        </w:rPr>
        <w:t>第二章  采购需求</w:t>
      </w:r>
      <w:r>
        <w:rPr>
          <w:rFonts w:hint="eastAsia" w:ascii="宋体" w:hAnsi="宋体"/>
          <w:u w:val="none"/>
        </w:rPr>
        <w:tab/>
      </w:r>
      <w:r>
        <w:rPr>
          <w:rFonts w:hint="eastAsia" w:ascii="宋体" w:hAnsi="宋体"/>
          <w:u w:val="none"/>
        </w:rPr>
        <w:fldChar w:fldCharType="begin"/>
      </w:r>
      <w:r>
        <w:rPr>
          <w:rFonts w:hint="eastAsia" w:ascii="宋体" w:hAnsi="宋体"/>
          <w:u w:val="none"/>
        </w:rPr>
        <w:instrText xml:space="preserve"> </w:instrText>
      </w:r>
      <w:r>
        <w:rPr>
          <w:rFonts w:ascii="宋体" w:hAnsi="宋体"/>
          <w:u w:val="none"/>
        </w:rPr>
        <w:instrText xml:space="preserve">PAGEREF _Toc211960296 \h</w:instrText>
      </w:r>
      <w:r>
        <w:rPr>
          <w:rFonts w:hint="eastAsia" w:ascii="宋体" w:hAnsi="宋体"/>
          <w:u w:val="none"/>
        </w:rPr>
        <w:instrText xml:space="preserve"> </w:instrText>
      </w:r>
      <w:r>
        <w:rPr>
          <w:rFonts w:hint="eastAsia" w:ascii="宋体" w:hAnsi="宋体"/>
          <w:u w:val="none"/>
        </w:rPr>
        <w:fldChar w:fldCharType="separate"/>
      </w:r>
      <w:r>
        <w:rPr>
          <w:rFonts w:ascii="宋体" w:hAnsi="宋体"/>
          <w:u w:val="none"/>
        </w:rPr>
        <w:t>5</w:t>
      </w:r>
      <w:r>
        <w:rPr>
          <w:rFonts w:hint="eastAsia" w:ascii="宋体" w:hAnsi="宋体"/>
          <w:u w:val="none"/>
        </w:rPr>
        <w:fldChar w:fldCharType="end"/>
      </w:r>
      <w:r>
        <w:rPr>
          <w:rStyle w:val="19"/>
          <w:rFonts w:hint="eastAsia" w:ascii="宋体" w:hAnsi="宋体"/>
          <w:u w:val="none"/>
        </w:rPr>
        <w:fldChar w:fldCharType="end"/>
      </w:r>
    </w:p>
    <w:p w14:paraId="7F40A92C">
      <w:pPr>
        <w:pStyle w:val="13"/>
        <w:tabs>
          <w:tab w:val="right" w:leader="dot" w:pos="9628"/>
        </w:tabs>
        <w:spacing w:before="200" w:after="200"/>
        <w:rPr>
          <w:rFonts w:hint="eastAsia" w:ascii="宋体" w:hAnsi="宋体"/>
          <w:b w:val="0"/>
          <w:bCs w:val="0"/>
          <w:caps w:val="0"/>
          <w:szCs w:val="24"/>
          <w:u w:val="none"/>
        </w:rPr>
      </w:pPr>
      <w:r>
        <w:rPr>
          <w:rStyle w:val="19"/>
          <w:rFonts w:hint="eastAsia" w:ascii="宋体" w:hAnsi="宋体"/>
          <w:u w:val="none"/>
        </w:rPr>
        <w:fldChar w:fldCharType="begin"/>
      </w:r>
      <w:r>
        <w:rPr>
          <w:rStyle w:val="19"/>
          <w:rFonts w:hint="eastAsia" w:ascii="宋体" w:hAnsi="宋体"/>
          <w:u w:val="none"/>
        </w:rPr>
        <w:instrText xml:space="preserve"> </w:instrText>
      </w:r>
      <w:r>
        <w:rPr>
          <w:rFonts w:hint="eastAsia" w:ascii="宋体" w:hAnsi="宋体"/>
          <w:u w:val="none"/>
        </w:rPr>
        <w:instrText xml:space="preserve">HYPERLINK \l "_Toc211960297"</w:instrText>
      </w:r>
      <w:r>
        <w:rPr>
          <w:rStyle w:val="19"/>
          <w:rFonts w:hint="eastAsia" w:ascii="宋体" w:hAnsi="宋体"/>
          <w:u w:val="none"/>
        </w:rPr>
        <w:instrText xml:space="preserve"> </w:instrText>
      </w:r>
      <w:r>
        <w:rPr>
          <w:rStyle w:val="19"/>
          <w:rFonts w:hint="eastAsia" w:ascii="宋体" w:hAnsi="宋体"/>
          <w:u w:val="none"/>
        </w:rPr>
        <w:fldChar w:fldCharType="separate"/>
      </w:r>
      <w:r>
        <w:rPr>
          <w:rStyle w:val="19"/>
          <w:rFonts w:hint="eastAsia" w:ascii="宋体" w:hAnsi="宋体"/>
          <w:u w:val="none"/>
        </w:rPr>
        <w:t>第三章  投标人须知</w:t>
      </w:r>
      <w:r>
        <w:rPr>
          <w:rFonts w:hint="eastAsia" w:ascii="宋体" w:hAnsi="宋体"/>
          <w:u w:val="none"/>
        </w:rPr>
        <w:tab/>
      </w:r>
      <w:r>
        <w:rPr>
          <w:rFonts w:hint="eastAsia" w:ascii="宋体" w:hAnsi="宋体"/>
          <w:u w:val="none"/>
        </w:rPr>
        <w:fldChar w:fldCharType="begin"/>
      </w:r>
      <w:r>
        <w:rPr>
          <w:rFonts w:hint="eastAsia" w:ascii="宋体" w:hAnsi="宋体"/>
          <w:u w:val="none"/>
        </w:rPr>
        <w:instrText xml:space="preserve"> </w:instrText>
      </w:r>
      <w:r>
        <w:rPr>
          <w:rFonts w:ascii="宋体" w:hAnsi="宋体"/>
          <w:u w:val="none"/>
        </w:rPr>
        <w:instrText xml:space="preserve">PAGEREF _Toc211960297 \h</w:instrText>
      </w:r>
      <w:r>
        <w:rPr>
          <w:rFonts w:hint="eastAsia" w:ascii="宋体" w:hAnsi="宋体"/>
          <w:u w:val="none"/>
        </w:rPr>
        <w:instrText xml:space="preserve"> </w:instrText>
      </w:r>
      <w:r>
        <w:rPr>
          <w:rFonts w:hint="eastAsia" w:ascii="宋体" w:hAnsi="宋体"/>
          <w:u w:val="none"/>
        </w:rPr>
        <w:fldChar w:fldCharType="separate"/>
      </w:r>
      <w:r>
        <w:rPr>
          <w:rFonts w:ascii="宋体" w:hAnsi="宋体"/>
          <w:u w:val="none"/>
        </w:rPr>
        <w:t>60</w:t>
      </w:r>
      <w:r>
        <w:rPr>
          <w:rFonts w:hint="eastAsia" w:ascii="宋体" w:hAnsi="宋体"/>
          <w:u w:val="none"/>
        </w:rPr>
        <w:fldChar w:fldCharType="end"/>
      </w:r>
      <w:r>
        <w:rPr>
          <w:rStyle w:val="19"/>
          <w:rFonts w:hint="eastAsia" w:ascii="宋体" w:hAnsi="宋体"/>
          <w:u w:val="none"/>
        </w:rPr>
        <w:fldChar w:fldCharType="end"/>
      </w:r>
    </w:p>
    <w:p w14:paraId="690103A4">
      <w:pPr>
        <w:pStyle w:val="14"/>
        <w:tabs>
          <w:tab w:val="right" w:leader="dot" w:pos="9628"/>
        </w:tabs>
        <w:rPr>
          <w:rFonts w:hint="eastAsia" w:ascii="宋体" w:hAnsi="宋体"/>
          <w:b w:val="0"/>
          <w:bCs w:val="0"/>
          <w:smallCaps w:val="0"/>
          <w:szCs w:val="24"/>
        </w:rPr>
      </w:pPr>
      <w:r>
        <w:rPr>
          <w:rStyle w:val="19"/>
          <w:rFonts w:hint="eastAsia" w:ascii="宋体" w:hAnsi="宋体"/>
        </w:rPr>
        <w:fldChar w:fldCharType="begin"/>
      </w:r>
      <w:r>
        <w:rPr>
          <w:rStyle w:val="19"/>
          <w:rFonts w:hint="eastAsia" w:ascii="宋体" w:hAnsi="宋体"/>
        </w:rPr>
        <w:instrText xml:space="preserve"> </w:instrText>
      </w:r>
      <w:r>
        <w:rPr>
          <w:rFonts w:hint="eastAsia" w:ascii="宋体" w:hAnsi="宋体"/>
        </w:rPr>
        <w:instrText xml:space="preserve">HYPERLINK \l "_Toc211960298"</w:instrText>
      </w:r>
      <w:r>
        <w:rPr>
          <w:rStyle w:val="19"/>
          <w:rFonts w:hint="eastAsia" w:ascii="宋体" w:hAnsi="宋体"/>
        </w:rPr>
        <w:instrText xml:space="preserve"> </w:instrText>
      </w:r>
      <w:r>
        <w:rPr>
          <w:rStyle w:val="19"/>
          <w:rFonts w:hint="eastAsia" w:ascii="宋体" w:hAnsi="宋体"/>
        </w:rPr>
        <w:fldChar w:fldCharType="separate"/>
      </w:r>
      <w:r>
        <w:rPr>
          <w:rStyle w:val="19"/>
          <w:rFonts w:hint="eastAsia" w:ascii="宋体" w:hAnsi="宋体"/>
        </w:rPr>
        <w:t>第一节 投标人</w:t>
      </w:r>
      <w:bookmarkStart w:id="0" w:name="_Hlt225784223"/>
      <w:bookmarkStart w:id="1" w:name="_Hlt225784224"/>
      <w:r>
        <w:rPr>
          <w:rStyle w:val="19"/>
          <w:rFonts w:hint="eastAsia" w:ascii="宋体" w:hAnsi="宋体"/>
        </w:rPr>
        <w:t>须</w:t>
      </w:r>
      <w:bookmarkEnd w:id="0"/>
      <w:bookmarkEnd w:id="1"/>
      <w:r>
        <w:rPr>
          <w:rStyle w:val="19"/>
          <w:rFonts w:hint="eastAsia" w:ascii="宋体" w:hAnsi="宋体"/>
        </w:rPr>
        <w:t>知前附表</w:t>
      </w:r>
      <w:r>
        <w:rPr>
          <w:rFonts w:hint="eastAsia" w:ascii="宋体" w:hAnsi="宋体"/>
        </w:rPr>
        <w:tab/>
      </w:r>
      <w:r>
        <w:rPr>
          <w:rFonts w:hint="eastAsia" w:ascii="宋体" w:hAnsi="宋体"/>
        </w:rPr>
        <w:fldChar w:fldCharType="begin"/>
      </w:r>
      <w:r>
        <w:rPr>
          <w:rFonts w:hint="eastAsia" w:ascii="宋体" w:hAnsi="宋体"/>
        </w:rPr>
        <w:instrText xml:space="preserve"> </w:instrText>
      </w:r>
      <w:r>
        <w:rPr>
          <w:rFonts w:ascii="宋体" w:hAnsi="宋体"/>
        </w:rPr>
        <w:instrText xml:space="preserve">PAGEREF _Toc211960298 \h</w:instrText>
      </w:r>
      <w:r>
        <w:rPr>
          <w:rFonts w:hint="eastAsia" w:ascii="宋体" w:hAnsi="宋体"/>
        </w:rPr>
        <w:instrText xml:space="preserve"> </w:instrText>
      </w:r>
      <w:r>
        <w:rPr>
          <w:rFonts w:hint="eastAsia" w:ascii="宋体" w:hAnsi="宋体"/>
        </w:rPr>
        <w:fldChar w:fldCharType="separate"/>
      </w:r>
      <w:r>
        <w:rPr>
          <w:rFonts w:ascii="宋体" w:hAnsi="宋体"/>
        </w:rPr>
        <w:t>60</w:t>
      </w:r>
      <w:r>
        <w:rPr>
          <w:rFonts w:hint="eastAsia" w:ascii="宋体" w:hAnsi="宋体"/>
        </w:rPr>
        <w:fldChar w:fldCharType="end"/>
      </w:r>
      <w:r>
        <w:rPr>
          <w:rStyle w:val="19"/>
          <w:rFonts w:hint="eastAsia" w:ascii="宋体" w:hAnsi="宋体"/>
        </w:rPr>
        <w:fldChar w:fldCharType="end"/>
      </w:r>
    </w:p>
    <w:p w14:paraId="70DD8F67">
      <w:pPr>
        <w:pStyle w:val="14"/>
        <w:tabs>
          <w:tab w:val="right" w:leader="dot" w:pos="9628"/>
        </w:tabs>
        <w:rPr>
          <w:rFonts w:hint="eastAsia" w:ascii="宋体" w:hAnsi="宋体"/>
          <w:b w:val="0"/>
          <w:bCs w:val="0"/>
          <w:smallCaps w:val="0"/>
          <w:szCs w:val="24"/>
        </w:rPr>
      </w:pPr>
      <w:r>
        <w:rPr>
          <w:rStyle w:val="19"/>
          <w:rFonts w:hint="eastAsia" w:ascii="宋体" w:hAnsi="宋体"/>
        </w:rPr>
        <w:fldChar w:fldCharType="begin"/>
      </w:r>
      <w:r>
        <w:rPr>
          <w:rStyle w:val="19"/>
          <w:rFonts w:hint="eastAsia" w:ascii="宋体" w:hAnsi="宋体"/>
        </w:rPr>
        <w:instrText xml:space="preserve"> </w:instrText>
      </w:r>
      <w:r>
        <w:rPr>
          <w:rFonts w:hint="eastAsia" w:ascii="宋体" w:hAnsi="宋体"/>
        </w:rPr>
        <w:instrText xml:space="preserve">HYPERLINK \l "_Toc211960299"</w:instrText>
      </w:r>
      <w:r>
        <w:rPr>
          <w:rStyle w:val="19"/>
          <w:rFonts w:hint="eastAsia" w:ascii="宋体" w:hAnsi="宋体"/>
        </w:rPr>
        <w:instrText xml:space="preserve"> </w:instrText>
      </w:r>
      <w:r>
        <w:rPr>
          <w:rStyle w:val="19"/>
          <w:rFonts w:hint="eastAsia" w:ascii="宋体" w:hAnsi="宋体"/>
        </w:rPr>
        <w:fldChar w:fldCharType="separate"/>
      </w:r>
      <w:r>
        <w:rPr>
          <w:rStyle w:val="19"/>
          <w:rFonts w:hint="eastAsia" w:ascii="宋体" w:hAnsi="宋体"/>
        </w:rPr>
        <w:t>第二节 投标人须知正文</w:t>
      </w:r>
      <w:r>
        <w:rPr>
          <w:rFonts w:hint="eastAsia" w:ascii="宋体" w:hAnsi="宋体"/>
        </w:rPr>
        <w:tab/>
      </w:r>
      <w:r>
        <w:rPr>
          <w:rFonts w:hint="eastAsia" w:ascii="宋体" w:hAnsi="宋体"/>
        </w:rPr>
        <w:fldChar w:fldCharType="begin"/>
      </w:r>
      <w:r>
        <w:rPr>
          <w:rFonts w:hint="eastAsia" w:ascii="宋体" w:hAnsi="宋体"/>
        </w:rPr>
        <w:instrText xml:space="preserve"> </w:instrText>
      </w:r>
      <w:r>
        <w:rPr>
          <w:rFonts w:ascii="宋体" w:hAnsi="宋体"/>
        </w:rPr>
        <w:instrText xml:space="preserve">PAGEREF _Toc211960299 \h</w:instrText>
      </w:r>
      <w:r>
        <w:rPr>
          <w:rFonts w:hint="eastAsia" w:ascii="宋体" w:hAnsi="宋体"/>
        </w:rPr>
        <w:instrText xml:space="preserve"> </w:instrText>
      </w:r>
      <w:r>
        <w:rPr>
          <w:rFonts w:hint="eastAsia" w:ascii="宋体" w:hAnsi="宋体"/>
        </w:rPr>
        <w:fldChar w:fldCharType="separate"/>
      </w:r>
      <w:r>
        <w:rPr>
          <w:rFonts w:ascii="宋体" w:hAnsi="宋体"/>
        </w:rPr>
        <w:t>66</w:t>
      </w:r>
      <w:r>
        <w:rPr>
          <w:rFonts w:hint="eastAsia" w:ascii="宋体" w:hAnsi="宋体"/>
        </w:rPr>
        <w:fldChar w:fldCharType="end"/>
      </w:r>
      <w:r>
        <w:rPr>
          <w:rStyle w:val="19"/>
          <w:rFonts w:hint="eastAsia" w:ascii="宋体" w:hAnsi="宋体"/>
        </w:rPr>
        <w:fldChar w:fldCharType="end"/>
      </w:r>
    </w:p>
    <w:p w14:paraId="5B09823E">
      <w:pPr>
        <w:pStyle w:val="10"/>
        <w:tabs>
          <w:tab w:val="right" w:leader="dot" w:pos="9628"/>
        </w:tabs>
        <w:rPr>
          <w:rFonts w:hint="eastAsia" w:ascii="宋体" w:hAnsi="宋体"/>
          <w:smallCaps w:val="0"/>
          <w:szCs w:val="24"/>
        </w:rPr>
      </w:pPr>
      <w:r>
        <w:rPr>
          <w:rStyle w:val="19"/>
          <w:rFonts w:hint="eastAsia" w:ascii="宋体" w:hAnsi="宋体"/>
        </w:rPr>
        <w:fldChar w:fldCharType="begin"/>
      </w:r>
      <w:r>
        <w:rPr>
          <w:rStyle w:val="19"/>
          <w:rFonts w:hint="eastAsia" w:ascii="宋体" w:hAnsi="宋体"/>
        </w:rPr>
        <w:instrText xml:space="preserve"> </w:instrText>
      </w:r>
      <w:r>
        <w:rPr>
          <w:rFonts w:hint="eastAsia" w:ascii="宋体" w:hAnsi="宋体"/>
        </w:rPr>
        <w:instrText xml:space="preserve">HYPERLINK \l "_Toc211960300"</w:instrText>
      </w:r>
      <w:r>
        <w:rPr>
          <w:rStyle w:val="19"/>
          <w:rFonts w:hint="eastAsia" w:ascii="宋体" w:hAnsi="宋体"/>
        </w:rPr>
        <w:instrText xml:space="preserve"> </w:instrText>
      </w:r>
      <w:r>
        <w:rPr>
          <w:rStyle w:val="19"/>
          <w:rFonts w:hint="eastAsia" w:ascii="宋体" w:hAnsi="宋体"/>
        </w:rPr>
        <w:fldChar w:fldCharType="separate"/>
      </w:r>
      <w:r>
        <w:rPr>
          <w:rStyle w:val="19"/>
          <w:rFonts w:hint="eastAsia" w:ascii="宋体" w:hAnsi="宋体"/>
        </w:rPr>
        <w:t>一、总  则</w:t>
      </w:r>
      <w:r>
        <w:rPr>
          <w:rFonts w:hint="eastAsia" w:ascii="宋体" w:hAnsi="宋体"/>
        </w:rPr>
        <w:tab/>
      </w:r>
      <w:r>
        <w:rPr>
          <w:rFonts w:hint="eastAsia" w:ascii="宋体" w:hAnsi="宋体"/>
        </w:rPr>
        <w:fldChar w:fldCharType="begin"/>
      </w:r>
      <w:r>
        <w:rPr>
          <w:rFonts w:hint="eastAsia" w:ascii="宋体" w:hAnsi="宋体"/>
        </w:rPr>
        <w:instrText xml:space="preserve"> </w:instrText>
      </w:r>
      <w:r>
        <w:rPr>
          <w:rFonts w:ascii="宋体" w:hAnsi="宋体"/>
        </w:rPr>
        <w:instrText xml:space="preserve">PAGEREF _Toc211960300 \h</w:instrText>
      </w:r>
      <w:r>
        <w:rPr>
          <w:rFonts w:hint="eastAsia" w:ascii="宋体" w:hAnsi="宋体"/>
        </w:rPr>
        <w:instrText xml:space="preserve"> </w:instrText>
      </w:r>
      <w:r>
        <w:rPr>
          <w:rFonts w:hint="eastAsia" w:ascii="宋体" w:hAnsi="宋体"/>
        </w:rPr>
        <w:fldChar w:fldCharType="separate"/>
      </w:r>
      <w:r>
        <w:rPr>
          <w:rFonts w:ascii="宋体" w:hAnsi="宋体"/>
        </w:rPr>
        <w:t>66</w:t>
      </w:r>
      <w:r>
        <w:rPr>
          <w:rFonts w:hint="eastAsia" w:ascii="宋体" w:hAnsi="宋体"/>
        </w:rPr>
        <w:fldChar w:fldCharType="end"/>
      </w:r>
      <w:r>
        <w:rPr>
          <w:rStyle w:val="19"/>
          <w:rFonts w:hint="eastAsia" w:ascii="宋体" w:hAnsi="宋体"/>
        </w:rPr>
        <w:fldChar w:fldCharType="end"/>
      </w:r>
    </w:p>
    <w:p w14:paraId="31B581DD">
      <w:pPr>
        <w:pStyle w:val="10"/>
        <w:tabs>
          <w:tab w:val="right" w:leader="dot" w:pos="9628"/>
        </w:tabs>
        <w:rPr>
          <w:rFonts w:hint="eastAsia" w:ascii="宋体" w:hAnsi="宋体"/>
          <w:smallCaps w:val="0"/>
          <w:szCs w:val="24"/>
        </w:rPr>
      </w:pPr>
      <w:r>
        <w:rPr>
          <w:rStyle w:val="19"/>
          <w:rFonts w:hint="eastAsia" w:ascii="宋体" w:hAnsi="宋体"/>
        </w:rPr>
        <w:fldChar w:fldCharType="begin"/>
      </w:r>
      <w:r>
        <w:rPr>
          <w:rStyle w:val="19"/>
          <w:rFonts w:hint="eastAsia" w:ascii="宋体" w:hAnsi="宋体"/>
        </w:rPr>
        <w:instrText xml:space="preserve"> </w:instrText>
      </w:r>
      <w:r>
        <w:rPr>
          <w:rFonts w:hint="eastAsia" w:ascii="宋体" w:hAnsi="宋体"/>
        </w:rPr>
        <w:instrText xml:space="preserve">HYPERLINK \l "_Toc211960301"</w:instrText>
      </w:r>
      <w:r>
        <w:rPr>
          <w:rStyle w:val="19"/>
          <w:rFonts w:hint="eastAsia" w:ascii="宋体" w:hAnsi="宋体"/>
        </w:rPr>
        <w:instrText xml:space="preserve"> </w:instrText>
      </w:r>
      <w:r>
        <w:rPr>
          <w:rStyle w:val="19"/>
          <w:rFonts w:hint="eastAsia" w:ascii="宋体" w:hAnsi="宋体"/>
        </w:rPr>
        <w:fldChar w:fldCharType="separate"/>
      </w:r>
      <w:r>
        <w:rPr>
          <w:rStyle w:val="19"/>
          <w:rFonts w:hint="eastAsia" w:ascii="宋体" w:hAnsi="宋体"/>
        </w:rPr>
        <w:t>二、招标文件</w:t>
      </w:r>
      <w:r>
        <w:rPr>
          <w:rFonts w:hint="eastAsia" w:ascii="宋体" w:hAnsi="宋体"/>
        </w:rPr>
        <w:tab/>
      </w:r>
      <w:r>
        <w:rPr>
          <w:rFonts w:hint="eastAsia" w:ascii="宋体" w:hAnsi="宋体"/>
        </w:rPr>
        <w:fldChar w:fldCharType="begin"/>
      </w:r>
      <w:r>
        <w:rPr>
          <w:rFonts w:hint="eastAsia" w:ascii="宋体" w:hAnsi="宋体"/>
        </w:rPr>
        <w:instrText xml:space="preserve"> </w:instrText>
      </w:r>
      <w:r>
        <w:rPr>
          <w:rFonts w:ascii="宋体" w:hAnsi="宋体"/>
        </w:rPr>
        <w:instrText xml:space="preserve">PAGEREF _Toc211960301 \h</w:instrText>
      </w:r>
      <w:r>
        <w:rPr>
          <w:rFonts w:hint="eastAsia" w:ascii="宋体" w:hAnsi="宋体"/>
        </w:rPr>
        <w:instrText xml:space="preserve"> </w:instrText>
      </w:r>
      <w:r>
        <w:rPr>
          <w:rFonts w:hint="eastAsia" w:ascii="宋体" w:hAnsi="宋体"/>
        </w:rPr>
        <w:fldChar w:fldCharType="separate"/>
      </w:r>
      <w:r>
        <w:rPr>
          <w:rFonts w:ascii="宋体" w:hAnsi="宋体"/>
        </w:rPr>
        <w:t>68</w:t>
      </w:r>
      <w:r>
        <w:rPr>
          <w:rFonts w:hint="eastAsia" w:ascii="宋体" w:hAnsi="宋体"/>
        </w:rPr>
        <w:fldChar w:fldCharType="end"/>
      </w:r>
      <w:r>
        <w:rPr>
          <w:rStyle w:val="19"/>
          <w:rFonts w:hint="eastAsia" w:ascii="宋体" w:hAnsi="宋体"/>
        </w:rPr>
        <w:fldChar w:fldCharType="end"/>
      </w:r>
    </w:p>
    <w:p w14:paraId="3DBD414B">
      <w:pPr>
        <w:pStyle w:val="10"/>
        <w:tabs>
          <w:tab w:val="right" w:leader="dot" w:pos="9628"/>
        </w:tabs>
        <w:rPr>
          <w:rFonts w:hint="eastAsia" w:ascii="宋体" w:hAnsi="宋体"/>
          <w:smallCaps w:val="0"/>
          <w:szCs w:val="24"/>
        </w:rPr>
      </w:pPr>
      <w:r>
        <w:rPr>
          <w:rStyle w:val="19"/>
          <w:rFonts w:hint="eastAsia" w:ascii="宋体" w:hAnsi="宋体"/>
        </w:rPr>
        <w:fldChar w:fldCharType="begin"/>
      </w:r>
      <w:r>
        <w:rPr>
          <w:rStyle w:val="19"/>
          <w:rFonts w:hint="eastAsia" w:ascii="宋体" w:hAnsi="宋体"/>
        </w:rPr>
        <w:instrText xml:space="preserve"> </w:instrText>
      </w:r>
      <w:r>
        <w:rPr>
          <w:rFonts w:hint="eastAsia" w:ascii="宋体" w:hAnsi="宋体"/>
        </w:rPr>
        <w:instrText xml:space="preserve">HYPERLINK \l "_Toc211960302"</w:instrText>
      </w:r>
      <w:r>
        <w:rPr>
          <w:rStyle w:val="19"/>
          <w:rFonts w:hint="eastAsia" w:ascii="宋体" w:hAnsi="宋体"/>
        </w:rPr>
        <w:instrText xml:space="preserve"> </w:instrText>
      </w:r>
      <w:r>
        <w:rPr>
          <w:rStyle w:val="19"/>
          <w:rFonts w:hint="eastAsia" w:ascii="宋体" w:hAnsi="宋体"/>
        </w:rPr>
        <w:fldChar w:fldCharType="separate"/>
      </w:r>
      <w:r>
        <w:rPr>
          <w:rStyle w:val="19"/>
          <w:rFonts w:hint="eastAsia" w:ascii="宋体" w:hAnsi="宋体"/>
        </w:rPr>
        <w:t>三、投标文件的编制</w:t>
      </w:r>
      <w:r>
        <w:rPr>
          <w:rFonts w:hint="eastAsia" w:ascii="宋体" w:hAnsi="宋体"/>
        </w:rPr>
        <w:tab/>
      </w:r>
      <w:r>
        <w:rPr>
          <w:rFonts w:hint="eastAsia" w:ascii="宋体" w:hAnsi="宋体"/>
        </w:rPr>
        <w:fldChar w:fldCharType="begin"/>
      </w:r>
      <w:r>
        <w:rPr>
          <w:rFonts w:hint="eastAsia" w:ascii="宋体" w:hAnsi="宋体"/>
        </w:rPr>
        <w:instrText xml:space="preserve"> </w:instrText>
      </w:r>
      <w:r>
        <w:rPr>
          <w:rFonts w:ascii="宋体" w:hAnsi="宋体"/>
        </w:rPr>
        <w:instrText xml:space="preserve">PAGEREF _Toc211960302 \h</w:instrText>
      </w:r>
      <w:r>
        <w:rPr>
          <w:rFonts w:hint="eastAsia" w:ascii="宋体" w:hAnsi="宋体"/>
        </w:rPr>
        <w:instrText xml:space="preserve"> </w:instrText>
      </w:r>
      <w:r>
        <w:rPr>
          <w:rFonts w:hint="eastAsia" w:ascii="宋体" w:hAnsi="宋体"/>
        </w:rPr>
        <w:fldChar w:fldCharType="separate"/>
      </w:r>
      <w:r>
        <w:rPr>
          <w:rFonts w:ascii="宋体" w:hAnsi="宋体"/>
        </w:rPr>
        <w:t>69</w:t>
      </w:r>
      <w:r>
        <w:rPr>
          <w:rFonts w:hint="eastAsia" w:ascii="宋体" w:hAnsi="宋体"/>
        </w:rPr>
        <w:fldChar w:fldCharType="end"/>
      </w:r>
      <w:r>
        <w:rPr>
          <w:rStyle w:val="19"/>
          <w:rFonts w:hint="eastAsia" w:ascii="宋体" w:hAnsi="宋体"/>
        </w:rPr>
        <w:fldChar w:fldCharType="end"/>
      </w:r>
    </w:p>
    <w:p w14:paraId="1C3200AD">
      <w:pPr>
        <w:pStyle w:val="10"/>
        <w:tabs>
          <w:tab w:val="right" w:leader="dot" w:pos="9628"/>
        </w:tabs>
        <w:rPr>
          <w:rFonts w:hint="eastAsia" w:ascii="宋体" w:hAnsi="宋体"/>
          <w:smallCaps w:val="0"/>
          <w:szCs w:val="24"/>
        </w:rPr>
      </w:pPr>
      <w:r>
        <w:rPr>
          <w:rStyle w:val="19"/>
          <w:rFonts w:hint="eastAsia" w:ascii="宋体" w:hAnsi="宋体"/>
        </w:rPr>
        <w:fldChar w:fldCharType="begin"/>
      </w:r>
      <w:r>
        <w:rPr>
          <w:rStyle w:val="19"/>
          <w:rFonts w:hint="eastAsia" w:ascii="宋体" w:hAnsi="宋体"/>
        </w:rPr>
        <w:instrText xml:space="preserve"> </w:instrText>
      </w:r>
      <w:r>
        <w:rPr>
          <w:rFonts w:hint="eastAsia" w:ascii="宋体" w:hAnsi="宋体"/>
        </w:rPr>
        <w:instrText xml:space="preserve">HYPERLINK \l "_Toc211960303"</w:instrText>
      </w:r>
      <w:r>
        <w:rPr>
          <w:rStyle w:val="19"/>
          <w:rFonts w:hint="eastAsia" w:ascii="宋体" w:hAnsi="宋体"/>
        </w:rPr>
        <w:instrText xml:space="preserve"> </w:instrText>
      </w:r>
      <w:r>
        <w:rPr>
          <w:rStyle w:val="19"/>
          <w:rFonts w:hint="eastAsia" w:ascii="宋体" w:hAnsi="宋体"/>
        </w:rPr>
        <w:fldChar w:fldCharType="separate"/>
      </w:r>
      <w:r>
        <w:rPr>
          <w:rStyle w:val="19"/>
          <w:rFonts w:hint="eastAsia" w:ascii="宋体" w:hAnsi="宋体"/>
        </w:rPr>
        <w:t>四、开    标</w:t>
      </w:r>
      <w:r>
        <w:rPr>
          <w:rFonts w:hint="eastAsia" w:ascii="宋体" w:hAnsi="宋体"/>
        </w:rPr>
        <w:tab/>
      </w:r>
      <w:r>
        <w:rPr>
          <w:rFonts w:hint="eastAsia" w:ascii="宋体" w:hAnsi="宋体"/>
        </w:rPr>
        <w:fldChar w:fldCharType="begin"/>
      </w:r>
      <w:r>
        <w:rPr>
          <w:rFonts w:hint="eastAsia" w:ascii="宋体" w:hAnsi="宋体"/>
        </w:rPr>
        <w:instrText xml:space="preserve"> </w:instrText>
      </w:r>
      <w:r>
        <w:rPr>
          <w:rFonts w:ascii="宋体" w:hAnsi="宋体"/>
        </w:rPr>
        <w:instrText xml:space="preserve">PAGEREF _Toc211960303 \h</w:instrText>
      </w:r>
      <w:r>
        <w:rPr>
          <w:rFonts w:hint="eastAsia" w:ascii="宋体" w:hAnsi="宋体"/>
        </w:rPr>
        <w:instrText xml:space="preserve"> </w:instrText>
      </w:r>
      <w:r>
        <w:rPr>
          <w:rFonts w:hint="eastAsia" w:ascii="宋体" w:hAnsi="宋体"/>
        </w:rPr>
        <w:fldChar w:fldCharType="separate"/>
      </w:r>
      <w:r>
        <w:rPr>
          <w:rFonts w:ascii="宋体" w:hAnsi="宋体"/>
        </w:rPr>
        <w:t>72</w:t>
      </w:r>
      <w:r>
        <w:rPr>
          <w:rFonts w:hint="eastAsia" w:ascii="宋体" w:hAnsi="宋体"/>
        </w:rPr>
        <w:fldChar w:fldCharType="end"/>
      </w:r>
      <w:r>
        <w:rPr>
          <w:rStyle w:val="19"/>
          <w:rFonts w:hint="eastAsia" w:ascii="宋体" w:hAnsi="宋体"/>
        </w:rPr>
        <w:fldChar w:fldCharType="end"/>
      </w:r>
    </w:p>
    <w:p w14:paraId="36F03A16">
      <w:pPr>
        <w:pStyle w:val="10"/>
        <w:tabs>
          <w:tab w:val="right" w:leader="dot" w:pos="9628"/>
        </w:tabs>
        <w:rPr>
          <w:rFonts w:hint="eastAsia" w:ascii="宋体" w:hAnsi="宋体"/>
          <w:smallCaps w:val="0"/>
          <w:szCs w:val="24"/>
        </w:rPr>
      </w:pPr>
      <w:r>
        <w:rPr>
          <w:rStyle w:val="19"/>
          <w:rFonts w:hint="eastAsia" w:ascii="宋体" w:hAnsi="宋体"/>
        </w:rPr>
        <w:fldChar w:fldCharType="begin"/>
      </w:r>
      <w:r>
        <w:rPr>
          <w:rStyle w:val="19"/>
          <w:rFonts w:hint="eastAsia" w:ascii="宋体" w:hAnsi="宋体"/>
        </w:rPr>
        <w:instrText xml:space="preserve"> </w:instrText>
      </w:r>
      <w:r>
        <w:rPr>
          <w:rFonts w:hint="eastAsia" w:ascii="宋体" w:hAnsi="宋体"/>
        </w:rPr>
        <w:instrText xml:space="preserve">HYPERLINK \l "_Toc211960304"</w:instrText>
      </w:r>
      <w:r>
        <w:rPr>
          <w:rStyle w:val="19"/>
          <w:rFonts w:hint="eastAsia" w:ascii="宋体" w:hAnsi="宋体"/>
        </w:rPr>
        <w:instrText xml:space="preserve"> </w:instrText>
      </w:r>
      <w:r>
        <w:rPr>
          <w:rStyle w:val="19"/>
          <w:rFonts w:hint="eastAsia" w:ascii="宋体" w:hAnsi="宋体"/>
        </w:rPr>
        <w:fldChar w:fldCharType="separate"/>
      </w:r>
      <w:r>
        <w:rPr>
          <w:rStyle w:val="19"/>
          <w:rFonts w:hint="eastAsia" w:ascii="宋体" w:hAnsi="宋体"/>
        </w:rPr>
        <w:t>五、资格审查</w:t>
      </w:r>
      <w:r>
        <w:rPr>
          <w:rFonts w:hint="eastAsia" w:ascii="宋体" w:hAnsi="宋体"/>
        </w:rPr>
        <w:tab/>
      </w:r>
      <w:r>
        <w:rPr>
          <w:rFonts w:hint="eastAsia" w:ascii="宋体" w:hAnsi="宋体"/>
        </w:rPr>
        <w:fldChar w:fldCharType="begin"/>
      </w:r>
      <w:r>
        <w:rPr>
          <w:rFonts w:hint="eastAsia" w:ascii="宋体" w:hAnsi="宋体"/>
        </w:rPr>
        <w:instrText xml:space="preserve"> </w:instrText>
      </w:r>
      <w:r>
        <w:rPr>
          <w:rFonts w:ascii="宋体" w:hAnsi="宋体"/>
        </w:rPr>
        <w:instrText xml:space="preserve">PAGEREF _Toc211960304 \h</w:instrText>
      </w:r>
      <w:r>
        <w:rPr>
          <w:rFonts w:hint="eastAsia" w:ascii="宋体" w:hAnsi="宋体"/>
        </w:rPr>
        <w:instrText xml:space="preserve"> </w:instrText>
      </w:r>
      <w:r>
        <w:rPr>
          <w:rFonts w:hint="eastAsia" w:ascii="宋体" w:hAnsi="宋体"/>
        </w:rPr>
        <w:fldChar w:fldCharType="separate"/>
      </w:r>
      <w:r>
        <w:rPr>
          <w:rFonts w:ascii="宋体" w:hAnsi="宋体"/>
        </w:rPr>
        <w:t>73</w:t>
      </w:r>
      <w:r>
        <w:rPr>
          <w:rFonts w:hint="eastAsia" w:ascii="宋体" w:hAnsi="宋体"/>
        </w:rPr>
        <w:fldChar w:fldCharType="end"/>
      </w:r>
      <w:r>
        <w:rPr>
          <w:rStyle w:val="19"/>
          <w:rFonts w:hint="eastAsia" w:ascii="宋体" w:hAnsi="宋体"/>
        </w:rPr>
        <w:fldChar w:fldCharType="end"/>
      </w:r>
    </w:p>
    <w:p w14:paraId="7CE09CE8">
      <w:pPr>
        <w:pStyle w:val="10"/>
        <w:tabs>
          <w:tab w:val="right" w:leader="dot" w:pos="9628"/>
        </w:tabs>
        <w:rPr>
          <w:rFonts w:hint="eastAsia" w:ascii="宋体" w:hAnsi="宋体"/>
          <w:smallCaps w:val="0"/>
          <w:szCs w:val="24"/>
        </w:rPr>
      </w:pPr>
      <w:r>
        <w:rPr>
          <w:rStyle w:val="19"/>
          <w:rFonts w:hint="eastAsia" w:ascii="宋体" w:hAnsi="宋体"/>
        </w:rPr>
        <w:fldChar w:fldCharType="begin"/>
      </w:r>
      <w:r>
        <w:rPr>
          <w:rStyle w:val="19"/>
          <w:rFonts w:hint="eastAsia" w:ascii="宋体" w:hAnsi="宋体"/>
        </w:rPr>
        <w:instrText xml:space="preserve"> </w:instrText>
      </w:r>
      <w:r>
        <w:rPr>
          <w:rFonts w:hint="eastAsia" w:ascii="宋体" w:hAnsi="宋体"/>
        </w:rPr>
        <w:instrText xml:space="preserve">HYPERLINK \l "_Toc211960305"</w:instrText>
      </w:r>
      <w:r>
        <w:rPr>
          <w:rStyle w:val="19"/>
          <w:rFonts w:hint="eastAsia" w:ascii="宋体" w:hAnsi="宋体"/>
        </w:rPr>
        <w:instrText xml:space="preserve"> </w:instrText>
      </w:r>
      <w:r>
        <w:rPr>
          <w:rStyle w:val="19"/>
          <w:rFonts w:hint="eastAsia" w:ascii="宋体" w:hAnsi="宋体"/>
        </w:rPr>
        <w:fldChar w:fldCharType="separate"/>
      </w:r>
      <w:r>
        <w:rPr>
          <w:rStyle w:val="19"/>
          <w:rFonts w:hint="eastAsia" w:ascii="宋体" w:hAnsi="宋体"/>
        </w:rPr>
        <w:t>六、评   标</w:t>
      </w:r>
      <w:r>
        <w:rPr>
          <w:rFonts w:hint="eastAsia" w:ascii="宋体" w:hAnsi="宋体"/>
        </w:rPr>
        <w:tab/>
      </w:r>
      <w:r>
        <w:rPr>
          <w:rFonts w:hint="eastAsia" w:ascii="宋体" w:hAnsi="宋体"/>
        </w:rPr>
        <w:fldChar w:fldCharType="begin"/>
      </w:r>
      <w:r>
        <w:rPr>
          <w:rFonts w:hint="eastAsia" w:ascii="宋体" w:hAnsi="宋体"/>
        </w:rPr>
        <w:instrText xml:space="preserve"> </w:instrText>
      </w:r>
      <w:r>
        <w:rPr>
          <w:rFonts w:ascii="宋体" w:hAnsi="宋体"/>
        </w:rPr>
        <w:instrText xml:space="preserve">PAGEREF _Toc211960305 \h</w:instrText>
      </w:r>
      <w:r>
        <w:rPr>
          <w:rFonts w:hint="eastAsia" w:ascii="宋体" w:hAnsi="宋体"/>
        </w:rPr>
        <w:instrText xml:space="preserve"> </w:instrText>
      </w:r>
      <w:r>
        <w:rPr>
          <w:rFonts w:hint="eastAsia" w:ascii="宋体" w:hAnsi="宋体"/>
        </w:rPr>
        <w:fldChar w:fldCharType="separate"/>
      </w:r>
      <w:r>
        <w:rPr>
          <w:rFonts w:ascii="宋体" w:hAnsi="宋体"/>
        </w:rPr>
        <w:t>73</w:t>
      </w:r>
      <w:r>
        <w:rPr>
          <w:rFonts w:hint="eastAsia" w:ascii="宋体" w:hAnsi="宋体"/>
        </w:rPr>
        <w:fldChar w:fldCharType="end"/>
      </w:r>
      <w:r>
        <w:rPr>
          <w:rStyle w:val="19"/>
          <w:rFonts w:hint="eastAsia" w:ascii="宋体" w:hAnsi="宋体"/>
        </w:rPr>
        <w:fldChar w:fldCharType="end"/>
      </w:r>
    </w:p>
    <w:p w14:paraId="464BF663">
      <w:pPr>
        <w:pStyle w:val="10"/>
        <w:tabs>
          <w:tab w:val="right" w:leader="dot" w:pos="9628"/>
        </w:tabs>
        <w:rPr>
          <w:rFonts w:hint="eastAsia" w:ascii="宋体" w:hAnsi="宋体"/>
          <w:smallCaps w:val="0"/>
          <w:szCs w:val="24"/>
        </w:rPr>
      </w:pPr>
      <w:r>
        <w:rPr>
          <w:rStyle w:val="19"/>
          <w:rFonts w:hint="eastAsia" w:ascii="宋体" w:hAnsi="宋体"/>
        </w:rPr>
        <w:fldChar w:fldCharType="begin"/>
      </w:r>
      <w:r>
        <w:rPr>
          <w:rStyle w:val="19"/>
          <w:rFonts w:hint="eastAsia" w:ascii="宋体" w:hAnsi="宋体"/>
        </w:rPr>
        <w:instrText xml:space="preserve"> </w:instrText>
      </w:r>
      <w:r>
        <w:rPr>
          <w:rFonts w:hint="eastAsia" w:ascii="宋体" w:hAnsi="宋体"/>
        </w:rPr>
        <w:instrText xml:space="preserve">HYPERLINK \l "_Toc211960306"</w:instrText>
      </w:r>
      <w:r>
        <w:rPr>
          <w:rStyle w:val="19"/>
          <w:rFonts w:hint="eastAsia" w:ascii="宋体" w:hAnsi="宋体"/>
        </w:rPr>
        <w:instrText xml:space="preserve"> </w:instrText>
      </w:r>
      <w:r>
        <w:rPr>
          <w:rStyle w:val="19"/>
          <w:rFonts w:hint="eastAsia" w:ascii="宋体" w:hAnsi="宋体"/>
        </w:rPr>
        <w:fldChar w:fldCharType="separate"/>
      </w:r>
      <w:r>
        <w:rPr>
          <w:rStyle w:val="19"/>
          <w:rFonts w:hint="eastAsia" w:ascii="宋体" w:hAnsi="宋体"/>
        </w:rPr>
        <w:t>七、中标和合同</w:t>
      </w:r>
      <w:r>
        <w:rPr>
          <w:rFonts w:hint="eastAsia" w:ascii="宋体" w:hAnsi="宋体"/>
        </w:rPr>
        <w:tab/>
      </w:r>
      <w:r>
        <w:rPr>
          <w:rFonts w:hint="eastAsia" w:ascii="宋体" w:hAnsi="宋体"/>
        </w:rPr>
        <w:fldChar w:fldCharType="begin"/>
      </w:r>
      <w:r>
        <w:rPr>
          <w:rFonts w:hint="eastAsia" w:ascii="宋体" w:hAnsi="宋体"/>
        </w:rPr>
        <w:instrText xml:space="preserve"> </w:instrText>
      </w:r>
      <w:r>
        <w:rPr>
          <w:rFonts w:ascii="宋体" w:hAnsi="宋体"/>
        </w:rPr>
        <w:instrText xml:space="preserve">PAGEREF _Toc211960306 \h</w:instrText>
      </w:r>
      <w:r>
        <w:rPr>
          <w:rFonts w:hint="eastAsia" w:ascii="宋体" w:hAnsi="宋体"/>
        </w:rPr>
        <w:instrText xml:space="preserve"> </w:instrText>
      </w:r>
      <w:r>
        <w:rPr>
          <w:rFonts w:hint="eastAsia" w:ascii="宋体" w:hAnsi="宋体"/>
        </w:rPr>
        <w:fldChar w:fldCharType="separate"/>
      </w:r>
      <w:r>
        <w:rPr>
          <w:rFonts w:ascii="宋体" w:hAnsi="宋体"/>
        </w:rPr>
        <w:t>75</w:t>
      </w:r>
      <w:r>
        <w:rPr>
          <w:rFonts w:hint="eastAsia" w:ascii="宋体" w:hAnsi="宋体"/>
        </w:rPr>
        <w:fldChar w:fldCharType="end"/>
      </w:r>
      <w:r>
        <w:rPr>
          <w:rStyle w:val="19"/>
          <w:rFonts w:hint="eastAsia" w:ascii="宋体" w:hAnsi="宋体"/>
        </w:rPr>
        <w:fldChar w:fldCharType="end"/>
      </w:r>
    </w:p>
    <w:p w14:paraId="05F4312A">
      <w:pPr>
        <w:pStyle w:val="10"/>
        <w:tabs>
          <w:tab w:val="right" w:leader="dot" w:pos="9628"/>
        </w:tabs>
        <w:rPr>
          <w:rFonts w:hint="eastAsia" w:ascii="宋体" w:hAnsi="宋体"/>
          <w:smallCaps w:val="0"/>
          <w:szCs w:val="24"/>
        </w:rPr>
      </w:pPr>
      <w:r>
        <w:rPr>
          <w:rStyle w:val="19"/>
          <w:rFonts w:hint="eastAsia" w:ascii="宋体" w:hAnsi="宋体"/>
        </w:rPr>
        <w:fldChar w:fldCharType="begin"/>
      </w:r>
      <w:r>
        <w:rPr>
          <w:rStyle w:val="19"/>
          <w:rFonts w:hint="eastAsia" w:ascii="宋体" w:hAnsi="宋体"/>
        </w:rPr>
        <w:instrText xml:space="preserve"> </w:instrText>
      </w:r>
      <w:r>
        <w:rPr>
          <w:rFonts w:hint="eastAsia" w:ascii="宋体" w:hAnsi="宋体"/>
        </w:rPr>
        <w:instrText xml:space="preserve">HYPERLINK \l "_Toc211960307"</w:instrText>
      </w:r>
      <w:r>
        <w:rPr>
          <w:rStyle w:val="19"/>
          <w:rFonts w:hint="eastAsia" w:ascii="宋体" w:hAnsi="宋体"/>
        </w:rPr>
        <w:instrText xml:space="preserve"> </w:instrText>
      </w:r>
      <w:r>
        <w:rPr>
          <w:rStyle w:val="19"/>
          <w:rFonts w:hint="eastAsia" w:ascii="宋体" w:hAnsi="宋体"/>
        </w:rPr>
        <w:fldChar w:fldCharType="separate"/>
      </w:r>
      <w:r>
        <w:rPr>
          <w:rStyle w:val="19"/>
          <w:rFonts w:hint="eastAsia" w:ascii="宋体" w:hAnsi="宋体"/>
        </w:rPr>
        <w:t>八、验收</w:t>
      </w:r>
      <w:r>
        <w:rPr>
          <w:rFonts w:hint="eastAsia" w:ascii="宋体" w:hAnsi="宋体"/>
        </w:rPr>
        <w:tab/>
      </w:r>
      <w:r>
        <w:rPr>
          <w:rFonts w:hint="eastAsia" w:ascii="宋体" w:hAnsi="宋体"/>
        </w:rPr>
        <w:fldChar w:fldCharType="begin"/>
      </w:r>
      <w:r>
        <w:rPr>
          <w:rFonts w:hint="eastAsia" w:ascii="宋体" w:hAnsi="宋体"/>
        </w:rPr>
        <w:instrText xml:space="preserve"> </w:instrText>
      </w:r>
      <w:r>
        <w:rPr>
          <w:rFonts w:ascii="宋体" w:hAnsi="宋体"/>
        </w:rPr>
        <w:instrText xml:space="preserve">PAGEREF _Toc211960307 \h</w:instrText>
      </w:r>
      <w:r>
        <w:rPr>
          <w:rFonts w:hint="eastAsia" w:ascii="宋体" w:hAnsi="宋体"/>
        </w:rPr>
        <w:instrText xml:space="preserve"> </w:instrText>
      </w:r>
      <w:r>
        <w:rPr>
          <w:rFonts w:hint="eastAsia" w:ascii="宋体" w:hAnsi="宋体"/>
        </w:rPr>
        <w:fldChar w:fldCharType="separate"/>
      </w:r>
      <w:r>
        <w:rPr>
          <w:rFonts w:ascii="宋体" w:hAnsi="宋体"/>
        </w:rPr>
        <w:t>80</w:t>
      </w:r>
      <w:r>
        <w:rPr>
          <w:rFonts w:hint="eastAsia" w:ascii="宋体" w:hAnsi="宋体"/>
        </w:rPr>
        <w:fldChar w:fldCharType="end"/>
      </w:r>
      <w:r>
        <w:rPr>
          <w:rStyle w:val="19"/>
          <w:rFonts w:hint="eastAsia" w:ascii="宋体" w:hAnsi="宋体"/>
        </w:rPr>
        <w:fldChar w:fldCharType="end"/>
      </w:r>
    </w:p>
    <w:p w14:paraId="625C3B2E">
      <w:pPr>
        <w:pStyle w:val="10"/>
        <w:tabs>
          <w:tab w:val="right" w:leader="dot" w:pos="9628"/>
        </w:tabs>
        <w:rPr>
          <w:rFonts w:hint="eastAsia" w:ascii="宋体" w:hAnsi="宋体"/>
          <w:smallCaps w:val="0"/>
          <w:szCs w:val="24"/>
        </w:rPr>
      </w:pPr>
      <w:r>
        <w:rPr>
          <w:rStyle w:val="19"/>
          <w:rFonts w:hint="eastAsia" w:ascii="宋体" w:hAnsi="宋体"/>
        </w:rPr>
        <w:fldChar w:fldCharType="begin"/>
      </w:r>
      <w:r>
        <w:rPr>
          <w:rStyle w:val="19"/>
          <w:rFonts w:hint="eastAsia" w:ascii="宋体" w:hAnsi="宋体"/>
        </w:rPr>
        <w:instrText xml:space="preserve"> </w:instrText>
      </w:r>
      <w:r>
        <w:rPr>
          <w:rFonts w:hint="eastAsia" w:ascii="宋体" w:hAnsi="宋体"/>
        </w:rPr>
        <w:instrText xml:space="preserve">HYPERLINK \l "_Toc211960308"</w:instrText>
      </w:r>
      <w:r>
        <w:rPr>
          <w:rStyle w:val="19"/>
          <w:rFonts w:hint="eastAsia" w:ascii="宋体" w:hAnsi="宋体"/>
        </w:rPr>
        <w:instrText xml:space="preserve"> </w:instrText>
      </w:r>
      <w:r>
        <w:rPr>
          <w:rStyle w:val="19"/>
          <w:rFonts w:hint="eastAsia" w:ascii="宋体" w:hAnsi="宋体"/>
        </w:rPr>
        <w:fldChar w:fldCharType="separate"/>
      </w:r>
      <w:r>
        <w:rPr>
          <w:rStyle w:val="19"/>
          <w:rFonts w:hint="eastAsia" w:ascii="宋体" w:hAnsi="宋体"/>
        </w:rPr>
        <w:t>九、其他事项</w:t>
      </w:r>
      <w:r>
        <w:rPr>
          <w:rFonts w:hint="eastAsia" w:ascii="宋体" w:hAnsi="宋体"/>
        </w:rPr>
        <w:tab/>
      </w:r>
      <w:r>
        <w:rPr>
          <w:rFonts w:hint="eastAsia" w:ascii="宋体" w:hAnsi="宋体"/>
        </w:rPr>
        <w:fldChar w:fldCharType="begin"/>
      </w:r>
      <w:r>
        <w:rPr>
          <w:rFonts w:hint="eastAsia" w:ascii="宋体" w:hAnsi="宋体"/>
        </w:rPr>
        <w:instrText xml:space="preserve"> </w:instrText>
      </w:r>
      <w:r>
        <w:rPr>
          <w:rFonts w:ascii="宋体" w:hAnsi="宋体"/>
        </w:rPr>
        <w:instrText xml:space="preserve">PAGEREF _Toc211960308 \h</w:instrText>
      </w:r>
      <w:r>
        <w:rPr>
          <w:rFonts w:hint="eastAsia" w:ascii="宋体" w:hAnsi="宋体"/>
        </w:rPr>
        <w:instrText xml:space="preserve"> </w:instrText>
      </w:r>
      <w:r>
        <w:rPr>
          <w:rFonts w:hint="eastAsia" w:ascii="宋体" w:hAnsi="宋体"/>
        </w:rPr>
        <w:fldChar w:fldCharType="separate"/>
      </w:r>
      <w:r>
        <w:rPr>
          <w:rFonts w:ascii="宋体" w:hAnsi="宋体"/>
        </w:rPr>
        <w:t>80</w:t>
      </w:r>
      <w:r>
        <w:rPr>
          <w:rFonts w:hint="eastAsia" w:ascii="宋体" w:hAnsi="宋体"/>
        </w:rPr>
        <w:fldChar w:fldCharType="end"/>
      </w:r>
      <w:r>
        <w:rPr>
          <w:rStyle w:val="19"/>
          <w:rFonts w:hint="eastAsia" w:ascii="宋体" w:hAnsi="宋体"/>
        </w:rPr>
        <w:fldChar w:fldCharType="end"/>
      </w:r>
    </w:p>
    <w:p w14:paraId="58BF5965">
      <w:pPr>
        <w:pStyle w:val="13"/>
        <w:tabs>
          <w:tab w:val="right" w:leader="dot" w:pos="9628"/>
        </w:tabs>
        <w:spacing w:before="200" w:after="200"/>
        <w:rPr>
          <w:rFonts w:hint="eastAsia" w:ascii="宋体" w:hAnsi="宋体"/>
          <w:b w:val="0"/>
          <w:bCs w:val="0"/>
          <w:caps w:val="0"/>
          <w:szCs w:val="24"/>
          <w:u w:val="none"/>
        </w:rPr>
      </w:pPr>
      <w:r>
        <w:rPr>
          <w:rStyle w:val="19"/>
          <w:rFonts w:hint="eastAsia" w:ascii="宋体" w:hAnsi="宋体"/>
          <w:u w:val="none"/>
        </w:rPr>
        <w:fldChar w:fldCharType="begin"/>
      </w:r>
      <w:r>
        <w:rPr>
          <w:rStyle w:val="19"/>
          <w:rFonts w:hint="eastAsia" w:ascii="宋体" w:hAnsi="宋体"/>
          <w:u w:val="none"/>
        </w:rPr>
        <w:instrText xml:space="preserve"> </w:instrText>
      </w:r>
      <w:r>
        <w:rPr>
          <w:rFonts w:hint="eastAsia" w:ascii="宋体" w:hAnsi="宋体"/>
          <w:u w:val="none"/>
        </w:rPr>
        <w:instrText xml:space="preserve">HYPERLINK \l "_Toc211960309"</w:instrText>
      </w:r>
      <w:r>
        <w:rPr>
          <w:rStyle w:val="19"/>
          <w:rFonts w:hint="eastAsia" w:ascii="宋体" w:hAnsi="宋体"/>
          <w:u w:val="none"/>
        </w:rPr>
        <w:instrText xml:space="preserve"> </w:instrText>
      </w:r>
      <w:r>
        <w:rPr>
          <w:rStyle w:val="19"/>
          <w:rFonts w:hint="eastAsia" w:ascii="宋体" w:hAnsi="宋体"/>
          <w:u w:val="none"/>
        </w:rPr>
        <w:fldChar w:fldCharType="separate"/>
      </w:r>
      <w:r>
        <w:rPr>
          <w:rStyle w:val="19"/>
          <w:rFonts w:hint="eastAsia" w:ascii="宋体" w:hAnsi="宋体"/>
          <w:u w:val="none"/>
        </w:rPr>
        <w:t>第四章  评标方法及评分标准</w:t>
      </w:r>
      <w:r>
        <w:rPr>
          <w:rFonts w:hint="eastAsia" w:ascii="宋体" w:hAnsi="宋体"/>
          <w:u w:val="none"/>
        </w:rPr>
        <w:tab/>
      </w:r>
      <w:r>
        <w:rPr>
          <w:rFonts w:hint="eastAsia" w:ascii="宋体" w:hAnsi="宋体"/>
          <w:u w:val="none"/>
        </w:rPr>
        <w:fldChar w:fldCharType="begin"/>
      </w:r>
      <w:r>
        <w:rPr>
          <w:rFonts w:hint="eastAsia" w:ascii="宋体" w:hAnsi="宋体"/>
          <w:u w:val="none"/>
        </w:rPr>
        <w:instrText xml:space="preserve"> </w:instrText>
      </w:r>
      <w:r>
        <w:rPr>
          <w:rFonts w:ascii="宋体" w:hAnsi="宋体"/>
          <w:u w:val="none"/>
        </w:rPr>
        <w:instrText xml:space="preserve">PAGEREF _Toc211960309 \h</w:instrText>
      </w:r>
      <w:r>
        <w:rPr>
          <w:rFonts w:hint="eastAsia" w:ascii="宋体" w:hAnsi="宋体"/>
          <w:u w:val="none"/>
        </w:rPr>
        <w:instrText xml:space="preserve"> </w:instrText>
      </w:r>
      <w:r>
        <w:rPr>
          <w:rFonts w:hint="eastAsia" w:ascii="宋体" w:hAnsi="宋体"/>
          <w:u w:val="none"/>
        </w:rPr>
        <w:fldChar w:fldCharType="separate"/>
      </w:r>
      <w:r>
        <w:rPr>
          <w:rFonts w:ascii="宋体" w:hAnsi="宋体"/>
          <w:u w:val="none"/>
        </w:rPr>
        <w:t>82</w:t>
      </w:r>
      <w:r>
        <w:rPr>
          <w:rFonts w:hint="eastAsia" w:ascii="宋体" w:hAnsi="宋体"/>
          <w:u w:val="none"/>
        </w:rPr>
        <w:fldChar w:fldCharType="end"/>
      </w:r>
      <w:r>
        <w:rPr>
          <w:rStyle w:val="19"/>
          <w:rFonts w:hint="eastAsia" w:ascii="宋体" w:hAnsi="宋体"/>
          <w:u w:val="none"/>
        </w:rPr>
        <w:fldChar w:fldCharType="end"/>
      </w:r>
    </w:p>
    <w:p w14:paraId="7751596D">
      <w:pPr>
        <w:pStyle w:val="14"/>
        <w:tabs>
          <w:tab w:val="right" w:leader="dot" w:pos="9628"/>
        </w:tabs>
        <w:rPr>
          <w:rFonts w:hint="eastAsia" w:ascii="宋体" w:hAnsi="宋体"/>
          <w:b w:val="0"/>
          <w:bCs w:val="0"/>
          <w:smallCaps w:val="0"/>
          <w:szCs w:val="24"/>
        </w:rPr>
      </w:pPr>
      <w:r>
        <w:rPr>
          <w:rStyle w:val="19"/>
          <w:rFonts w:hint="eastAsia" w:ascii="宋体" w:hAnsi="宋体"/>
        </w:rPr>
        <w:fldChar w:fldCharType="begin"/>
      </w:r>
      <w:r>
        <w:rPr>
          <w:rStyle w:val="19"/>
          <w:rFonts w:hint="eastAsia" w:ascii="宋体" w:hAnsi="宋体"/>
        </w:rPr>
        <w:instrText xml:space="preserve"> </w:instrText>
      </w:r>
      <w:r>
        <w:rPr>
          <w:rFonts w:hint="eastAsia" w:ascii="宋体" w:hAnsi="宋体"/>
        </w:rPr>
        <w:instrText xml:space="preserve">HYPERLINK \l "_Toc211960310"</w:instrText>
      </w:r>
      <w:r>
        <w:rPr>
          <w:rStyle w:val="19"/>
          <w:rFonts w:hint="eastAsia" w:ascii="宋体" w:hAnsi="宋体"/>
        </w:rPr>
        <w:instrText xml:space="preserve"> </w:instrText>
      </w:r>
      <w:r>
        <w:rPr>
          <w:rStyle w:val="19"/>
          <w:rFonts w:hint="eastAsia" w:ascii="宋体" w:hAnsi="宋体"/>
        </w:rPr>
        <w:fldChar w:fldCharType="separate"/>
      </w:r>
      <w:r>
        <w:rPr>
          <w:rStyle w:val="19"/>
          <w:rFonts w:hint="eastAsia" w:ascii="宋体" w:hAnsi="宋体"/>
        </w:rPr>
        <w:t>第一节 评标方法</w:t>
      </w:r>
      <w:r>
        <w:rPr>
          <w:rFonts w:hint="eastAsia" w:ascii="宋体" w:hAnsi="宋体"/>
        </w:rPr>
        <w:tab/>
      </w:r>
      <w:r>
        <w:rPr>
          <w:rFonts w:hint="eastAsia" w:ascii="宋体" w:hAnsi="宋体"/>
        </w:rPr>
        <w:fldChar w:fldCharType="begin"/>
      </w:r>
      <w:r>
        <w:rPr>
          <w:rFonts w:hint="eastAsia" w:ascii="宋体" w:hAnsi="宋体"/>
        </w:rPr>
        <w:instrText xml:space="preserve"> </w:instrText>
      </w:r>
      <w:r>
        <w:rPr>
          <w:rFonts w:ascii="宋体" w:hAnsi="宋体"/>
        </w:rPr>
        <w:instrText xml:space="preserve">PAGEREF _Toc211960310 \h</w:instrText>
      </w:r>
      <w:r>
        <w:rPr>
          <w:rFonts w:hint="eastAsia" w:ascii="宋体" w:hAnsi="宋体"/>
        </w:rPr>
        <w:instrText xml:space="preserve"> </w:instrText>
      </w:r>
      <w:r>
        <w:rPr>
          <w:rFonts w:hint="eastAsia" w:ascii="宋体" w:hAnsi="宋体"/>
        </w:rPr>
        <w:fldChar w:fldCharType="separate"/>
      </w:r>
      <w:r>
        <w:rPr>
          <w:rFonts w:ascii="宋体" w:hAnsi="宋体"/>
        </w:rPr>
        <w:t>82</w:t>
      </w:r>
      <w:r>
        <w:rPr>
          <w:rFonts w:hint="eastAsia" w:ascii="宋体" w:hAnsi="宋体"/>
        </w:rPr>
        <w:fldChar w:fldCharType="end"/>
      </w:r>
      <w:r>
        <w:rPr>
          <w:rStyle w:val="19"/>
          <w:rFonts w:hint="eastAsia" w:ascii="宋体" w:hAnsi="宋体"/>
        </w:rPr>
        <w:fldChar w:fldCharType="end"/>
      </w:r>
    </w:p>
    <w:p w14:paraId="62D53E24">
      <w:pPr>
        <w:pStyle w:val="14"/>
        <w:tabs>
          <w:tab w:val="right" w:leader="dot" w:pos="9628"/>
        </w:tabs>
        <w:rPr>
          <w:rFonts w:hint="eastAsia" w:ascii="宋体" w:hAnsi="宋体"/>
          <w:b w:val="0"/>
          <w:bCs w:val="0"/>
          <w:smallCaps w:val="0"/>
          <w:szCs w:val="24"/>
        </w:rPr>
      </w:pPr>
      <w:r>
        <w:rPr>
          <w:rStyle w:val="19"/>
          <w:rFonts w:hint="eastAsia" w:ascii="宋体" w:hAnsi="宋体"/>
        </w:rPr>
        <w:fldChar w:fldCharType="begin"/>
      </w:r>
      <w:r>
        <w:rPr>
          <w:rStyle w:val="19"/>
          <w:rFonts w:hint="eastAsia" w:ascii="宋体" w:hAnsi="宋体"/>
        </w:rPr>
        <w:instrText xml:space="preserve"> </w:instrText>
      </w:r>
      <w:r>
        <w:rPr>
          <w:rFonts w:hint="eastAsia" w:ascii="宋体" w:hAnsi="宋体"/>
        </w:rPr>
        <w:instrText xml:space="preserve">HYPERLINK \l "_Toc211960311"</w:instrText>
      </w:r>
      <w:r>
        <w:rPr>
          <w:rStyle w:val="19"/>
          <w:rFonts w:hint="eastAsia" w:ascii="宋体" w:hAnsi="宋体"/>
        </w:rPr>
        <w:instrText xml:space="preserve"> </w:instrText>
      </w:r>
      <w:r>
        <w:rPr>
          <w:rStyle w:val="19"/>
          <w:rFonts w:hint="eastAsia" w:ascii="宋体" w:hAnsi="宋体"/>
        </w:rPr>
        <w:fldChar w:fldCharType="separate"/>
      </w:r>
      <w:r>
        <w:rPr>
          <w:rStyle w:val="19"/>
          <w:rFonts w:hint="eastAsia" w:ascii="宋体" w:hAnsi="宋体"/>
        </w:rPr>
        <w:t>第二节 评标程序</w:t>
      </w:r>
      <w:r>
        <w:rPr>
          <w:rFonts w:hint="eastAsia" w:ascii="宋体" w:hAnsi="宋体"/>
        </w:rPr>
        <w:tab/>
      </w:r>
      <w:r>
        <w:rPr>
          <w:rFonts w:hint="eastAsia" w:ascii="宋体" w:hAnsi="宋体"/>
        </w:rPr>
        <w:fldChar w:fldCharType="begin"/>
      </w:r>
      <w:r>
        <w:rPr>
          <w:rFonts w:hint="eastAsia" w:ascii="宋体" w:hAnsi="宋体"/>
        </w:rPr>
        <w:instrText xml:space="preserve"> </w:instrText>
      </w:r>
      <w:r>
        <w:rPr>
          <w:rFonts w:ascii="宋体" w:hAnsi="宋体"/>
        </w:rPr>
        <w:instrText xml:space="preserve">PAGEREF _Toc211960311 \h</w:instrText>
      </w:r>
      <w:r>
        <w:rPr>
          <w:rFonts w:hint="eastAsia" w:ascii="宋体" w:hAnsi="宋体"/>
        </w:rPr>
        <w:instrText xml:space="preserve"> </w:instrText>
      </w:r>
      <w:r>
        <w:rPr>
          <w:rFonts w:hint="eastAsia" w:ascii="宋体" w:hAnsi="宋体"/>
        </w:rPr>
        <w:fldChar w:fldCharType="separate"/>
      </w:r>
      <w:r>
        <w:rPr>
          <w:rFonts w:ascii="宋体" w:hAnsi="宋体"/>
        </w:rPr>
        <w:t>82</w:t>
      </w:r>
      <w:r>
        <w:rPr>
          <w:rFonts w:hint="eastAsia" w:ascii="宋体" w:hAnsi="宋体"/>
        </w:rPr>
        <w:fldChar w:fldCharType="end"/>
      </w:r>
      <w:r>
        <w:rPr>
          <w:rStyle w:val="19"/>
          <w:rFonts w:hint="eastAsia" w:ascii="宋体" w:hAnsi="宋体"/>
        </w:rPr>
        <w:fldChar w:fldCharType="end"/>
      </w:r>
    </w:p>
    <w:p w14:paraId="5F987292">
      <w:pPr>
        <w:pStyle w:val="14"/>
        <w:tabs>
          <w:tab w:val="right" w:leader="dot" w:pos="9628"/>
        </w:tabs>
        <w:rPr>
          <w:rFonts w:hint="eastAsia" w:ascii="宋体" w:hAnsi="宋体"/>
          <w:b w:val="0"/>
          <w:bCs w:val="0"/>
          <w:smallCaps w:val="0"/>
          <w:szCs w:val="24"/>
        </w:rPr>
      </w:pPr>
      <w:r>
        <w:rPr>
          <w:rStyle w:val="19"/>
          <w:rFonts w:hint="eastAsia" w:ascii="宋体" w:hAnsi="宋体"/>
        </w:rPr>
        <w:fldChar w:fldCharType="begin"/>
      </w:r>
      <w:r>
        <w:rPr>
          <w:rStyle w:val="19"/>
          <w:rFonts w:hint="eastAsia" w:ascii="宋体" w:hAnsi="宋体"/>
        </w:rPr>
        <w:instrText xml:space="preserve"> </w:instrText>
      </w:r>
      <w:r>
        <w:rPr>
          <w:rFonts w:hint="eastAsia" w:ascii="宋体" w:hAnsi="宋体"/>
        </w:rPr>
        <w:instrText xml:space="preserve">HYPERLINK \l "_Toc211960312"</w:instrText>
      </w:r>
      <w:r>
        <w:rPr>
          <w:rStyle w:val="19"/>
          <w:rFonts w:hint="eastAsia" w:ascii="宋体" w:hAnsi="宋体"/>
        </w:rPr>
        <w:instrText xml:space="preserve"> </w:instrText>
      </w:r>
      <w:r>
        <w:rPr>
          <w:rStyle w:val="19"/>
          <w:rFonts w:hint="eastAsia" w:ascii="宋体" w:hAnsi="宋体"/>
        </w:rPr>
        <w:fldChar w:fldCharType="separate"/>
      </w:r>
      <w:r>
        <w:rPr>
          <w:rStyle w:val="19"/>
          <w:rFonts w:hint="eastAsia" w:ascii="宋体" w:hAnsi="宋体"/>
        </w:rPr>
        <w:t>第三节 评分标准</w:t>
      </w:r>
      <w:r>
        <w:rPr>
          <w:rFonts w:hint="eastAsia" w:ascii="宋体" w:hAnsi="宋体"/>
        </w:rPr>
        <w:tab/>
      </w:r>
      <w:r>
        <w:rPr>
          <w:rFonts w:hint="eastAsia" w:ascii="宋体" w:hAnsi="宋体"/>
        </w:rPr>
        <w:fldChar w:fldCharType="begin"/>
      </w:r>
      <w:r>
        <w:rPr>
          <w:rFonts w:hint="eastAsia" w:ascii="宋体" w:hAnsi="宋体"/>
        </w:rPr>
        <w:instrText xml:space="preserve"> </w:instrText>
      </w:r>
      <w:r>
        <w:rPr>
          <w:rFonts w:ascii="宋体" w:hAnsi="宋体"/>
        </w:rPr>
        <w:instrText xml:space="preserve">PAGEREF _Toc211960312 \h</w:instrText>
      </w:r>
      <w:r>
        <w:rPr>
          <w:rFonts w:hint="eastAsia" w:ascii="宋体" w:hAnsi="宋体"/>
        </w:rPr>
        <w:instrText xml:space="preserve"> </w:instrText>
      </w:r>
      <w:r>
        <w:rPr>
          <w:rFonts w:hint="eastAsia" w:ascii="宋体" w:hAnsi="宋体"/>
        </w:rPr>
        <w:fldChar w:fldCharType="separate"/>
      </w:r>
      <w:r>
        <w:rPr>
          <w:rFonts w:ascii="宋体" w:hAnsi="宋体"/>
        </w:rPr>
        <w:t>86</w:t>
      </w:r>
      <w:r>
        <w:rPr>
          <w:rFonts w:hint="eastAsia" w:ascii="宋体" w:hAnsi="宋体"/>
        </w:rPr>
        <w:fldChar w:fldCharType="end"/>
      </w:r>
      <w:r>
        <w:rPr>
          <w:rStyle w:val="19"/>
          <w:rFonts w:hint="eastAsia" w:ascii="宋体" w:hAnsi="宋体"/>
        </w:rPr>
        <w:fldChar w:fldCharType="end"/>
      </w:r>
    </w:p>
    <w:p w14:paraId="6EB08DBA">
      <w:pPr>
        <w:pStyle w:val="14"/>
        <w:tabs>
          <w:tab w:val="right" w:leader="dot" w:pos="9628"/>
        </w:tabs>
        <w:rPr>
          <w:rFonts w:hint="eastAsia" w:ascii="宋体" w:hAnsi="宋体"/>
          <w:b w:val="0"/>
          <w:bCs w:val="0"/>
          <w:smallCaps w:val="0"/>
          <w:szCs w:val="24"/>
        </w:rPr>
      </w:pPr>
      <w:r>
        <w:rPr>
          <w:rStyle w:val="19"/>
          <w:rFonts w:hint="eastAsia" w:ascii="宋体" w:hAnsi="宋体"/>
        </w:rPr>
        <w:fldChar w:fldCharType="begin"/>
      </w:r>
      <w:r>
        <w:rPr>
          <w:rStyle w:val="19"/>
          <w:rFonts w:hint="eastAsia" w:ascii="宋体" w:hAnsi="宋体"/>
        </w:rPr>
        <w:instrText xml:space="preserve"> </w:instrText>
      </w:r>
      <w:r>
        <w:rPr>
          <w:rFonts w:hint="eastAsia" w:ascii="宋体" w:hAnsi="宋体"/>
        </w:rPr>
        <w:instrText xml:space="preserve">HYPERLINK \l "_Toc211960313"</w:instrText>
      </w:r>
      <w:r>
        <w:rPr>
          <w:rStyle w:val="19"/>
          <w:rFonts w:hint="eastAsia" w:ascii="宋体" w:hAnsi="宋体"/>
        </w:rPr>
        <w:instrText xml:space="preserve"> </w:instrText>
      </w:r>
      <w:r>
        <w:rPr>
          <w:rStyle w:val="19"/>
          <w:rFonts w:hint="eastAsia" w:ascii="宋体" w:hAnsi="宋体"/>
        </w:rPr>
        <w:fldChar w:fldCharType="separate"/>
      </w:r>
      <w:r>
        <w:rPr>
          <w:rStyle w:val="19"/>
          <w:rFonts w:hint="eastAsia" w:ascii="宋体" w:hAnsi="宋体"/>
        </w:rPr>
        <w:t>第四节 中标候选人推荐原则</w:t>
      </w:r>
      <w:r>
        <w:rPr>
          <w:rFonts w:hint="eastAsia" w:ascii="宋体" w:hAnsi="宋体"/>
        </w:rPr>
        <w:tab/>
      </w:r>
      <w:r>
        <w:rPr>
          <w:rFonts w:hint="eastAsia" w:ascii="宋体" w:hAnsi="宋体"/>
        </w:rPr>
        <w:fldChar w:fldCharType="begin"/>
      </w:r>
      <w:r>
        <w:rPr>
          <w:rFonts w:hint="eastAsia" w:ascii="宋体" w:hAnsi="宋体"/>
        </w:rPr>
        <w:instrText xml:space="preserve"> </w:instrText>
      </w:r>
      <w:r>
        <w:rPr>
          <w:rFonts w:ascii="宋体" w:hAnsi="宋体"/>
        </w:rPr>
        <w:instrText xml:space="preserve">PAGEREF _Toc211960313 \h</w:instrText>
      </w:r>
      <w:r>
        <w:rPr>
          <w:rFonts w:hint="eastAsia" w:ascii="宋体" w:hAnsi="宋体"/>
        </w:rPr>
        <w:instrText xml:space="preserve"> </w:instrText>
      </w:r>
      <w:r>
        <w:rPr>
          <w:rFonts w:hint="eastAsia" w:ascii="宋体" w:hAnsi="宋体"/>
        </w:rPr>
        <w:fldChar w:fldCharType="separate"/>
      </w:r>
      <w:r>
        <w:rPr>
          <w:rFonts w:ascii="宋体" w:hAnsi="宋体"/>
        </w:rPr>
        <w:t>89</w:t>
      </w:r>
      <w:r>
        <w:rPr>
          <w:rFonts w:hint="eastAsia" w:ascii="宋体" w:hAnsi="宋体"/>
        </w:rPr>
        <w:fldChar w:fldCharType="end"/>
      </w:r>
      <w:r>
        <w:rPr>
          <w:rStyle w:val="19"/>
          <w:rFonts w:hint="eastAsia" w:ascii="宋体" w:hAnsi="宋体"/>
        </w:rPr>
        <w:fldChar w:fldCharType="end"/>
      </w:r>
    </w:p>
    <w:p w14:paraId="3B3A329E">
      <w:pPr>
        <w:pStyle w:val="14"/>
        <w:tabs>
          <w:tab w:val="right" w:leader="dot" w:pos="9628"/>
        </w:tabs>
        <w:rPr>
          <w:rFonts w:hint="eastAsia" w:ascii="宋体" w:hAnsi="宋体"/>
          <w:b w:val="0"/>
          <w:bCs w:val="0"/>
          <w:smallCaps w:val="0"/>
          <w:szCs w:val="24"/>
        </w:rPr>
      </w:pPr>
      <w:r>
        <w:rPr>
          <w:rStyle w:val="19"/>
          <w:rFonts w:hint="eastAsia" w:ascii="宋体" w:hAnsi="宋体"/>
        </w:rPr>
        <w:fldChar w:fldCharType="begin"/>
      </w:r>
      <w:r>
        <w:rPr>
          <w:rStyle w:val="19"/>
          <w:rFonts w:hint="eastAsia" w:ascii="宋体" w:hAnsi="宋体"/>
        </w:rPr>
        <w:instrText xml:space="preserve"> </w:instrText>
      </w:r>
      <w:r>
        <w:rPr>
          <w:rFonts w:hint="eastAsia" w:ascii="宋体" w:hAnsi="宋体"/>
        </w:rPr>
        <w:instrText xml:space="preserve">HYPERLINK \l "_Toc211960314"</w:instrText>
      </w:r>
      <w:r>
        <w:rPr>
          <w:rStyle w:val="19"/>
          <w:rFonts w:hint="eastAsia" w:ascii="宋体" w:hAnsi="宋体"/>
        </w:rPr>
        <w:instrText xml:space="preserve"> </w:instrText>
      </w:r>
      <w:r>
        <w:rPr>
          <w:rStyle w:val="19"/>
          <w:rFonts w:hint="eastAsia" w:ascii="宋体" w:hAnsi="宋体"/>
        </w:rPr>
        <w:fldChar w:fldCharType="separate"/>
      </w:r>
      <w:r>
        <w:rPr>
          <w:rStyle w:val="19"/>
          <w:rFonts w:hint="eastAsia" w:ascii="宋体" w:hAnsi="宋体"/>
        </w:rPr>
        <w:t>第五节 评标报告</w:t>
      </w:r>
      <w:r>
        <w:rPr>
          <w:rFonts w:hint="eastAsia" w:ascii="宋体" w:hAnsi="宋体"/>
        </w:rPr>
        <w:tab/>
      </w:r>
      <w:r>
        <w:rPr>
          <w:rFonts w:hint="eastAsia" w:ascii="宋体" w:hAnsi="宋体"/>
        </w:rPr>
        <w:fldChar w:fldCharType="begin"/>
      </w:r>
      <w:r>
        <w:rPr>
          <w:rFonts w:hint="eastAsia" w:ascii="宋体" w:hAnsi="宋体"/>
        </w:rPr>
        <w:instrText xml:space="preserve"> </w:instrText>
      </w:r>
      <w:r>
        <w:rPr>
          <w:rFonts w:ascii="宋体" w:hAnsi="宋体"/>
        </w:rPr>
        <w:instrText xml:space="preserve">PAGEREF _Toc211960314 \h</w:instrText>
      </w:r>
      <w:r>
        <w:rPr>
          <w:rFonts w:hint="eastAsia" w:ascii="宋体" w:hAnsi="宋体"/>
        </w:rPr>
        <w:instrText xml:space="preserve"> </w:instrText>
      </w:r>
      <w:r>
        <w:rPr>
          <w:rFonts w:hint="eastAsia" w:ascii="宋体" w:hAnsi="宋体"/>
        </w:rPr>
        <w:fldChar w:fldCharType="separate"/>
      </w:r>
      <w:r>
        <w:rPr>
          <w:rFonts w:ascii="宋体" w:hAnsi="宋体"/>
        </w:rPr>
        <w:t>89</w:t>
      </w:r>
      <w:r>
        <w:rPr>
          <w:rFonts w:hint="eastAsia" w:ascii="宋体" w:hAnsi="宋体"/>
        </w:rPr>
        <w:fldChar w:fldCharType="end"/>
      </w:r>
      <w:r>
        <w:rPr>
          <w:rStyle w:val="19"/>
          <w:rFonts w:hint="eastAsia" w:ascii="宋体" w:hAnsi="宋体"/>
        </w:rPr>
        <w:fldChar w:fldCharType="end"/>
      </w:r>
    </w:p>
    <w:p w14:paraId="071CFA4D">
      <w:pPr>
        <w:pStyle w:val="13"/>
        <w:tabs>
          <w:tab w:val="right" w:leader="dot" w:pos="9628"/>
        </w:tabs>
        <w:spacing w:before="200" w:after="200"/>
        <w:rPr>
          <w:rFonts w:hint="eastAsia" w:ascii="宋体" w:hAnsi="宋体"/>
          <w:b w:val="0"/>
          <w:bCs w:val="0"/>
          <w:caps w:val="0"/>
          <w:szCs w:val="24"/>
          <w:u w:val="none"/>
        </w:rPr>
      </w:pPr>
      <w:r>
        <w:rPr>
          <w:rStyle w:val="19"/>
          <w:rFonts w:hint="eastAsia" w:ascii="宋体" w:hAnsi="宋体"/>
          <w:u w:val="none"/>
        </w:rPr>
        <w:fldChar w:fldCharType="begin"/>
      </w:r>
      <w:r>
        <w:rPr>
          <w:rStyle w:val="19"/>
          <w:rFonts w:hint="eastAsia" w:ascii="宋体" w:hAnsi="宋体"/>
          <w:u w:val="none"/>
        </w:rPr>
        <w:instrText xml:space="preserve"> </w:instrText>
      </w:r>
      <w:r>
        <w:rPr>
          <w:rFonts w:hint="eastAsia" w:ascii="宋体" w:hAnsi="宋体"/>
          <w:u w:val="none"/>
        </w:rPr>
        <w:instrText xml:space="preserve">HYPERLINK \l "_Toc211960315"</w:instrText>
      </w:r>
      <w:r>
        <w:rPr>
          <w:rStyle w:val="19"/>
          <w:rFonts w:hint="eastAsia" w:ascii="宋体" w:hAnsi="宋体"/>
          <w:u w:val="none"/>
        </w:rPr>
        <w:instrText xml:space="preserve"> </w:instrText>
      </w:r>
      <w:r>
        <w:rPr>
          <w:rStyle w:val="19"/>
          <w:rFonts w:hint="eastAsia" w:ascii="宋体" w:hAnsi="宋体"/>
          <w:u w:val="none"/>
        </w:rPr>
        <w:fldChar w:fldCharType="separate"/>
      </w:r>
      <w:r>
        <w:rPr>
          <w:rStyle w:val="19"/>
          <w:rFonts w:hint="eastAsia" w:ascii="宋体" w:hAnsi="宋体"/>
          <w:u w:val="none"/>
        </w:rPr>
        <w:t>第五章 拟签订的合同文本</w:t>
      </w:r>
      <w:r>
        <w:rPr>
          <w:rFonts w:hint="eastAsia" w:ascii="宋体" w:hAnsi="宋体"/>
          <w:u w:val="none"/>
        </w:rPr>
        <w:tab/>
      </w:r>
      <w:r>
        <w:rPr>
          <w:rFonts w:hint="eastAsia" w:ascii="宋体" w:hAnsi="宋体"/>
          <w:u w:val="none"/>
        </w:rPr>
        <w:fldChar w:fldCharType="begin"/>
      </w:r>
      <w:r>
        <w:rPr>
          <w:rFonts w:hint="eastAsia" w:ascii="宋体" w:hAnsi="宋体"/>
          <w:u w:val="none"/>
        </w:rPr>
        <w:instrText xml:space="preserve"> </w:instrText>
      </w:r>
      <w:r>
        <w:rPr>
          <w:rFonts w:ascii="宋体" w:hAnsi="宋体"/>
          <w:u w:val="none"/>
        </w:rPr>
        <w:instrText xml:space="preserve">PAGEREF _Toc211960315 \h</w:instrText>
      </w:r>
      <w:r>
        <w:rPr>
          <w:rFonts w:hint="eastAsia" w:ascii="宋体" w:hAnsi="宋体"/>
          <w:u w:val="none"/>
        </w:rPr>
        <w:instrText xml:space="preserve"> </w:instrText>
      </w:r>
      <w:r>
        <w:rPr>
          <w:rFonts w:hint="eastAsia" w:ascii="宋体" w:hAnsi="宋体"/>
          <w:u w:val="none"/>
        </w:rPr>
        <w:fldChar w:fldCharType="separate"/>
      </w:r>
      <w:r>
        <w:rPr>
          <w:rFonts w:ascii="宋体" w:hAnsi="宋体"/>
          <w:u w:val="none"/>
        </w:rPr>
        <w:t>90</w:t>
      </w:r>
      <w:r>
        <w:rPr>
          <w:rFonts w:hint="eastAsia" w:ascii="宋体" w:hAnsi="宋体"/>
          <w:u w:val="none"/>
        </w:rPr>
        <w:fldChar w:fldCharType="end"/>
      </w:r>
      <w:r>
        <w:rPr>
          <w:rStyle w:val="19"/>
          <w:rFonts w:hint="eastAsia" w:ascii="宋体" w:hAnsi="宋体"/>
          <w:u w:val="none"/>
        </w:rPr>
        <w:fldChar w:fldCharType="end"/>
      </w:r>
    </w:p>
    <w:p w14:paraId="6912E6CD">
      <w:pPr>
        <w:pStyle w:val="13"/>
        <w:tabs>
          <w:tab w:val="right" w:leader="dot" w:pos="9628"/>
        </w:tabs>
        <w:spacing w:before="200" w:after="200"/>
        <w:rPr>
          <w:rFonts w:hint="eastAsia" w:ascii="宋体" w:hAnsi="宋体"/>
          <w:b w:val="0"/>
          <w:bCs w:val="0"/>
          <w:caps w:val="0"/>
          <w:szCs w:val="24"/>
          <w:u w:val="none"/>
        </w:rPr>
      </w:pPr>
      <w:r>
        <w:rPr>
          <w:rStyle w:val="19"/>
          <w:rFonts w:hint="eastAsia" w:ascii="宋体" w:hAnsi="宋体"/>
          <w:u w:val="none"/>
        </w:rPr>
        <w:fldChar w:fldCharType="begin"/>
      </w:r>
      <w:r>
        <w:rPr>
          <w:rStyle w:val="19"/>
          <w:rFonts w:hint="eastAsia" w:ascii="宋体" w:hAnsi="宋体"/>
          <w:u w:val="none"/>
        </w:rPr>
        <w:instrText xml:space="preserve"> </w:instrText>
      </w:r>
      <w:r>
        <w:rPr>
          <w:rFonts w:hint="eastAsia" w:ascii="宋体" w:hAnsi="宋体"/>
          <w:u w:val="none"/>
        </w:rPr>
        <w:instrText xml:space="preserve">HYPERLINK \l "_Toc211960316"</w:instrText>
      </w:r>
      <w:r>
        <w:rPr>
          <w:rStyle w:val="19"/>
          <w:rFonts w:hint="eastAsia" w:ascii="宋体" w:hAnsi="宋体"/>
          <w:u w:val="none"/>
        </w:rPr>
        <w:instrText xml:space="preserve"> </w:instrText>
      </w:r>
      <w:r>
        <w:rPr>
          <w:rStyle w:val="19"/>
          <w:rFonts w:hint="eastAsia" w:ascii="宋体" w:hAnsi="宋体"/>
          <w:u w:val="none"/>
        </w:rPr>
        <w:fldChar w:fldCharType="separate"/>
      </w:r>
      <w:r>
        <w:rPr>
          <w:rStyle w:val="19"/>
          <w:rFonts w:hint="eastAsia" w:ascii="宋体" w:hAnsi="宋体"/>
          <w:u w:val="none"/>
        </w:rPr>
        <w:t>第六章 投标文件格式</w:t>
      </w:r>
      <w:r>
        <w:rPr>
          <w:rFonts w:hint="eastAsia" w:ascii="宋体" w:hAnsi="宋体"/>
          <w:u w:val="none"/>
        </w:rPr>
        <w:tab/>
      </w:r>
      <w:r>
        <w:rPr>
          <w:rFonts w:hint="eastAsia" w:ascii="宋体" w:hAnsi="宋体"/>
          <w:u w:val="none"/>
        </w:rPr>
        <w:fldChar w:fldCharType="begin"/>
      </w:r>
      <w:r>
        <w:rPr>
          <w:rFonts w:hint="eastAsia" w:ascii="宋体" w:hAnsi="宋体"/>
          <w:u w:val="none"/>
        </w:rPr>
        <w:instrText xml:space="preserve"> </w:instrText>
      </w:r>
      <w:r>
        <w:rPr>
          <w:rFonts w:ascii="宋体" w:hAnsi="宋体"/>
          <w:u w:val="none"/>
        </w:rPr>
        <w:instrText xml:space="preserve">PAGEREF _Toc211960316 \h</w:instrText>
      </w:r>
      <w:r>
        <w:rPr>
          <w:rFonts w:hint="eastAsia" w:ascii="宋体" w:hAnsi="宋体"/>
          <w:u w:val="none"/>
        </w:rPr>
        <w:instrText xml:space="preserve"> </w:instrText>
      </w:r>
      <w:r>
        <w:rPr>
          <w:rFonts w:hint="eastAsia" w:ascii="宋体" w:hAnsi="宋体"/>
          <w:u w:val="none"/>
        </w:rPr>
        <w:fldChar w:fldCharType="separate"/>
      </w:r>
      <w:r>
        <w:rPr>
          <w:rFonts w:ascii="宋体" w:hAnsi="宋体"/>
          <w:u w:val="none"/>
        </w:rPr>
        <w:t>105</w:t>
      </w:r>
      <w:r>
        <w:rPr>
          <w:rFonts w:hint="eastAsia" w:ascii="宋体" w:hAnsi="宋体"/>
          <w:u w:val="none"/>
        </w:rPr>
        <w:fldChar w:fldCharType="end"/>
      </w:r>
      <w:r>
        <w:rPr>
          <w:rStyle w:val="19"/>
          <w:rFonts w:hint="eastAsia" w:ascii="宋体" w:hAnsi="宋体"/>
          <w:u w:val="none"/>
        </w:rPr>
        <w:fldChar w:fldCharType="end"/>
      </w:r>
    </w:p>
    <w:p w14:paraId="524A2A18">
      <w:pPr>
        <w:pStyle w:val="14"/>
        <w:tabs>
          <w:tab w:val="right" w:leader="dot" w:pos="9628"/>
        </w:tabs>
        <w:rPr>
          <w:rFonts w:hint="eastAsia" w:ascii="宋体" w:hAnsi="宋体"/>
          <w:b w:val="0"/>
          <w:bCs w:val="0"/>
          <w:smallCaps w:val="0"/>
          <w:szCs w:val="24"/>
        </w:rPr>
      </w:pPr>
      <w:r>
        <w:rPr>
          <w:rStyle w:val="19"/>
          <w:rFonts w:hint="eastAsia" w:ascii="宋体" w:hAnsi="宋体"/>
        </w:rPr>
        <w:fldChar w:fldCharType="begin"/>
      </w:r>
      <w:r>
        <w:rPr>
          <w:rStyle w:val="19"/>
          <w:rFonts w:hint="eastAsia" w:ascii="宋体" w:hAnsi="宋体"/>
        </w:rPr>
        <w:instrText xml:space="preserve"> </w:instrText>
      </w:r>
      <w:r>
        <w:rPr>
          <w:rFonts w:hint="eastAsia" w:ascii="宋体" w:hAnsi="宋体"/>
        </w:rPr>
        <w:instrText xml:space="preserve">HYPERLINK \l "_Toc211960317"</w:instrText>
      </w:r>
      <w:r>
        <w:rPr>
          <w:rStyle w:val="19"/>
          <w:rFonts w:hint="eastAsia" w:ascii="宋体" w:hAnsi="宋体"/>
        </w:rPr>
        <w:instrText xml:space="preserve"> </w:instrText>
      </w:r>
      <w:r>
        <w:rPr>
          <w:rStyle w:val="19"/>
          <w:rFonts w:hint="eastAsia" w:ascii="宋体" w:hAnsi="宋体"/>
        </w:rPr>
        <w:fldChar w:fldCharType="separate"/>
      </w:r>
      <w:r>
        <w:rPr>
          <w:rStyle w:val="19"/>
          <w:rFonts w:hint="eastAsia" w:ascii="宋体" w:hAnsi="宋体"/>
        </w:rPr>
        <w:t>第一节 投标文件外层包装封面</w:t>
      </w:r>
      <w:r>
        <w:rPr>
          <w:rFonts w:hint="eastAsia" w:ascii="宋体" w:hAnsi="宋体"/>
        </w:rPr>
        <w:tab/>
      </w:r>
      <w:r>
        <w:rPr>
          <w:rFonts w:hint="eastAsia" w:ascii="宋体" w:hAnsi="宋体"/>
        </w:rPr>
        <w:fldChar w:fldCharType="begin"/>
      </w:r>
      <w:r>
        <w:rPr>
          <w:rFonts w:hint="eastAsia" w:ascii="宋体" w:hAnsi="宋体"/>
        </w:rPr>
        <w:instrText xml:space="preserve"> </w:instrText>
      </w:r>
      <w:r>
        <w:rPr>
          <w:rFonts w:ascii="宋体" w:hAnsi="宋体"/>
        </w:rPr>
        <w:instrText xml:space="preserve">PAGEREF _Toc211960317 \h</w:instrText>
      </w:r>
      <w:r>
        <w:rPr>
          <w:rFonts w:hint="eastAsia" w:ascii="宋体" w:hAnsi="宋体"/>
        </w:rPr>
        <w:instrText xml:space="preserve"> </w:instrText>
      </w:r>
      <w:r>
        <w:rPr>
          <w:rFonts w:hint="eastAsia" w:ascii="宋体" w:hAnsi="宋体"/>
        </w:rPr>
        <w:fldChar w:fldCharType="separate"/>
      </w:r>
      <w:r>
        <w:rPr>
          <w:rFonts w:ascii="宋体" w:hAnsi="宋体"/>
        </w:rPr>
        <w:t>106</w:t>
      </w:r>
      <w:r>
        <w:rPr>
          <w:rFonts w:hint="eastAsia" w:ascii="宋体" w:hAnsi="宋体"/>
        </w:rPr>
        <w:fldChar w:fldCharType="end"/>
      </w:r>
      <w:r>
        <w:rPr>
          <w:rStyle w:val="19"/>
          <w:rFonts w:hint="eastAsia" w:ascii="宋体" w:hAnsi="宋体"/>
        </w:rPr>
        <w:fldChar w:fldCharType="end"/>
      </w:r>
    </w:p>
    <w:p w14:paraId="3409F328">
      <w:pPr>
        <w:pStyle w:val="14"/>
        <w:tabs>
          <w:tab w:val="right" w:leader="dot" w:pos="9628"/>
        </w:tabs>
        <w:rPr>
          <w:rFonts w:hint="eastAsia" w:ascii="宋体" w:hAnsi="宋体"/>
          <w:b w:val="0"/>
          <w:bCs w:val="0"/>
          <w:smallCaps w:val="0"/>
          <w:szCs w:val="24"/>
        </w:rPr>
      </w:pPr>
      <w:r>
        <w:rPr>
          <w:rStyle w:val="19"/>
          <w:rFonts w:hint="eastAsia" w:ascii="宋体" w:hAnsi="宋体"/>
        </w:rPr>
        <w:fldChar w:fldCharType="begin"/>
      </w:r>
      <w:r>
        <w:rPr>
          <w:rStyle w:val="19"/>
          <w:rFonts w:hint="eastAsia" w:ascii="宋体" w:hAnsi="宋体"/>
        </w:rPr>
        <w:instrText xml:space="preserve"> </w:instrText>
      </w:r>
      <w:r>
        <w:rPr>
          <w:rFonts w:hint="eastAsia" w:ascii="宋体" w:hAnsi="宋体"/>
        </w:rPr>
        <w:instrText xml:space="preserve">HYPERLINK \l "_Toc211960318"</w:instrText>
      </w:r>
      <w:r>
        <w:rPr>
          <w:rStyle w:val="19"/>
          <w:rFonts w:hint="eastAsia" w:ascii="宋体" w:hAnsi="宋体"/>
        </w:rPr>
        <w:instrText xml:space="preserve"> </w:instrText>
      </w:r>
      <w:r>
        <w:rPr>
          <w:rStyle w:val="19"/>
          <w:rFonts w:hint="eastAsia" w:ascii="宋体" w:hAnsi="宋体"/>
        </w:rPr>
        <w:fldChar w:fldCharType="separate"/>
      </w:r>
      <w:r>
        <w:rPr>
          <w:rStyle w:val="19"/>
          <w:rFonts w:hint="eastAsia" w:ascii="宋体" w:hAnsi="宋体"/>
        </w:rPr>
        <w:t>第二节 资格证明文件格式</w:t>
      </w:r>
      <w:r>
        <w:rPr>
          <w:rFonts w:hint="eastAsia" w:ascii="宋体" w:hAnsi="宋体"/>
        </w:rPr>
        <w:tab/>
      </w:r>
      <w:r>
        <w:rPr>
          <w:rFonts w:hint="eastAsia" w:ascii="宋体" w:hAnsi="宋体"/>
        </w:rPr>
        <w:fldChar w:fldCharType="begin"/>
      </w:r>
      <w:r>
        <w:rPr>
          <w:rFonts w:hint="eastAsia" w:ascii="宋体" w:hAnsi="宋体"/>
        </w:rPr>
        <w:instrText xml:space="preserve"> </w:instrText>
      </w:r>
      <w:r>
        <w:rPr>
          <w:rFonts w:ascii="宋体" w:hAnsi="宋体"/>
        </w:rPr>
        <w:instrText xml:space="preserve">PAGEREF _Toc211960318 \h</w:instrText>
      </w:r>
      <w:r>
        <w:rPr>
          <w:rFonts w:hint="eastAsia" w:ascii="宋体" w:hAnsi="宋体"/>
        </w:rPr>
        <w:instrText xml:space="preserve"> </w:instrText>
      </w:r>
      <w:r>
        <w:rPr>
          <w:rFonts w:hint="eastAsia" w:ascii="宋体" w:hAnsi="宋体"/>
        </w:rPr>
        <w:fldChar w:fldCharType="separate"/>
      </w:r>
      <w:r>
        <w:rPr>
          <w:rFonts w:ascii="宋体" w:hAnsi="宋体"/>
        </w:rPr>
        <w:t>107</w:t>
      </w:r>
      <w:r>
        <w:rPr>
          <w:rFonts w:hint="eastAsia" w:ascii="宋体" w:hAnsi="宋体"/>
        </w:rPr>
        <w:fldChar w:fldCharType="end"/>
      </w:r>
      <w:r>
        <w:rPr>
          <w:rStyle w:val="19"/>
          <w:rFonts w:hint="eastAsia" w:ascii="宋体" w:hAnsi="宋体"/>
        </w:rPr>
        <w:fldChar w:fldCharType="end"/>
      </w:r>
    </w:p>
    <w:p w14:paraId="522DBE62">
      <w:pPr>
        <w:pStyle w:val="14"/>
        <w:tabs>
          <w:tab w:val="right" w:leader="dot" w:pos="9628"/>
        </w:tabs>
        <w:rPr>
          <w:rFonts w:hint="eastAsia" w:ascii="宋体" w:hAnsi="宋体"/>
          <w:b w:val="0"/>
          <w:bCs w:val="0"/>
          <w:smallCaps w:val="0"/>
          <w:szCs w:val="24"/>
        </w:rPr>
      </w:pPr>
      <w:r>
        <w:rPr>
          <w:rStyle w:val="19"/>
          <w:rFonts w:hint="eastAsia" w:ascii="宋体" w:hAnsi="宋体"/>
        </w:rPr>
        <w:fldChar w:fldCharType="begin"/>
      </w:r>
      <w:r>
        <w:rPr>
          <w:rStyle w:val="19"/>
          <w:rFonts w:hint="eastAsia" w:ascii="宋体" w:hAnsi="宋体"/>
        </w:rPr>
        <w:instrText xml:space="preserve"> </w:instrText>
      </w:r>
      <w:r>
        <w:rPr>
          <w:rFonts w:hint="eastAsia" w:ascii="宋体" w:hAnsi="宋体"/>
        </w:rPr>
        <w:instrText xml:space="preserve">HYPERLINK \l "_Toc211960319"</w:instrText>
      </w:r>
      <w:r>
        <w:rPr>
          <w:rStyle w:val="19"/>
          <w:rFonts w:hint="eastAsia" w:ascii="宋体" w:hAnsi="宋体"/>
        </w:rPr>
        <w:instrText xml:space="preserve"> </w:instrText>
      </w:r>
      <w:r>
        <w:rPr>
          <w:rStyle w:val="19"/>
          <w:rFonts w:hint="eastAsia" w:ascii="宋体" w:hAnsi="宋体"/>
        </w:rPr>
        <w:fldChar w:fldCharType="separate"/>
      </w:r>
      <w:r>
        <w:rPr>
          <w:rStyle w:val="19"/>
          <w:rFonts w:hint="eastAsia" w:ascii="宋体" w:hAnsi="宋体"/>
        </w:rPr>
        <w:t>第三节 商务文件格式</w:t>
      </w:r>
      <w:r>
        <w:rPr>
          <w:rFonts w:hint="eastAsia" w:ascii="宋体" w:hAnsi="宋体"/>
        </w:rPr>
        <w:tab/>
      </w:r>
      <w:r>
        <w:rPr>
          <w:rFonts w:hint="eastAsia" w:ascii="宋体" w:hAnsi="宋体"/>
        </w:rPr>
        <w:fldChar w:fldCharType="begin"/>
      </w:r>
      <w:r>
        <w:rPr>
          <w:rFonts w:hint="eastAsia" w:ascii="宋体" w:hAnsi="宋体"/>
        </w:rPr>
        <w:instrText xml:space="preserve"> </w:instrText>
      </w:r>
      <w:r>
        <w:rPr>
          <w:rFonts w:ascii="宋体" w:hAnsi="宋体"/>
        </w:rPr>
        <w:instrText xml:space="preserve">PAGEREF _Toc211960319 \h</w:instrText>
      </w:r>
      <w:r>
        <w:rPr>
          <w:rFonts w:hint="eastAsia" w:ascii="宋体" w:hAnsi="宋体"/>
        </w:rPr>
        <w:instrText xml:space="preserve"> </w:instrText>
      </w:r>
      <w:r>
        <w:rPr>
          <w:rFonts w:hint="eastAsia" w:ascii="宋体" w:hAnsi="宋体"/>
        </w:rPr>
        <w:fldChar w:fldCharType="separate"/>
      </w:r>
      <w:r>
        <w:rPr>
          <w:rFonts w:ascii="宋体" w:hAnsi="宋体"/>
        </w:rPr>
        <w:t>115</w:t>
      </w:r>
      <w:r>
        <w:rPr>
          <w:rFonts w:hint="eastAsia" w:ascii="宋体" w:hAnsi="宋体"/>
        </w:rPr>
        <w:fldChar w:fldCharType="end"/>
      </w:r>
      <w:r>
        <w:rPr>
          <w:rStyle w:val="19"/>
          <w:rFonts w:hint="eastAsia" w:ascii="宋体" w:hAnsi="宋体"/>
        </w:rPr>
        <w:fldChar w:fldCharType="end"/>
      </w:r>
    </w:p>
    <w:p w14:paraId="6BDAEFC0">
      <w:pPr>
        <w:pStyle w:val="14"/>
        <w:tabs>
          <w:tab w:val="right" w:leader="dot" w:pos="9628"/>
        </w:tabs>
        <w:rPr>
          <w:rFonts w:hint="eastAsia" w:ascii="宋体" w:hAnsi="宋体"/>
          <w:b w:val="0"/>
          <w:bCs w:val="0"/>
          <w:smallCaps w:val="0"/>
          <w:szCs w:val="24"/>
        </w:rPr>
      </w:pPr>
      <w:r>
        <w:rPr>
          <w:rStyle w:val="19"/>
          <w:rFonts w:hint="eastAsia" w:ascii="宋体" w:hAnsi="宋体"/>
        </w:rPr>
        <w:fldChar w:fldCharType="begin"/>
      </w:r>
      <w:r>
        <w:rPr>
          <w:rStyle w:val="19"/>
          <w:rFonts w:hint="eastAsia" w:ascii="宋体" w:hAnsi="宋体"/>
        </w:rPr>
        <w:instrText xml:space="preserve"> </w:instrText>
      </w:r>
      <w:r>
        <w:rPr>
          <w:rFonts w:hint="eastAsia" w:ascii="宋体" w:hAnsi="宋体"/>
        </w:rPr>
        <w:instrText xml:space="preserve">HYPERLINK \l "_Toc211960320"</w:instrText>
      </w:r>
      <w:r>
        <w:rPr>
          <w:rStyle w:val="19"/>
          <w:rFonts w:hint="eastAsia" w:ascii="宋体" w:hAnsi="宋体"/>
        </w:rPr>
        <w:instrText xml:space="preserve"> </w:instrText>
      </w:r>
      <w:r>
        <w:rPr>
          <w:rStyle w:val="19"/>
          <w:rFonts w:hint="eastAsia" w:ascii="宋体" w:hAnsi="宋体"/>
        </w:rPr>
        <w:fldChar w:fldCharType="separate"/>
      </w:r>
      <w:r>
        <w:rPr>
          <w:rStyle w:val="19"/>
          <w:rFonts w:hint="eastAsia" w:ascii="宋体" w:hAnsi="宋体"/>
        </w:rPr>
        <w:t>第四节 技术文件格式</w:t>
      </w:r>
      <w:r>
        <w:rPr>
          <w:rFonts w:hint="eastAsia" w:ascii="宋体" w:hAnsi="宋体"/>
        </w:rPr>
        <w:tab/>
      </w:r>
      <w:r>
        <w:rPr>
          <w:rFonts w:hint="eastAsia" w:ascii="宋体" w:hAnsi="宋体"/>
        </w:rPr>
        <w:fldChar w:fldCharType="begin"/>
      </w:r>
      <w:r>
        <w:rPr>
          <w:rFonts w:hint="eastAsia" w:ascii="宋体" w:hAnsi="宋体"/>
        </w:rPr>
        <w:instrText xml:space="preserve"> </w:instrText>
      </w:r>
      <w:r>
        <w:rPr>
          <w:rFonts w:ascii="宋体" w:hAnsi="宋体"/>
        </w:rPr>
        <w:instrText xml:space="preserve">PAGEREF _Toc211960320 \h</w:instrText>
      </w:r>
      <w:r>
        <w:rPr>
          <w:rFonts w:hint="eastAsia" w:ascii="宋体" w:hAnsi="宋体"/>
        </w:rPr>
        <w:instrText xml:space="preserve"> </w:instrText>
      </w:r>
      <w:r>
        <w:rPr>
          <w:rFonts w:hint="eastAsia" w:ascii="宋体" w:hAnsi="宋体"/>
        </w:rPr>
        <w:fldChar w:fldCharType="separate"/>
      </w:r>
      <w:r>
        <w:rPr>
          <w:rFonts w:ascii="宋体" w:hAnsi="宋体"/>
        </w:rPr>
        <w:t>125</w:t>
      </w:r>
      <w:r>
        <w:rPr>
          <w:rFonts w:hint="eastAsia" w:ascii="宋体" w:hAnsi="宋体"/>
        </w:rPr>
        <w:fldChar w:fldCharType="end"/>
      </w:r>
      <w:r>
        <w:rPr>
          <w:rStyle w:val="19"/>
          <w:rFonts w:hint="eastAsia" w:ascii="宋体" w:hAnsi="宋体"/>
        </w:rPr>
        <w:fldChar w:fldCharType="end"/>
      </w:r>
    </w:p>
    <w:p w14:paraId="5223D39E">
      <w:pPr>
        <w:pStyle w:val="14"/>
        <w:tabs>
          <w:tab w:val="right" w:leader="dot" w:pos="9628"/>
        </w:tabs>
        <w:rPr>
          <w:rFonts w:hint="eastAsia" w:ascii="宋体" w:hAnsi="宋体"/>
          <w:b w:val="0"/>
          <w:bCs w:val="0"/>
          <w:smallCaps w:val="0"/>
          <w:szCs w:val="24"/>
        </w:rPr>
      </w:pPr>
      <w:r>
        <w:rPr>
          <w:rStyle w:val="19"/>
          <w:rFonts w:hint="eastAsia" w:ascii="宋体" w:hAnsi="宋体"/>
        </w:rPr>
        <w:fldChar w:fldCharType="begin"/>
      </w:r>
      <w:r>
        <w:rPr>
          <w:rStyle w:val="19"/>
          <w:rFonts w:hint="eastAsia" w:ascii="宋体" w:hAnsi="宋体"/>
        </w:rPr>
        <w:instrText xml:space="preserve"> </w:instrText>
      </w:r>
      <w:r>
        <w:rPr>
          <w:rFonts w:hint="eastAsia" w:ascii="宋体" w:hAnsi="宋体"/>
        </w:rPr>
        <w:instrText xml:space="preserve">HYPERLINK \l "_Toc211960321"</w:instrText>
      </w:r>
      <w:r>
        <w:rPr>
          <w:rStyle w:val="19"/>
          <w:rFonts w:hint="eastAsia" w:ascii="宋体" w:hAnsi="宋体"/>
        </w:rPr>
        <w:instrText xml:space="preserve"> </w:instrText>
      </w:r>
      <w:r>
        <w:rPr>
          <w:rStyle w:val="19"/>
          <w:rFonts w:hint="eastAsia" w:ascii="宋体" w:hAnsi="宋体"/>
        </w:rPr>
        <w:fldChar w:fldCharType="separate"/>
      </w:r>
      <w:r>
        <w:rPr>
          <w:rStyle w:val="19"/>
          <w:rFonts w:hint="eastAsia" w:ascii="宋体" w:hAnsi="宋体"/>
        </w:rPr>
        <w:t>第五节 报价文件格式</w:t>
      </w:r>
      <w:r>
        <w:rPr>
          <w:rFonts w:hint="eastAsia" w:ascii="宋体" w:hAnsi="宋体"/>
        </w:rPr>
        <w:tab/>
      </w:r>
      <w:r>
        <w:rPr>
          <w:rFonts w:hint="eastAsia" w:ascii="宋体" w:hAnsi="宋体"/>
        </w:rPr>
        <w:fldChar w:fldCharType="begin"/>
      </w:r>
      <w:r>
        <w:rPr>
          <w:rFonts w:hint="eastAsia" w:ascii="宋体" w:hAnsi="宋体"/>
        </w:rPr>
        <w:instrText xml:space="preserve"> </w:instrText>
      </w:r>
      <w:r>
        <w:rPr>
          <w:rFonts w:ascii="宋体" w:hAnsi="宋体"/>
        </w:rPr>
        <w:instrText xml:space="preserve">PAGEREF _Toc211960321 \h</w:instrText>
      </w:r>
      <w:r>
        <w:rPr>
          <w:rFonts w:hint="eastAsia" w:ascii="宋体" w:hAnsi="宋体"/>
        </w:rPr>
        <w:instrText xml:space="preserve"> </w:instrText>
      </w:r>
      <w:r>
        <w:rPr>
          <w:rFonts w:hint="eastAsia" w:ascii="宋体" w:hAnsi="宋体"/>
        </w:rPr>
        <w:fldChar w:fldCharType="separate"/>
      </w:r>
      <w:r>
        <w:rPr>
          <w:rFonts w:ascii="宋体" w:hAnsi="宋体"/>
        </w:rPr>
        <w:t>133</w:t>
      </w:r>
      <w:r>
        <w:rPr>
          <w:rFonts w:hint="eastAsia" w:ascii="宋体" w:hAnsi="宋体"/>
        </w:rPr>
        <w:fldChar w:fldCharType="end"/>
      </w:r>
      <w:r>
        <w:rPr>
          <w:rStyle w:val="19"/>
          <w:rFonts w:hint="eastAsia" w:ascii="宋体" w:hAnsi="宋体"/>
        </w:rPr>
        <w:fldChar w:fldCharType="end"/>
      </w:r>
    </w:p>
    <w:p w14:paraId="50A04C79">
      <w:pPr>
        <w:pStyle w:val="14"/>
        <w:tabs>
          <w:tab w:val="right" w:leader="dot" w:pos="9628"/>
        </w:tabs>
        <w:rPr>
          <w:rFonts w:hint="eastAsia" w:ascii="宋体" w:hAnsi="宋体"/>
          <w:b w:val="0"/>
          <w:bCs w:val="0"/>
          <w:smallCaps w:val="0"/>
          <w:szCs w:val="24"/>
        </w:rPr>
      </w:pPr>
      <w:r>
        <w:rPr>
          <w:rStyle w:val="19"/>
          <w:rFonts w:hint="eastAsia" w:ascii="宋体" w:hAnsi="宋体"/>
        </w:rPr>
        <w:fldChar w:fldCharType="begin"/>
      </w:r>
      <w:r>
        <w:rPr>
          <w:rStyle w:val="19"/>
          <w:rFonts w:hint="eastAsia" w:ascii="宋体" w:hAnsi="宋体"/>
        </w:rPr>
        <w:instrText xml:space="preserve"> </w:instrText>
      </w:r>
      <w:r>
        <w:rPr>
          <w:rFonts w:hint="eastAsia" w:ascii="宋体" w:hAnsi="宋体"/>
        </w:rPr>
        <w:instrText xml:space="preserve">HYPERLINK \l "_Toc211960322"</w:instrText>
      </w:r>
      <w:r>
        <w:rPr>
          <w:rStyle w:val="19"/>
          <w:rFonts w:hint="eastAsia" w:ascii="宋体" w:hAnsi="宋体"/>
        </w:rPr>
        <w:instrText xml:space="preserve"> </w:instrText>
      </w:r>
      <w:r>
        <w:rPr>
          <w:rStyle w:val="19"/>
          <w:rFonts w:hint="eastAsia" w:ascii="宋体" w:hAnsi="宋体"/>
        </w:rPr>
        <w:fldChar w:fldCharType="separate"/>
      </w:r>
      <w:r>
        <w:rPr>
          <w:rStyle w:val="19"/>
          <w:rFonts w:hint="eastAsia" w:ascii="宋体" w:hAnsi="宋体"/>
        </w:rPr>
        <w:t>第六节 其他文书、文件格式</w:t>
      </w:r>
      <w:r>
        <w:rPr>
          <w:rFonts w:hint="eastAsia" w:ascii="宋体" w:hAnsi="宋体"/>
        </w:rPr>
        <w:tab/>
      </w:r>
      <w:r>
        <w:rPr>
          <w:rFonts w:hint="eastAsia" w:ascii="宋体" w:hAnsi="宋体"/>
        </w:rPr>
        <w:fldChar w:fldCharType="begin"/>
      </w:r>
      <w:r>
        <w:rPr>
          <w:rFonts w:hint="eastAsia" w:ascii="宋体" w:hAnsi="宋体"/>
        </w:rPr>
        <w:instrText xml:space="preserve"> </w:instrText>
      </w:r>
      <w:r>
        <w:rPr>
          <w:rFonts w:ascii="宋体" w:hAnsi="宋体"/>
        </w:rPr>
        <w:instrText xml:space="preserve">PAGEREF _Toc211960322 \h</w:instrText>
      </w:r>
      <w:r>
        <w:rPr>
          <w:rFonts w:hint="eastAsia" w:ascii="宋体" w:hAnsi="宋体"/>
        </w:rPr>
        <w:instrText xml:space="preserve"> </w:instrText>
      </w:r>
      <w:r>
        <w:rPr>
          <w:rFonts w:hint="eastAsia" w:ascii="宋体" w:hAnsi="宋体"/>
        </w:rPr>
        <w:fldChar w:fldCharType="separate"/>
      </w:r>
      <w:r>
        <w:rPr>
          <w:rFonts w:ascii="宋体" w:hAnsi="宋体"/>
        </w:rPr>
        <w:t>140</w:t>
      </w:r>
      <w:r>
        <w:rPr>
          <w:rFonts w:hint="eastAsia" w:ascii="宋体" w:hAnsi="宋体"/>
        </w:rPr>
        <w:fldChar w:fldCharType="end"/>
      </w:r>
      <w:r>
        <w:rPr>
          <w:rStyle w:val="19"/>
          <w:rFonts w:hint="eastAsia" w:ascii="宋体" w:hAnsi="宋体"/>
        </w:rPr>
        <w:fldChar w:fldCharType="end"/>
      </w:r>
    </w:p>
    <w:p w14:paraId="2087460D">
      <w:pPr>
        <w:pStyle w:val="13"/>
        <w:tabs>
          <w:tab w:val="right" w:leader="dot" w:pos="9628"/>
        </w:tabs>
        <w:spacing w:before="200" w:after="200"/>
        <w:rPr>
          <w:rFonts w:hint="eastAsia" w:ascii="宋体" w:hAnsi="宋体"/>
          <w:b w:val="0"/>
          <w:bCs w:val="0"/>
          <w:caps w:val="0"/>
          <w:szCs w:val="24"/>
          <w:u w:val="none"/>
        </w:rPr>
      </w:pPr>
      <w:r>
        <w:rPr>
          <w:rStyle w:val="19"/>
          <w:rFonts w:hint="eastAsia" w:ascii="宋体" w:hAnsi="宋体"/>
          <w:u w:val="none"/>
        </w:rPr>
        <w:fldChar w:fldCharType="begin"/>
      </w:r>
      <w:r>
        <w:rPr>
          <w:rStyle w:val="19"/>
          <w:rFonts w:hint="eastAsia" w:ascii="宋体" w:hAnsi="宋体"/>
          <w:u w:val="none"/>
        </w:rPr>
        <w:instrText xml:space="preserve"> </w:instrText>
      </w:r>
      <w:r>
        <w:rPr>
          <w:rFonts w:hint="eastAsia" w:ascii="宋体" w:hAnsi="宋体"/>
          <w:u w:val="none"/>
        </w:rPr>
        <w:instrText xml:space="preserve">HYPERLINK \l "_Toc211960323"</w:instrText>
      </w:r>
      <w:r>
        <w:rPr>
          <w:rStyle w:val="19"/>
          <w:rFonts w:hint="eastAsia" w:ascii="宋体" w:hAnsi="宋体"/>
          <w:u w:val="none"/>
        </w:rPr>
        <w:instrText xml:space="preserve"> </w:instrText>
      </w:r>
      <w:r>
        <w:rPr>
          <w:rStyle w:val="19"/>
          <w:rFonts w:hint="eastAsia" w:ascii="宋体" w:hAnsi="宋体"/>
          <w:u w:val="none"/>
        </w:rPr>
        <w:fldChar w:fldCharType="separate"/>
      </w:r>
      <w:r>
        <w:rPr>
          <w:rStyle w:val="19"/>
          <w:rFonts w:hint="eastAsia" w:ascii="宋体" w:hAnsi="宋体"/>
          <w:u w:val="none"/>
        </w:rPr>
        <w:t>第七章 质疑、投诉证明材料格式</w:t>
      </w:r>
      <w:r>
        <w:rPr>
          <w:rFonts w:hint="eastAsia" w:ascii="宋体" w:hAnsi="宋体"/>
          <w:u w:val="none"/>
        </w:rPr>
        <w:tab/>
      </w:r>
      <w:r>
        <w:rPr>
          <w:rFonts w:hint="eastAsia" w:ascii="宋体" w:hAnsi="宋体"/>
          <w:u w:val="none"/>
        </w:rPr>
        <w:fldChar w:fldCharType="begin"/>
      </w:r>
      <w:r>
        <w:rPr>
          <w:rFonts w:hint="eastAsia" w:ascii="宋体" w:hAnsi="宋体"/>
          <w:u w:val="none"/>
        </w:rPr>
        <w:instrText xml:space="preserve"> </w:instrText>
      </w:r>
      <w:r>
        <w:rPr>
          <w:rFonts w:ascii="宋体" w:hAnsi="宋体"/>
          <w:u w:val="none"/>
        </w:rPr>
        <w:instrText xml:space="preserve">PAGEREF _Toc211960323 \h</w:instrText>
      </w:r>
      <w:r>
        <w:rPr>
          <w:rFonts w:hint="eastAsia" w:ascii="宋体" w:hAnsi="宋体"/>
          <w:u w:val="none"/>
        </w:rPr>
        <w:instrText xml:space="preserve"> </w:instrText>
      </w:r>
      <w:r>
        <w:rPr>
          <w:rFonts w:hint="eastAsia" w:ascii="宋体" w:hAnsi="宋体"/>
          <w:u w:val="none"/>
        </w:rPr>
        <w:fldChar w:fldCharType="separate"/>
      </w:r>
      <w:r>
        <w:rPr>
          <w:rFonts w:ascii="宋体" w:hAnsi="宋体"/>
          <w:u w:val="none"/>
        </w:rPr>
        <w:t>141</w:t>
      </w:r>
      <w:r>
        <w:rPr>
          <w:rFonts w:hint="eastAsia" w:ascii="宋体" w:hAnsi="宋体"/>
          <w:u w:val="none"/>
        </w:rPr>
        <w:fldChar w:fldCharType="end"/>
      </w:r>
      <w:r>
        <w:rPr>
          <w:rStyle w:val="19"/>
          <w:rFonts w:hint="eastAsia" w:ascii="宋体" w:hAnsi="宋体"/>
          <w:u w:val="none"/>
        </w:rPr>
        <w:fldChar w:fldCharType="end"/>
      </w:r>
    </w:p>
    <w:p w14:paraId="776CFFE3">
      <w:pPr>
        <w:pStyle w:val="14"/>
        <w:tabs>
          <w:tab w:val="right" w:leader="dot" w:pos="9628"/>
        </w:tabs>
        <w:rPr>
          <w:rFonts w:hint="eastAsia" w:ascii="宋体" w:hAnsi="宋体"/>
          <w:b w:val="0"/>
          <w:bCs w:val="0"/>
          <w:smallCaps w:val="0"/>
          <w:szCs w:val="24"/>
        </w:rPr>
      </w:pPr>
      <w:r>
        <w:rPr>
          <w:rStyle w:val="19"/>
          <w:rFonts w:hint="eastAsia" w:ascii="宋体" w:hAnsi="宋体"/>
        </w:rPr>
        <w:fldChar w:fldCharType="begin"/>
      </w:r>
      <w:r>
        <w:rPr>
          <w:rStyle w:val="19"/>
          <w:rFonts w:hint="eastAsia" w:ascii="宋体" w:hAnsi="宋体"/>
        </w:rPr>
        <w:instrText xml:space="preserve"> </w:instrText>
      </w:r>
      <w:r>
        <w:rPr>
          <w:rFonts w:hint="eastAsia" w:ascii="宋体" w:hAnsi="宋体"/>
        </w:rPr>
        <w:instrText xml:space="preserve">HYPERLINK \l "_Toc211960324"</w:instrText>
      </w:r>
      <w:r>
        <w:rPr>
          <w:rStyle w:val="19"/>
          <w:rFonts w:hint="eastAsia" w:ascii="宋体" w:hAnsi="宋体"/>
        </w:rPr>
        <w:instrText xml:space="preserve"> </w:instrText>
      </w:r>
      <w:r>
        <w:rPr>
          <w:rStyle w:val="19"/>
          <w:rFonts w:hint="eastAsia" w:ascii="宋体" w:hAnsi="宋体"/>
        </w:rPr>
        <w:fldChar w:fldCharType="separate"/>
      </w:r>
      <w:r>
        <w:rPr>
          <w:rStyle w:val="19"/>
          <w:rFonts w:hint="eastAsia" w:ascii="宋体" w:hAnsi="宋体"/>
        </w:rPr>
        <w:t>第一节 质疑函（格式）</w:t>
      </w:r>
      <w:r>
        <w:rPr>
          <w:rFonts w:hint="eastAsia" w:ascii="宋体" w:hAnsi="宋体"/>
        </w:rPr>
        <w:tab/>
      </w:r>
      <w:r>
        <w:rPr>
          <w:rFonts w:hint="eastAsia" w:ascii="宋体" w:hAnsi="宋体"/>
        </w:rPr>
        <w:fldChar w:fldCharType="begin"/>
      </w:r>
      <w:r>
        <w:rPr>
          <w:rFonts w:hint="eastAsia" w:ascii="宋体" w:hAnsi="宋体"/>
        </w:rPr>
        <w:instrText xml:space="preserve"> </w:instrText>
      </w:r>
      <w:r>
        <w:rPr>
          <w:rFonts w:ascii="宋体" w:hAnsi="宋体"/>
        </w:rPr>
        <w:instrText xml:space="preserve">PAGEREF _Toc211960324 \h</w:instrText>
      </w:r>
      <w:r>
        <w:rPr>
          <w:rFonts w:hint="eastAsia" w:ascii="宋体" w:hAnsi="宋体"/>
        </w:rPr>
        <w:instrText xml:space="preserve"> </w:instrText>
      </w:r>
      <w:r>
        <w:rPr>
          <w:rFonts w:hint="eastAsia" w:ascii="宋体" w:hAnsi="宋体"/>
        </w:rPr>
        <w:fldChar w:fldCharType="separate"/>
      </w:r>
      <w:r>
        <w:rPr>
          <w:rFonts w:ascii="宋体" w:hAnsi="宋体"/>
        </w:rPr>
        <w:t>142</w:t>
      </w:r>
      <w:r>
        <w:rPr>
          <w:rFonts w:hint="eastAsia" w:ascii="宋体" w:hAnsi="宋体"/>
        </w:rPr>
        <w:fldChar w:fldCharType="end"/>
      </w:r>
      <w:r>
        <w:rPr>
          <w:rStyle w:val="19"/>
          <w:rFonts w:hint="eastAsia" w:ascii="宋体" w:hAnsi="宋体"/>
        </w:rPr>
        <w:fldChar w:fldCharType="end"/>
      </w:r>
    </w:p>
    <w:p w14:paraId="529A2CD4">
      <w:pPr>
        <w:pStyle w:val="14"/>
        <w:tabs>
          <w:tab w:val="right" w:leader="dot" w:pos="9628"/>
        </w:tabs>
        <w:rPr>
          <w:rFonts w:hint="eastAsia" w:ascii="宋体" w:hAnsi="宋体"/>
          <w:b w:val="0"/>
          <w:bCs w:val="0"/>
          <w:smallCaps w:val="0"/>
          <w:szCs w:val="24"/>
        </w:rPr>
      </w:pPr>
      <w:r>
        <w:rPr>
          <w:rStyle w:val="19"/>
          <w:rFonts w:hint="eastAsia" w:ascii="宋体" w:hAnsi="宋体"/>
        </w:rPr>
        <w:fldChar w:fldCharType="begin"/>
      </w:r>
      <w:r>
        <w:rPr>
          <w:rStyle w:val="19"/>
          <w:rFonts w:hint="eastAsia" w:ascii="宋体" w:hAnsi="宋体"/>
        </w:rPr>
        <w:instrText xml:space="preserve"> </w:instrText>
      </w:r>
      <w:r>
        <w:rPr>
          <w:rFonts w:hint="eastAsia" w:ascii="宋体" w:hAnsi="宋体"/>
        </w:rPr>
        <w:instrText xml:space="preserve">HYPERLINK \l "_Toc211960325"</w:instrText>
      </w:r>
      <w:r>
        <w:rPr>
          <w:rStyle w:val="19"/>
          <w:rFonts w:hint="eastAsia" w:ascii="宋体" w:hAnsi="宋体"/>
        </w:rPr>
        <w:instrText xml:space="preserve"> </w:instrText>
      </w:r>
      <w:r>
        <w:rPr>
          <w:rStyle w:val="19"/>
          <w:rFonts w:hint="eastAsia" w:ascii="宋体" w:hAnsi="宋体"/>
        </w:rPr>
        <w:fldChar w:fldCharType="separate"/>
      </w:r>
      <w:r>
        <w:rPr>
          <w:rStyle w:val="19"/>
          <w:rFonts w:hint="eastAsia" w:ascii="宋体" w:hAnsi="宋体"/>
        </w:rPr>
        <w:t>第二节 投诉书（格式）</w:t>
      </w:r>
      <w:r>
        <w:rPr>
          <w:rFonts w:hint="eastAsia" w:ascii="宋体" w:hAnsi="宋体"/>
        </w:rPr>
        <w:tab/>
      </w:r>
      <w:r>
        <w:rPr>
          <w:rFonts w:hint="eastAsia" w:ascii="宋体" w:hAnsi="宋体"/>
        </w:rPr>
        <w:fldChar w:fldCharType="begin"/>
      </w:r>
      <w:r>
        <w:rPr>
          <w:rFonts w:hint="eastAsia" w:ascii="宋体" w:hAnsi="宋体"/>
        </w:rPr>
        <w:instrText xml:space="preserve"> </w:instrText>
      </w:r>
      <w:r>
        <w:rPr>
          <w:rFonts w:ascii="宋体" w:hAnsi="宋体"/>
        </w:rPr>
        <w:instrText xml:space="preserve">PAGEREF _Toc211960325 \h</w:instrText>
      </w:r>
      <w:r>
        <w:rPr>
          <w:rFonts w:hint="eastAsia" w:ascii="宋体" w:hAnsi="宋体"/>
        </w:rPr>
        <w:instrText xml:space="preserve"> </w:instrText>
      </w:r>
      <w:r>
        <w:rPr>
          <w:rFonts w:hint="eastAsia" w:ascii="宋体" w:hAnsi="宋体"/>
        </w:rPr>
        <w:fldChar w:fldCharType="separate"/>
      </w:r>
      <w:r>
        <w:rPr>
          <w:rFonts w:ascii="宋体" w:hAnsi="宋体"/>
        </w:rPr>
        <w:t>145</w:t>
      </w:r>
      <w:r>
        <w:rPr>
          <w:rFonts w:hint="eastAsia" w:ascii="宋体" w:hAnsi="宋体"/>
        </w:rPr>
        <w:fldChar w:fldCharType="end"/>
      </w:r>
      <w:r>
        <w:rPr>
          <w:rStyle w:val="19"/>
          <w:rFonts w:hint="eastAsia" w:ascii="宋体" w:hAnsi="宋体"/>
        </w:rPr>
        <w:fldChar w:fldCharType="end"/>
      </w:r>
    </w:p>
    <w:p w14:paraId="40EB89D7">
      <w:pPr>
        <w:jc w:val="center"/>
        <w:outlineLvl w:val="0"/>
        <w:rPr>
          <w:rFonts w:hint="eastAsia"/>
          <w:b/>
          <w:sz w:val="36"/>
        </w:rPr>
      </w:pPr>
      <w:r>
        <w:rPr>
          <w:rFonts w:ascii="宋体" w:hAnsi="宋体"/>
          <w:b/>
          <w:bCs/>
          <w:caps/>
          <w:sz w:val="28"/>
          <w:szCs w:val="28"/>
          <w:u w:val="single"/>
        </w:rPr>
        <w:fldChar w:fldCharType="end"/>
      </w:r>
      <w:r>
        <w:rPr>
          <w:rFonts w:hint="eastAsia"/>
          <w:b/>
          <w:sz w:val="36"/>
        </w:rPr>
        <w:tab/>
      </w:r>
      <w:bookmarkStart w:id="2" w:name="_Toc532545041"/>
    </w:p>
    <w:p w14:paraId="02AC1EF6">
      <w:pPr>
        <w:jc w:val="center"/>
        <w:outlineLvl w:val="0"/>
        <w:rPr>
          <w:rFonts w:hint="eastAsia"/>
          <w:b/>
          <w:sz w:val="36"/>
          <w:szCs w:val="20"/>
        </w:rPr>
        <w:sectPr>
          <w:pgSz w:w="11906" w:h="16838"/>
          <w:pgMar w:top="1134" w:right="1134" w:bottom="1134" w:left="1134" w:header="720" w:footer="720" w:gutter="0"/>
          <w:pgNumType w:start="1"/>
          <w:cols w:space="720" w:num="1"/>
          <w:docGrid w:type="lines" w:linePitch="331" w:charSpace="0"/>
        </w:sectPr>
      </w:pPr>
    </w:p>
    <w:p w14:paraId="72963198">
      <w:pPr>
        <w:jc w:val="center"/>
        <w:outlineLvl w:val="0"/>
        <w:rPr>
          <w:rFonts w:hint="eastAsia"/>
          <w:b/>
          <w:sz w:val="36"/>
          <w:szCs w:val="20"/>
        </w:rPr>
      </w:pPr>
      <w:bookmarkStart w:id="3" w:name="_Toc211960295"/>
      <w:r>
        <w:rPr>
          <w:rFonts w:hint="eastAsia"/>
          <w:b/>
          <w:sz w:val="36"/>
          <w:szCs w:val="20"/>
        </w:rPr>
        <w:t>第一章</w:t>
      </w:r>
      <w:r>
        <w:rPr>
          <w:b/>
          <w:sz w:val="36"/>
          <w:szCs w:val="20"/>
        </w:rPr>
        <w:t xml:space="preserve">  </w:t>
      </w:r>
      <w:r>
        <w:rPr>
          <w:rFonts w:hint="eastAsia"/>
          <w:b/>
          <w:sz w:val="36"/>
          <w:szCs w:val="20"/>
        </w:rPr>
        <w:t>招标公告</w:t>
      </w:r>
      <w:bookmarkEnd w:id="2"/>
      <w:bookmarkEnd w:id="3"/>
    </w:p>
    <w:p w14:paraId="18652395">
      <w:pPr>
        <w:pStyle w:val="11"/>
        <w:jc w:val="center"/>
        <w:rPr>
          <w:rFonts w:hint="eastAsia" w:hAnsi="宋体"/>
          <w:b/>
          <w:color w:val="auto"/>
          <w:sz w:val="32"/>
          <w:szCs w:val="32"/>
        </w:rPr>
      </w:pPr>
      <w:r>
        <w:rPr>
          <w:rFonts w:hint="eastAsia" w:hAnsi="宋体"/>
          <w:b/>
          <w:color w:val="auto"/>
          <w:sz w:val="32"/>
          <w:szCs w:val="32"/>
        </w:rPr>
        <w:t>广西国建项目管理有限公司关于</w:t>
      </w:r>
      <w:r>
        <w:rPr>
          <w:rFonts w:hint="eastAsia" w:hAnsi="宋体"/>
          <w:b/>
          <w:color w:val="auto"/>
          <w:sz w:val="32"/>
          <w:szCs w:val="32"/>
          <w:lang w:eastAsia="zh-CN"/>
        </w:rPr>
        <w:t>南宁市第三职业技术学校2026年优质校及优质专业内涵建设服务项目</w:t>
      </w:r>
      <w:r>
        <w:rPr>
          <w:rFonts w:hint="eastAsia" w:hAnsi="宋体"/>
          <w:b/>
          <w:color w:val="auto"/>
          <w:sz w:val="32"/>
          <w:szCs w:val="32"/>
        </w:rPr>
        <w:t>（</w:t>
      </w:r>
      <w:r>
        <w:rPr>
          <w:rFonts w:hint="eastAsia" w:hAnsi="宋体"/>
          <w:b/>
          <w:color w:val="auto"/>
          <w:sz w:val="32"/>
          <w:szCs w:val="32"/>
          <w:lang w:eastAsia="zh-CN"/>
        </w:rPr>
        <w:t>NNZC2026-G3-990830-GXGJ</w:t>
      </w:r>
      <w:r>
        <w:rPr>
          <w:rFonts w:hint="eastAsia" w:hAnsi="宋体"/>
          <w:b/>
          <w:color w:val="auto"/>
          <w:sz w:val="32"/>
          <w:szCs w:val="32"/>
        </w:rPr>
        <w:t>）公开招标公告</w:t>
      </w:r>
      <w:bookmarkStart w:id="418" w:name="_GoBack"/>
      <w:bookmarkEnd w:id="418"/>
    </w:p>
    <w:p w14:paraId="5164EB5E">
      <w:pPr>
        <w:pBdr>
          <w:top w:val="single" w:color="auto" w:sz="4" w:space="1"/>
          <w:left w:val="single" w:color="auto" w:sz="4" w:space="4"/>
          <w:bottom w:val="single" w:color="auto" w:sz="4" w:space="1"/>
          <w:right w:val="single" w:color="auto" w:sz="4" w:space="4"/>
        </w:pBdr>
        <w:spacing w:line="360" w:lineRule="auto"/>
        <w:ind w:firstLine="420" w:firstLineChars="200"/>
        <w:rPr>
          <w:rFonts w:ascii="宋体" w:hAnsi="宋体"/>
          <w:szCs w:val="21"/>
        </w:rPr>
      </w:pPr>
      <w:r>
        <w:rPr>
          <w:rFonts w:hint="eastAsia" w:ascii="宋体" w:hAnsi="宋体"/>
          <w:szCs w:val="21"/>
        </w:rPr>
        <w:t>项目概况</w:t>
      </w:r>
    </w:p>
    <w:p w14:paraId="19BFF291">
      <w:pPr>
        <w:pBdr>
          <w:top w:val="single" w:color="auto" w:sz="4" w:space="1"/>
          <w:left w:val="single" w:color="auto" w:sz="4" w:space="4"/>
          <w:bottom w:val="single" w:color="auto" w:sz="4" w:space="1"/>
          <w:right w:val="single" w:color="auto" w:sz="4" w:space="4"/>
        </w:pBdr>
        <w:spacing w:line="360" w:lineRule="auto"/>
        <w:ind w:firstLine="525" w:firstLineChars="250"/>
        <w:rPr>
          <w:rFonts w:hint="eastAsia" w:ascii="宋体" w:hAnsi="宋体"/>
          <w:szCs w:val="21"/>
          <w:u w:val="single"/>
        </w:rPr>
      </w:pPr>
      <w:r>
        <w:rPr>
          <w:rFonts w:hint="eastAsia" w:ascii="宋体" w:hAnsi="宋体"/>
          <w:color w:val="auto"/>
          <w:szCs w:val="21"/>
          <w:u w:val="single"/>
        </w:rPr>
        <w:t xml:space="preserve"> </w:t>
      </w:r>
      <w:r>
        <w:rPr>
          <w:rFonts w:hint="eastAsia" w:ascii="宋体" w:hAnsi="宋体"/>
          <w:color w:val="auto"/>
          <w:szCs w:val="21"/>
          <w:u w:val="single"/>
          <w:lang w:eastAsia="zh-CN"/>
        </w:rPr>
        <w:t>南宁市第三职业技术学校2026年优质校及优质专业内涵建设服务项目</w:t>
      </w:r>
      <w:r>
        <w:rPr>
          <w:rFonts w:hint="eastAsia" w:ascii="宋体" w:hAnsi="宋体"/>
          <w:color w:val="auto"/>
          <w:szCs w:val="21"/>
          <w:u w:val="single"/>
        </w:rPr>
        <w:t xml:space="preserve"> </w:t>
      </w:r>
      <w:r>
        <w:rPr>
          <w:rFonts w:hint="eastAsia" w:ascii="宋体" w:hAnsi="宋体"/>
          <w:color w:val="auto"/>
          <w:szCs w:val="21"/>
        </w:rPr>
        <w:t>招标项</w:t>
      </w:r>
      <w:r>
        <w:rPr>
          <w:rFonts w:hint="eastAsia" w:ascii="宋体" w:hAnsi="宋体"/>
          <w:szCs w:val="21"/>
        </w:rPr>
        <w:t>目的潜在投标人应在“广西政府采购云平台”（https://www.gcy.zfcg.gxzf.gov.cn/）获取（下载）招标文件，并</w:t>
      </w:r>
      <w:r>
        <w:rPr>
          <w:rFonts w:hint="eastAsia" w:ascii="宋体" w:hAnsi="宋体"/>
          <w:szCs w:val="21"/>
          <w:u w:val="single"/>
          <w:lang w:eastAsia="zh-CN"/>
        </w:rPr>
        <w:t>2026年10月16日</w:t>
      </w:r>
      <w:r>
        <w:rPr>
          <w:rFonts w:hint="eastAsia" w:ascii="宋体" w:hAnsi="宋体"/>
          <w:szCs w:val="21"/>
          <w:u w:val="single"/>
        </w:rPr>
        <w:t>09时30分</w:t>
      </w:r>
      <w:r>
        <w:rPr>
          <w:rFonts w:hint="eastAsia" w:ascii="宋体" w:hAnsi="宋体"/>
          <w:bCs/>
          <w:szCs w:val="21"/>
        </w:rPr>
        <w:t>（北京时间）前</w:t>
      </w:r>
      <w:r>
        <w:rPr>
          <w:rFonts w:hint="eastAsia" w:ascii="宋体" w:hAnsi="宋体"/>
          <w:szCs w:val="21"/>
        </w:rPr>
        <w:t>递交（上传）投标文件。</w:t>
      </w:r>
    </w:p>
    <w:p w14:paraId="41FE275F">
      <w:pPr>
        <w:spacing w:line="360" w:lineRule="auto"/>
        <w:rPr>
          <w:rFonts w:hint="eastAsia" w:ascii="黑体" w:hAnsi="黑体" w:eastAsia="黑体"/>
          <w:b/>
          <w:bCs/>
          <w:color w:val="000000"/>
          <w:sz w:val="24"/>
        </w:rPr>
      </w:pPr>
      <w:bookmarkStart w:id="4" w:name="_Toc35393790"/>
      <w:bookmarkStart w:id="5" w:name="_Toc28359079"/>
      <w:bookmarkStart w:id="6" w:name="_Toc28359002"/>
      <w:bookmarkStart w:id="7" w:name="_Toc35393621"/>
      <w:bookmarkStart w:id="8" w:name="_Hlk24379207"/>
      <w:r>
        <w:rPr>
          <w:rFonts w:hint="eastAsia" w:ascii="宋体" w:hAnsi="宋体"/>
          <w:b/>
          <w:bCs/>
          <w:color w:val="000000"/>
          <w:szCs w:val="21"/>
        </w:rPr>
        <w:t>一、项</w:t>
      </w:r>
      <w:r>
        <w:rPr>
          <w:rFonts w:hint="eastAsia" w:ascii="黑体" w:hAnsi="黑体" w:eastAsia="黑体"/>
          <w:b/>
          <w:bCs/>
          <w:color w:val="000000"/>
          <w:sz w:val="24"/>
        </w:rPr>
        <w:t>目基本情况</w:t>
      </w:r>
      <w:bookmarkEnd w:id="4"/>
      <w:bookmarkEnd w:id="5"/>
      <w:bookmarkEnd w:id="6"/>
      <w:bookmarkEnd w:id="7"/>
    </w:p>
    <w:bookmarkEnd w:id="8"/>
    <w:p w14:paraId="557ECBAC">
      <w:pPr>
        <w:spacing w:line="360" w:lineRule="auto"/>
        <w:ind w:firstLine="420" w:firstLineChars="200"/>
        <w:rPr>
          <w:rFonts w:hint="eastAsia" w:ascii="宋体" w:hAnsi="宋体" w:eastAsia="宋体"/>
          <w:color w:val="auto"/>
          <w:szCs w:val="21"/>
          <w:lang w:eastAsia="zh-CN"/>
        </w:rPr>
      </w:pPr>
      <w:bookmarkStart w:id="9" w:name="PO_3000001866_PM004"/>
      <w:r>
        <w:rPr>
          <w:rFonts w:hint="eastAsia" w:ascii="宋体" w:hAnsi="宋体"/>
          <w:color w:val="auto"/>
          <w:szCs w:val="21"/>
        </w:rPr>
        <w:t>项目编号：</w:t>
      </w:r>
      <w:r>
        <w:rPr>
          <w:rFonts w:hint="eastAsia" w:ascii="宋体" w:hAnsi="宋体"/>
          <w:color w:val="auto"/>
          <w:szCs w:val="21"/>
          <w:lang w:eastAsia="zh-CN"/>
        </w:rPr>
        <w:t>NNZC2026-G3-990830-GXGJ</w:t>
      </w:r>
    </w:p>
    <w:p w14:paraId="28AA5779">
      <w:pPr>
        <w:spacing w:line="360" w:lineRule="auto"/>
        <w:ind w:firstLine="420" w:firstLineChars="200"/>
        <w:rPr>
          <w:rFonts w:hint="eastAsia" w:ascii="宋体" w:hAnsi="宋体" w:eastAsia="宋体"/>
          <w:color w:val="auto"/>
          <w:szCs w:val="21"/>
          <w:lang w:eastAsia="zh-CN"/>
        </w:rPr>
      </w:pPr>
      <w:r>
        <w:rPr>
          <w:rFonts w:hint="eastAsia" w:ascii="宋体" w:hAnsi="宋体"/>
          <w:color w:val="auto"/>
          <w:szCs w:val="21"/>
        </w:rPr>
        <w:t>项目名称：</w:t>
      </w:r>
      <w:r>
        <w:rPr>
          <w:rFonts w:hint="eastAsia" w:ascii="宋体" w:hAnsi="宋体"/>
          <w:color w:val="auto"/>
          <w:szCs w:val="21"/>
          <w:lang w:eastAsia="zh-CN"/>
        </w:rPr>
        <w:t>南宁市第三职业技术学校2026年优质校及优质专业内涵建设服务项目</w:t>
      </w:r>
    </w:p>
    <w:p w14:paraId="2213EFFD">
      <w:pPr>
        <w:spacing w:line="360" w:lineRule="auto"/>
        <w:ind w:firstLine="420" w:firstLineChars="200"/>
        <w:rPr>
          <w:rFonts w:hint="eastAsia" w:ascii="宋体" w:hAnsi="宋体"/>
          <w:color w:val="auto"/>
          <w:szCs w:val="21"/>
          <w:u w:val="single"/>
        </w:rPr>
      </w:pPr>
      <w:r>
        <w:rPr>
          <w:rFonts w:hint="eastAsia" w:ascii="宋体" w:hAnsi="宋体"/>
          <w:color w:val="auto"/>
          <w:szCs w:val="21"/>
        </w:rPr>
        <w:t>预算金额：</w:t>
      </w:r>
      <w:r>
        <w:rPr>
          <w:rFonts w:hint="eastAsia" w:ascii="宋体" w:hAnsi="宋体"/>
          <w:color w:val="auto"/>
          <w:szCs w:val="21"/>
          <w:lang w:val="en-US" w:eastAsia="zh-CN"/>
        </w:rPr>
        <w:t>105.00</w:t>
      </w:r>
      <w:r>
        <w:rPr>
          <w:rFonts w:hint="eastAsia" w:ascii="宋体" w:hAnsi="宋体"/>
          <w:color w:val="auto"/>
          <w:szCs w:val="21"/>
        </w:rPr>
        <w:t>万元</w:t>
      </w:r>
    </w:p>
    <w:p w14:paraId="6E90A4A7">
      <w:pPr>
        <w:spacing w:line="380" w:lineRule="exact"/>
        <w:ind w:firstLine="420" w:firstLineChars="200"/>
        <w:rPr>
          <w:rFonts w:hint="eastAsia" w:ascii="宋体" w:hAnsi="宋体" w:eastAsia="宋体" w:cs="宋体"/>
          <w:color w:val="auto"/>
          <w:lang w:eastAsia="zh-CN"/>
        </w:rPr>
      </w:pPr>
      <w:r>
        <w:rPr>
          <w:rFonts w:hint="eastAsia" w:ascii="宋体" w:hAnsi="宋体" w:cs="宋体"/>
          <w:color w:val="auto"/>
          <w:szCs w:val="21"/>
          <w:lang w:bidi="ar"/>
        </w:rPr>
        <w:t>最高限价（如有）：</w:t>
      </w:r>
      <w:r>
        <w:rPr>
          <w:rFonts w:hint="eastAsia" w:ascii="宋体" w:hAnsi="宋体" w:cs="宋体"/>
          <w:color w:val="auto"/>
          <w:szCs w:val="21"/>
          <w:lang w:val="en-US" w:eastAsia="zh-CN" w:bidi="ar"/>
        </w:rPr>
        <w:t>无</w:t>
      </w:r>
    </w:p>
    <w:p w14:paraId="5D1DD0FE">
      <w:pPr>
        <w:spacing w:line="360" w:lineRule="auto"/>
        <w:ind w:firstLine="420" w:firstLineChars="200"/>
        <w:rPr>
          <w:rFonts w:hint="eastAsia" w:ascii="宋体" w:hAnsi="宋体"/>
          <w:szCs w:val="21"/>
        </w:rPr>
      </w:pPr>
      <w:r>
        <w:rPr>
          <w:rFonts w:hint="eastAsia" w:ascii="宋体" w:hAnsi="宋体"/>
          <w:szCs w:val="21"/>
        </w:rPr>
        <w:t>采购需求：</w:t>
      </w:r>
      <w:r>
        <w:rPr>
          <w:rFonts w:hint="eastAsia" w:ascii="宋体" w:hAnsi="宋体" w:eastAsia="宋体" w:cs="宋体"/>
          <w:kern w:val="2"/>
          <w:sz w:val="21"/>
          <w:szCs w:val="21"/>
          <w:highlight w:val="none"/>
          <w:lang w:val="en-US" w:eastAsia="zh-CN" w:bidi="ar-SA"/>
        </w:rPr>
        <w:t>清真、东盟特色餐饮2门特色课程建设</w:t>
      </w:r>
      <w:r>
        <w:rPr>
          <w:rFonts w:hint="eastAsia" w:ascii="宋体" w:hAnsi="宋体" w:cs="宋体"/>
          <w:kern w:val="2"/>
          <w:sz w:val="21"/>
          <w:szCs w:val="21"/>
          <w:highlight w:val="none"/>
          <w:lang w:val="en-US" w:eastAsia="zh-CN" w:bidi="ar-SA"/>
        </w:rPr>
        <w:t>、</w:t>
      </w:r>
      <w:r>
        <w:rPr>
          <w:rFonts w:hint="eastAsia" w:ascii="宋体" w:hAnsi="宋体" w:eastAsia="宋体" w:cs="宋体"/>
          <w:kern w:val="2"/>
          <w:sz w:val="21"/>
          <w:szCs w:val="21"/>
          <w:highlight w:val="none"/>
          <w:lang w:val="en-US" w:eastAsia="zh-CN" w:bidi="ar-SA"/>
        </w:rPr>
        <w:t>专利申报</w:t>
      </w:r>
      <w:r>
        <w:rPr>
          <w:rFonts w:hint="eastAsia" w:ascii="宋体" w:hAnsi="宋体" w:cs="宋体"/>
          <w:kern w:val="2"/>
          <w:sz w:val="21"/>
          <w:szCs w:val="21"/>
          <w:highlight w:val="none"/>
          <w:lang w:val="en-US" w:eastAsia="zh-CN" w:bidi="ar-SA"/>
        </w:rPr>
        <w:t>指导5个、</w:t>
      </w:r>
      <w:r>
        <w:rPr>
          <w:rFonts w:hint="default" w:ascii="宋体" w:hAnsi="宋体" w:eastAsia="宋体" w:cs="宋体"/>
          <w:kern w:val="2"/>
          <w:sz w:val="21"/>
          <w:szCs w:val="21"/>
          <w:highlight w:val="none"/>
          <w:lang w:val="en-US" w:eastAsia="zh-CN" w:bidi="ar-SA"/>
        </w:rPr>
        <w:t>师资队伍建设</w:t>
      </w:r>
      <w:r>
        <w:rPr>
          <w:rFonts w:hint="eastAsia" w:ascii="宋体" w:hAnsi="宋体" w:cs="Times New Roman"/>
          <w:kern w:val="2"/>
          <w:sz w:val="21"/>
          <w:szCs w:val="21"/>
          <w:lang w:val="en-US" w:eastAsia="zh-CN" w:bidi="ar-SA"/>
        </w:rPr>
        <w:t>8</w:t>
      </w:r>
      <w:r>
        <w:rPr>
          <w:rFonts w:hint="eastAsia" w:ascii="宋体" w:hAnsi="宋体" w:cs="宋体"/>
          <w:kern w:val="2"/>
          <w:sz w:val="21"/>
          <w:szCs w:val="21"/>
          <w:highlight w:val="none"/>
          <w:lang w:val="en-US" w:eastAsia="zh-CN" w:bidi="ar-SA"/>
        </w:rPr>
        <w:t>组、</w:t>
      </w:r>
      <w:r>
        <w:rPr>
          <w:rFonts w:hint="eastAsia" w:ascii="宋体" w:hAnsi="宋体" w:eastAsia="宋体" w:cs="宋体"/>
          <w:kern w:val="2"/>
          <w:sz w:val="21"/>
          <w:szCs w:val="21"/>
          <w:highlight w:val="none"/>
          <w:lang w:val="en-US" w:eastAsia="zh-CN" w:bidi="ar-SA"/>
        </w:rPr>
        <w:t>师资队伍建设（班主任比赛作品指导）</w:t>
      </w:r>
      <w:r>
        <w:rPr>
          <w:rFonts w:hint="eastAsia" w:ascii="宋体" w:hAnsi="宋体" w:cs="Times New Roman"/>
          <w:kern w:val="2"/>
          <w:sz w:val="21"/>
          <w:szCs w:val="21"/>
          <w:lang w:val="en-US" w:eastAsia="zh-CN" w:bidi="ar-SA"/>
        </w:rPr>
        <w:t>1</w:t>
      </w:r>
      <w:r>
        <w:rPr>
          <w:rFonts w:hint="eastAsia" w:ascii="宋体" w:hAnsi="宋体" w:cs="宋体"/>
          <w:kern w:val="2"/>
          <w:sz w:val="21"/>
          <w:szCs w:val="21"/>
          <w:highlight w:val="none"/>
          <w:lang w:val="en-US" w:eastAsia="zh-CN" w:bidi="ar-SA"/>
        </w:rPr>
        <w:t>项、</w:t>
      </w:r>
      <w:r>
        <w:rPr>
          <w:rFonts w:hint="eastAsia" w:ascii="宋体" w:hAnsi="宋体" w:eastAsia="宋体" w:cs="宋体"/>
          <w:b w:val="0"/>
          <w:bCs w:val="0"/>
          <w:i w:val="0"/>
          <w:iCs w:val="0"/>
          <w:color w:val="000000"/>
          <w:kern w:val="2"/>
          <w:sz w:val="21"/>
          <w:szCs w:val="21"/>
          <w:u w:val="none"/>
          <w:lang w:val="en-US" w:eastAsia="zh-CN" w:bidi="ar-SA"/>
        </w:rPr>
        <w:t>提升学校管理水平</w:t>
      </w:r>
      <w:r>
        <w:rPr>
          <w:rFonts w:hint="eastAsia" w:ascii="宋体" w:hAnsi="宋体" w:cs="Times New Roman"/>
          <w:kern w:val="2"/>
          <w:sz w:val="21"/>
          <w:szCs w:val="21"/>
          <w:lang w:val="en-US" w:eastAsia="zh-CN" w:bidi="ar-SA"/>
        </w:rPr>
        <w:t>1</w:t>
      </w:r>
      <w:r>
        <w:rPr>
          <w:rFonts w:hint="eastAsia" w:ascii="宋体" w:hAnsi="宋体" w:cs="宋体"/>
          <w:kern w:val="2"/>
          <w:sz w:val="21"/>
          <w:szCs w:val="21"/>
          <w:highlight w:val="none"/>
          <w:lang w:val="en-US" w:eastAsia="zh-CN" w:bidi="ar-SA"/>
        </w:rPr>
        <w:t>项、</w:t>
      </w:r>
      <w:r>
        <w:rPr>
          <w:rFonts w:hint="eastAsia" w:ascii="宋体" w:hAnsi="宋体" w:eastAsia="宋体" w:cs="宋体"/>
          <w:b w:val="0"/>
          <w:bCs w:val="0"/>
          <w:i w:val="0"/>
          <w:iCs w:val="0"/>
          <w:color w:val="000000"/>
          <w:kern w:val="2"/>
          <w:sz w:val="21"/>
          <w:szCs w:val="21"/>
          <w:u w:val="none"/>
          <w:lang w:val="en-US" w:eastAsia="zh-CN" w:bidi="ar-SA"/>
        </w:rPr>
        <w:t>课程思政示范课</w:t>
      </w:r>
      <w:r>
        <w:rPr>
          <w:rFonts w:hint="eastAsia" w:ascii="宋体" w:hAnsi="宋体"/>
          <w:szCs w:val="21"/>
          <w:lang w:val="en-US" w:eastAsia="zh-CN"/>
        </w:rPr>
        <w:t>2</w:t>
      </w:r>
      <w:r>
        <w:rPr>
          <w:rFonts w:hint="eastAsia" w:ascii="宋体" w:hAnsi="宋体" w:cs="宋体"/>
          <w:kern w:val="2"/>
          <w:sz w:val="21"/>
          <w:szCs w:val="21"/>
          <w:highlight w:val="none"/>
          <w:lang w:val="en-US" w:eastAsia="zh-CN" w:bidi="ar-SA"/>
        </w:rPr>
        <w:t>门、</w:t>
      </w:r>
      <w:r>
        <w:rPr>
          <w:rFonts w:hint="eastAsia" w:ascii="宋体" w:hAnsi="宋体" w:eastAsia="宋体" w:cs="宋体"/>
          <w:b w:val="0"/>
          <w:bCs w:val="0"/>
          <w:i w:val="0"/>
          <w:iCs w:val="0"/>
          <w:color w:val="000000"/>
          <w:kern w:val="2"/>
          <w:sz w:val="21"/>
          <w:szCs w:val="21"/>
          <w:u w:val="none"/>
          <w:lang w:val="en-US" w:eastAsia="zh-CN" w:bidi="ar-SA"/>
        </w:rPr>
        <w:t>师生技能大赛</w:t>
      </w:r>
      <w:r>
        <w:rPr>
          <w:rFonts w:hint="eastAsia" w:ascii="宋体" w:hAnsi="宋体"/>
          <w:szCs w:val="21"/>
          <w:lang w:val="en-US" w:eastAsia="zh-CN"/>
        </w:rPr>
        <w:t>4</w:t>
      </w:r>
      <w:r>
        <w:rPr>
          <w:rFonts w:hint="eastAsia" w:ascii="宋体" w:hAnsi="宋体" w:eastAsia="宋体" w:cs="宋体"/>
          <w:kern w:val="2"/>
          <w:sz w:val="21"/>
          <w:szCs w:val="21"/>
          <w:highlight w:val="none"/>
          <w:lang w:val="en-US" w:eastAsia="zh-CN" w:bidi="ar-SA"/>
        </w:rPr>
        <w:t>项</w:t>
      </w:r>
      <w:r>
        <w:rPr>
          <w:rFonts w:hint="eastAsia" w:ascii="宋体" w:hAnsi="宋体" w:cs="宋体"/>
          <w:kern w:val="2"/>
          <w:sz w:val="21"/>
          <w:szCs w:val="21"/>
          <w:highlight w:val="none"/>
          <w:lang w:val="en-US" w:eastAsia="zh-CN" w:bidi="ar-SA"/>
        </w:rPr>
        <w:t>、</w:t>
      </w:r>
      <w:r>
        <w:rPr>
          <w:rFonts w:hint="eastAsia" w:ascii="宋体" w:hAnsi="宋体" w:eastAsia="宋体" w:cs="宋体"/>
          <w:b w:val="0"/>
          <w:bCs w:val="0"/>
          <w:i w:val="0"/>
          <w:iCs w:val="0"/>
          <w:color w:val="000000"/>
          <w:kern w:val="2"/>
          <w:sz w:val="21"/>
          <w:szCs w:val="21"/>
          <w:u w:val="none"/>
          <w:lang w:val="en-US" w:eastAsia="zh-CN" w:bidi="ar-SA"/>
        </w:rPr>
        <w:t>科研能力提升</w:t>
      </w:r>
      <w:r>
        <w:rPr>
          <w:rFonts w:hint="eastAsia" w:ascii="宋体" w:hAnsi="宋体" w:cs="Times New Roman"/>
          <w:kern w:val="2"/>
          <w:sz w:val="21"/>
          <w:szCs w:val="21"/>
          <w:lang w:val="en-US" w:eastAsia="zh-CN" w:bidi="ar-SA"/>
        </w:rPr>
        <w:t>1</w:t>
      </w:r>
      <w:r>
        <w:rPr>
          <w:rFonts w:hint="eastAsia" w:ascii="宋体" w:hAnsi="宋体" w:cs="宋体"/>
          <w:kern w:val="2"/>
          <w:sz w:val="21"/>
          <w:szCs w:val="21"/>
          <w:highlight w:val="none"/>
          <w:lang w:val="en-US" w:eastAsia="zh-CN" w:bidi="ar-SA"/>
        </w:rPr>
        <w:t>项、</w:t>
      </w:r>
      <w:r>
        <w:rPr>
          <w:rFonts w:hint="eastAsia" w:ascii="宋体" w:hAnsi="宋体" w:eastAsia="宋体" w:cs="宋体"/>
          <w:b w:val="0"/>
          <w:bCs w:val="0"/>
          <w:i w:val="0"/>
          <w:iCs w:val="0"/>
          <w:color w:val="000000"/>
          <w:kern w:val="2"/>
          <w:sz w:val="21"/>
          <w:szCs w:val="21"/>
          <w:u w:val="none"/>
          <w:lang w:val="en-US" w:eastAsia="zh-CN" w:bidi="ar-SA"/>
        </w:rPr>
        <w:t>教师队伍建设</w:t>
      </w:r>
      <w:r>
        <w:rPr>
          <w:rFonts w:hint="eastAsia" w:ascii="宋体" w:hAnsi="宋体" w:cs="Times New Roman"/>
          <w:kern w:val="2"/>
          <w:sz w:val="21"/>
          <w:szCs w:val="21"/>
          <w:lang w:val="en-US" w:eastAsia="zh-CN" w:bidi="ar-SA"/>
        </w:rPr>
        <w:t>1</w:t>
      </w:r>
      <w:r>
        <w:rPr>
          <w:rFonts w:hint="eastAsia" w:ascii="宋体" w:hAnsi="宋体" w:cs="宋体"/>
          <w:kern w:val="2"/>
          <w:sz w:val="21"/>
          <w:szCs w:val="21"/>
          <w:highlight w:val="none"/>
          <w:lang w:val="en-US" w:eastAsia="zh-CN" w:bidi="ar-SA"/>
        </w:rPr>
        <w:t>项、</w:t>
      </w:r>
      <w:r>
        <w:rPr>
          <w:rFonts w:hint="eastAsia" w:ascii="宋体" w:hAnsi="宋体" w:eastAsia="宋体" w:cs="宋体"/>
          <w:b w:val="0"/>
          <w:bCs w:val="0"/>
          <w:i w:val="0"/>
          <w:iCs w:val="0"/>
          <w:color w:val="000000"/>
          <w:kern w:val="2"/>
          <w:sz w:val="21"/>
          <w:szCs w:val="21"/>
          <w:u w:val="none"/>
          <w:lang w:val="en-US" w:eastAsia="zh-CN" w:bidi="ar-SA"/>
        </w:rPr>
        <w:t>开发烹饪专业群国际化课程1门</w:t>
      </w:r>
      <w:r>
        <w:rPr>
          <w:rFonts w:hint="eastAsia" w:ascii="宋体" w:hAnsi="宋体"/>
          <w:szCs w:val="21"/>
        </w:rPr>
        <w:t>；</w:t>
      </w:r>
      <w:r>
        <w:rPr>
          <w:rFonts w:hint="eastAsia" w:ascii="宋体" w:hAnsi="宋体" w:cs="宋体"/>
        </w:rPr>
        <w:t>如需进一步了解详细内容，详见招标文件。</w:t>
      </w:r>
    </w:p>
    <w:bookmarkEnd w:id="9"/>
    <w:p w14:paraId="7D516EF9">
      <w:pPr>
        <w:spacing w:line="360" w:lineRule="auto"/>
        <w:ind w:firstLine="420" w:firstLineChars="200"/>
        <w:rPr>
          <w:rFonts w:hint="eastAsia" w:ascii="宋体" w:hAnsi="宋体"/>
          <w:szCs w:val="21"/>
          <w:highlight w:val="none"/>
          <w:u w:val="single"/>
        </w:rPr>
      </w:pPr>
      <w:bookmarkStart w:id="10" w:name="_Toc28359003"/>
      <w:bookmarkStart w:id="11" w:name="_Toc35393791"/>
      <w:bookmarkStart w:id="12" w:name="_Toc28359080"/>
      <w:bookmarkStart w:id="13" w:name="_Toc35393622"/>
      <w:r>
        <w:rPr>
          <w:rFonts w:hint="eastAsia" w:ascii="宋体" w:hAnsi="宋体"/>
          <w:szCs w:val="21"/>
          <w:highlight w:val="none"/>
        </w:rPr>
        <w:t>合同履行期限：详见采购需求。</w:t>
      </w:r>
    </w:p>
    <w:p w14:paraId="6937CA07">
      <w:pPr>
        <w:spacing w:line="360" w:lineRule="auto"/>
        <w:ind w:firstLine="420" w:firstLineChars="200"/>
        <w:rPr>
          <w:rFonts w:hint="eastAsia" w:ascii="宋体" w:hAnsi="宋体"/>
          <w:szCs w:val="21"/>
        </w:rPr>
      </w:pPr>
      <w:r>
        <w:rPr>
          <w:rFonts w:hint="eastAsia" w:ascii="宋体" w:hAnsi="宋体"/>
          <w:szCs w:val="21"/>
        </w:rPr>
        <w:t>本项目</w:t>
      </w:r>
      <w:r>
        <w:rPr>
          <w:rFonts w:hint="eastAsia" w:ascii="宋体" w:hAnsi="宋体" w:cs="Cambria Math"/>
          <w:szCs w:val="21"/>
          <w:lang w:bidi="ar"/>
        </w:rPr>
        <w:t>是否</w:t>
      </w:r>
      <w:r>
        <w:rPr>
          <w:rFonts w:hint="eastAsia" w:ascii="宋体" w:hAnsi="宋体"/>
          <w:szCs w:val="21"/>
        </w:rPr>
        <w:t>接受联合体投标：□是/</w:t>
      </w:r>
      <w:r>
        <w:rPr>
          <w:rFonts w:hint="eastAsia" w:ascii="Segoe UI Symbol" w:hAnsi="Segoe UI Symbol" w:cs="Segoe UI Symbol"/>
          <w:szCs w:val="21"/>
        </w:rPr>
        <w:t>☑</w:t>
      </w:r>
      <w:r>
        <w:rPr>
          <w:rFonts w:hint="eastAsia" w:ascii="宋体" w:hAnsi="宋体"/>
          <w:szCs w:val="21"/>
        </w:rPr>
        <w:t>否。</w:t>
      </w:r>
    </w:p>
    <w:p w14:paraId="33268274">
      <w:pPr>
        <w:spacing w:line="360" w:lineRule="auto"/>
        <w:rPr>
          <w:rFonts w:hint="eastAsia" w:ascii="黑体" w:hAnsi="黑体" w:eastAsia="黑体"/>
          <w:b/>
          <w:bCs/>
          <w:color w:val="000000"/>
          <w:sz w:val="24"/>
        </w:rPr>
      </w:pPr>
      <w:r>
        <w:rPr>
          <w:rFonts w:hint="eastAsia" w:ascii="黑体" w:hAnsi="黑体" w:eastAsia="黑体"/>
          <w:b/>
          <w:bCs/>
          <w:color w:val="000000"/>
          <w:sz w:val="24"/>
        </w:rPr>
        <w:t>二、投标人的资格要求：</w:t>
      </w:r>
      <w:bookmarkEnd w:id="10"/>
      <w:bookmarkEnd w:id="11"/>
      <w:bookmarkEnd w:id="12"/>
      <w:bookmarkEnd w:id="13"/>
    </w:p>
    <w:p w14:paraId="7B4DE37E">
      <w:pPr>
        <w:spacing w:line="360" w:lineRule="auto"/>
        <w:ind w:firstLine="420" w:firstLineChars="200"/>
        <w:rPr>
          <w:rFonts w:hint="eastAsia" w:ascii="宋体" w:hAnsi="宋体"/>
          <w:color w:val="000000"/>
          <w:szCs w:val="21"/>
        </w:rPr>
      </w:pPr>
      <w:r>
        <w:rPr>
          <w:rFonts w:hint="eastAsia" w:ascii="宋体" w:hAnsi="宋体"/>
          <w:color w:val="000000"/>
          <w:szCs w:val="21"/>
        </w:rPr>
        <w:t>1.满足《中华人民共和国政府采购法》第二十二条规定；</w:t>
      </w:r>
    </w:p>
    <w:p w14:paraId="2F12306F">
      <w:pPr>
        <w:spacing w:line="360" w:lineRule="auto"/>
        <w:ind w:firstLine="420" w:firstLineChars="200"/>
        <w:rPr>
          <w:rFonts w:hint="eastAsia" w:ascii="宋体" w:hAnsi="宋体"/>
          <w:color w:val="000000"/>
          <w:szCs w:val="21"/>
        </w:rPr>
      </w:pPr>
      <w:bookmarkStart w:id="14" w:name="_Toc28359081"/>
      <w:bookmarkStart w:id="15" w:name="_Toc28359004"/>
      <w:r>
        <w:rPr>
          <w:rFonts w:hint="eastAsia" w:ascii="宋体" w:hAnsi="宋体"/>
          <w:color w:val="000000"/>
          <w:szCs w:val="21"/>
        </w:rPr>
        <w:t>2.落实政府采购政策需满足的资格要求：</w:t>
      </w:r>
    </w:p>
    <w:p w14:paraId="187674F4">
      <w:pPr>
        <w:spacing w:line="360" w:lineRule="auto"/>
        <w:ind w:firstLine="420" w:firstLineChars="200"/>
        <w:rPr>
          <w:rFonts w:hint="eastAsia" w:ascii="宋体" w:hAnsi="宋体"/>
          <w:color w:val="000000"/>
          <w:szCs w:val="21"/>
        </w:rPr>
      </w:pPr>
      <w:r>
        <w:rPr>
          <w:rFonts w:hint="eastAsia" w:ascii="宋体" w:hAnsi="宋体"/>
          <w:color w:val="000000"/>
          <w:szCs w:val="21"/>
          <w:lang w:eastAsia="zh-CN"/>
        </w:rPr>
        <w:t>☑</w:t>
      </w:r>
      <w:r>
        <w:rPr>
          <w:rFonts w:hint="eastAsia" w:ascii="宋体" w:hAnsi="宋体"/>
          <w:color w:val="000000"/>
          <w:szCs w:val="21"/>
        </w:rPr>
        <w:t>专门面向中小企业采购的项目（供应商应为中小微企业或监狱企业或残疾人福利性单位)</w:t>
      </w:r>
    </w:p>
    <w:p w14:paraId="36154CC2">
      <w:pPr>
        <w:spacing w:line="360" w:lineRule="auto"/>
        <w:ind w:firstLine="420" w:firstLineChars="200"/>
        <w:rPr>
          <w:rFonts w:hint="eastAsia" w:ascii="宋体" w:hAnsi="宋体"/>
          <w:color w:val="000000"/>
          <w:szCs w:val="21"/>
        </w:rPr>
      </w:pPr>
      <w:r>
        <w:rPr>
          <w:rFonts w:hint="eastAsia" w:ascii="MS Gothic" w:hAnsi="MS Gothic" w:eastAsia="宋体" w:cs="MS Gothic"/>
          <w:szCs w:val="21"/>
          <w:lang w:eastAsia="zh-CN"/>
        </w:rPr>
        <w:t>□</w:t>
      </w:r>
      <w:r>
        <w:rPr>
          <w:rFonts w:hint="eastAsia" w:ascii="宋体" w:hAnsi="宋体"/>
          <w:color w:val="000000"/>
          <w:szCs w:val="21"/>
        </w:rPr>
        <w:t>非专门面向中小企业采购的项目</w:t>
      </w:r>
    </w:p>
    <w:p w14:paraId="28279744">
      <w:pPr>
        <w:spacing w:line="360" w:lineRule="auto"/>
        <w:ind w:firstLine="420" w:firstLineChars="200"/>
        <w:rPr>
          <w:rFonts w:hint="eastAsia" w:ascii="宋体" w:hAnsi="宋体"/>
          <w:color w:val="000000"/>
          <w:szCs w:val="21"/>
          <w:u w:val="single"/>
        </w:rPr>
      </w:pPr>
      <w:r>
        <w:rPr>
          <w:rFonts w:hint="eastAsia" w:ascii="宋体" w:hAnsi="宋体"/>
          <w:color w:val="000000"/>
          <w:szCs w:val="21"/>
        </w:rPr>
        <w:t>3.本项目的特定资格要求：</w:t>
      </w:r>
      <w:bookmarkStart w:id="16" w:name="PO_3000001866_PM006"/>
      <w:r>
        <w:rPr>
          <w:rFonts w:hint="eastAsia" w:ascii="宋体" w:hAnsi="宋体"/>
          <w:color w:val="000000"/>
          <w:szCs w:val="21"/>
        </w:rPr>
        <w:t>无。</w:t>
      </w:r>
      <w:bookmarkEnd w:id="16"/>
    </w:p>
    <w:p w14:paraId="71EDE136">
      <w:pPr>
        <w:spacing w:line="360" w:lineRule="auto"/>
        <w:rPr>
          <w:rFonts w:hint="eastAsia" w:ascii="黑体" w:hAnsi="黑体" w:eastAsia="黑体"/>
          <w:b/>
          <w:bCs/>
          <w:color w:val="000000"/>
          <w:sz w:val="24"/>
        </w:rPr>
      </w:pPr>
      <w:bookmarkStart w:id="17" w:name="_Toc35393623"/>
      <w:bookmarkStart w:id="18" w:name="_Toc35393792"/>
      <w:r>
        <w:rPr>
          <w:rFonts w:hint="eastAsia" w:ascii="黑体" w:hAnsi="黑体" w:eastAsia="黑体"/>
          <w:b/>
          <w:bCs/>
          <w:color w:val="000000"/>
          <w:sz w:val="24"/>
        </w:rPr>
        <w:t>三、获取招标文件</w:t>
      </w:r>
      <w:bookmarkEnd w:id="14"/>
      <w:bookmarkEnd w:id="15"/>
      <w:bookmarkEnd w:id="17"/>
      <w:bookmarkEnd w:id="18"/>
    </w:p>
    <w:p w14:paraId="617A56C2">
      <w:pPr>
        <w:snapToGrid w:val="0"/>
        <w:spacing w:line="360" w:lineRule="auto"/>
        <w:ind w:firstLine="472" w:firstLineChars="225"/>
        <w:rPr>
          <w:rFonts w:hint="eastAsia" w:ascii="宋体" w:hAnsi="宋体"/>
          <w:color w:val="000000"/>
          <w:szCs w:val="21"/>
        </w:rPr>
      </w:pPr>
      <w:bookmarkStart w:id="19" w:name="_Toc28359005"/>
      <w:bookmarkStart w:id="20" w:name="_Toc28359082"/>
      <w:bookmarkStart w:id="21" w:name="_Toc35393624"/>
      <w:bookmarkStart w:id="22" w:name="_Toc35393793"/>
      <w:r>
        <w:rPr>
          <w:rFonts w:hint="eastAsia" w:ascii="宋体" w:hAnsi="宋体"/>
          <w:color w:val="000000"/>
          <w:szCs w:val="21"/>
        </w:rPr>
        <w:t>1.时间：自公告发布之日起。</w:t>
      </w:r>
    </w:p>
    <w:p w14:paraId="5B4FEBD2">
      <w:pPr>
        <w:spacing w:line="360" w:lineRule="auto"/>
        <w:ind w:firstLine="420" w:firstLineChars="200"/>
        <w:rPr>
          <w:rFonts w:ascii="宋体" w:hAnsi="宋体"/>
          <w:color w:val="000000"/>
          <w:szCs w:val="21"/>
        </w:rPr>
      </w:pPr>
      <w:r>
        <w:rPr>
          <w:rFonts w:hint="eastAsia" w:ascii="宋体" w:hAnsi="宋体"/>
          <w:color w:val="000000"/>
          <w:szCs w:val="21"/>
        </w:rPr>
        <w:t>2.地点：</w:t>
      </w:r>
      <w:r>
        <w:rPr>
          <w:rFonts w:hint="eastAsia" w:ascii="宋体" w:hAnsi="宋体"/>
        </w:rPr>
        <w:t>“广西政府采购云平台”。</w:t>
      </w:r>
    </w:p>
    <w:p w14:paraId="5922DB79">
      <w:pPr>
        <w:spacing w:line="360" w:lineRule="auto"/>
        <w:ind w:firstLine="420" w:firstLineChars="200"/>
        <w:rPr>
          <w:rFonts w:hint="eastAsia" w:ascii="黑体" w:hAnsi="黑体" w:eastAsia="黑体"/>
          <w:b/>
          <w:bCs/>
          <w:color w:val="000000"/>
          <w:sz w:val="24"/>
        </w:rPr>
      </w:pPr>
      <w:r>
        <w:rPr>
          <w:rFonts w:hint="eastAsia" w:ascii="宋体" w:hAnsi="宋体"/>
          <w:color w:val="000000"/>
          <w:szCs w:val="21"/>
        </w:rPr>
        <w:t>3.获取方式：网上下载。本项目不发放纸质文件，供应商可自行在</w:t>
      </w:r>
      <w:r>
        <w:rPr>
          <w:rFonts w:hint="eastAsia" w:ascii="宋体" w:hAnsi="宋体"/>
          <w:color w:val="000000"/>
          <w:szCs w:val="21"/>
        </w:rPr>
        <w:fldChar w:fldCharType="begin"/>
      </w:r>
      <w:r>
        <w:rPr>
          <w:rFonts w:hint="eastAsia" w:ascii="宋体" w:hAnsi="宋体"/>
          <w:color w:val="000000"/>
          <w:szCs w:val="21"/>
        </w:rPr>
        <w:instrText xml:space="preserve"> HYPERLINK "" </w:instrText>
      </w:r>
      <w:r>
        <w:rPr>
          <w:rFonts w:ascii="宋体" w:hAnsi="宋体"/>
          <w:color w:val="000000"/>
          <w:szCs w:val="21"/>
        </w:rPr>
        <w:fldChar w:fldCharType="separate"/>
      </w:r>
      <w:r>
        <w:rPr>
          <w:rFonts w:hint="eastAsia" w:ascii="宋体" w:hAnsi="宋体"/>
          <w:color w:val="000000"/>
          <w:szCs w:val="21"/>
        </w:rPr>
        <w:fldChar w:fldCharType="end"/>
      </w:r>
      <w:r>
        <w:rPr>
          <w:rFonts w:hint="eastAsia" w:ascii="宋体" w:hAnsi="宋体"/>
          <w:color w:val="000000"/>
          <w:szCs w:val="21"/>
        </w:rPr>
        <w:t>“广西政府采购云平台”（https://www.gcy.zfcg.gxzf.gov.cn/）下载招标文件</w:t>
      </w:r>
      <w:r>
        <w:rPr>
          <w:rFonts w:hint="eastAsia" w:ascii="宋体" w:hAnsi="宋体"/>
          <w:szCs w:val="21"/>
        </w:rPr>
        <w:t>。</w:t>
      </w:r>
      <w:r>
        <w:rPr>
          <w:rFonts w:hint="eastAsia" w:ascii="宋体" w:hAnsi="宋体"/>
          <w:color w:val="000000"/>
          <w:szCs w:val="21"/>
        </w:rPr>
        <w:t>电子投标文件制作需要基于</w:t>
      </w:r>
      <w:r>
        <w:rPr>
          <w:rFonts w:hint="eastAsia" w:ascii="宋体" w:hAnsi="宋体"/>
          <w:szCs w:val="21"/>
        </w:rPr>
        <w:t>“广西政府采购云平台”（https://www.gcy.zfcg.gxzf.gov.cn/）</w:t>
      </w:r>
      <w:r>
        <w:rPr>
          <w:rFonts w:hint="eastAsia" w:ascii="宋体" w:hAnsi="宋体"/>
          <w:color w:val="000000"/>
          <w:szCs w:val="21"/>
        </w:rPr>
        <w:t>获取的招标文件编制。</w:t>
      </w:r>
    </w:p>
    <w:p w14:paraId="00D7ED47">
      <w:pPr>
        <w:snapToGrid w:val="0"/>
        <w:spacing w:line="360" w:lineRule="auto"/>
        <w:ind w:firstLine="472" w:firstLineChars="225"/>
        <w:rPr>
          <w:rFonts w:hint="eastAsia" w:ascii="宋体" w:hAnsi="宋体"/>
          <w:color w:val="000000"/>
          <w:szCs w:val="21"/>
        </w:rPr>
      </w:pPr>
      <w:r>
        <w:rPr>
          <w:rFonts w:hint="eastAsia" w:ascii="宋体" w:hAnsi="宋体"/>
          <w:color w:val="000000"/>
          <w:szCs w:val="21"/>
        </w:rPr>
        <w:t>4.售价：0元。</w:t>
      </w:r>
    </w:p>
    <w:p w14:paraId="110CDBEE">
      <w:pPr>
        <w:spacing w:line="360" w:lineRule="auto"/>
        <w:rPr>
          <w:rFonts w:hint="eastAsia" w:ascii="黑体" w:hAnsi="黑体" w:eastAsia="黑体"/>
          <w:b/>
          <w:bCs/>
          <w:color w:val="000000"/>
          <w:sz w:val="24"/>
        </w:rPr>
      </w:pPr>
      <w:r>
        <w:rPr>
          <w:rFonts w:hint="eastAsia" w:ascii="黑体" w:hAnsi="黑体" w:eastAsia="黑体"/>
          <w:b/>
          <w:bCs/>
          <w:color w:val="000000"/>
          <w:sz w:val="24"/>
        </w:rPr>
        <w:t>四、提交投标文件</w:t>
      </w:r>
      <w:bookmarkEnd w:id="19"/>
      <w:bookmarkEnd w:id="20"/>
      <w:r>
        <w:rPr>
          <w:rFonts w:hint="eastAsia" w:ascii="黑体" w:hAnsi="黑体" w:eastAsia="黑体"/>
          <w:b/>
          <w:bCs/>
          <w:color w:val="000000"/>
          <w:sz w:val="24"/>
        </w:rPr>
        <w:t>截止时间、开标时间和地点</w:t>
      </w:r>
      <w:bookmarkEnd w:id="21"/>
      <w:bookmarkEnd w:id="22"/>
    </w:p>
    <w:p w14:paraId="4250F9D5">
      <w:pPr>
        <w:spacing w:line="360" w:lineRule="auto"/>
        <w:ind w:firstLine="420" w:firstLineChars="200"/>
        <w:rPr>
          <w:rFonts w:hint="eastAsia" w:ascii="宋体" w:hAnsi="宋体" w:cs="宋体"/>
          <w:color w:val="000000"/>
          <w:szCs w:val="21"/>
          <w:u w:val="single"/>
        </w:rPr>
      </w:pPr>
      <w:r>
        <w:rPr>
          <w:rFonts w:hint="eastAsia" w:ascii="宋体" w:hAnsi="宋体"/>
          <w:bCs/>
          <w:color w:val="000000"/>
          <w:szCs w:val="21"/>
        </w:rPr>
        <w:t>1.提交投标文件截止时间和开标时间：</w:t>
      </w:r>
      <w:r>
        <w:rPr>
          <w:rFonts w:hint="eastAsia" w:ascii="宋体" w:hAnsi="宋体"/>
          <w:szCs w:val="21"/>
          <w:u w:val="single"/>
          <w:lang w:eastAsia="zh-CN"/>
        </w:rPr>
        <w:t>2026年10月16日</w:t>
      </w:r>
      <w:r>
        <w:rPr>
          <w:rFonts w:hint="eastAsia" w:ascii="宋体" w:hAnsi="宋体"/>
          <w:szCs w:val="21"/>
          <w:u w:val="single"/>
        </w:rPr>
        <w:t>09时30分</w:t>
      </w:r>
      <w:r>
        <w:rPr>
          <w:rFonts w:hint="eastAsia" w:ascii="宋体" w:hAnsi="宋体"/>
          <w:bCs/>
          <w:color w:val="000000"/>
          <w:szCs w:val="21"/>
        </w:rPr>
        <w:t>（北京时间）</w:t>
      </w:r>
    </w:p>
    <w:p w14:paraId="04CF8D75">
      <w:pPr>
        <w:spacing w:line="360" w:lineRule="auto"/>
        <w:ind w:firstLine="420" w:firstLineChars="200"/>
        <w:rPr>
          <w:rFonts w:hint="eastAsia" w:ascii="宋体" w:hAnsi="宋体"/>
          <w:color w:val="000000"/>
          <w:szCs w:val="21"/>
        </w:rPr>
      </w:pPr>
      <w:r>
        <w:rPr>
          <w:rFonts w:hint="eastAsia" w:ascii="宋体" w:hAnsi="宋体"/>
          <w:color w:val="000000"/>
          <w:szCs w:val="21"/>
        </w:rPr>
        <w:t>2.投标和开标地点：</w:t>
      </w:r>
    </w:p>
    <w:p w14:paraId="54F441F9">
      <w:pPr>
        <w:widowControl/>
        <w:spacing w:line="360" w:lineRule="auto"/>
        <w:ind w:firstLine="420" w:firstLineChars="200"/>
        <w:jc w:val="left"/>
        <w:rPr>
          <w:rFonts w:hint="eastAsia" w:ascii="宋体" w:hAnsi="宋体"/>
          <w:szCs w:val="21"/>
        </w:rPr>
      </w:pPr>
      <w:r>
        <w:rPr>
          <w:rFonts w:hint="eastAsia" w:ascii="宋体" w:hAnsi="宋体"/>
          <w:szCs w:val="21"/>
        </w:rPr>
        <w:t>（1）投标文件提交方式：本项目为</w:t>
      </w:r>
      <w:r>
        <w:rPr>
          <w:rFonts w:hint="eastAsia" w:ascii="宋体" w:hAnsi="宋体"/>
        </w:rPr>
        <w:t>全流程电子化采购项目</w:t>
      </w:r>
      <w:r>
        <w:rPr>
          <w:rFonts w:hint="eastAsia" w:ascii="宋体" w:hAnsi="宋体"/>
          <w:szCs w:val="21"/>
        </w:rPr>
        <w:t>，通过“广西政府采购云平台”</w:t>
      </w:r>
      <w:bookmarkStart w:id="23" w:name="_Hlk162279046"/>
      <w:r>
        <w:rPr>
          <w:rFonts w:hint="eastAsia" w:ascii="宋体" w:hAnsi="宋体"/>
          <w:szCs w:val="21"/>
        </w:rPr>
        <w:t>（https://www.gcy.zfcg.gxzf.gov.cn/）</w:t>
      </w:r>
      <w:bookmarkEnd w:id="23"/>
      <w:r>
        <w:rPr>
          <w:rFonts w:hint="eastAsia" w:ascii="宋体" w:hAnsi="宋体"/>
          <w:szCs w:val="21"/>
        </w:rPr>
        <w:t>实行在线电子投标，供应商应先安装“政采云电子交易客户端”（请自行前往“广西政府采购云平台”进行下载），并按照本项目采购文件和“广西政府采购云平台”的要求编制、加密后在投标截止时间前通过网络上传至“广西政府采购云平台”，</w:t>
      </w:r>
      <w:r>
        <w:rPr>
          <w:rFonts w:hint="eastAsia" w:ascii="宋体" w:hAnsi="宋体"/>
          <w:b/>
          <w:szCs w:val="21"/>
        </w:rPr>
        <w:t>供应商在“广西政府采购云平台”提交电子投标文件时，请填写参加远程开标活动经办人联系方式。</w:t>
      </w:r>
      <w:r>
        <w:rPr>
          <w:rFonts w:hint="eastAsia" w:ascii="宋体" w:hAnsi="宋体"/>
        </w:rPr>
        <w:t>电子投标具体操作流程见“广西政府采购云电子卖场首页右上角—服务中心—帮助中心-项目采购-常见问题”。</w:t>
      </w:r>
    </w:p>
    <w:p w14:paraId="12E28862">
      <w:pPr>
        <w:widowControl/>
        <w:spacing w:line="360" w:lineRule="auto"/>
        <w:ind w:firstLine="420" w:firstLineChars="200"/>
        <w:jc w:val="left"/>
        <w:rPr>
          <w:rFonts w:ascii="宋体" w:hAnsi="宋体"/>
          <w:szCs w:val="21"/>
        </w:rPr>
      </w:pPr>
      <w:r>
        <w:rPr>
          <w:rFonts w:hint="eastAsia" w:ascii="宋体" w:hAnsi="宋体"/>
          <w:szCs w:val="21"/>
        </w:rPr>
        <w:t>（2）未进行网上注册并办理数字证书（CA认证）的供应商将无法参与本项目政府采购活动，供应商应当在投标截止时间前，完成电子交易平台上的CA数字证书办理</w:t>
      </w:r>
      <w:bookmarkStart w:id="24" w:name="_Hlk162279897"/>
      <w:bookmarkStart w:id="25" w:name="_Hlk162279322"/>
      <w:r>
        <w:rPr>
          <w:rFonts w:hint="eastAsia" w:ascii="宋体" w:hAnsi="宋体"/>
          <w:szCs w:val="21"/>
        </w:rPr>
        <w:t>及投标文件的提交</w:t>
      </w:r>
      <w:r>
        <w:rPr>
          <w:rFonts w:hint="eastAsia" w:ascii="宋体" w:hAnsi="宋体"/>
        </w:rPr>
        <w:t>（供应商可登录“广西政府采购网”，依次进入“办事服务-办事指南” 或者登录“广西政府采购云平台”电子卖场，依次进入“服务中心-帮助中心-入驻与配置-常见问题-CA管理”中查看CA数字证书办理操作流程。如在操作过程中遇到问题或者需要技术支持，请致电政采云客服热线：95763）</w:t>
      </w:r>
      <w:bookmarkEnd w:id="24"/>
      <w:bookmarkEnd w:id="25"/>
      <w:r>
        <w:rPr>
          <w:rFonts w:hint="eastAsia" w:ascii="宋体" w:hAnsi="宋体"/>
          <w:szCs w:val="21"/>
        </w:rPr>
        <w:t>。</w:t>
      </w:r>
    </w:p>
    <w:p w14:paraId="602F5B28">
      <w:pPr>
        <w:widowControl/>
        <w:spacing w:line="360" w:lineRule="auto"/>
        <w:ind w:firstLine="420" w:firstLineChars="200"/>
        <w:jc w:val="left"/>
        <w:rPr>
          <w:rFonts w:ascii="宋体" w:hAnsi="宋体"/>
          <w:szCs w:val="21"/>
        </w:rPr>
      </w:pPr>
      <w:bookmarkStart w:id="26" w:name="_Hlk162280250"/>
      <w:r>
        <w:rPr>
          <w:rFonts w:hint="eastAsia" w:ascii="宋体" w:hAnsi="宋体"/>
          <w:szCs w:val="21"/>
        </w:rPr>
        <w:t>（3）为确保网上操作合法、有效和安全，请投标供应商确保在电子投标过程中能够对相关数据电文进行加密和使用电子签章，妥善保管C</w:t>
      </w:r>
      <w:r>
        <w:rPr>
          <w:rFonts w:ascii="宋体" w:hAnsi="宋体"/>
          <w:szCs w:val="21"/>
        </w:rPr>
        <w:t>A</w:t>
      </w:r>
      <w:r>
        <w:rPr>
          <w:rFonts w:hint="eastAsia" w:ascii="宋体" w:hAnsi="宋体"/>
          <w:szCs w:val="21"/>
        </w:rPr>
        <w:t>数字证书并使用有效的CA数字证书参与整个招标活动。</w:t>
      </w:r>
    </w:p>
    <w:p w14:paraId="501DC942">
      <w:pPr>
        <w:spacing w:line="360" w:lineRule="auto"/>
        <w:ind w:firstLine="420" w:firstLineChars="200"/>
        <w:rPr>
          <w:rFonts w:hint="eastAsia" w:ascii="宋体" w:hAnsi="宋体"/>
          <w:bCs/>
          <w:szCs w:val="21"/>
          <w:u w:val="single"/>
        </w:rPr>
      </w:pPr>
      <w:r>
        <w:rPr>
          <w:rFonts w:hint="eastAsia" w:ascii="宋体" w:hAnsi="宋体"/>
          <w:bCs/>
          <w:szCs w:val="21"/>
          <w:u w:val="single"/>
        </w:rPr>
        <w:t>注：投标人应当在投标截止时间前完成电子投标文件的上传、递交，投标截止时间前可以补充、修改或者撤回投标文件。补充或者修改投标文件的，应当先行撤回原文件，补充、修改后重新上传、递交。投标截止时间前未完成上传、递交的，视为撤回投标文件。投标截止时间以后上传递交的投标文件“广西政府采购云平台”将予以拒收。</w:t>
      </w:r>
    </w:p>
    <w:p w14:paraId="7C5C95AD">
      <w:pPr>
        <w:widowControl/>
        <w:spacing w:line="360" w:lineRule="auto"/>
        <w:ind w:firstLine="420" w:firstLineChars="200"/>
        <w:jc w:val="left"/>
        <w:rPr>
          <w:rFonts w:ascii="宋体" w:hAnsi="宋体"/>
          <w:szCs w:val="21"/>
        </w:rPr>
      </w:pPr>
      <w:r>
        <w:rPr>
          <w:rFonts w:hint="eastAsia" w:ascii="宋体" w:hAnsi="宋体"/>
          <w:szCs w:val="21"/>
        </w:rPr>
        <w:t>（4）开标地点：本次招标将于</w:t>
      </w:r>
      <w:r>
        <w:rPr>
          <w:rFonts w:hint="eastAsia" w:ascii="宋体" w:hAnsi="宋体"/>
          <w:szCs w:val="21"/>
          <w:u w:val="single"/>
          <w:lang w:eastAsia="zh-CN"/>
        </w:rPr>
        <w:t>2026年10月16日</w:t>
      </w:r>
      <w:r>
        <w:rPr>
          <w:rFonts w:hint="eastAsia" w:ascii="宋体" w:hAnsi="宋体"/>
          <w:szCs w:val="21"/>
          <w:u w:val="single"/>
        </w:rPr>
        <w:t>09时30分</w:t>
      </w:r>
      <w:r>
        <w:rPr>
          <w:rFonts w:hint="eastAsia" w:ascii="宋体" w:hAnsi="宋体"/>
          <w:szCs w:val="21"/>
        </w:rPr>
        <w:t>在“广西政府采购云平台”电子开标大厅。</w:t>
      </w:r>
    </w:p>
    <w:bookmarkEnd w:id="26"/>
    <w:p w14:paraId="7A42C2DD">
      <w:pPr>
        <w:snapToGrid w:val="0"/>
        <w:spacing w:line="360" w:lineRule="auto"/>
        <w:ind w:firstLine="420" w:firstLineChars="200"/>
        <w:rPr>
          <w:rFonts w:hint="eastAsia" w:ascii="宋体" w:hAnsi="宋体" w:cs="宋体"/>
          <w:kern w:val="0"/>
          <w:szCs w:val="21"/>
        </w:rPr>
      </w:pPr>
      <w:bookmarkStart w:id="27" w:name="_Hlk162280211"/>
      <w:r>
        <w:rPr>
          <w:rFonts w:hint="eastAsia" w:ascii="宋体" w:hAnsi="宋体" w:cs="宋体"/>
          <w:kern w:val="0"/>
          <w:szCs w:val="21"/>
        </w:rPr>
        <w:t>（5）CA证书在线解密：供应商投标时，需通过制作投标文件时用来加密的有效数字证书（CA认证）登录“广西政府采购云平台”电子开标大厅现场在规定时间对加密的投标文件进行解密，否则后果自负。</w:t>
      </w:r>
      <w:bookmarkEnd w:id="27"/>
    </w:p>
    <w:p w14:paraId="1A616EB1">
      <w:pPr>
        <w:spacing w:line="360" w:lineRule="auto"/>
        <w:rPr>
          <w:rFonts w:hint="eastAsia" w:ascii="黑体" w:hAnsi="黑体" w:eastAsia="黑体"/>
          <w:b/>
          <w:bCs/>
          <w:color w:val="000000"/>
          <w:sz w:val="24"/>
        </w:rPr>
      </w:pPr>
      <w:bookmarkStart w:id="28" w:name="_Toc28359084"/>
      <w:bookmarkStart w:id="29" w:name="_Toc35393625"/>
      <w:bookmarkStart w:id="30" w:name="_Toc35393794"/>
      <w:bookmarkStart w:id="31" w:name="_Toc28359007"/>
      <w:r>
        <w:rPr>
          <w:rFonts w:hint="eastAsia" w:ascii="黑体" w:hAnsi="黑体" w:eastAsia="黑体"/>
          <w:b/>
          <w:bCs/>
          <w:color w:val="000000"/>
          <w:sz w:val="24"/>
        </w:rPr>
        <w:t>五、公告期限</w:t>
      </w:r>
      <w:bookmarkEnd w:id="28"/>
      <w:bookmarkEnd w:id="29"/>
      <w:bookmarkEnd w:id="30"/>
      <w:bookmarkEnd w:id="31"/>
    </w:p>
    <w:p w14:paraId="406F7CBE">
      <w:pPr>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自本公告发布之日起5个工作日。</w:t>
      </w:r>
    </w:p>
    <w:p w14:paraId="36BEDD82">
      <w:pPr>
        <w:spacing w:line="360" w:lineRule="auto"/>
        <w:rPr>
          <w:rFonts w:hint="eastAsia" w:ascii="黑体" w:hAnsi="黑体" w:eastAsia="黑体"/>
          <w:b/>
          <w:bCs/>
          <w:color w:val="000000"/>
          <w:sz w:val="24"/>
        </w:rPr>
      </w:pPr>
      <w:bookmarkStart w:id="32" w:name="_Toc35393626"/>
      <w:bookmarkStart w:id="33" w:name="_Toc35393795"/>
      <w:r>
        <w:rPr>
          <w:rFonts w:hint="eastAsia" w:ascii="黑体" w:hAnsi="黑体" w:eastAsia="黑体"/>
          <w:b/>
          <w:bCs/>
          <w:color w:val="000000"/>
          <w:sz w:val="24"/>
        </w:rPr>
        <w:t>六、其他补充事宜</w:t>
      </w:r>
      <w:bookmarkEnd w:id="32"/>
      <w:bookmarkEnd w:id="33"/>
    </w:p>
    <w:p w14:paraId="1ED12237">
      <w:pPr>
        <w:spacing w:line="360" w:lineRule="auto"/>
        <w:ind w:firstLine="315" w:firstLineChars="150"/>
        <w:rPr>
          <w:rFonts w:hint="eastAsia" w:ascii="宋体" w:hAnsi="宋体" w:cs="宋体"/>
          <w:color w:val="000000"/>
          <w:kern w:val="0"/>
          <w:szCs w:val="21"/>
        </w:rPr>
      </w:pPr>
      <w:r>
        <w:rPr>
          <w:rFonts w:hint="eastAsia" w:ascii="宋体" w:hAnsi="宋体" w:cs="宋体"/>
          <w:color w:val="000000"/>
          <w:kern w:val="0"/>
          <w:szCs w:val="21"/>
        </w:rPr>
        <w:t>1.投标保证金：本项目不收取投标保证金</w:t>
      </w:r>
    </w:p>
    <w:p w14:paraId="3E41C5A3">
      <w:pPr>
        <w:spacing w:line="360" w:lineRule="auto"/>
        <w:ind w:firstLine="315" w:firstLineChars="150"/>
        <w:rPr>
          <w:rFonts w:hint="eastAsia" w:ascii="宋体" w:hAnsi="宋体" w:cs="宋体"/>
          <w:color w:val="000000"/>
          <w:kern w:val="0"/>
          <w:szCs w:val="21"/>
          <w:u w:val="single"/>
        </w:rPr>
      </w:pPr>
      <w:r>
        <w:rPr>
          <w:rFonts w:hint="eastAsia" w:ascii="宋体" w:hAnsi="宋体" w:cs="宋体"/>
          <w:color w:val="000000"/>
          <w:kern w:val="0"/>
          <w:szCs w:val="21"/>
        </w:rPr>
        <w:t>2.采购意向公开链接：</w:t>
      </w:r>
      <w:bookmarkStart w:id="34" w:name="PO_3000001866_PM100"/>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54"/>
      </w:tblGrid>
      <w:tr w14:paraId="2E51F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noWrap w:val="0"/>
            <w:vAlign w:val="top"/>
          </w:tcPr>
          <w:p w14:paraId="6B73051F">
            <w:pPr>
              <w:spacing w:line="360" w:lineRule="auto"/>
              <w:rPr>
                <w:rFonts w:hint="eastAsia" w:ascii="宋体" w:hAnsi="宋体" w:cs="宋体"/>
                <w:color w:val="000000"/>
                <w:kern w:val="0"/>
                <w:szCs w:val="21"/>
                <w:u w:val="single"/>
              </w:rPr>
            </w:pPr>
            <w:r>
              <w:rPr>
                <w:rFonts w:hint="eastAsia" w:ascii="宋体" w:hAnsi="宋体" w:cs="宋体"/>
                <w:color w:val="000000"/>
                <w:kern w:val="0"/>
                <w:szCs w:val="21"/>
                <w:u w:val="single"/>
              </w:rPr>
              <w:t>http://www.ccgp-guangxi.gov.cn/site/detail?categoryCode=ZcyAnnouncement&amp;parentId=66485&amp;articleId=NR9VBE5NxKJivt8idYPfCA==</w:t>
            </w:r>
          </w:p>
        </w:tc>
      </w:tr>
      <w:bookmarkEnd w:id="34"/>
    </w:tbl>
    <w:p w14:paraId="1794117A">
      <w:pPr>
        <w:spacing w:line="360" w:lineRule="auto"/>
        <w:ind w:firstLine="315" w:firstLineChars="150"/>
        <w:rPr>
          <w:rFonts w:hint="eastAsia" w:ascii="宋体" w:hAnsi="宋体" w:cs="宋体"/>
          <w:color w:val="000000"/>
          <w:kern w:val="0"/>
          <w:szCs w:val="21"/>
        </w:rPr>
      </w:pPr>
      <w:bookmarkStart w:id="35" w:name="_Hlk37429585"/>
      <w:r>
        <w:rPr>
          <w:rFonts w:hint="eastAsia" w:ascii="宋体" w:hAnsi="宋体" w:cs="宋体"/>
          <w:color w:val="000000"/>
          <w:kern w:val="0"/>
          <w:szCs w:val="21"/>
        </w:rPr>
        <w:t>3.</w:t>
      </w:r>
      <w:bookmarkStart w:id="36" w:name="_Hlk37429595"/>
      <w:r>
        <w:rPr>
          <w:rFonts w:hint="eastAsia" w:ascii="宋体" w:hAnsi="宋体" w:cs="宋体"/>
          <w:color w:val="000000"/>
          <w:kern w:val="0"/>
          <w:szCs w:val="21"/>
        </w:rPr>
        <w:t>网上查询地址</w:t>
      </w:r>
    </w:p>
    <w:bookmarkEnd w:id="35"/>
    <w:bookmarkEnd w:id="36"/>
    <w:p w14:paraId="1947E294">
      <w:pPr>
        <w:spacing w:line="360" w:lineRule="auto"/>
        <w:ind w:firstLine="420" w:firstLineChars="200"/>
        <w:rPr>
          <w:rFonts w:hint="eastAsia" w:ascii="宋体" w:hAnsi="宋体" w:cs="宋体"/>
          <w:kern w:val="0"/>
          <w:szCs w:val="21"/>
          <w:highlight w:val="none"/>
        </w:rPr>
      </w:pPr>
      <w:bookmarkStart w:id="37" w:name="_Hlk37429674"/>
      <w:r>
        <w:rPr>
          <w:rFonts w:hint="eastAsia" w:ascii="宋体" w:hAnsi="宋体" w:cs="宋体"/>
          <w:kern w:val="0"/>
          <w:szCs w:val="21"/>
          <w:highlight w:val="none"/>
        </w:rPr>
        <w:t>http://www.ccgp.gov.cn (中国政府采购网),http://zfcg.gxzf.gov.cn (广西政府采购网)  http://ggzy.jgswj.gxzf.gov.cn/nnggzy/（全国公共资源交易平台（广西•南宁））。</w:t>
      </w:r>
    </w:p>
    <w:p w14:paraId="7ADA726E">
      <w:pPr>
        <w:spacing w:line="360" w:lineRule="auto"/>
        <w:ind w:firstLine="315" w:firstLineChars="150"/>
        <w:rPr>
          <w:rFonts w:ascii="宋体" w:hAnsi="宋体" w:cs="宋体"/>
          <w:color w:val="FF0000"/>
          <w:kern w:val="0"/>
          <w:szCs w:val="21"/>
        </w:rPr>
      </w:pPr>
      <w:r>
        <w:rPr>
          <w:rFonts w:hint="eastAsia" w:ascii="宋体" w:hAnsi="宋体"/>
          <w:color w:val="000000"/>
          <w:szCs w:val="21"/>
        </w:rPr>
        <w:t>4.</w:t>
      </w:r>
      <w:r>
        <w:rPr>
          <w:rFonts w:hint="eastAsia" w:ascii="宋体" w:hAnsi="宋体" w:cs="宋体"/>
          <w:color w:val="000000"/>
          <w:kern w:val="0"/>
          <w:szCs w:val="21"/>
        </w:rPr>
        <w:t>本项目需要落实的政府采购政</w:t>
      </w:r>
      <w:r>
        <w:rPr>
          <w:rFonts w:hint="eastAsia" w:ascii="宋体" w:hAnsi="宋体" w:cs="宋体"/>
          <w:kern w:val="0"/>
          <w:szCs w:val="21"/>
        </w:rPr>
        <w:t>策：</w:t>
      </w:r>
      <w:bookmarkStart w:id="38" w:name="PO_3000001866_PM023_1"/>
    </w:p>
    <w:bookmarkEnd w:id="38"/>
    <w:p w14:paraId="32CB9895">
      <w:pPr>
        <w:spacing w:line="360" w:lineRule="auto"/>
        <w:ind w:firstLine="315" w:firstLineChars="150"/>
        <w:rPr>
          <w:rFonts w:hint="eastAsia" w:ascii="宋体" w:hAnsi="宋体" w:cs="宋体"/>
          <w:color w:val="FF0000"/>
          <w:kern w:val="0"/>
          <w:szCs w:val="21"/>
        </w:rPr>
      </w:pPr>
      <w:r>
        <w:rPr>
          <w:rFonts w:hint="eastAsia" w:ascii="宋体" w:hAnsi="宋体" w:cs="宋体"/>
          <w:kern w:val="0"/>
          <w:szCs w:val="21"/>
        </w:rPr>
        <w:t>（1）政府采购促进中小企业发展。</w:t>
      </w:r>
    </w:p>
    <w:p w14:paraId="085BA2FE">
      <w:pPr>
        <w:spacing w:line="360" w:lineRule="auto"/>
        <w:ind w:firstLine="315" w:firstLineChars="150"/>
        <w:rPr>
          <w:rFonts w:hint="eastAsia" w:ascii="宋体" w:hAnsi="宋体" w:cs="宋体"/>
          <w:kern w:val="0"/>
          <w:szCs w:val="21"/>
        </w:rPr>
      </w:pPr>
      <w:r>
        <w:rPr>
          <w:rFonts w:hint="eastAsia" w:ascii="宋体" w:hAnsi="宋体" w:cs="宋体"/>
          <w:kern w:val="0"/>
          <w:szCs w:val="21"/>
        </w:rPr>
        <w:t>（2）政府采购促进残疾人就业政策。</w:t>
      </w:r>
    </w:p>
    <w:p w14:paraId="3FD3E0B8">
      <w:pPr>
        <w:spacing w:line="360" w:lineRule="auto"/>
        <w:ind w:firstLine="315" w:firstLineChars="150"/>
        <w:rPr>
          <w:rFonts w:hint="eastAsia" w:ascii="宋体" w:hAnsi="宋体" w:cs="宋体"/>
          <w:kern w:val="0"/>
          <w:szCs w:val="21"/>
        </w:rPr>
      </w:pPr>
      <w:r>
        <w:rPr>
          <w:rFonts w:hint="eastAsia" w:ascii="宋体" w:hAnsi="宋体" w:cs="宋体"/>
          <w:kern w:val="0"/>
          <w:szCs w:val="21"/>
        </w:rPr>
        <w:t>（3）政府采购支持监狱企业发展。</w:t>
      </w:r>
    </w:p>
    <w:bookmarkEnd w:id="37"/>
    <w:p w14:paraId="6273B443">
      <w:pPr>
        <w:spacing w:line="360" w:lineRule="auto"/>
        <w:ind w:firstLine="315" w:firstLineChars="150"/>
        <w:rPr>
          <w:rFonts w:hint="eastAsia" w:ascii="宋体" w:hAnsi="宋体" w:cs="宋体"/>
          <w:color w:val="000000"/>
          <w:kern w:val="0"/>
          <w:szCs w:val="21"/>
        </w:rPr>
      </w:pPr>
      <w:r>
        <w:rPr>
          <w:rFonts w:hint="eastAsia" w:ascii="宋体" w:hAnsi="宋体" w:cs="宋体"/>
          <w:color w:val="000000"/>
          <w:kern w:val="0"/>
          <w:szCs w:val="21"/>
        </w:rPr>
        <w:t>（4）扶持不发达地区和少数民族地区政策。</w:t>
      </w:r>
    </w:p>
    <w:p w14:paraId="17D5B04D">
      <w:pPr>
        <w:spacing w:line="360" w:lineRule="auto"/>
        <w:ind w:firstLine="315" w:firstLineChars="150"/>
        <w:rPr>
          <w:rFonts w:hint="eastAsia" w:ascii="宋体" w:hAnsi="宋体" w:cs="宋体"/>
          <w:color w:val="000000"/>
          <w:kern w:val="0"/>
          <w:szCs w:val="21"/>
        </w:rPr>
      </w:pPr>
      <w:r>
        <w:rPr>
          <w:rFonts w:hint="eastAsia" w:ascii="宋体" w:hAnsi="宋体" w:cs="宋体"/>
          <w:color w:val="000000"/>
          <w:kern w:val="0"/>
          <w:szCs w:val="21"/>
        </w:rPr>
        <w:t>5.供应商认为采购文件使自己的权益受到损害的，可以在知道或者应知其权益受到损害之日起7个工作日内，以书面形式向采购人、采购代理机构提出质疑。质疑供应商对采购人、采购代理机构的答复不满意或者采购人、采购代理机构未在规定的时间内作出答复的，可以在答复期满后十五个工作日内向同级政府采购监督管理部门投诉。</w:t>
      </w:r>
    </w:p>
    <w:p w14:paraId="0C5CF33D">
      <w:pPr>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6.若对项目采购电子交易系统操作有疑问，可登录“广西政府采购云平台”（https://www.gcy.zfcg.gxzf.gov.cn/），点击右侧咨询小采，获取采小蜜智能服务管家帮助，或拨打政采云服务热线</w:t>
      </w:r>
      <w:r>
        <w:rPr>
          <w:rFonts w:hint="eastAsia" w:ascii="宋体" w:hAnsi="宋体" w:cs="宋体"/>
          <w:kern w:val="0"/>
          <w:szCs w:val="21"/>
        </w:rPr>
        <w:t>95763</w:t>
      </w:r>
      <w:r>
        <w:rPr>
          <w:rFonts w:hint="eastAsia" w:ascii="宋体" w:hAnsi="宋体" w:cs="宋体"/>
          <w:color w:val="000000"/>
          <w:kern w:val="0"/>
          <w:szCs w:val="21"/>
        </w:rPr>
        <w:t>获取热线服务帮助。</w:t>
      </w:r>
    </w:p>
    <w:p w14:paraId="5CDEA809">
      <w:pPr>
        <w:spacing w:line="360" w:lineRule="auto"/>
        <w:rPr>
          <w:rFonts w:hint="eastAsia" w:ascii="黑体" w:hAnsi="黑体" w:eastAsia="黑体"/>
          <w:b/>
          <w:bCs/>
          <w:color w:val="000000"/>
          <w:sz w:val="24"/>
        </w:rPr>
      </w:pPr>
      <w:bookmarkStart w:id="39" w:name="_Toc28359085"/>
      <w:bookmarkStart w:id="40" w:name="_Toc35393796"/>
      <w:bookmarkStart w:id="41" w:name="_Toc35393627"/>
      <w:bookmarkStart w:id="42" w:name="_Toc28359008"/>
      <w:r>
        <w:rPr>
          <w:rFonts w:hint="eastAsia" w:ascii="黑体" w:hAnsi="黑体" w:eastAsia="黑体"/>
          <w:b/>
          <w:bCs/>
          <w:color w:val="000000"/>
          <w:sz w:val="24"/>
        </w:rPr>
        <w:t>七、对本次招标提出询问，请按以下方式联系。</w:t>
      </w:r>
      <w:bookmarkEnd w:id="39"/>
      <w:bookmarkEnd w:id="40"/>
      <w:bookmarkEnd w:id="41"/>
      <w:bookmarkEnd w:id="42"/>
    </w:p>
    <w:p w14:paraId="5F63BC71">
      <w:pPr>
        <w:spacing w:line="360" w:lineRule="auto"/>
        <w:jc w:val="left"/>
        <w:rPr>
          <w:rFonts w:hint="eastAsia" w:ascii="宋体" w:hAnsi="宋体" w:cs="宋体"/>
          <w:color w:val="000000"/>
          <w:szCs w:val="21"/>
        </w:rPr>
      </w:pPr>
      <w:r>
        <w:rPr>
          <w:rFonts w:hint="eastAsia" w:ascii="宋体" w:hAnsi="宋体" w:cs="宋体"/>
          <w:color w:val="000000"/>
          <w:szCs w:val="21"/>
        </w:rPr>
        <w:t>　　1.采购人信息</w:t>
      </w:r>
    </w:p>
    <w:p w14:paraId="2CA7870A">
      <w:pPr>
        <w:spacing w:line="360" w:lineRule="auto"/>
        <w:ind w:firstLine="424" w:firstLineChars="202"/>
        <w:jc w:val="left"/>
        <w:rPr>
          <w:rFonts w:hint="eastAsia" w:ascii="宋体" w:hAnsi="宋体" w:cs="宋体"/>
          <w:color w:val="000000"/>
          <w:szCs w:val="21"/>
        </w:rPr>
      </w:pPr>
      <w:r>
        <w:rPr>
          <w:rFonts w:hint="eastAsia" w:ascii="宋体" w:hAnsi="宋体" w:cs="宋体"/>
          <w:color w:val="000000"/>
          <w:szCs w:val="21"/>
        </w:rPr>
        <w:t xml:space="preserve">名称：南宁市第三职业技术学校 </w:t>
      </w:r>
    </w:p>
    <w:p w14:paraId="0AE79D9E">
      <w:pPr>
        <w:spacing w:line="360" w:lineRule="auto"/>
        <w:ind w:firstLine="424" w:firstLineChars="202"/>
        <w:jc w:val="left"/>
        <w:rPr>
          <w:rFonts w:hint="eastAsia" w:ascii="宋体" w:hAnsi="宋体" w:cs="宋体"/>
          <w:color w:val="000000"/>
          <w:szCs w:val="21"/>
        </w:rPr>
      </w:pPr>
      <w:r>
        <w:rPr>
          <w:rFonts w:hint="eastAsia" w:ascii="宋体" w:hAnsi="宋体" w:cs="宋体"/>
          <w:color w:val="000000"/>
          <w:szCs w:val="21"/>
        </w:rPr>
        <w:t>地址：</w:t>
      </w:r>
      <w:r>
        <w:rPr>
          <w:rFonts w:hint="eastAsia" w:ascii="宋体" w:hAnsi="宋体" w:cs="宋体"/>
          <w:color w:val="000000"/>
          <w:szCs w:val="21"/>
          <w:lang w:val="en-US" w:eastAsia="zh-CN"/>
        </w:rPr>
        <w:t>南宁市望州路北二里14号</w:t>
      </w:r>
    </w:p>
    <w:p w14:paraId="17A09ACA">
      <w:pPr>
        <w:spacing w:line="360" w:lineRule="auto"/>
        <w:ind w:firstLine="424" w:firstLineChars="202"/>
        <w:jc w:val="left"/>
        <w:rPr>
          <w:rFonts w:hint="eastAsia" w:ascii="宋体" w:hAnsi="宋体" w:cs="宋体"/>
          <w:color w:val="000000"/>
          <w:szCs w:val="21"/>
        </w:rPr>
      </w:pPr>
      <w:r>
        <w:rPr>
          <w:rFonts w:hint="eastAsia" w:ascii="宋体" w:hAnsi="宋体" w:cs="宋体"/>
          <w:color w:val="000000"/>
          <w:szCs w:val="21"/>
        </w:rPr>
        <w:t>联系人及联系方式 ：</w:t>
      </w:r>
      <w:r>
        <w:rPr>
          <w:rFonts w:hint="eastAsia" w:ascii="宋体" w:hAnsi="宋体" w:cs="宋体"/>
          <w:color w:val="000000"/>
          <w:szCs w:val="21"/>
          <w:lang w:val="en-US" w:eastAsia="zh-CN"/>
        </w:rPr>
        <w:t>吴老师 0771-5602382</w:t>
      </w:r>
    </w:p>
    <w:p w14:paraId="3B2BE632">
      <w:pPr>
        <w:spacing w:line="360" w:lineRule="auto"/>
        <w:ind w:firstLine="424" w:firstLineChars="202"/>
        <w:jc w:val="left"/>
        <w:rPr>
          <w:rFonts w:hint="eastAsia" w:ascii="宋体" w:hAnsi="宋体" w:cs="Cambria Math"/>
          <w:szCs w:val="21"/>
        </w:rPr>
      </w:pPr>
      <w:r>
        <w:rPr>
          <w:rFonts w:hint="eastAsia" w:ascii="宋体" w:hAnsi="宋体" w:cs="Cambria Math"/>
          <w:szCs w:val="21"/>
        </w:rPr>
        <w:t>2.采购代理机构信息</w:t>
      </w:r>
    </w:p>
    <w:p w14:paraId="0E0B51EC">
      <w:pPr>
        <w:spacing w:line="360" w:lineRule="auto"/>
        <w:ind w:firstLine="424" w:firstLineChars="202"/>
        <w:jc w:val="left"/>
        <w:rPr>
          <w:rFonts w:hint="eastAsia" w:ascii="宋体" w:hAnsi="宋体" w:cs="Cambria Math"/>
          <w:szCs w:val="21"/>
        </w:rPr>
      </w:pPr>
      <w:r>
        <w:rPr>
          <w:rFonts w:hint="eastAsia" w:ascii="宋体" w:hAnsi="宋体" w:cs="Cambria Math"/>
          <w:szCs w:val="21"/>
        </w:rPr>
        <w:t>名称：广西国建项目管理有限公司</w:t>
      </w:r>
    </w:p>
    <w:p w14:paraId="37255CF5">
      <w:pPr>
        <w:spacing w:line="360" w:lineRule="auto"/>
        <w:ind w:firstLine="424" w:firstLineChars="202"/>
        <w:jc w:val="left"/>
        <w:rPr>
          <w:rFonts w:hint="eastAsia" w:ascii="宋体" w:hAnsi="宋体" w:cs="Cambria Math"/>
          <w:szCs w:val="21"/>
        </w:rPr>
      </w:pPr>
      <w:r>
        <w:rPr>
          <w:rFonts w:hint="eastAsia" w:ascii="宋体" w:hAnsi="宋体" w:cs="Cambria Math"/>
          <w:szCs w:val="21"/>
        </w:rPr>
        <w:t>地址：广西南宁市白沙大道53号松宇时代17楼</w:t>
      </w:r>
    </w:p>
    <w:p w14:paraId="6FC3D611">
      <w:pPr>
        <w:spacing w:line="360" w:lineRule="auto"/>
        <w:ind w:firstLine="424" w:firstLineChars="202"/>
        <w:jc w:val="left"/>
        <w:rPr>
          <w:rFonts w:hint="eastAsia" w:ascii="宋体" w:hAnsi="宋体"/>
          <w:szCs w:val="21"/>
        </w:rPr>
      </w:pPr>
      <w:r>
        <w:rPr>
          <w:rFonts w:hint="eastAsia" w:ascii="宋体" w:hAnsi="宋体"/>
          <w:szCs w:val="21"/>
        </w:rPr>
        <w:t>联系电话：</w:t>
      </w:r>
      <w:bookmarkStart w:id="43" w:name="PO_3000001866_PM033"/>
      <w:r>
        <w:rPr>
          <w:rFonts w:hint="eastAsia" w:ascii="宋体" w:hAnsi="宋体"/>
          <w:szCs w:val="21"/>
        </w:rPr>
        <w:t>0771-</w:t>
      </w:r>
      <w:bookmarkEnd w:id="43"/>
      <w:r>
        <w:rPr>
          <w:rFonts w:hint="eastAsia" w:ascii="宋体" w:hAnsi="宋体"/>
          <w:szCs w:val="21"/>
        </w:rPr>
        <w:t xml:space="preserve">4915533         </w:t>
      </w:r>
    </w:p>
    <w:p w14:paraId="1EC923F1">
      <w:pPr>
        <w:spacing w:line="360" w:lineRule="auto"/>
        <w:ind w:firstLine="420" w:firstLineChars="200"/>
        <w:rPr>
          <w:rFonts w:hint="eastAsia" w:ascii="宋体" w:hAnsi="宋体"/>
          <w:szCs w:val="21"/>
        </w:rPr>
      </w:pPr>
      <w:r>
        <w:rPr>
          <w:rFonts w:hint="eastAsia" w:ascii="宋体" w:hAnsi="宋体"/>
          <w:szCs w:val="21"/>
        </w:rPr>
        <w:t>3.项目联系方式</w:t>
      </w:r>
    </w:p>
    <w:p w14:paraId="2326C8AE">
      <w:pPr>
        <w:spacing w:line="360" w:lineRule="auto"/>
        <w:ind w:firstLine="420" w:firstLineChars="200"/>
        <w:rPr>
          <w:rFonts w:hint="eastAsia" w:ascii="宋体" w:hAnsi="宋体"/>
          <w:szCs w:val="21"/>
        </w:rPr>
      </w:pPr>
      <w:r>
        <w:rPr>
          <w:rFonts w:hint="eastAsia" w:ascii="宋体" w:hAnsi="宋体"/>
          <w:szCs w:val="21"/>
        </w:rPr>
        <w:t>项目联系人：黄容雯</w:t>
      </w:r>
    </w:p>
    <w:p w14:paraId="7A4F58B6">
      <w:pPr>
        <w:spacing w:line="360" w:lineRule="auto"/>
        <w:ind w:firstLine="420" w:firstLineChars="200"/>
        <w:rPr>
          <w:rFonts w:hint="eastAsia" w:ascii="宋体" w:hAnsi="宋体"/>
          <w:szCs w:val="21"/>
        </w:rPr>
      </w:pPr>
      <w:r>
        <w:rPr>
          <w:rFonts w:hint="eastAsia" w:ascii="宋体" w:hAnsi="宋体"/>
          <w:szCs w:val="21"/>
        </w:rPr>
        <w:t>电    话： 0771-4915533</w:t>
      </w:r>
    </w:p>
    <w:p w14:paraId="11A494CB">
      <w:pPr>
        <w:pStyle w:val="7"/>
        <w:spacing w:line="360" w:lineRule="auto"/>
        <w:ind w:firstLine="420" w:firstLineChars="200"/>
        <w:rPr>
          <w:rFonts w:ascii="宋体" w:hAnsi="宋体"/>
          <w:color w:val="000000"/>
          <w:szCs w:val="21"/>
          <w:lang w:eastAsia="zh-CN"/>
        </w:rPr>
      </w:pPr>
    </w:p>
    <w:p w14:paraId="7ED28059">
      <w:pPr>
        <w:spacing w:line="360" w:lineRule="auto"/>
        <w:rPr>
          <w:rFonts w:hint="eastAsia" w:ascii="宋体" w:hAnsi="宋体"/>
          <w:color w:val="000000"/>
          <w:szCs w:val="21"/>
        </w:rPr>
      </w:pPr>
    </w:p>
    <w:p w14:paraId="5AA4A549">
      <w:pPr>
        <w:tabs>
          <w:tab w:val="right" w:pos="9592"/>
        </w:tabs>
        <w:spacing w:line="360" w:lineRule="exact"/>
        <w:ind w:right="46"/>
        <w:rPr>
          <w:rFonts w:hint="eastAsia" w:ascii="宋体" w:hAnsi="宋体"/>
        </w:rPr>
      </w:pPr>
      <w:bookmarkStart w:id="44" w:name="_Toc532545042"/>
      <w:r>
        <w:rPr>
          <w:rFonts w:ascii="宋体" w:hAnsi="宋体"/>
        </w:rPr>
        <w:tab/>
      </w:r>
      <w:r>
        <w:rPr>
          <w:rFonts w:hint="eastAsia" w:ascii="宋体" w:hAnsi="宋体"/>
        </w:rPr>
        <w:t>广西国建项目管理有限公司</w:t>
      </w:r>
    </w:p>
    <w:p w14:paraId="448592F8">
      <w:pPr>
        <w:spacing w:line="360" w:lineRule="exact"/>
        <w:jc w:val="right"/>
        <w:rPr>
          <w:rFonts w:hint="eastAsia" w:ascii="宋体" w:hAnsi="宋体" w:eastAsia="宋体"/>
          <w:b/>
          <w:color w:val="auto"/>
          <w:highlight w:val="none"/>
          <w:lang w:val="en-US" w:eastAsia="zh-CN"/>
        </w:rPr>
      </w:pPr>
      <w:r>
        <w:rPr>
          <w:rFonts w:hint="eastAsia" w:ascii="宋体" w:hAnsi="宋体"/>
          <w:color w:val="auto"/>
          <w:highlight w:val="none"/>
        </w:rPr>
        <w:t>2026年</w:t>
      </w:r>
      <w:r>
        <w:rPr>
          <w:rFonts w:hint="eastAsia" w:ascii="宋体" w:hAnsi="宋体"/>
          <w:color w:val="auto"/>
          <w:highlight w:val="none"/>
          <w:lang w:val="en-US" w:eastAsia="zh-CN"/>
        </w:rPr>
        <w:t>9</w:t>
      </w:r>
      <w:r>
        <w:rPr>
          <w:rFonts w:hint="eastAsia" w:ascii="宋体" w:hAnsi="宋体"/>
          <w:color w:val="auto"/>
          <w:highlight w:val="none"/>
        </w:rPr>
        <w:t>月</w:t>
      </w:r>
      <w:r>
        <w:rPr>
          <w:rFonts w:hint="eastAsia" w:ascii="宋体" w:hAnsi="宋体"/>
          <w:color w:val="auto"/>
          <w:highlight w:val="none"/>
          <w:lang w:val="en-US" w:eastAsia="zh-CN"/>
        </w:rPr>
        <w:t>24</w:t>
      </w:r>
      <w:r>
        <w:rPr>
          <w:rFonts w:hint="eastAsia" w:ascii="宋体" w:hAnsi="宋体"/>
          <w:color w:val="auto"/>
          <w:highlight w:val="none"/>
        </w:rPr>
        <w:t>日</w:t>
      </w:r>
      <w:r>
        <w:rPr>
          <w:rFonts w:hint="eastAsia" w:ascii="宋体" w:hAnsi="宋体"/>
          <w:color w:val="auto"/>
          <w:highlight w:val="none"/>
          <w:lang w:val="en-US" w:eastAsia="zh-CN"/>
        </w:rPr>
        <w:t xml:space="preserve"> </w:t>
      </w:r>
    </w:p>
    <w:p w14:paraId="61954652">
      <w:pPr>
        <w:widowControl/>
        <w:spacing w:line="360" w:lineRule="auto"/>
        <w:jc w:val="left"/>
        <w:rPr>
          <w:rFonts w:ascii="宋体" w:hAnsi="宋体" w:cs="宋体"/>
          <w:sz w:val="24"/>
          <w:lang w:val="zh-CN"/>
        </w:rPr>
        <w:sectPr>
          <w:footerReference r:id="rId3" w:type="default"/>
          <w:pgSz w:w="11906" w:h="16838"/>
          <w:pgMar w:top="1134" w:right="1134" w:bottom="1134" w:left="1134" w:header="720" w:footer="720" w:gutter="0"/>
          <w:pgNumType w:start="1"/>
          <w:cols w:space="720" w:num="1"/>
          <w:docGrid w:type="lines" w:linePitch="331" w:charSpace="0"/>
        </w:sectPr>
      </w:pPr>
    </w:p>
    <w:p w14:paraId="67826B25">
      <w:pPr>
        <w:pStyle w:val="11"/>
        <w:jc w:val="center"/>
        <w:outlineLvl w:val="0"/>
        <w:rPr>
          <w:rFonts w:hint="eastAsia" w:ascii="Times New Roman" w:hAnsi="Times New Roman"/>
          <w:b/>
          <w:sz w:val="36"/>
        </w:rPr>
      </w:pPr>
      <w:bookmarkStart w:id="45" w:name="_Toc211960296"/>
      <w:r>
        <w:rPr>
          <w:rFonts w:hint="eastAsia" w:ascii="Times New Roman" w:hAnsi="Times New Roman"/>
          <w:b/>
          <w:sz w:val="36"/>
        </w:rPr>
        <w:t>第二章</w:t>
      </w:r>
      <w:r>
        <w:rPr>
          <w:rFonts w:ascii="Times New Roman" w:hAnsi="Times New Roman"/>
          <w:b/>
          <w:sz w:val="36"/>
        </w:rPr>
        <w:t xml:space="preserve">  </w:t>
      </w:r>
      <w:bookmarkEnd w:id="44"/>
      <w:r>
        <w:rPr>
          <w:rFonts w:hint="eastAsia" w:ascii="Times New Roman" w:hAnsi="Times New Roman"/>
          <w:b/>
          <w:sz w:val="36"/>
        </w:rPr>
        <w:t>采购需求</w:t>
      </w:r>
      <w:bookmarkEnd w:id="45"/>
    </w:p>
    <w:p w14:paraId="68588F76">
      <w:pPr>
        <w:adjustRightInd w:val="0"/>
        <w:spacing w:line="340" w:lineRule="exact"/>
        <w:rPr>
          <w:rFonts w:hAnsi="宋体"/>
          <w:b/>
          <w:szCs w:val="21"/>
        </w:rPr>
      </w:pPr>
      <w:bookmarkStart w:id="46" w:name="PO_TDCUS_ITEM_PB_REQ_FILE_1_1"/>
    </w:p>
    <w:p w14:paraId="06F95B7F">
      <w:pPr>
        <w:adjustRightInd w:val="0"/>
        <w:spacing w:line="340" w:lineRule="exact"/>
        <w:rPr>
          <w:rFonts w:hint="eastAsia" w:hAnsi="宋体"/>
          <w:b/>
          <w:szCs w:val="21"/>
        </w:rPr>
      </w:pPr>
      <w:r>
        <w:rPr>
          <w:rFonts w:hint="eastAsia" w:hAnsi="宋体"/>
          <w:b/>
          <w:szCs w:val="21"/>
        </w:rPr>
        <w:t>说明：</w:t>
      </w:r>
    </w:p>
    <w:p w14:paraId="3B9DEB5B">
      <w:pPr>
        <w:spacing w:line="360" w:lineRule="auto"/>
        <w:ind w:firstLine="420" w:firstLineChars="200"/>
        <w:jc w:val="left"/>
        <w:rPr>
          <w:rFonts w:hint="eastAsia"/>
        </w:rPr>
      </w:pPr>
      <w:r>
        <w:rPr>
          <w:rFonts w:hint="eastAsia"/>
          <w:lang w:val="en-US" w:eastAsia="zh-CN"/>
        </w:rPr>
        <w:t>1</w:t>
      </w:r>
      <w:r>
        <w:rPr>
          <w:rFonts w:hint="eastAsia"/>
        </w:rPr>
        <w:t>. 为落实政府采购政策需满足的要求</w:t>
      </w:r>
    </w:p>
    <w:p w14:paraId="16C6954F">
      <w:pPr>
        <w:spacing w:line="360" w:lineRule="auto"/>
        <w:ind w:firstLine="420" w:firstLineChars="200"/>
        <w:jc w:val="left"/>
        <w:rPr>
          <w:rFonts w:hint="eastAsia" w:ascii="宋体" w:hAnsi="宋体" w:cs="宋体"/>
          <w:szCs w:val="21"/>
        </w:rPr>
      </w:pPr>
      <w:r>
        <w:rPr>
          <w:rFonts w:hint="eastAsia" w:ascii="宋体" w:hAnsi="宋体" w:cs="宋体"/>
          <w:szCs w:val="21"/>
        </w:rPr>
        <w:t>（1）本招标文件所称中小企业必须符合《政府采购促进中小企业发展管理办法》（财库〔2020〕46号）的规定。</w:t>
      </w:r>
    </w:p>
    <w:p w14:paraId="35234FDC">
      <w:pPr>
        <w:spacing w:line="360" w:lineRule="auto"/>
        <w:ind w:firstLine="424" w:firstLineChars="202"/>
        <w:jc w:val="left"/>
        <w:rPr>
          <w:rFonts w:hint="eastAsia" w:ascii="宋体" w:hAnsi="宋体" w:cs="宋体"/>
          <w:szCs w:val="21"/>
        </w:rPr>
      </w:pPr>
      <w:r>
        <w:rPr>
          <w:rFonts w:hint="eastAsia" w:ascii="宋体" w:hAnsi="宋体" w:cs="宋体"/>
          <w:szCs w:val="21"/>
        </w:rPr>
        <w:t>（2）服务项目中伴随货物的，根据《财政部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详见本章后附的节能产品政府采购品目清单），投标人的投标货物必须使用政府强制采购的节能产品，投标人必须在投标文件中提供所投标产品的节能产品认证证书复印件（加盖投标人电子公章），否则投标文件作无效处理。如本项目包含的货物属于品目清单内非标注“★”的产品时，应优先采购，具体详见“第四章 评标方法及评标标准”。</w:t>
      </w:r>
    </w:p>
    <w:p w14:paraId="33212FD2">
      <w:pPr>
        <w:spacing w:line="360" w:lineRule="auto"/>
        <w:ind w:firstLine="424" w:firstLineChars="202"/>
        <w:jc w:val="left"/>
        <w:rPr>
          <w:rFonts w:hint="eastAsia" w:ascii="宋体" w:hAnsi="宋体" w:cs="宋体"/>
          <w:b/>
          <w:szCs w:val="21"/>
        </w:rPr>
      </w:pPr>
      <w:r>
        <w:rPr>
          <w:rFonts w:hint="eastAsia" w:ascii="宋体" w:hAnsi="宋体" w:cs="宋体"/>
          <w:szCs w:val="21"/>
        </w:rPr>
        <w:t>（3）</w:t>
      </w:r>
      <w:r>
        <w:rPr>
          <w:rFonts w:hint="eastAsia" w:ascii="宋体" w:hAnsi="宋体" w:cs="宋体"/>
          <w:b/>
          <w:szCs w:val="21"/>
        </w:rPr>
        <w:t>服务项目中伴随的货物包含列入《网络关键设备和网络安全专用产品目录》的网络安全专用产品，应当按照《信息安全技术 网络安全专用产品安全技术要求》等相关国家标准的强制性要求，提供具备资格的机构安全认证合格或者安全检测证明材料（加盖投标人电子公章），否则投标文件作无效处理。</w:t>
      </w:r>
    </w:p>
    <w:p w14:paraId="6A9C9882">
      <w:pPr>
        <w:spacing w:line="360" w:lineRule="auto"/>
        <w:ind w:firstLine="426" w:firstLineChars="202"/>
        <w:jc w:val="left"/>
        <w:rPr>
          <w:rFonts w:hint="eastAsia" w:ascii="宋体" w:hAnsi="宋体" w:cs="宋体"/>
          <w:b/>
          <w:bCs/>
          <w:szCs w:val="21"/>
        </w:rPr>
      </w:pPr>
      <w:r>
        <w:rPr>
          <w:rFonts w:hint="eastAsia" w:ascii="宋体" w:hAnsi="宋体" w:cs="宋体"/>
          <w:b/>
          <w:bCs/>
          <w:szCs w:val="21"/>
          <w:lang w:val="en-US" w:eastAsia="zh-CN"/>
        </w:rPr>
        <w:t>2</w:t>
      </w:r>
      <w:r>
        <w:rPr>
          <w:rFonts w:hint="eastAsia" w:ascii="宋体" w:hAnsi="宋体" w:cs="宋体"/>
          <w:b/>
          <w:bCs/>
          <w:szCs w:val="21"/>
        </w:rPr>
        <w:t>.“实质性要求”是指招标文件中已经指明不满足则投标无效的条款，或者不能负偏离的条款，或者采购需求中带“▲”的条款。</w:t>
      </w:r>
    </w:p>
    <w:p w14:paraId="5CF78C21">
      <w:pPr>
        <w:spacing w:line="360" w:lineRule="auto"/>
        <w:ind w:firstLine="424" w:firstLineChars="202"/>
        <w:jc w:val="left"/>
        <w:rPr>
          <w:rFonts w:hint="eastAsia"/>
        </w:rPr>
      </w:pPr>
      <w:r>
        <w:rPr>
          <w:rFonts w:hint="eastAsia" w:ascii="宋体" w:hAnsi="宋体" w:cs="宋体"/>
          <w:szCs w:val="21"/>
          <w:lang w:val="en-US" w:eastAsia="zh-CN"/>
        </w:rPr>
        <w:t>3</w:t>
      </w:r>
      <w:r>
        <w:rPr>
          <w:rFonts w:hint="eastAsia" w:ascii="宋体" w:hAnsi="宋体" w:cs="宋体"/>
          <w:szCs w:val="21"/>
        </w:rPr>
        <w:t>.</w:t>
      </w:r>
      <w:r>
        <w:rPr>
          <w:rFonts w:hint="eastAsia"/>
        </w:rPr>
        <w:t>如投标人投标</w:t>
      </w:r>
      <w:r>
        <w:t>产品</w:t>
      </w:r>
      <w:r>
        <w:rPr>
          <w:rFonts w:hint="eastAsia"/>
        </w:rPr>
        <w:t>存在</w:t>
      </w:r>
      <w:r>
        <w:t>侵犯</w:t>
      </w:r>
      <w:r>
        <w:rPr>
          <w:rFonts w:hint="eastAsia"/>
        </w:rPr>
        <w:t>他人的知识产权或者专利成果行为的，应</w:t>
      </w:r>
      <w:r>
        <w:t>承担相应法律责任</w:t>
      </w:r>
      <w:r>
        <w:rPr>
          <w:rFonts w:hint="eastAsia"/>
        </w:rPr>
        <w:t>。</w:t>
      </w:r>
    </w:p>
    <w:p w14:paraId="4C382450">
      <w:pPr>
        <w:spacing w:line="360" w:lineRule="auto"/>
        <w:ind w:firstLine="424" w:firstLineChars="202"/>
        <w:jc w:val="left"/>
        <w:rPr>
          <w:rFonts w:hint="eastAsia"/>
        </w:rPr>
      </w:pPr>
      <w:r>
        <w:rPr>
          <w:rFonts w:hint="eastAsia"/>
          <w:lang w:val="en-US" w:eastAsia="zh-CN"/>
        </w:rPr>
        <w:t>4</w:t>
      </w:r>
      <w:r>
        <w:rPr>
          <w:rFonts w:hint="eastAsia"/>
        </w:rPr>
        <w:t>. 不需要投标人对采购需求响应为具体数值的，此采购需求的数值后将以◆号标注。</w:t>
      </w:r>
    </w:p>
    <w:p w14:paraId="538EA753">
      <w:pPr>
        <w:spacing w:line="360" w:lineRule="auto"/>
        <w:jc w:val="left"/>
      </w:pPr>
    </w:p>
    <w:p w14:paraId="6168F3AB">
      <w:pPr>
        <w:spacing w:line="360" w:lineRule="auto"/>
        <w:jc w:val="left"/>
        <w:rPr>
          <w:rFonts w:hint="eastAsia"/>
        </w:rPr>
      </w:pPr>
    </w:p>
    <w:p w14:paraId="02C84A2E">
      <w:pPr>
        <w:pStyle w:val="20"/>
        <w:rPr>
          <w:rFonts w:hint="eastAsia"/>
        </w:rPr>
      </w:pPr>
      <w:r>
        <w:rPr>
          <w:rFonts w:hint="eastAsia"/>
        </w:rPr>
        <w:br w:type="page"/>
      </w:r>
    </w:p>
    <w:tbl>
      <w:tblPr>
        <w:tblStyle w:val="16"/>
        <w:tblW w:w="957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39"/>
        <w:gridCol w:w="195"/>
        <w:gridCol w:w="525"/>
        <w:gridCol w:w="413"/>
        <w:gridCol w:w="387"/>
        <w:gridCol w:w="6707"/>
        <w:gridCol w:w="910"/>
      </w:tblGrid>
      <w:tr w14:paraId="7FAF75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9576" w:type="dxa"/>
            <w:gridSpan w:val="7"/>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225BE36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rPr>
            </w:pPr>
            <w:r>
              <w:rPr>
                <w:rFonts w:hint="eastAsia" w:ascii="Times New Roman" w:hAnsi="Times New Roman"/>
              </w:rPr>
              <w:t>服务需求一览表</w:t>
            </w:r>
          </w:p>
        </w:tc>
      </w:tr>
      <w:tr w14:paraId="3C7A77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1" w:hRule="atLeast"/>
          <w:jc w:val="center"/>
        </w:trPr>
        <w:tc>
          <w:tcPr>
            <w:tcW w:w="1159"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2B1006D9">
            <w:pPr>
              <w:spacing w:line="320" w:lineRule="exact"/>
              <w:jc w:val="center"/>
              <w:rPr>
                <w:rFonts w:hint="eastAsia" w:ascii="Times New Roman" w:hAnsi="Times New Roman"/>
                <w:color w:val="auto"/>
              </w:rPr>
            </w:pPr>
            <w:r>
              <w:rPr>
                <w:rFonts w:hint="eastAsia" w:ascii="宋体" w:hAnsi="宋体" w:cs="Arial"/>
                <w:color w:val="auto"/>
                <w:szCs w:val="21"/>
              </w:rPr>
              <w:t>标段</w:t>
            </w:r>
          </w:p>
        </w:tc>
        <w:tc>
          <w:tcPr>
            <w:tcW w:w="8417" w:type="dxa"/>
            <w:gridSpan w:val="4"/>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692F01E">
            <w:pPr>
              <w:spacing w:line="320" w:lineRule="exact"/>
              <w:ind w:firstLine="630" w:firstLineChars="300"/>
              <w:jc w:val="left"/>
              <w:rPr>
                <w:rFonts w:hint="eastAsia" w:ascii="Times New Roman" w:hAnsi="Times New Roman"/>
                <w:color w:val="auto"/>
              </w:rPr>
            </w:pPr>
            <w:r>
              <w:rPr>
                <w:rFonts w:hint="eastAsia" w:ascii="宋体" w:hAnsi="宋体" w:cs="Arial"/>
                <w:color w:val="auto"/>
                <w:szCs w:val="21"/>
              </w:rPr>
              <w:t>1</w:t>
            </w:r>
          </w:p>
        </w:tc>
      </w:tr>
      <w:tr w14:paraId="4CDC35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61" w:hRule="atLeast"/>
          <w:jc w:val="center"/>
        </w:trPr>
        <w:tc>
          <w:tcPr>
            <w:tcW w:w="439"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2265F0E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序号</w:t>
            </w:r>
          </w:p>
        </w:tc>
        <w:tc>
          <w:tcPr>
            <w:tcW w:w="720" w:type="dxa"/>
            <w:gridSpan w:val="2"/>
            <w:tcBorders>
              <w:top w:val="single" w:color="auto" w:sz="4" w:space="0"/>
              <w:left w:val="single" w:color="auto" w:sz="4" w:space="0"/>
              <w:bottom w:val="single" w:color="auto" w:sz="4" w:space="0"/>
              <w:right w:val="single" w:color="auto" w:sz="4" w:space="0"/>
            </w:tcBorders>
            <w:noWrap w:val="0"/>
            <w:vAlign w:val="center"/>
          </w:tcPr>
          <w:p w14:paraId="5ED4030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标的</w:t>
            </w:r>
            <w:r>
              <w:rPr>
                <w:rFonts w:hint="eastAsia" w:ascii="宋体" w:hAnsi="宋体" w:eastAsia="宋体" w:cs="宋体"/>
                <w:sz w:val="21"/>
                <w:szCs w:val="21"/>
              </w:rPr>
              <w:t>名称</w:t>
            </w:r>
          </w:p>
        </w:tc>
        <w:tc>
          <w:tcPr>
            <w:tcW w:w="413" w:type="dxa"/>
            <w:tcBorders>
              <w:top w:val="single" w:color="auto" w:sz="4" w:space="0"/>
              <w:left w:val="single" w:color="auto" w:sz="4" w:space="0"/>
              <w:bottom w:val="single" w:color="auto" w:sz="4" w:space="0"/>
              <w:right w:val="single" w:color="auto" w:sz="4" w:space="0"/>
            </w:tcBorders>
            <w:noWrap w:val="0"/>
            <w:vAlign w:val="center"/>
          </w:tcPr>
          <w:p w14:paraId="4B75C35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单位</w:t>
            </w:r>
          </w:p>
        </w:tc>
        <w:tc>
          <w:tcPr>
            <w:tcW w:w="387" w:type="dxa"/>
            <w:tcBorders>
              <w:top w:val="single" w:color="auto" w:sz="4" w:space="0"/>
              <w:left w:val="single" w:color="auto" w:sz="4" w:space="0"/>
              <w:bottom w:val="single" w:color="auto" w:sz="4" w:space="0"/>
              <w:right w:val="single" w:color="auto" w:sz="4" w:space="0"/>
            </w:tcBorders>
            <w:noWrap w:val="0"/>
            <w:vAlign w:val="center"/>
          </w:tcPr>
          <w:p w14:paraId="54DA1FA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数量</w:t>
            </w:r>
          </w:p>
        </w:tc>
        <w:tc>
          <w:tcPr>
            <w:tcW w:w="6707" w:type="dxa"/>
            <w:tcBorders>
              <w:top w:val="single" w:color="auto" w:sz="4" w:space="0"/>
              <w:left w:val="single" w:color="auto" w:sz="4" w:space="0"/>
              <w:bottom w:val="single" w:color="auto" w:sz="4" w:space="0"/>
              <w:right w:val="single" w:color="auto" w:sz="4" w:space="0"/>
            </w:tcBorders>
            <w:noWrap w:val="0"/>
            <w:vAlign w:val="center"/>
          </w:tcPr>
          <w:p w14:paraId="6013D5C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rPr>
            </w:pPr>
            <w:r>
              <w:rPr>
                <w:rFonts w:hint="eastAsia" w:ascii="宋体" w:hAnsi="宋体" w:eastAsia="宋体"/>
                <w:szCs w:val="21"/>
              </w:rPr>
              <w:t>服务内容及要求</w:t>
            </w:r>
          </w:p>
        </w:tc>
        <w:tc>
          <w:tcPr>
            <w:tcW w:w="910" w:type="dxa"/>
            <w:tcBorders>
              <w:top w:val="single" w:color="auto" w:sz="4" w:space="0"/>
              <w:left w:val="single" w:color="auto" w:sz="4" w:space="0"/>
              <w:bottom w:val="single" w:color="auto" w:sz="4" w:space="0"/>
              <w:right w:val="single" w:color="auto" w:sz="4" w:space="0"/>
            </w:tcBorders>
            <w:noWrap w:val="0"/>
            <w:vAlign w:val="center"/>
          </w:tcPr>
          <w:p w14:paraId="0487629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分项预算合计（元）</w:t>
            </w:r>
          </w:p>
        </w:tc>
      </w:tr>
      <w:tr w14:paraId="04934F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39" w:type="dxa"/>
            <w:tcBorders>
              <w:top w:val="single" w:color="auto" w:sz="4" w:space="0"/>
              <w:left w:val="single" w:color="auto" w:sz="4" w:space="0"/>
              <w:bottom w:val="single" w:color="auto" w:sz="4" w:space="0"/>
              <w:right w:val="single" w:color="auto" w:sz="4" w:space="0"/>
            </w:tcBorders>
            <w:noWrap w:val="0"/>
            <w:vAlign w:val="center"/>
          </w:tcPr>
          <w:p w14:paraId="6EBD9711">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0"/>
                <w:sz w:val="21"/>
                <w:szCs w:val="21"/>
                <w:highlight w:val="none"/>
              </w:rPr>
              <w:t>1</w:t>
            </w:r>
          </w:p>
        </w:tc>
        <w:tc>
          <w:tcPr>
            <w:tcW w:w="720" w:type="dxa"/>
            <w:gridSpan w:val="2"/>
            <w:tcBorders>
              <w:top w:val="single" w:color="auto" w:sz="4" w:space="0"/>
              <w:left w:val="single" w:color="auto" w:sz="4" w:space="0"/>
              <w:bottom w:val="single" w:color="auto" w:sz="4" w:space="0"/>
              <w:right w:val="single" w:color="auto" w:sz="4" w:space="0"/>
            </w:tcBorders>
            <w:noWrap w:val="0"/>
            <w:vAlign w:val="center"/>
          </w:tcPr>
          <w:p w14:paraId="230B21A2">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清真、东盟特色餐饮2门特色课程建设</w:t>
            </w:r>
          </w:p>
        </w:tc>
        <w:tc>
          <w:tcPr>
            <w:tcW w:w="413" w:type="dxa"/>
            <w:tcBorders>
              <w:top w:val="single" w:color="auto" w:sz="4" w:space="0"/>
              <w:left w:val="single" w:color="auto" w:sz="4" w:space="0"/>
              <w:bottom w:val="single" w:color="auto" w:sz="4" w:space="0"/>
              <w:right w:val="single" w:color="auto" w:sz="4" w:space="0"/>
            </w:tcBorders>
            <w:noWrap w:val="0"/>
            <w:vAlign w:val="center"/>
          </w:tcPr>
          <w:p w14:paraId="1F1542B2">
            <w:pPr>
              <w:keepNext w:val="0"/>
              <w:keepLines w:val="0"/>
              <w:pageBreakBefore w:val="0"/>
              <w:widowControl/>
              <w:kinsoku/>
              <w:overflowPunct/>
              <w:topLinePunct w:val="0"/>
              <w:autoSpaceDE/>
              <w:autoSpaceDN/>
              <w:bidi w:val="0"/>
              <w:adjustRightInd/>
              <w:snapToGrid/>
              <w:spacing w:line="360" w:lineRule="exact"/>
              <w:jc w:val="both"/>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门</w:t>
            </w:r>
          </w:p>
        </w:tc>
        <w:tc>
          <w:tcPr>
            <w:tcW w:w="387" w:type="dxa"/>
            <w:tcBorders>
              <w:top w:val="single" w:color="auto" w:sz="4" w:space="0"/>
              <w:left w:val="single" w:color="auto" w:sz="4" w:space="0"/>
              <w:bottom w:val="single" w:color="auto" w:sz="4" w:space="0"/>
              <w:right w:val="single" w:color="auto" w:sz="4" w:space="0"/>
            </w:tcBorders>
            <w:noWrap w:val="0"/>
            <w:vAlign w:val="center"/>
          </w:tcPr>
          <w:p w14:paraId="40E53A4D">
            <w:pPr>
              <w:keepNext w:val="0"/>
              <w:keepLines w:val="0"/>
              <w:pageBreakBefore w:val="0"/>
              <w:widowControl/>
              <w:kinsoku/>
              <w:overflowPunct/>
              <w:topLinePunct w:val="0"/>
              <w:autoSpaceDE/>
              <w:autoSpaceDN/>
              <w:bidi w:val="0"/>
              <w:adjustRightInd/>
              <w:snapToGrid/>
              <w:spacing w:line="360" w:lineRule="exact"/>
              <w:jc w:val="both"/>
              <w:textAlignment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6707" w:type="dxa"/>
            <w:tcBorders>
              <w:top w:val="single" w:color="auto" w:sz="4" w:space="0"/>
              <w:left w:val="single" w:color="auto" w:sz="4" w:space="0"/>
              <w:bottom w:val="single" w:color="auto" w:sz="4" w:space="0"/>
              <w:right w:val="single" w:color="auto" w:sz="4" w:space="0"/>
            </w:tcBorders>
            <w:noWrap w:val="0"/>
            <w:vAlign w:val="center"/>
          </w:tcPr>
          <w:p w14:paraId="4F055C5B">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一、服务内容</w:t>
            </w:r>
          </w:p>
          <w:p w14:paraId="3A753D39">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1.指导协助完成清真、东盟特色餐饮2门特色在线课程建设，课程内容体现新知识、新技术、新工艺、新方法，与行业先进水平保持同步。</w:t>
            </w:r>
          </w:p>
          <w:p w14:paraId="56652EC1">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2.辅助进行课程上线。</w:t>
            </w:r>
          </w:p>
          <w:p w14:paraId="48EA569B">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bCs/>
                <w:kern w:val="2"/>
                <w:sz w:val="21"/>
                <w:szCs w:val="21"/>
                <w:highlight w:val="none"/>
                <w:lang w:val="en-US" w:eastAsia="zh-CN" w:bidi="ar-SA"/>
              </w:rPr>
            </w:pPr>
            <w:r>
              <w:rPr>
                <w:rFonts w:hint="eastAsia" w:ascii="宋体" w:hAnsi="宋体" w:eastAsia="宋体" w:cs="宋体"/>
                <w:b w:val="0"/>
                <w:bCs w:val="0"/>
                <w:kern w:val="2"/>
                <w:sz w:val="21"/>
                <w:szCs w:val="21"/>
                <w:lang w:val="en-US" w:eastAsia="zh-CN" w:bidi="ar-SA"/>
              </w:rPr>
              <w:t xml:space="preserve">3. </w:t>
            </w:r>
            <w:r>
              <w:rPr>
                <w:rFonts w:hint="eastAsia" w:ascii="宋体" w:hAnsi="宋体" w:eastAsia="宋体" w:cs="宋体"/>
                <w:b w:val="0"/>
                <w:bCs w:val="0"/>
                <w:color w:val="auto"/>
                <w:kern w:val="2"/>
                <w:sz w:val="21"/>
                <w:szCs w:val="21"/>
                <w:highlight w:val="none"/>
                <w:lang w:val="en-US" w:eastAsia="zh-CN" w:bidi="ar-SA"/>
              </w:rPr>
              <w:t>3名以上副编审或以上职称专家培训指导课程内容文本优化，3名编辑协助课程的课程思政教学设计及知识点的课程思政教学设计，梳理资源脚本。（</w:t>
            </w:r>
            <w:r>
              <w:rPr>
                <w:rFonts w:hint="eastAsia" w:ascii="宋体" w:hAnsi="宋体" w:eastAsia="宋体" w:cs="宋体"/>
                <w:b/>
                <w:bCs/>
                <w:kern w:val="2"/>
                <w:sz w:val="21"/>
                <w:szCs w:val="21"/>
                <w:highlight w:val="none"/>
                <w:lang w:val="en-US" w:eastAsia="zh-CN" w:bidi="ar-SA"/>
              </w:rPr>
              <w:t>投标文件中提供专家人员的职称证明及学历证明</w:t>
            </w:r>
            <w:r>
              <w:rPr>
                <w:rFonts w:hint="eastAsia" w:ascii="宋体" w:hAnsi="宋体" w:eastAsia="宋体" w:cs="宋体"/>
                <w:b w:val="0"/>
                <w:bCs w:val="0"/>
                <w:color w:val="auto"/>
                <w:kern w:val="2"/>
                <w:sz w:val="21"/>
                <w:szCs w:val="21"/>
                <w:highlight w:val="none"/>
                <w:lang w:val="en-US" w:eastAsia="zh-CN" w:bidi="ar-SA"/>
              </w:rPr>
              <w:t>）</w:t>
            </w:r>
          </w:p>
          <w:p w14:paraId="5E575E67">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4.协助资源上传至学校指定的教学管理平台。</w:t>
            </w:r>
          </w:p>
          <w:p w14:paraId="061F3343">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二、在线课程的数字资源数量要求</w:t>
            </w:r>
          </w:p>
          <w:tbl>
            <w:tblPr>
              <w:tblStyle w:val="17"/>
              <w:tblW w:w="58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937"/>
              <w:gridCol w:w="3953"/>
            </w:tblGrid>
            <w:tr w14:paraId="3D84F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jc w:val="center"/>
              </w:trPr>
              <w:tc>
                <w:tcPr>
                  <w:tcW w:w="1008" w:type="dxa"/>
                  <w:noWrap w:val="0"/>
                  <w:vAlign w:val="center"/>
                </w:tcPr>
                <w:p w14:paraId="48787436">
                  <w:pPr>
                    <w:keepNext w:val="0"/>
                    <w:keepLines w:val="0"/>
                    <w:pageBreakBefore w:val="0"/>
                    <w:widowControl w:val="0"/>
                    <w:kinsoku/>
                    <w:wordWrap/>
                    <w:overflowPunct/>
                    <w:topLinePunct w:val="0"/>
                    <w:autoSpaceDE/>
                    <w:autoSpaceDN/>
                    <w:bidi w:val="0"/>
                    <w:adjustRightInd/>
                    <w:snapToGrid/>
                    <w:spacing w:beforeAutospacing="0" w:afterAutospacing="0" w:line="360" w:lineRule="exact"/>
                    <w:ind w:right="105" w:rightChars="5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资源</w:t>
                  </w:r>
                </w:p>
                <w:p w14:paraId="1C94B589">
                  <w:pPr>
                    <w:keepNext w:val="0"/>
                    <w:keepLines w:val="0"/>
                    <w:pageBreakBefore w:val="0"/>
                    <w:widowControl w:val="0"/>
                    <w:kinsoku/>
                    <w:wordWrap/>
                    <w:overflowPunct/>
                    <w:topLinePunct w:val="0"/>
                    <w:autoSpaceDE/>
                    <w:autoSpaceDN/>
                    <w:bidi w:val="0"/>
                    <w:adjustRightInd/>
                    <w:snapToGrid/>
                    <w:spacing w:beforeAutospacing="0" w:afterAutospacing="0" w:line="360" w:lineRule="exact"/>
                    <w:ind w:right="105" w:rightChars="5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类型</w:t>
                  </w:r>
                </w:p>
              </w:tc>
              <w:tc>
                <w:tcPr>
                  <w:tcW w:w="937" w:type="dxa"/>
                  <w:noWrap w:val="0"/>
                  <w:vAlign w:val="center"/>
                </w:tcPr>
                <w:p w14:paraId="0D3CA933">
                  <w:pPr>
                    <w:keepNext w:val="0"/>
                    <w:keepLines w:val="0"/>
                    <w:pageBreakBefore w:val="0"/>
                    <w:widowControl w:val="0"/>
                    <w:kinsoku/>
                    <w:wordWrap/>
                    <w:overflowPunct/>
                    <w:topLinePunct w:val="0"/>
                    <w:autoSpaceDE/>
                    <w:autoSpaceDN/>
                    <w:bidi w:val="0"/>
                    <w:adjustRightInd/>
                    <w:snapToGrid/>
                    <w:spacing w:beforeAutospacing="0" w:afterAutospacing="0" w:line="360" w:lineRule="exact"/>
                    <w:ind w:right="105" w:rightChars="5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数量</w:t>
                  </w:r>
                </w:p>
              </w:tc>
              <w:tc>
                <w:tcPr>
                  <w:tcW w:w="3953" w:type="dxa"/>
                  <w:noWrap w:val="0"/>
                  <w:vAlign w:val="center"/>
                </w:tcPr>
                <w:p w14:paraId="6273C3E0">
                  <w:pPr>
                    <w:keepNext w:val="0"/>
                    <w:keepLines w:val="0"/>
                    <w:pageBreakBefore w:val="0"/>
                    <w:widowControl w:val="0"/>
                    <w:kinsoku/>
                    <w:wordWrap/>
                    <w:overflowPunct/>
                    <w:topLinePunct w:val="0"/>
                    <w:autoSpaceDE/>
                    <w:autoSpaceDN/>
                    <w:bidi w:val="0"/>
                    <w:adjustRightInd/>
                    <w:snapToGrid/>
                    <w:spacing w:beforeAutospacing="0" w:afterAutospacing="0" w:line="360" w:lineRule="exact"/>
                    <w:ind w:right="105" w:rightChars="5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备注</w:t>
                  </w:r>
                </w:p>
              </w:tc>
            </w:tr>
            <w:tr w14:paraId="438EC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jc w:val="center"/>
              </w:trPr>
              <w:tc>
                <w:tcPr>
                  <w:tcW w:w="1008" w:type="dxa"/>
                  <w:noWrap w:val="0"/>
                  <w:vAlign w:val="center"/>
                </w:tcPr>
                <w:p w14:paraId="770525E3">
                  <w:pPr>
                    <w:keepNext w:val="0"/>
                    <w:keepLines w:val="0"/>
                    <w:pageBreakBefore w:val="0"/>
                    <w:widowControl w:val="0"/>
                    <w:kinsoku/>
                    <w:wordWrap/>
                    <w:overflowPunct/>
                    <w:topLinePunct w:val="0"/>
                    <w:autoSpaceDE/>
                    <w:autoSpaceDN/>
                    <w:bidi w:val="0"/>
                    <w:adjustRightInd/>
                    <w:snapToGrid/>
                    <w:spacing w:beforeAutospacing="0" w:afterAutospacing="0" w:line="360" w:lineRule="exact"/>
                    <w:ind w:right="105" w:rightChars="5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课程</w:t>
                  </w:r>
                </w:p>
                <w:p w14:paraId="41EECCE6">
                  <w:pPr>
                    <w:keepNext w:val="0"/>
                    <w:keepLines w:val="0"/>
                    <w:pageBreakBefore w:val="0"/>
                    <w:widowControl w:val="0"/>
                    <w:kinsoku/>
                    <w:wordWrap/>
                    <w:overflowPunct/>
                    <w:topLinePunct w:val="0"/>
                    <w:autoSpaceDE/>
                    <w:autoSpaceDN/>
                    <w:bidi w:val="0"/>
                    <w:adjustRightInd/>
                    <w:snapToGrid/>
                    <w:spacing w:beforeAutospacing="0" w:afterAutospacing="0" w:line="360" w:lineRule="exact"/>
                    <w:ind w:right="105" w:rightChars="5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介绍</w:t>
                  </w:r>
                </w:p>
              </w:tc>
              <w:tc>
                <w:tcPr>
                  <w:tcW w:w="937" w:type="dxa"/>
                  <w:noWrap w:val="0"/>
                  <w:vAlign w:val="center"/>
                </w:tcPr>
                <w:p w14:paraId="3047453D">
                  <w:pPr>
                    <w:keepNext w:val="0"/>
                    <w:keepLines w:val="0"/>
                    <w:pageBreakBefore w:val="0"/>
                    <w:widowControl w:val="0"/>
                    <w:kinsoku/>
                    <w:wordWrap/>
                    <w:overflowPunct/>
                    <w:topLinePunct w:val="0"/>
                    <w:autoSpaceDE/>
                    <w:autoSpaceDN/>
                    <w:bidi w:val="0"/>
                    <w:adjustRightInd/>
                    <w:snapToGrid/>
                    <w:spacing w:beforeAutospacing="0" w:afterAutospacing="0" w:line="360" w:lineRule="exact"/>
                    <w:ind w:right="105" w:rightChars="5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2个</w:t>
                  </w:r>
                </w:p>
              </w:tc>
              <w:tc>
                <w:tcPr>
                  <w:tcW w:w="3953" w:type="dxa"/>
                  <w:noWrap w:val="0"/>
                  <w:vAlign w:val="center"/>
                </w:tcPr>
                <w:p w14:paraId="7B82372F">
                  <w:pPr>
                    <w:keepNext w:val="0"/>
                    <w:keepLines w:val="0"/>
                    <w:pageBreakBefore w:val="0"/>
                    <w:widowControl w:val="0"/>
                    <w:kinsoku/>
                    <w:wordWrap/>
                    <w:overflowPunct/>
                    <w:topLinePunct w:val="0"/>
                    <w:autoSpaceDE/>
                    <w:autoSpaceDN/>
                    <w:bidi w:val="0"/>
                    <w:adjustRightInd/>
                    <w:snapToGrid/>
                    <w:spacing w:beforeAutospacing="0" w:afterAutospacing="0" w:line="360" w:lineRule="exact"/>
                    <w:ind w:right="105" w:rightChars="5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5-10分钟视频，包含课程建设的基本情况、课程团队、课程内容、课程特色、课程应用等。</w:t>
                  </w:r>
                </w:p>
              </w:tc>
            </w:tr>
            <w:tr w14:paraId="0D094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7" w:hRule="atLeast"/>
                <w:jc w:val="center"/>
              </w:trPr>
              <w:tc>
                <w:tcPr>
                  <w:tcW w:w="1008" w:type="dxa"/>
                  <w:noWrap w:val="0"/>
                  <w:vAlign w:val="center"/>
                </w:tcPr>
                <w:p w14:paraId="51E38B4D">
                  <w:pPr>
                    <w:keepNext w:val="0"/>
                    <w:keepLines w:val="0"/>
                    <w:pageBreakBefore w:val="0"/>
                    <w:widowControl w:val="0"/>
                    <w:kinsoku/>
                    <w:wordWrap/>
                    <w:overflowPunct/>
                    <w:topLinePunct w:val="0"/>
                    <w:autoSpaceDE/>
                    <w:autoSpaceDN/>
                    <w:bidi w:val="0"/>
                    <w:adjustRightInd/>
                    <w:snapToGrid/>
                    <w:spacing w:beforeAutospacing="0" w:afterAutospacing="0" w:line="360" w:lineRule="exact"/>
                    <w:ind w:right="105" w:rightChars="5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微课</w:t>
                  </w:r>
                </w:p>
              </w:tc>
              <w:tc>
                <w:tcPr>
                  <w:tcW w:w="937" w:type="dxa"/>
                  <w:noWrap w:val="0"/>
                  <w:vAlign w:val="center"/>
                </w:tcPr>
                <w:p w14:paraId="5C32E131">
                  <w:pPr>
                    <w:keepNext w:val="0"/>
                    <w:keepLines w:val="0"/>
                    <w:pageBreakBefore w:val="0"/>
                    <w:widowControl w:val="0"/>
                    <w:kinsoku/>
                    <w:wordWrap/>
                    <w:overflowPunct/>
                    <w:topLinePunct w:val="0"/>
                    <w:autoSpaceDE/>
                    <w:autoSpaceDN/>
                    <w:bidi w:val="0"/>
                    <w:adjustRightInd/>
                    <w:snapToGrid/>
                    <w:spacing w:beforeAutospacing="0" w:afterAutospacing="0" w:line="360" w:lineRule="exact"/>
                    <w:ind w:right="105" w:rightChars="5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350分钟/门</w:t>
                  </w:r>
                </w:p>
              </w:tc>
              <w:tc>
                <w:tcPr>
                  <w:tcW w:w="3953" w:type="dxa"/>
                  <w:noWrap w:val="0"/>
                  <w:vAlign w:val="center"/>
                </w:tcPr>
                <w:p w14:paraId="1D2866C0">
                  <w:pPr>
                    <w:keepNext w:val="0"/>
                    <w:keepLines w:val="0"/>
                    <w:pageBreakBefore w:val="0"/>
                    <w:widowControl w:val="0"/>
                    <w:kinsoku/>
                    <w:wordWrap/>
                    <w:overflowPunct/>
                    <w:topLinePunct w:val="0"/>
                    <w:autoSpaceDE/>
                    <w:autoSpaceDN/>
                    <w:bidi w:val="0"/>
                    <w:adjustRightInd/>
                    <w:snapToGrid/>
                    <w:spacing w:beforeAutospacing="0" w:afterAutospacing="0" w:line="360" w:lineRule="exact"/>
                    <w:ind w:right="105" w:rightChars="5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时长5-10分钟/个</w:t>
                  </w:r>
                  <w:r>
                    <w:rPr>
                      <w:rFonts w:hint="eastAsia" w:ascii="宋体" w:hAnsi="宋体" w:eastAsia="宋体" w:cs="宋体"/>
                      <w:color w:val="auto"/>
                      <w:kern w:val="2"/>
                      <w:sz w:val="21"/>
                      <w:szCs w:val="21"/>
                      <w:highlight w:val="none"/>
                      <w:lang w:val="en" w:eastAsia="zh-CN" w:bidi="ar-SA"/>
                    </w:rPr>
                    <w:t>,</w:t>
                  </w:r>
                  <w:r>
                    <w:rPr>
                      <w:rFonts w:hint="eastAsia" w:ascii="宋体" w:hAnsi="宋体" w:eastAsia="宋体" w:cs="宋体"/>
                      <w:color w:val="auto"/>
                      <w:kern w:val="2"/>
                      <w:sz w:val="21"/>
                      <w:szCs w:val="21"/>
                      <w:highlight w:val="none"/>
                      <w:lang w:val="en-US" w:eastAsia="zh-CN" w:bidi="ar-SA"/>
                    </w:rPr>
                    <w:t>不低于40个微课。匹配教学内容中的重点、难点，以视频形式讲解、演示，使学生通过灵活、活泼的形式学习知识点。</w:t>
                  </w:r>
                </w:p>
              </w:tc>
            </w:tr>
            <w:tr w14:paraId="2D8BE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7" w:hRule="atLeast"/>
                <w:jc w:val="center"/>
              </w:trPr>
              <w:tc>
                <w:tcPr>
                  <w:tcW w:w="1008" w:type="dxa"/>
                  <w:noWrap w:val="0"/>
                  <w:vAlign w:val="center"/>
                </w:tcPr>
                <w:p w14:paraId="7C502096">
                  <w:pPr>
                    <w:keepNext w:val="0"/>
                    <w:keepLines w:val="0"/>
                    <w:pageBreakBefore w:val="0"/>
                    <w:widowControl w:val="0"/>
                    <w:kinsoku/>
                    <w:wordWrap/>
                    <w:overflowPunct/>
                    <w:topLinePunct w:val="0"/>
                    <w:autoSpaceDE/>
                    <w:autoSpaceDN/>
                    <w:bidi w:val="0"/>
                    <w:adjustRightInd/>
                    <w:snapToGrid/>
                    <w:spacing w:beforeAutospacing="0" w:afterAutospacing="0" w:line="360" w:lineRule="exact"/>
                    <w:ind w:right="105" w:rightChars="5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课件</w:t>
                  </w:r>
                </w:p>
              </w:tc>
              <w:tc>
                <w:tcPr>
                  <w:tcW w:w="937" w:type="dxa"/>
                  <w:noWrap w:val="0"/>
                  <w:vAlign w:val="center"/>
                </w:tcPr>
                <w:p w14:paraId="279F40FE">
                  <w:pPr>
                    <w:keepNext w:val="0"/>
                    <w:keepLines w:val="0"/>
                    <w:pageBreakBefore w:val="0"/>
                    <w:widowControl w:val="0"/>
                    <w:kinsoku/>
                    <w:wordWrap/>
                    <w:overflowPunct/>
                    <w:topLinePunct w:val="0"/>
                    <w:autoSpaceDE/>
                    <w:autoSpaceDN/>
                    <w:bidi w:val="0"/>
                    <w:adjustRightInd/>
                    <w:snapToGrid/>
                    <w:spacing w:beforeAutospacing="0" w:afterAutospacing="0" w:line="360" w:lineRule="exact"/>
                    <w:ind w:right="105" w:rightChars="5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2套</w:t>
                  </w:r>
                </w:p>
              </w:tc>
              <w:tc>
                <w:tcPr>
                  <w:tcW w:w="3953" w:type="dxa"/>
                  <w:noWrap w:val="0"/>
                  <w:vAlign w:val="center"/>
                </w:tcPr>
                <w:p w14:paraId="73F29700">
                  <w:pPr>
                    <w:keepNext w:val="0"/>
                    <w:keepLines w:val="0"/>
                    <w:pageBreakBefore w:val="0"/>
                    <w:widowControl w:val="0"/>
                    <w:kinsoku/>
                    <w:wordWrap/>
                    <w:overflowPunct/>
                    <w:topLinePunct w:val="0"/>
                    <w:autoSpaceDE/>
                    <w:autoSpaceDN/>
                    <w:bidi w:val="0"/>
                    <w:adjustRightInd/>
                    <w:snapToGrid/>
                    <w:spacing w:beforeAutospacing="0" w:afterAutospacing="0" w:line="360" w:lineRule="exact"/>
                    <w:ind w:right="105" w:rightChars="5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根据课程每门课内容，对应制作教学PPT课件，每门课程课件不低于20个教学任务，总量不低于400页，融合教学目标、各种参考资料、学习素材等。</w:t>
                  </w:r>
                </w:p>
              </w:tc>
            </w:tr>
            <w:tr w14:paraId="3C8F3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7" w:hRule="atLeast"/>
                <w:jc w:val="center"/>
              </w:trPr>
              <w:tc>
                <w:tcPr>
                  <w:tcW w:w="1008" w:type="dxa"/>
                  <w:noWrap w:val="0"/>
                  <w:vAlign w:val="center"/>
                </w:tcPr>
                <w:p w14:paraId="303C80EB">
                  <w:pPr>
                    <w:keepNext w:val="0"/>
                    <w:keepLines w:val="0"/>
                    <w:pageBreakBefore w:val="0"/>
                    <w:widowControl w:val="0"/>
                    <w:kinsoku/>
                    <w:wordWrap/>
                    <w:overflowPunct/>
                    <w:topLinePunct w:val="0"/>
                    <w:autoSpaceDE/>
                    <w:autoSpaceDN/>
                    <w:bidi w:val="0"/>
                    <w:adjustRightInd/>
                    <w:snapToGrid/>
                    <w:spacing w:beforeAutospacing="0" w:afterAutospacing="0" w:line="360" w:lineRule="exact"/>
                    <w:ind w:right="105" w:rightChars="5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试题库</w:t>
                  </w:r>
                </w:p>
              </w:tc>
              <w:tc>
                <w:tcPr>
                  <w:tcW w:w="937" w:type="dxa"/>
                  <w:noWrap w:val="0"/>
                  <w:vAlign w:val="center"/>
                </w:tcPr>
                <w:p w14:paraId="02FBAA6C">
                  <w:pPr>
                    <w:keepNext w:val="0"/>
                    <w:keepLines w:val="0"/>
                    <w:pageBreakBefore w:val="0"/>
                    <w:widowControl w:val="0"/>
                    <w:kinsoku/>
                    <w:wordWrap/>
                    <w:overflowPunct/>
                    <w:topLinePunct w:val="0"/>
                    <w:autoSpaceDE/>
                    <w:autoSpaceDN/>
                    <w:bidi w:val="0"/>
                    <w:adjustRightInd/>
                    <w:snapToGrid/>
                    <w:spacing w:beforeAutospacing="0" w:afterAutospacing="0" w:line="360" w:lineRule="exact"/>
                    <w:ind w:right="105" w:rightChars="5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2套</w:t>
                  </w:r>
                </w:p>
              </w:tc>
              <w:tc>
                <w:tcPr>
                  <w:tcW w:w="3953" w:type="dxa"/>
                  <w:noWrap w:val="0"/>
                  <w:vAlign w:val="center"/>
                </w:tcPr>
                <w:p w14:paraId="2142B07D">
                  <w:pPr>
                    <w:keepNext w:val="0"/>
                    <w:keepLines w:val="0"/>
                    <w:pageBreakBefore w:val="0"/>
                    <w:widowControl w:val="0"/>
                    <w:kinsoku/>
                    <w:wordWrap/>
                    <w:overflowPunct/>
                    <w:topLinePunct w:val="0"/>
                    <w:autoSpaceDE/>
                    <w:autoSpaceDN/>
                    <w:bidi w:val="0"/>
                    <w:adjustRightInd/>
                    <w:snapToGrid/>
                    <w:spacing w:beforeAutospacing="0" w:afterAutospacing="0" w:line="36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每门课每个教学任务</w:t>
                  </w:r>
                  <w:r>
                    <w:rPr>
                      <w:rFonts w:hint="eastAsia" w:ascii="宋体" w:hAnsi="宋体" w:eastAsia="宋体" w:cs="宋体"/>
                      <w:color w:val="auto"/>
                      <w:sz w:val="21"/>
                      <w:szCs w:val="21"/>
                      <w:highlight w:val="none"/>
                      <w:lang w:val="en-US" w:eastAsia="zh-CN"/>
                    </w:rPr>
                    <w:t>配套</w:t>
                  </w:r>
                  <w:r>
                    <w:rPr>
                      <w:rFonts w:hint="eastAsia" w:ascii="宋体" w:hAnsi="宋体" w:eastAsia="宋体" w:cs="宋体"/>
                      <w:color w:val="auto"/>
                      <w:sz w:val="21"/>
                      <w:szCs w:val="21"/>
                      <w:highlight w:val="none"/>
                    </w:rPr>
                    <w:t>课后练习题和单元自测题，</w:t>
                  </w:r>
                  <w:r>
                    <w:rPr>
                      <w:rFonts w:hint="eastAsia" w:ascii="宋体" w:hAnsi="宋体" w:eastAsia="宋体" w:cs="宋体"/>
                      <w:color w:val="auto"/>
                      <w:sz w:val="21"/>
                      <w:szCs w:val="21"/>
                      <w:highlight w:val="none"/>
                      <w:lang w:val="en-US" w:eastAsia="zh-CN"/>
                    </w:rPr>
                    <w:t>课后练习题不低于50道题，单元自测题不低于200道题，</w:t>
                  </w:r>
                  <w:r>
                    <w:rPr>
                      <w:rFonts w:hint="eastAsia" w:ascii="宋体" w:hAnsi="宋体" w:eastAsia="宋体" w:cs="宋体"/>
                      <w:color w:val="auto"/>
                      <w:sz w:val="21"/>
                      <w:szCs w:val="21"/>
                      <w:highlight w:val="none"/>
                    </w:rPr>
                    <w:t>课后检验学习成果和重难点掌握情况。</w:t>
                  </w:r>
                </w:p>
              </w:tc>
            </w:tr>
            <w:tr w14:paraId="7AD63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4" w:hRule="atLeast"/>
                <w:jc w:val="center"/>
              </w:trPr>
              <w:tc>
                <w:tcPr>
                  <w:tcW w:w="1008" w:type="dxa"/>
                  <w:noWrap w:val="0"/>
                  <w:vAlign w:val="center"/>
                </w:tcPr>
                <w:p w14:paraId="62F3F441">
                  <w:pPr>
                    <w:keepNext w:val="0"/>
                    <w:keepLines w:val="0"/>
                    <w:pageBreakBefore w:val="0"/>
                    <w:widowControl w:val="0"/>
                    <w:kinsoku/>
                    <w:wordWrap/>
                    <w:overflowPunct/>
                    <w:topLinePunct w:val="0"/>
                    <w:autoSpaceDE/>
                    <w:autoSpaceDN/>
                    <w:bidi w:val="0"/>
                    <w:adjustRightInd/>
                    <w:snapToGrid/>
                    <w:spacing w:beforeAutospacing="0" w:afterAutospacing="0" w:line="360" w:lineRule="exact"/>
                    <w:ind w:right="105" w:rightChars="5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图库</w:t>
                  </w:r>
                </w:p>
              </w:tc>
              <w:tc>
                <w:tcPr>
                  <w:tcW w:w="937" w:type="dxa"/>
                  <w:noWrap w:val="0"/>
                  <w:vAlign w:val="center"/>
                </w:tcPr>
                <w:p w14:paraId="0F27BBBE">
                  <w:pPr>
                    <w:keepNext w:val="0"/>
                    <w:keepLines w:val="0"/>
                    <w:pageBreakBefore w:val="0"/>
                    <w:widowControl w:val="0"/>
                    <w:kinsoku/>
                    <w:wordWrap/>
                    <w:overflowPunct/>
                    <w:topLinePunct w:val="0"/>
                    <w:autoSpaceDE/>
                    <w:autoSpaceDN/>
                    <w:bidi w:val="0"/>
                    <w:adjustRightInd/>
                    <w:snapToGrid/>
                    <w:spacing w:beforeAutospacing="0" w:afterAutospacing="0" w:line="360" w:lineRule="exact"/>
                    <w:ind w:right="105" w:rightChars="5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2套</w:t>
                  </w:r>
                </w:p>
              </w:tc>
              <w:tc>
                <w:tcPr>
                  <w:tcW w:w="3953" w:type="dxa"/>
                  <w:noWrap w:val="0"/>
                  <w:vAlign w:val="center"/>
                </w:tcPr>
                <w:p w14:paraId="5A110091">
                  <w:pPr>
                    <w:keepNext w:val="0"/>
                    <w:keepLines w:val="0"/>
                    <w:pageBreakBefore w:val="0"/>
                    <w:widowControl w:val="0"/>
                    <w:kinsoku/>
                    <w:wordWrap/>
                    <w:overflowPunct/>
                    <w:topLinePunct w:val="0"/>
                    <w:autoSpaceDE/>
                    <w:autoSpaceDN/>
                    <w:bidi w:val="0"/>
                    <w:adjustRightInd/>
                    <w:snapToGrid/>
                    <w:spacing w:beforeAutospacing="0" w:afterAutospacing="0" w:line="360" w:lineRule="exact"/>
                    <w:ind w:right="105" w:rightChars="5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每门课开发一套图库，图库须覆盖课程资源开发所需的全部图片素材，不低于200张，以组合图片形式代替传统教材中的单个插图，提高辅助学习效果。包含思维导图等。</w:t>
                  </w:r>
                </w:p>
              </w:tc>
            </w:tr>
            <w:tr w14:paraId="3E363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jc w:val="center"/>
              </w:trPr>
              <w:tc>
                <w:tcPr>
                  <w:tcW w:w="1008" w:type="dxa"/>
                  <w:noWrap w:val="0"/>
                  <w:vAlign w:val="center"/>
                </w:tcPr>
                <w:p w14:paraId="2233F11E">
                  <w:pPr>
                    <w:keepNext w:val="0"/>
                    <w:keepLines w:val="0"/>
                    <w:pageBreakBefore w:val="0"/>
                    <w:widowControl w:val="0"/>
                    <w:kinsoku/>
                    <w:wordWrap/>
                    <w:overflowPunct/>
                    <w:topLinePunct w:val="0"/>
                    <w:autoSpaceDE/>
                    <w:autoSpaceDN/>
                    <w:bidi w:val="0"/>
                    <w:adjustRightInd/>
                    <w:snapToGrid/>
                    <w:spacing w:beforeAutospacing="0" w:afterAutospacing="0" w:line="360" w:lineRule="exact"/>
                    <w:ind w:right="105" w:rightChars="5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教学</w:t>
                  </w:r>
                </w:p>
                <w:p w14:paraId="24A82FAE">
                  <w:pPr>
                    <w:keepNext w:val="0"/>
                    <w:keepLines w:val="0"/>
                    <w:pageBreakBefore w:val="0"/>
                    <w:widowControl w:val="0"/>
                    <w:kinsoku/>
                    <w:wordWrap/>
                    <w:overflowPunct/>
                    <w:topLinePunct w:val="0"/>
                    <w:autoSpaceDE/>
                    <w:autoSpaceDN/>
                    <w:bidi w:val="0"/>
                    <w:adjustRightInd/>
                    <w:snapToGrid/>
                    <w:spacing w:beforeAutospacing="0" w:afterAutospacing="0" w:line="360" w:lineRule="exact"/>
                    <w:ind w:right="105" w:rightChars="5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设计</w:t>
                  </w:r>
                </w:p>
              </w:tc>
              <w:tc>
                <w:tcPr>
                  <w:tcW w:w="937" w:type="dxa"/>
                  <w:noWrap w:val="0"/>
                  <w:vAlign w:val="center"/>
                </w:tcPr>
                <w:p w14:paraId="182241D9">
                  <w:pPr>
                    <w:keepNext w:val="0"/>
                    <w:keepLines w:val="0"/>
                    <w:pageBreakBefore w:val="0"/>
                    <w:widowControl w:val="0"/>
                    <w:kinsoku/>
                    <w:wordWrap/>
                    <w:overflowPunct/>
                    <w:topLinePunct w:val="0"/>
                    <w:autoSpaceDE/>
                    <w:autoSpaceDN/>
                    <w:bidi w:val="0"/>
                    <w:adjustRightInd/>
                    <w:snapToGrid/>
                    <w:spacing w:beforeAutospacing="0" w:afterAutospacing="0" w:line="360" w:lineRule="exact"/>
                    <w:ind w:right="105" w:rightChars="5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2套</w:t>
                  </w:r>
                </w:p>
              </w:tc>
              <w:tc>
                <w:tcPr>
                  <w:tcW w:w="3953" w:type="dxa"/>
                  <w:noWrap w:val="0"/>
                  <w:vAlign w:val="center"/>
                </w:tcPr>
                <w:p w14:paraId="6D9D83D7">
                  <w:pPr>
                    <w:keepNext w:val="0"/>
                    <w:keepLines w:val="0"/>
                    <w:pageBreakBefore w:val="0"/>
                    <w:widowControl w:val="0"/>
                    <w:kinsoku/>
                    <w:wordWrap/>
                    <w:overflowPunct/>
                    <w:topLinePunct w:val="0"/>
                    <w:autoSpaceDE/>
                    <w:autoSpaceDN/>
                    <w:bidi w:val="0"/>
                    <w:adjustRightInd/>
                    <w:snapToGrid/>
                    <w:spacing w:beforeAutospacing="0" w:afterAutospacing="0" w:line="360" w:lineRule="exact"/>
                    <w:ind w:right="105" w:rightChars="5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开发2门课的教学设计，覆盖全部学时。</w:t>
                  </w:r>
                </w:p>
              </w:tc>
            </w:tr>
            <w:tr w14:paraId="75EC5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1008" w:type="dxa"/>
                  <w:noWrap w:val="0"/>
                  <w:vAlign w:val="center"/>
                </w:tcPr>
                <w:p w14:paraId="6360636D">
                  <w:pPr>
                    <w:keepNext w:val="0"/>
                    <w:keepLines w:val="0"/>
                    <w:pageBreakBefore w:val="0"/>
                    <w:widowControl w:val="0"/>
                    <w:kinsoku/>
                    <w:wordWrap/>
                    <w:overflowPunct/>
                    <w:topLinePunct w:val="0"/>
                    <w:autoSpaceDE/>
                    <w:autoSpaceDN/>
                    <w:bidi w:val="0"/>
                    <w:adjustRightInd/>
                    <w:snapToGrid/>
                    <w:spacing w:beforeAutospacing="0" w:afterAutospacing="0" w:line="360" w:lineRule="exact"/>
                    <w:ind w:right="105" w:rightChars="5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课程</w:t>
                  </w:r>
                </w:p>
                <w:p w14:paraId="3ACBEB40">
                  <w:pPr>
                    <w:keepNext w:val="0"/>
                    <w:keepLines w:val="0"/>
                    <w:pageBreakBefore w:val="0"/>
                    <w:widowControl w:val="0"/>
                    <w:kinsoku/>
                    <w:wordWrap/>
                    <w:overflowPunct/>
                    <w:topLinePunct w:val="0"/>
                    <w:autoSpaceDE/>
                    <w:autoSpaceDN/>
                    <w:bidi w:val="0"/>
                    <w:adjustRightInd/>
                    <w:snapToGrid/>
                    <w:spacing w:beforeAutospacing="0" w:afterAutospacing="0" w:line="360" w:lineRule="exact"/>
                    <w:ind w:right="105" w:rightChars="5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标准</w:t>
                  </w:r>
                </w:p>
              </w:tc>
              <w:tc>
                <w:tcPr>
                  <w:tcW w:w="937" w:type="dxa"/>
                  <w:noWrap w:val="0"/>
                  <w:vAlign w:val="center"/>
                </w:tcPr>
                <w:p w14:paraId="6A394F17">
                  <w:pPr>
                    <w:keepNext w:val="0"/>
                    <w:keepLines w:val="0"/>
                    <w:pageBreakBefore w:val="0"/>
                    <w:widowControl w:val="0"/>
                    <w:kinsoku/>
                    <w:wordWrap/>
                    <w:overflowPunct/>
                    <w:topLinePunct w:val="0"/>
                    <w:autoSpaceDE/>
                    <w:autoSpaceDN/>
                    <w:bidi w:val="0"/>
                    <w:adjustRightInd/>
                    <w:snapToGrid/>
                    <w:spacing w:beforeAutospacing="0" w:afterAutospacing="0" w:line="360" w:lineRule="exact"/>
                    <w:ind w:right="105" w:rightChars="5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2套</w:t>
                  </w:r>
                </w:p>
              </w:tc>
              <w:tc>
                <w:tcPr>
                  <w:tcW w:w="3953" w:type="dxa"/>
                  <w:noWrap w:val="0"/>
                  <w:vAlign w:val="center"/>
                </w:tcPr>
                <w:p w14:paraId="3E1DB25C">
                  <w:pPr>
                    <w:keepNext w:val="0"/>
                    <w:keepLines w:val="0"/>
                    <w:pageBreakBefore w:val="0"/>
                    <w:widowControl w:val="0"/>
                    <w:kinsoku/>
                    <w:wordWrap/>
                    <w:overflowPunct/>
                    <w:topLinePunct w:val="0"/>
                    <w:autoSpaceDE/>
                    <w:autoSpaceDN/>
                    <w:bidi w:val="0"/>
                    <w:adjustRightInd/>
                    <w:snapToGrid/>
                    <w:spacing w:beforeAutospacing="0" w:afterAutospacing="0" w:line="360" w:lineRule="exact"/>
                    <w:ind w:right="105" w:rightChars="5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每门课的课程标准包含课程性质、课程目标、课程内容、课程评价、课时安排、课程实施等全部内容。</w:t>
                  </w:r>
                </w:p>
              </w:tc>
            </w:tr>
          </w:tbl>
          <w:p w14:paraId="64D0136E">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三、课程资源技术要求</w:t>
            </w:r>
          </w:p>
          <w:p w14:paraId="094E7B83">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（一）课程建设指导</w:t>
            </w:r>
          </w:p>
          <w:p w14:paraId="60D48144">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1.聘请国内知名在线精品课程专家开展课程设计思路与逻辑指导1次，针对现有课程教学设计进行优化。</w:t>
            </w:r>
          </w:p>
          <w:p w14:paraId="35BDAF6B">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2.课程思政元素优化指导。</w:t>
            </w:r>
          </w:p>
          <w:p w14:paraId="49706807">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3.安排技术人员到校进行建课和使用等方面的指导。中标供应商专业技术人员与教师共同进行资源设计与开发，资源内容包括课程介绍、教学课件、微课、二维动画、教学设计、题库、图库等。</w:t>
            </w:r>
          </w:p>
          <w:p w14:paraId="4A686446">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4.将典型工作案例中抽象的理论原理、操作步骤、操作规范等内容，借助课程网络平台上的相应资源来呈现，汇总各类课程资源，如微课、图解、课件、参考资料等，形成线上运行的精品课程。</w:t>
            </w:r>
          </w:p>
          <w:p w14:paraId="16844D7B">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5.辅助上传平台。</w:t>
            </w:r>
          </w:p>
          <w:p w14:paraId="6BABF531">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（二）思政元素设计融入</w:t>
            </w:r>
          </w:p>
          <w:p w14:paraId="2AF81BDF">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通过相关专家培训与指导，在课程与知识点规划阶段就考虑思政元素与专业内的重难点进行融合，以工学一体化培养模式为基础，实现教学信息量充足,并符合学习者认知规律，具有较好的高阶性、创新性和挑战度。思政建设目标如下：</w:t>
            </w:r>
          </w:p>
          <w:p w14:paraId="3379F2E4">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1.运用思想政治理论教育的学科思维处理专业知识和教学目标，组织教学内容，融入政治认同、家国情怀、文化素养、宪法法治意识、道德修养等要素，潜移默化地对学习的思想意识、行为举止产生积极影响，实现价值塑造、知识传授和能力培养相融合、教书与育人相统一。</w:t>
            </w:r>
          </w:p>
          <w:p w14:paraId="16A3DF2D">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2.综合运用信息技术手段和数字资源把思政教育巧妙渗透教学全过程，教学方法运用恰当，教学策略使用有效。</w:t>
            </w:r>
          </w:p>
          <w:p w14:paraId="2F5B363F">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3.具有良好的专业知识呈现，又具备科学精神、人文情怀，将中标供应商实践与课堂学习相结合，融入技能提升与素质提升。</w:t>
            </w:r>
          </w:p>
          <w:p w14:paraId="6C545ED7">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4.目标设计恰当，符合课程要求、学科特点和学生实际；明确具体、可观察、可测评、可达成；思政目标无缝对接知识、能力目标。</w:t>
            </w:r>
          </w:p>
          <w:p w14:paraId="2912B9DE">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（三）制作要求：</w:t>
            </w:r>
          </w:p>
          <w:p w14:paraId="4927C0D2">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1.资源内容基于教材，按照课程教学需求、课程标准进行建设。</w:t>
            </w:r>
          </w:p>
          <w:p w14:paraId="0E2AD00A">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2.资源呈现的教学目标、重难点，与教材一致。</w:t>
            </w:r>
          </w:p>
          <w:p w14:paraId="4F381561">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3.资源内容无科学性错误。</w:t>
            </w:r>
          </w:p>
          <w:p w14:paraId="18D7EC1D">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4.制作手段含视频拍摄、音频录制、动画设计制作等。</w:t>
            </w:r>
          </w:p>
          <w:p w14:paraId="15EE26E4">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5.微课的开发脚本由采购人专业老师提出教学设计思路，中标人具体落实设想，形成文本性文件，用于之后的制作。</w:t>
            </w:r>
          </w:p>
          <w:p w14:paraId="384627A8">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6.微课的制作包括知识点教学结构设计、碎片资源教学设计、素材采集、知识点的知识内容编辑加工处理（包括后期剪辑、配音、字幕）等。</w:t>
            </w:r>
          </w:p>
          <w:p w14:paraId="09A2B424">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7.教学课件的制作应在充分理解教师的教学设计基础上，综合使用动画、视频、二维等技术将其进行可视化建构，辅助教师和学生完成一堂沉浸式的教与学的体验。</w:t>
            </w:r>
          </w:p>
          <w:p w14:paraId="442C2551">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8.所有资源可独立运行，也可与教材融合使用。</w:t>
            </w:r>
          </w:p>
          <w:p w14:paraId="47F81D7E">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9.为丰富教材资源建设，方便老师案例教学，中标供应商需协助教材负责人策划教学资源与纸质内容融合。</w:t>
            </w:r>
          </w:p>
          <w:p w14:paraId="7A959E4C">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10.可以网络运行的资源内容与教材通过二维码形式融合。</w:t>
            </w:r>
          </w:p>
          <w:p w14:paraId="16748282">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（四）指导专家要求</w:t>
            </w:r>
          </w:p>
          <w:p w14:paraId="5A141716">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highlight w:val="none"/>
                <w:lang w:val="en-US" w:eastAsia="zh-CN" w:bidi="ar-SA"/>
              </w:rPr>
              <w:t>聘请具有职业教育课程资源建设指导经验的职教专家团队开展项目建设指导，</w:t>
            </w:r>
            <w:r>
              <w:rPr>
                <w:rFonts w:hint="eastAsia" w:ascii="宋体" w:hAnsi="宋体" w:eastAsia="宋体" w:cs="宋体"/>
                <w:b w:val="0"/>
                <w:bCs w:val="0"/>
                <w:kern w:val="2"/>
                <w:sz w:val="21"/>
                <w:szCs w:val="21"/>
                <w:lang w:val="en-US" w:eastAsia="zh-CN" w:bidi="ar-SA"/>
              </w:rPr>
              <w:t>提供完善的开发指导、知识点与资源形态规划。</w:t>
            </w:r>
          </w:p>
          <w:p w14:paraId="56AB5060">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（五）服务团队要求：</w:t>
            </w:r>
          </w:p>
          <w:p w14:paraId="2CC33C93">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1.中标供应商具有从事职业教育教学规划、精品课程开发、课程设计规划等类型项目的丰富经验。</w:t>
            </w:r>
          </w:p>
          <w:p w14:paraId="1274C707">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2.中标供应商自身拥有完善的专业技术人员配备，针对本项目提供不少于3人的项目服务团队，具备以下岗位人员，满足本项目课程资源开发和制作方面专业需求。</w:t>
            </w:r>
          </w:p>
          <w:p w14:paraId="2A8A7A50">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（1）项目负责人：统筹负责沟通对接和制作审核等任务，具备教学经验，具备同类项目实施和管理经验。</w:t>
            </w:r>
          </w:p>
          <w:p w14:paraId="35982555">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（2）专业编辑：与老师协作进行课程资源开发工作。</w:t>
            </w:r>
          </w:p>
          <w:p w14:paraId="6EE46615">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3）课程编导：审读解读课程教学需求、课程目标、人才培养方案，具备课程设计经验与能力，能够与任课教师沟通对接并提供专业化建议和解决方案，能够进行脚本的设计与策划，具有专业的文字开发编辑能力。</w:t>
            </w:r>
          </w:p>
          <w:p w14:paraId="09CC576E">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（4）拍摄小组：负责现场的场景搭建、灯光布置，视频录制，音频录制，其他拍摄设备的准备、调试和维护。</w:t>
            </w:r>
          </w:p>
          <w:p w14:paraId="1583EC2E">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5）场务：现场记录，拍摄文件的收集、整理、备份、上传等，辅助教师准备衣着、仪容、随身设备等，根据实际需求灵活提供提词器解决方案。应能根据课程教学需求、实际场地条件等，搭建方便拍摄的场地，包括但不限于绿幕环境、常亮灯光环境的创建。并在技术上实现声音、光线的不受干扰。</w:t>
            </w:r>
          </w:p>
          <w:p w14:paraId="44266F09">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（6）后期剪辑：基于脚本、拍摄素材、音频素材，进行后期剪辑合成，片头片尾及其他特效的设计与制作。</w:t>
            </w:r>
          </w:p>
          <w:p w14:paraId="2F3F7FA1">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（7）动画：绘制与制作动画，特效包装。</w:t>
            </w:r>
          </w:p>
          <w:p w14:paraId="78513F9D">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（六）课程建设技术与质量标准要求</w:t>
            </w:r>
          </w:p>
          <w:p w14:paraId="3785012B">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1.课程介绍</w:t>
            </w:r>
          </w:p>
          <w:p w14:paraId="13E99D14">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视频整体逻辑顺序：片头引入→课程基本情况→课程师资团队→课程体系内容→课程核心特色→课程应用场景→总结展望→片尾落款，五大核心板块内容明细及制作要求如下：</w:t>
            </w:r>
          </w:p>
          <w:p w14:paraId="3F3B408E">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（1）课程基本情况（时长占比15%，约1-1.5分钟）</w:t>
            </w:r>
          </w:p>
          <w:p w14:paraId="0D795118">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基础信息：清晰展示课程名称、课程类别、课程学时、学分设置、开课对象、授课形式、课程建设周期；</w:t>
            </w:r>
          </w:p>
          <w:p w14:paraId="672E692C">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建设背景：结合行业需求、教学培养目标、政策导向，说明课程建设初衷及立项背景；</w:t>
            </w:r>
          </w:p>
          <w:p w14:paraId="7E93EFE3">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建设成果：展示课程现有基础资源、教学硬件、配套教材、线上教学资源库、前期建设成果；</w:t>
            </w:r>
          </w:p>
          <w:p w14:paraId="5D4A5398">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画面素材：包含课程场地、教学教室、实训设备、教材资料实拍画面，搭配文字信息标注。</w:t>
            </w:r>
          </w:p>
          <w:p w14:paraId="135B9DBE">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（2）课程团队介绍（时长占比20%，约1.5-2分钟）</w:t>
            </w:r>
          </w:p>
          <w:p w14:paraId="39E712B8">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团队概况：介绍团队人员结构、师资规模、职称分布、学历结构、专业配比；</w:t>
            </w:r>
          </w:p>
          <w:p w14:paraId="7633C6B9">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核心师资：对课程负责人、骨干教师单独介绍，包含个人从业履历、职称资质、教学经验、科研成果、获奖荣誉、教学专长；</w:t>
            </w:r>
          </w:p>
          <w:p w14:paraId="4457FFC3">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团队优势：说明团队教研能力、行业实操经验、师资培训经历、校企合作师资配置；</w:t>
            </w:r>
          </w:p>
          <w:p w14:paraId="4F7A28D8">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画面素材：教师形象实拍、团队合影、教研会议实拍、资质证书图片排版展示，搭配人物信息字幕卡片。</w:t>
            </w:r>
          </w:p>
          <w:p w14:paraId="2A0E1725">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（3）课程内容体系（时长占比25%，约2-2.5分钟）</w:t>
            </w:r>
          </w:p>
          <w:p w14:paraId="4AD64C1F">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课程大纲：采用动画图表、思维导图形式，清晰展示课程模块划分、章节结构、知识逻辑；</w:t>
            </w:r>
          </w:p>
          <w:p w14:paraId="77BD9FF4">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教学内容：分模块讲解理论知识、实操技能、重难点内容，明确教学培养目标、知识掌握要求；</w:t>
            </w:r>
          </w:p>
          <w:p w14:paraId="1DD7C932">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教学模式：展示线下授课、线上网课、实训实操、案例讲解、小组研讨等教学方式；</w:t>
            </w:r>
          </w:p>
          <w:p w14:paraId="2D6EA326">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考核体系：说明课程平时考核、期末考核、实操考核、综合评价的评分标准；</w:t>
            </w:r>
          </w:p>
          <w:p w14:paraId="37C65FF4">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画面素材：课堂授课实拍、实操教学画面、课件截图、知识点动画演示、学生上课互动画面。</w:t>
            </w:r>
          </w:p>
          <w:p w14:paraId="0926E288">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（4）课程核心特色（时长占比20%，约1.5-2分钟）</w:t>
            </w:r>
          </w:p>
          <w:p w14:paraId="3CB24438">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教学特色：总结课程创新教学方法、个性化教学模式、分层教学方案；</w:t>
            </w:r>
          </w:p>
          <w:p w14:paraId="6A7F6049">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资源特色：展示独家教学资源、自有题库、实训平台、数字化教学工具、特色教具；</w:t>
            </w:r>
          </w:p>
          <w:p w14:paraId="682FFE9D">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行业特色：结合行业前沿技术、岗位需求，贴合职业发展、行业应用场景；</w:t>
            </w:r>
          </w:p>
          <w:p w14:paraId="7073E402">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创新亮点：包含校企合作、产教融合、赛事竞赛、科研联动、特色活动等亮点内容；</w:t>
            </w:r>
          </w:p>
          <w:p w14:paraId="1B36FEF2">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画面素材：特色教学场景、合作企业实拍、竞赛活动、特色资源展示，搭配亮点文字标注。</w:t>
            </w:r>
          </w:p>
          <w:p w14:paraId="00B91D53">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（5）课程应用价值（时长占比20%，约1.5-2分钟）</w:t>
            </w:r>
          </w:p>
          <w:p w14:paraId="3854990D">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教学应用：用于日常教学、公开课、教学评审、课程评优、教学改革示范；</w:t>
            </w:r>
          </w:p>
          <w:p w14:paraId="303E2A66">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学生应用：助力学生技能提升、就业择业、职业考证、升学深造；</w:t>
            </w:r>
          </w:p>
          <w:p w14:paraId="6B683454">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行业应用：对接行业岗位标准，为行业输送专业人才，服务产业发展；</w:t>
            </w:r>
          </w:p>
          <w:p w14:paraId="04A3B159">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推广应用：可用于线上教学平台展示、招生宣传、院校交流、成果汇报；</w:t>
            </w:r>
          </w:p>
          <w:p w14:paraId="17F49AC8">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成果展示：展示学生优秀作品、就业数据、获奖情况、课程口碑评价、应用反馈；</w:t>
            </w:r>
          </w:p>
          <w:p w14:paraId="55C4C1E9">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画面素材：学生成果、就业实习场景、平台上架截图、荣誉奖牌、反馈评语排版。</w:t>
            </w:r>
          </w:p>
          <w:p w14:paraId="5E34DB16">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（6）拍摄与制作工艺要求</w:t>
            </w:r>
          </w:p>
          <w:p w14:paraId="5BA6CF7F">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拍摄设备：使用专业高清摄影机、单反相机拍摄，搭配三脚架、补光灯、收音麦克风，保证拍摄画质、收音质量；禁止手机低成本拍摄；</w:t>
            </w:r>
          </w:p>
          <w:p w14:paraId="0D134D17">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拍摄要求：镜头运镜平稳，包含远景、中景、近景、特写多镜头切换，画面构图规整；实拍画面无杂乱背景，场地干净整洁；</w:t>
            </w:r>
          </w:p>
          <w:p w14:paraId="46E4ADA8">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剪辑要求：剪辑节奏贴合教学视频调性，转场自然流畅，无生硬剪切；画面、字幕、配音、背景音乐同步匹配；删除多余冗余画面，严控成片时长；</w:t>
            </w:r>
          </w:p>
          <w:p w14:paraId="6ACE62A4">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素材版权：所有视频素材、图片、音乐、动画均为正版无版权素材</w:t>
            </w:r>
            <w:r>
              <w:rPr>
                <w:rFonts w:hint="eastAsia" w:ascii="宋体" w:hAnsi="宋体" w:eastAsia="宋体" w:cs="宋体"/>
                <w:b w:val="0"/>
                <w:bCs w:val="0"/>
                <w:kern w:val="2"/>
                <w:sz w:val="21"/>
                <w:szCs w:val="21"/>
                <w:highlight w:val="none"/>
                <w:lang w:val="en-US" w:eastAsia="zh-CN" w:bidi="ar-SA"/>
              </w:rPr>
              <w:t>，中标方需承诺视频无版权纠纷，可永</w:t>
            </w:r>
            <w:r>
              <w:rPr>
                <w:rFonts w:hint="eastAsia" w:ascii="宋体" w:hAnsi="宋体" w:eastAsia="宋体" w:cs="宋体"/>
                <w:b w:val="0"/>
                <w:bCs w:val="0"/>
                <w:kern w:val="2"/>
                <w:sz w:val="21"/>
                <w:szCs w:val="21"/>
                <w:lang w:val="en-US" w:eastAsia="zh-CN" w:bidi="ar-SA"/>
              </w:rPr>
              <w:t>久商用；</w:t>
            </w:r>
          </w:p>
          <w:p w14:paraId="20B5A229">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lang w:val="en-US" w:eastAsia="zh-CN" w:bidi="ar-SA"/>
              </w:rPr>
              <w:t>修改服务：初稿交付后，提供不少于3次修改服务，包含文字修改、画面</w:t>
            </w:r>
            <w:r>
              <w:rPr>
                <w:rFonts w:hint="eastAsia" w:ascii="宋体" w:hAnsi="宋体" w:eastAsia="宋体" w:cs="宋体"/>
                <w:b w:val="0"/>
                <w:bCs w:val="0"/>
                <w:kern w:val="2"/>
                <w:sz w:val="21"/>
                <w:szCs w:val="21"/>
                <w:highlight w:val="none"/>
                <w:lang w:val="en-US" w:eastAsia="zh-CN" w:bidi="ar-SA"/>
              </w:rPr>
              <w:t>调整、字幕修正、配乐更换、时长微调等，直至甲方验收合格。</w:t>
            </w:r>
          </w:p>
          <w:p w14:paraId="7FA9791D">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（7）交付文件</w:t>
            </w:r>
          </w:p>
          <w:p w14:paraId="2F0145CD">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高清成片文件：1080PMP4格式成片1份；</w:t>
            </w:r>
          </w:p>
          <w:p w14:paraId="58B1FAC2">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工程源文件：剪辑工程文件、无损素材源文件，方便后期二次修改；</w:t>
            </w:r>
          </w:p>
          <w:p w14:paraId="3D1BE825">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配套资料：视频字幕文稿、配音文案、素材清单1份。</w:t>
            </w:r>
          </w:p>
          <w:p w14:paraId="33B23D5A">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成片时长严格控制在5-10分钟，无超时、时长不足问题；</w:t>
            </w:r>
          </w:p>
          <w:p w14:paraId="76AABFC6">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满足本方案全部技术参数、内容板块要求，无缺项、漏项；</w:t>
            </w:r>
          </w:p>
          <w:p w14:paraId="35B9ABC4">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画面、音频、字幕无瑕疵，无版权问题，符合公开播放标准；</w:t>
            </w:r>
          </w:p>
          <w:p w14:paraId="6BC72060">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贴合课程定位，风格正式专业，逻辑清晰，内容完整。</w:t>
            </w:r>
          </w:p>
          <w:p w14:paraId="16202C8F">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2.微课制作</w:t>
            </w:r>
          </w:p>
          <w:p w14:paraId="13811D35">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【摄像要求】</w:t>
            </w:r>
          </w:p>
          <w:p w14:paraId="06A9170D">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（1）利用专业摄像机在采购人指定场地进行摄制。</w:t>
            </w:r>
          </w:p>
          <w:p w14:paraId="1648D765">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（2）微课作品视频质量要求图像稳定、对焦清晰、构图合理、镜头运用恰当。</w:t>
            </w:r>
          </w:p>
          <w:p w14:paraId="5235253F">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（3）各微课作品的视频分辨率应统一，分辨率采用1280*720及以上，采用高清影像。</w:t>
            </w:r>
          </w:p>
          <w:p w14:paraId="75FE0169">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（4）同期声音采用双声道，要求清晰、饱满、圆润，无失真、噪声杂音干扰、音量忽大忽小现象。解说声与背景音乐无明显比例失调。</w:t>
            </w:r>
          </w:p>
          <w:p w14:paraId="312CBBE3">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【动画要求】</w:t>
            </w:r>
          </w:p>
          <w:p w14:paraId="08064407">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微课根据主讲教师要求，可加入不超过2分钟的动画，动画要能够完整的体现出课程特点。要求接近于真实物体的效果，利用专业软件进行材质的渲染。播放流畅，播放时没有明显的噪点。</w:t>
            </w:r>
          </w:p>
          <w:p w14:paraId="6E6B54D4">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【输出成品要求】</w:t>
            </w:r>
          </w:p>
          <w:p w14:paraId="6752DA50">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（1）微课作品视频压缩采用H.264格式编码，视频格式为MP4格式,时长为5-10分钟。</w:t>
            </w:r>
          </w:p>
          <w:p w14:paraId="2C3750DC">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（2）微课作品视频码流率：动态码流的最高码率不高于2000Kbps，最低码率不得低于1024Kbps。</w:t>
            </w:r>
          </w:p>
          <w:p w14:paraId="7647740E">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（3）微课作品视频分辨率：分辨率采用1280*720及以上。</w:t>
            </w:r>
          </w:p>
          <w:p w14:paraId="50C2001A">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（4）在同一课程中，各微课作品的视频分辨率应统一，采用高清影像。</w:t>
            </w:r>
          </w:p>
          <w:p w14:paraId="4C7C5BF7">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（5）微课作品视频帧率为25帧/秒，扫描方式采用逐行扫描。</w:t>
            </w:r>
          </w:p>
          <w:p w14:paraId="1B5E9B5F">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6）字幕：要使用符合国家标准的规范字，不出现繁体字、异体字(国家规定的除外)、错别字；字幕的字体建议采用：微软雅黑，大小、色彩搭配、摆放位置、停留时间、出入屏方式力求与其他要素（画面、解说词、音乐）配合适当，不能破坏原有画面。</w:t>
            </w:r>
          </w:p>
          <w:p w14:paraId="159BF1E5">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【命名要求】</w:t>
            </w:r>
          </w:p>
          <w:p w14:paraId="6E92E9FF">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文件命名应直接指明资源所属课程、章节及性质。</w:t>
            </w:r>
          </w:p>
          <w:p w14:paraId="349152E1">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【内容和版权要求】</w:t>
            </w:r>
          </w:p>
          <w:p w14:paraId="75EEE578">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微课作品内容应忠实于原文献，完整有序，版权不存在争议；符合我国法律法规，尊重各民族风俗习惯。</w:t>
            </w:r>
          </w:p>
          <w:p w14:paraId="4FAB9913">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2.视频录制</w:t>
            </w:r>
          </w:p>
          <w:p w14:paraId="5AFF8F76">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【标准要求】</w:t>
            </w:r>
          </w:p>
          <w:p w14:paraId="62A9DF64">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根据课程特点选择最优的展现形式；以能力培养为目标的课程，技能点教学录像的覆盖度不低于80%，技能点教学录像时长原则不超过20分钟。</w:t>
            </w:r>
          </w:p>
          <w:p w14:paraId="0025DF58">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【视频拍摄要求】</w:t>
            </w:r>
          </w:p>
          <w:p w14:paraId="6BB64F01">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（1）利用4K及以上专业摄像机录制，一至两个机位录制。专业收音麦克、专业灯光。</w:t>
            </w:r>
          </w:p>
          <w:p w14:paraId="0CD74D32">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2）视频原始拍摄素材质量要求图像稳定、对焦清晰、构图合理、镜头运用恰当。同期声音采用双声道，要求清晰、饱满、圆润，无失真、噪声杂音干扰、音量忽大忽小现象。解说声与背景音乐无明显比例失调。</w:t>
            </w:r>
          </w:p>
          <w:p w14:paraId="049BE7FE">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3）屏幕图像的构图合理，画面主体突出。人像及肢体动作以及配合讲授选用的板书、画板、教具实物、模型和实验设备等均不能超出镜头所及范围。画面中教师以中景和近景为主，要求人物、板书（或其他画面元素）清晰，不建议无教师形象的全程板书或PPT配音。</w:t>
            </w:r>
          </w:p>
          <w:p w14:paraId="147E8966">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（4）使用的背景采用彩色喷绘或电脑虚拟、实景等背景。背景的颜色、图案不宜过多，应保持静态，画面应简洁、明快，有利于营造课堂气氛。</w:t>
            </w:r>
          </w:p>
          <w:p w14:paraId="0D094323">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（5）使用资料、图片、外景实拍、实验和表演等形象化教学手段，应符合教学内容要求，与讲授内容联系紧密，手段选用恰当。</w:t>
            </w:r>
          </w:p>
          <w:p w14:paraId="626A4813">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（6）摄像镜头应保持与主讲教师目光平视的角度。主讲教师不应较长时间仰视或俯视。录像环境应光线充足、安静，主讲教师应衣着整洁，讲话清晰，板书清楚。</w:t>
            </w:r>
          </w:p>
          <w:p w14:paraId="20AA65FE">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（7）选用影视作品或自拍素材，应注明素材来源。影视作品或自拍素材中涉及人物访谈内容时，除应加注人物介绍外，还应采用滚动式同声字幕。</w:t>
            </w:r>
          </w:p>
          <w:p w14:paraId="77846729">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（8）选用的资料、图片等素材画面应清晰，对于历史资料、图片应进行再加工。选用的资料、图片等素材应注明素材来源及原始信息（如字画的作品、生卒年月，影视片断的作品名称、创作年代等信息）。</w:t>
            </w:r>
          </w:p>
          <w:p w14:paraId="3C18D6A2">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【视频制作要求】</w:t>
            </w:r>
          </w:p>
          <w:p w14:paraId="1A01BFB6">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（1）视频信号源</w:t>
            </w:r>
          </w:p>
          <w:p w14:paraId="3DADBEAD">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①稳定性：全片图像同步性能稳定，无失步现象，CTL同步控制信号必须连续：图像无抖动跳跃，色彩无突变，编辑点处图像稳定。</w:t>
            </w:r>
          </w:p>
          <w:p w14:paraId="3BA8D681">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②信噪比：图像信噪比不低于55dB，无明显杂波。</w:t>
            </w:r>
          </w:p>
          <w:p w14:paraId="3C559F03">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③色调：白平衡正确，无明显偏色，多机拍摄的镜头衔接处无明显色差。</w:t>
            </w:r>
          </w:p>
          <w:p w14:paraId="79DCE0C1">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④视频电平：视频全讯号幅度为1Ⅴp-p，最大不超过1.1Ⅴp-p。其中，消隐电平为0V时，白电平幅度0.7Ⅴp-p，同步信号-0.3V，色同步信号幅度0.3Vp-p(以消隐线上下对称)，全片一致。</w:t>
            </w:r>
          </w:p>
          <w:p w14:paraId="0F37B96A">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（2）音频信号源</w:t>
            </w:r>
          </w:p>
          <w:p w14:paraId="0036817D">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①声道：中文内容音频信号记录于第1声道，音乐、音效、同期声记录于第2声道，若有其他文字解说记录于第3声道(如录音设备无第3声道,则录于第2声道)。</w:t>
            </w:r>
          </w:p>
          <w:p w14:paraId="015355E9">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②电平指标：-2db——-8db声音应无明显失真、放音过冲、过弱。</w:t>
            </w:r>
          </w:p>
          <w:p w14:paraId="687238A1">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③音频信噪比不低于48dB。</w:t>
            </w:r>
          </w:p>
          <w:p w14:paraId="7A3E16C5">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④声音和画面要求同步，无交流声或其他杂音等缺陷。</w:t>
            </w:r>
          </w:p>
          <w:p w14:paraId="3B55F1DD">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⑤伴音清晰、饱满、圆润，无失真、噪声杂音干扰、音量忽大忽小现象。解说声与现场声无明显比例失调，解说声与背景音乐无明显比例失调。</w:t>
            </w:r>
          </w:p>
          <w:p w14:paraId="1F435D28">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（3）视频压缩格式及技术参数</w:t>
            </w:r>
          </w:p>
          <w:p w14:paraId="54DA4AD5">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①视频压缩采用H.264/AVC(MPEG-4Part10)编码、使用二次编码、不包含字幕的MP4格式。</w:t>
            </w:r>
          </w:p>
          <w:p w14:paraId="39DF86D1">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②视频码流率：动态码流的最低码率不得低于300Kbps</w:t>
            </w:r>
          </w:p>
          <w:p w14:paraId="53CDDCFE">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③视频分辨率</w:t>
            </w:r>
          </w:p>
          <w:p w14:paraId="06F4683D">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前期采用标清4:3拍摄时，设定为720×576；前期采用高清16:9拍摄时，设定为1280×720或1920×1080。</w:t>
            </w:r>
          </w:p>
          <w:p w14:paraId="3FF535CF">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④视频画幅宽高比</w:t>
            </w:r>
          </w:p>
          <w:p w14:paraId="77D9CD86">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分辨率设定为720×576的，选定4:3；</w:t>
            </w:r>
          </w:p>
          <w:p w14:paraId="6891AEEB">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分辨率设定为1280×720或1920×1080的，选定16:9。</w:t>
            </w:r>
          </w:p>
          <w:p w14:paraId="5D10C626">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⑤视频帧率不低于25帧/秒</w:t>
            </w:r>
          </w:p>
          <w:p w14:paraId="68BB2D83">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⑥扫描方式采用逐行扫描</w:t>
            </w:r>
          </w:p>
          <w:p w14:paraId="36D2240A">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（4）音频压缩格式及技术参数</w:t>
            </w:r>
          </w:p>
          <w:p w14:paraId="3FBE6647">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①音频压缩采用AAC(MPEG4Part3)格式</w:t>
            </w:r>
          </w:p>
          <w:p w14:paraId="76580A77">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②采样率不低于44KHz</w:t>
            </w:r>
          </w:p>
          <w:p w14:paraId="0D382305">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③音频码流率不低于96Kbps</w:t>
            </w:r>
          </w:p>
          <w:p w14:paraId="14049755">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④必须是双声道。</w:t>
            </w:r>
          </w:p>
          <w:p w14:paraId="5E789CB0">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【封装】</w:t>
            </w:r>
          </w:p>
          <w:p w14:paraId="745AC587">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采用MP4封装。</w:t>
            </w:r>
          </w:p>
          <w:p w14:paraId="0CCD90EB">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【命名要求】</w:t>
            </w:r>
          </w:p>
          <w:p w14:paraId="10BB7663">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文件命名应直接指明资源所属课程、章节或性质。（如采购人有新要求以采购人文件为准）。</w:t>
            </w:r>
          </w:p>
          <w:p w14:paraId="1F858A30">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【内容和版权要求】</w:t>
            </w:r>
          </w:p>
          <w:p w14:paraId="7D7308F9">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视频内容应忠实于原文献，完整有序，版权不存在争议；符合我国法律法规，尊重各民族风俗习惯。</w:t>
            </w:r>
          </w:p>
          <w:p w14:paraId="2F53B3B3">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3.图片处理美化</w:t>
            </w:r>
          </w:p>
          <w:p w14:paraId="23C70A77">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【标准要求】</w:t>
            </w:r>
          </w:p>
          <w:p w14:paraId="70B2B4D1">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教学图片素材资源，包括结构图、施工图纸、设计图纸、设备图纸、原理动图、知识结构、思维导图等教学用图，按精品在线开放课程教学需要提供处理、美化。</w:t>
            </w:r>
          </w:p>
          <w:p w14:paraId="31091D88">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【技术要求】</w:t>
            </w:r>
          </w:p>
          <w:p w14:paraId="0867030E">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（1）彩色图像颜色数不低于真彩（24位色）。</w:t>
            </w:r>
          </w:p>
          <w:p w14:paraId="4C858753">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（2）尺寸：1920X1080像素，建议提供同比例大图；位深：24位；扫描图像的扫描分辨率不低于72dpi。</w:t>
            </w:r>
          </w:p>
          <w:p w14:paraId="33AC21AF">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（3）采用常见存储格式，如GIF、PNG、JPG等。</w:t>
            </w:r>
          </w:p>
          <w:p w14:paraId="06FC068E">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4.文本排版美化</w:t>
            </w:r>
          </w:p>
          <w:p w14:paraId="262CDAA4">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【标准要求】</w:t>
            </w:r>
          </w:p>
          <w:p w14:paraId="41720E6E">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文本素材资源，包括课程介绍、团队介绍、教学标准、教学日历、课程导学、教学设计、评价标准、拓展学习、模块导学、专题导学、学习目标、技能目标、教案、练习测验、考试试题等文本资源，按精品在线开放课程教学需要提供排版处理、美化。</w:t>
            </w:r>
          </w:p>
          <w:p w14:paraId="1E26584A">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【技术要求】</w:t>
            </w:r>
          </w:p>
          <w:p w14:paraId="711BD8CC">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（1）纯文本采用UTF-8编码或GB18030编码。</w:t>
            </w:r>
          </w:p>
          <w:p w14:paraId="275C5853">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（2）存储格式：DOC（word97-2003版本）。</w:t>
            </w:r>
          </w:p>
          <w:p w14:paraId="6D9C98E8">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highlight w:val="none"/>
                <w:lang w:val="en-US" w:eastAsia="zh-CN" w:bidi="ar-SA"/>
              </w:rPr>
              <w:t>5.二维动画</w:t>
            </w:r>
          </w:p>
          <w:p w14:paraId="47CEBA10">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【标准要求】</w:t>
            </w:r>
          </w:p>
          <w:p w14:paraId="0774A386">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二维动画资源，应通过对专业特点的分析,充分调研专业涉及的教学和实际工作场景，运用了科学的原画设定方法，制定符合专业的角色、场景、道具等原画设计，创设职业岗位相关情景，采用丰富的动画表现形式，与专业特点和谐统一。视频时长1-2分钟。</w:t>
            </w:r>
          </w:p>
          <w:p w14:paraId="1D0A0085">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【技术要求】</w:t>
            </w:r>
          </w:p>
          <w:p w14:paraId="7C909364">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（1）原画设计：使用AdobePhotoshopCC2020、AdobeIllustrator2020、Sai进行角色，场景、道具、视频包装等设计绘制。</w:t>
            </w:r>
          </w:p>
          <w:p w14:paraId="531B99E4">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（2）分镜设计：根据脚本内容，详细分析，运用AdobePhotoshopCC2020、Storyboarderv3.0.0或纸质分镜头，绘制分镜，呈现影片初步效果。</w:t>
            </w:r>
          </w:p>
          <w:p w14:paraId="4CBF4D00">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3）动态分镜Layout：根据分镜头脚本与动作设计，通过更深入具体的描述刻画，形成Layout，并运用已设计的角色、场景、道具在AdobeAnimate、AdobeAfterEffects、万彩动画大师、MOHO、Flash中制作出动画片段，动画表现应符合自然规律和基本运动规律。</w:t>
            </w:r>
          </w:p>
          <w:p w14:paraId="2D1F280F">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（4）动画设计：采用动作补间、形状补间动画、逐帧动画、遮罩动画、引导层动画对角色、场景、道具等元素进行控制，满足动画脚本内容需要。</w:t>
            </w:r>
          </w:p>
          <w:p w14:paraId="752DEBEE">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（5）后期合成：使用AdobeAfterEffect、Adobepremiere、将已制作动画镜头进行合成、剪辑，添加音乐音效，最终生成动画文件，动画的帧率都为25帧/秒，格式为MP4，总比特率不低于300kdps。</w:t>
            </w:r>
          </w:p>
          <w:p w14:paraId="6A435E68">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（6）画面尺寸：画面比例应为16:9，宽度1280像素×高度720像素及以上。</w:t>
            </w:r>
          </w:p>
          <w:p w14:paraId="3672AC9D">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（7）品质要求：动画内容中用到的图像必须清晰，不能有图像过于模糊等现象出现。</w:t>
            </w:r>
          </w:p>
          <w:p w14:paraId="5AA7853C">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（8）动画内容播放过程连续流畅，节奏合适，避免采用简单重复方式以保持动画播放时间，如说话特写中，同一抬手放手动作不断重复。</w:t>
            </w:r>
          </w:p>
          <w:p w14:paraId="413D635E">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（9）声音录制采用专业级话筒，保证后期配音的录音质量，解说配音应标准，无噪音，声音悦耳，音量适当，快慢适度。</w:t>
            </w:r>
          </w:p>
          <w:p w14:paraId="708A0E0F">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（10）资源开发完成后，需将源代码、制作源文件和相关脚本、素材等项目材料与成品一并归档整理，统一交付采购方。</w:t>
            </w:r>
          </w:p>
          <w:p w14:paraId="4DBC4798">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（11）版权归采购方所有，资源中应增加含有采购人校徽或校名的水印标识；资源中选用的其他非原创性资源不存在版权争议问题。</w:t>
            </w:r>
          </w:p>
          <w:p w14:paraId="4B9161C9">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（七）执行标准</w:t>
            </w:r>
          </w:p>
          <w:p w14:paraId="018A8546">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1.教育部等九部门《关于加快推进教育数字化的意见》（2025-04）。</w:t>
            </w:r>
          </w:p>
          <w:p w14:paraId="7A70324E">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2.教育部《关于深化职业教育教学关键要素改革的意见》（教职成〔2026〕1 号）</w:t>
            </w:r>
          </w:p>
          <w:p w14:paraId="63DEEDD9">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3.教育行业标准《智慧教育平台 数字教育资源技术要求》（JY/T 0650—2022）</w:t>
            </w:r>
          </w:p>
          <w:p w14:paraId="1E1A1217">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（八）交付要求</w:t>
            </w:r>
          </w:p>
          <w:p w14:paraId="0B75EF04">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本项目编辑后的设计文件、教学课件、文本资源等，动画源文件、微课视频工程文件等，脚本、字幕文件等，拍摄过程的视频、音频等原素材，项目完成后交采购人，版权归采购人所有。</w:t>
            </w:r>
          </w:p>
          <w:p w14:paraId="269A3B13">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3.课件制作</w:t>
            </w:r>
          </w:p>
          <w:p w14:paraId="324E9F34">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（1）项目总体要求</w:t>
            </w:r>
          </w:p>
          <w:p w14:paraId="1C742F70">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本项目需依据各门课程教学大纲、人才培养方案，定制开发专业化、体系化教学PPT课件。课件需严格贴合课程授课逻辑，单门课程拆解不少于20个独立教学任务，整套课程课件页面总量不少于400页。课件需完整融合教学目标、知识点讲解、参考资料、拓展学习素材、课堂练习等内容，排版规范、逻辑严谨、图文并茂，适配线下课堂教学、线上网课教学、自主学习等多教学场景，满足常态化教学、课程评审、教学汇报使用标准。</w:t>
            </w:r>
          </w:p>
          <w:p w14:paraId="291BA896">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（2）课件通用基础规范要求</w:t>
            </w:r>
          </w:p>
          <w:p w14:paraId="5B4F8945">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文件格式：最终交付成品为通用PPT格式（.pptx），兼容Office、WPS等主流办公软件，无格式错乱、排版偏移问题，支持编辑、修改、另存。</w:t>
            </w:r>
          </w:p>
          <w:p w14:paraId="781E4F61">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页面尺寸：统一采用16:9宽屏标准版式，适配多媒体教室大屏、电脑、投影仪、线上直播等播放设备，无黑边、画面拉伸变形。</w:t>
            </w:r>
          </w:p>
          <w:p w14:paraId="14415E7F">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版式规范：全套课件统一视觉模板，包含固定封面、目录页、过渡页、正文页、总结页、结束页；字体、行距、配色、版式样式统一，杜绝杂乱排版。</w:t>
            </w:r>
          </w:p>
          <w:p w14:paraId="2E3E46E7">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字体标准：正文标准字体不小于24号，标题字体不小于36号；重点内容加粗、变色标注；字体选用通用免费商用字体，无版权限制。</w:t>
            </w:r>
          </w:p>
          <w:p w14:paraId="20CE7233">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页面质量：页面简洁大方，留白合理，无大面积空白、无冗余重复页面，每页内容精炼，避免文字堆砌，排版层级分明。</w:t>
            </w:r>
          </w:p>
          <w:p w14:paraId="1BCA4CEB">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图片素材：所有配图需高清无水印、无模糊压缩、无版权纠纷；结合课程知识点匹配专业实景图、示意图、流程图、解剖图、行业案例图等，图片分辨率不低于1920*1080。</w:t>
            </w:r>
          </w:p>
          <w:p w14:paraId="6BBB9AD2">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图表素材：涉及数据、流程、逻辑关系内容，必须制作可视化图表，包含柱状图、折线图、思维导图、逻辑流程图、对比分析图等，图表简洁易懂、标注清晰。</w:t>
            </w:r>
          </w:p>
          <w:p w14:paraId="12E82DCB">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配色要求：整体配色柔和护眼，符合教学课件审美，严禁高饱和度刺眼配色；专业课程根据行业属性定制专属色系，区分标题、正文、重点标注颜色。</w:t>
            </w:r>
          </w:p>
          <w:p w14:paraId="765171FD">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动画效果：按需添加简约轻量动画，知识点分步弹出、层级展示，动画流畅不花哨；杜绝夸张炫酷特效，不干扰正常教学节奏。</w:t>
            </w:r>
          </w:p>
          <w:p w14:paraId="1B4349F7">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（3）课件内容硬性技术参数</w:t>
            </w:r>
          </w:p>
          <w:p w14:paraId="62ED4D17">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教学任务划分：每门课程按照教学课时、知识节点拆分，单门课程独立教学任务数量≥20个，每个教学任务独立划分知识点模块，明确任务名称、教学时长、学习要求。</w:t>
            </w:r>
          </w:p>
          <w:p w14:paraId="3B53137C">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页面总量要求：整套课程课件纯内容页面（不含空白页、过渡空白页）总页数≥400页，页面统计包含封面、目录、正文、练习、总结、拓展素材页面。</w:t>
            </w:r>
          </w:p>
          <w:p w14:paraId="5D1FB771">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模块划分标准：课件需按照“课程总览—章节划分—教学任务—知识点精讲—练习巩固—拓展提升”层级搭建结构，层级清晰、逻辑连贯。</w:t>
            </w:r>
          </w:p>
          <w:p w14:paraId="67F0FE19">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（4）内置教学内容要求</w:t>
            </w:r>
          </w:p>
          <w:p w14:paraId="1D03955A">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教学目标模块：每个教学任务开篇必须明确教学目标，分为知识目标、能力目标、素养目标；明确重难点划分，标注核心考点、易错知识点。</w:t>
            </w:r>
          </w:p>
          <w:p w14:paraId="0C8D3513">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课程知识内容：严格依据课程教学大纲、教材范本编制，完整覆盖课程全部必修知识点；内容表述通俗易懂，适配授课人群认知水平，专业术语附带注解说明。</w:t>
            </w:r>
          </w:p>
          <w:p w14:paraId="728D41B3">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参考资料融合：课件内嵌权威参考资料，包含国家标准、行业规范、学术文献、行业手册、政策文件；标注资料来源、引用说明，资料时效性近5年内。</w:t>
            </w:r>
          </w:p>
          <w:p w14:paraId="1DD8B0A4">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学习素材集成：配套丰富学习素材，包含案例素材、行业实例、实操步骤、经典例题、科普拓展、前沿资讯；结合当下行业新技术、新工艺、新规范更新内容。</w:t>
            </w:r>
          </w:p>
          <w:p w14:paraId="33F2A722">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课堂互动模块：每个教学任务末尾设置课堂思考、随堂练习、问答互动板块；配备练习题、判断题、多选题、实操思考题，附带参考答案与解析。</w:t>
            </w:r>
          </w:p>
          <w:p w14:paraId="5E7619F8">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课后总结拓展：每章节设置知识总结、知识框架思维导图；附带课后作业、拓展阅读、学习资源推荐，方便学生课后复盘自学。</w:t>
            </w:r>
          </w:p>
          <w:p w14:paraId="5AC4F103">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（5）内容编写质量要求</w:t>
            </w:r>
          </w:p>
          <w:p w14:paraId="2CF38957">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文字规范：全文无错别字、语病、标点错误；专业名词统一规范，符合行业官方标准；语句通顺、通俗易懂，适配课堂教学口语转化。</w:t>
            </w:r>
          </w:p>
          <w:p w14:paraId="20990A9A">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知识准确性：所有知识点、公式、数据、行业标准真实准确，无知识性错误；杜绝过期、淘汰、作废行业标准与技术内容。</w:t>
            </w:r>
          </w:p>
          <w:p w14:paraId="2487C3FC">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lang w:val="en-US" w:eastAsia="zh-CN" w:bidi="ar-SA"/>
              </w:rPr>
              <w:t>适配教学性：内容节奏适配课堂授课，知识点拆分合理，难易梯度分明；</w:t>
            </w:r>
            <w:r>
              <w:rPr>
                <w:rFonts w:hint="eastAsia" w:ascii="宋体" w:hAnsi="宋体" w:eastAsia="宋体" w:cs="宋体"/>
                <w:b w:val="0"/>
                <w:bCs w:val="0"/>
                <w:kern w:val="2"/>
                <w:sz w:val="21"/>
                <w:szCs w:val="21"/>
                <w:highlight w:val="none"/>
                <w:lang w:val="en-US" w:eastAsia="zh-CN" w:bidi="ar-SA"/>
              </w:rPr>
              <w:t>兼顾基础教学、拔高拓展，适配不同层次学习人群。</w:t>
            </w:r>
          </w:p>
          <w:p w14:paraId="313F404E">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（5）特色增值制作要求</w:t>
            </w:r>
          </w:p>
          <w:p w14:paraId="515C5573">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定制化模板：根据课程专业属性、教学定位定制专属封面模板，添加院校LOGO、课程名称、适用专业、授课学期等信息，风格统一正式。</w:t>
            </w:r>
          </w:p>
          <w:p w14:paraId="64F9BA64">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重点标注设计：课件内重点知识点、必考内容、核心公式采用高亮底色、加粗、变色标注，便于教师授课强调、学生重点记忆。</w:t>
            </w:r>
          </w:p>
          <w:p w14:paraId="086AFD32">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资源内嵌整合：可按需内嵌外链二维码，关联拓展视频、题库、学习网站、文献资料，实现线上线下一体化教学资源联动。</w:t>
            </w:r>
          </w:p>
          <w:p w14:paraId="0196BC6C">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可编辑优化：所有文字、图片、图表、动画均可自由编辑修改，无加密锁定；图层分组清晰，后期可便捷调整版式、内容。</w:t>
            </w:r>
          </w:p>
          <w:p w14:paraId="5F22D33E">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（6）交付要求与验收标准</w:t>
            </w:r>
          </w:p>
          <w:p w14:paraId="494E670B">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全套可编辑PPTX格式课件源文件，无加密、无权限限制；</w:t>
            </w:r>
          </w:p>
          <w:p w14:paraId="269ABF5E">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配套课件说明文档1份，包含课件结构说明、教学任务划分表、素材来源清单；</w:t>
            </w:r>
          </w:p>
          <w:p w14:paraId="0901B985">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课件缩略图目录、页面页码索引，方便教学快速查阅跳转。</w:t>
            </w:r>
          </w:p>
          <w:p w14:paraId="39B570BE">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完成初稿交付后，提供不少于3次修改服务，包含文字修正、版式调整、素材替换、内容增删、格式优化；</w:t>
            </w:r>
          </w:p>
          <w:p w14:paraId="0CC17B7B">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针对学校提出的教学逻辑优化、知识点补充要求，进行微调完善，直至验收合格。</w:t>
            </w:r>
          </w:p>
          <w:p w14:paraId="4C243E69">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（7）交付标准</w:t>
            </w:r>
          </w:p>
          <w:p w14:paraId="1C71DF28">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单门课程教学任务数量≥20个，整套课件总页数≥400页，页数统计为有效教学内容页，不含空白冗余页面；</w:t>
            </w:r>
          </w:p>
          <w:p w14:paraId="5EBCC5A5">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课件完整包含教学目标、重难点、参考资料、学习素材、随堂练习、总结拓展等全部要求模块，无缺项漏项；</w:t>
            </w:r>
          </w:p>
          <w:p w14:paraId="3B204991">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排版统一规范、无错别字、无知识性错误，素材高清无水印、无版权纠纷；</w:t>
            </w:r>
          </w:p>
          <w:p w14:paraId="49CB8D94">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文件兼容性强，可随意编辑修改，适配各类教学播放设备。</w:t>
            </w:r>
          </w:p>
          <w:p w14:paraId="7EADEDC8">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版权要求：本项目所有课件成品、素材、模板版权归采购方所有，未经授权不得二次售卖、转发、商用；所有素材均为正版商用素材，无版权侵权风险。</w:t>
            </w:r>
          </w:p>
          <w:p w14:paraId="640C1DD2">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对接服务：专属文案设计、排版制作人员，全程对接需求，严格按照教学大纲、甲方要求优化课件。</w:t>
            </w:r>
          </w:p>
          <w:p w14:paraId="73D01091">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4.试题库开发</w:t>
            </w:r>
          </w:p>
          <w:p w14:paraId="09E21E7D">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依据课程教学大纲、课程标准、教学任务节点，定制开发标准化、系统化课程试题库。试题库须严格按照教学任务进行分层出题，做到一题一点、覆盖重难点。每门课程按照教学任务配置课后练习题及单元自测题，单门课程每个教学任务课后练习题不少于50道，单元自测题库总量不少于200道。试题库要求知识点覆盖全面、难易梯度合理、题型丰富规范，用于课后巩固、随堂检测、单元测评、教学自查，全面检验学生学习成果及重难点掌握情况，适配日常教学、线上考试、过程性考核、期末出卷等使用场景。</w:t>
            </w:r>
          </w:p>
          <w:p w14:paraId="0B0B6ACB">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（1）试题库总体编制规范</w:t>
            </w:r>
          </w:p>
          <w:p w14:paraId="7E96C686">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①编制依据：</w:t>
            </w:r>
          </w:p>
          <w:p w14:paraId="7C0B1A8C">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严格依据本课程教学大纲、人才培养方案、授课课件、参考教材、行业规范及国家标准进行命题；</w:t>
            </w:r>
          </w:p>
          <w:p w14:paraId="047829BD">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试题贴合课程教学任务划分，完全匹配每一个教学任务知识点，做到知识点全覆盖、无遗漏；</w:t>
            </w:r>
          </w:p>
          <w:p w14:paraId="40293B11">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结合行业最新技术、现行标准、岗位应用要求编制实操类、应用型考题，杜绝淘汰、过期、作废知识点。</w:t>
            </w:r>
          </w:p>
          <w:p w14:paraId="0EAA8BAA">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②出题质量要求</w:t>
            </w:r>
          </w:p>
          <w:p w14:paraId="38918A58">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准确性：所有试题、标准答案、解析无知识性错误、无歧义、无逻辑漏洞，专业术语规范统一；</w:t>
            </w:r>
          </w:p>
          <w:p w14:paraId="182B6A50">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层次性：试题区分基础题、中档题、拔高题，难度配比建议为6:3:1，适配不同层次学习者；</w:t>
            </w:r>
          </w:p>
          <w:p w14:paraId="09DB896C">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针对性：重点针对课程重难点、易混淆知识点、高频考点进行强化出题，突出教学考核导向；</w:t>
            </w:r>
          </w:p>
          <w:p w14:paraId="1A70E62E">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原创性：试题禁止大面积网络摘抄、照搬通用题库，题目经过改编优化，贴合本课程教学内容，杜绝雷同重复试题。</w:t>
            </w:r>
          </w:p>
          <w:p w14:paraId="06A01253">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③题型通用要求</w:t>
            </w:r>
          </w:p>
          <w:p w14:paraId="1A1A6102">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题库题型须包含但不限于：判断题、单项选择题、多项选择题、填空题、简答题、计算题、案例分析题、实操应用题。客观题需配备标准答案，主观题需配备标准答题要点、得分细则，便于阅卷评分、线上自动判分、人工批改使用。</w:t>
            </w:r>
          </w:p>
          <w:p w14:paraId="2819691E">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（2）量化硬性技术指标</w:t>
            </w:r>
          </w:p>
          <w:p w14:paraId="42F63011">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①按教学任务配套课后练习题</w:t>
            </w:r>
          </w:p>
          <w:p w14:paraId="10A05283">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配置规则：针对课程内每一个独立教学任务单独配置课后练习题，做到一任务一题库，课后练习跟随教学任务同步配套；</w:t>
            </w:r>
          </w:p>
          <w:p w14:paraId="4D96B91F">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题目数量：单个教学任务课后练习题数量≥50道；</w:t>
            </w:r>
          </w:p>
          <w:p w14:paraId="6E205F01">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题目应用：用于课后随堂练习、知识点巩固、碎片化自测，侧重基础知识记忆、基础概念辨析、简单应用判断；</w:t>
            </w:r>
          </w:p>
          <w:p w14:paraId="3013AB82">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题型结构：以判断题、单选题、多选题、填空题为主，少量简单简答题，题量分布均匀，贴合单课时教学知识点；</w:t>
            </w:r>
          </w:p>
          <w:p w14:paraId="1E8124DA">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配套资料：每道题目必须标注所属教学任务、知识点出处、难易等级，客观题附带标准答案，主观题附带答题解析。</w:t>
            </w:r>
          </w:p>
          <w:p w14:paraId="2B7ECBBF">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（3）单元自测题库要求</w:t>
            </w:r>
          </w:p>
          <w:p w14:paraId="6C36A365">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配置规则：按课程章节、知识单元整合出题，形成单元综合自测题库，用于阶段性学习验收、单元考核；</w:t>
            </w:r>
          </w:p>
          <w:p w14:paraId="35CFBB51">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题目数量：单门课程单元自测题库总量≥200道；</w:t>
            </w:r>
          </w:p>
          <w:p w14:paraId="6CCDB092">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题目用途：用于单元总结检测、重难点复盘、综合能力测评，检验学生对单元知识体系、综合应用能力掌握程度；</w:t>
            </w:r>
          </w:p>
          <w:p w14:paraId="74A8D03F">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题型结构：包含判断、单选、多选、填空、简答、综合应用题、案例分析题，主观题占比不低于20%，强化综合应用考核；</w:t>
            </w:r>
          </w:p>
          <w:p w14:paraId="002FEFF9">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难易要求：单元自测题需包含易混淆考题、综合应用题、拓展拔高题，重点考核重难点掌握情况、知识迁移能力、实操应用能力。</w:t>
            </w:r>
          </w:p>
          <w:p w14:paraId="10909FE9">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（4）题库标准化字段要求</w:t>
            </w:r>
          </w:p>
          <w:p w14:paraId="6E73B46E">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所有试题统一标准化字段格式，每一道试题必须包含以下标签字段，便于后期题库导入、分类检索、组卷出题：</w:t>
            </w:r>
          </w:p>
          <w:p w14:paraId="771FB001">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试题编号：唯一编码，格式规范、顺序清晰；</w:t>
            </w:r>
          </w:p>
          <w:p w14:paraId="7CB02D07">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所属课程：明确课程名称；</w:t>
            </w:r>
          </w:p>
          <w:p w14:paraId="41315C2C">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所属教学任务/单元：精准归属对应教学节点；</w:t>
            </w:r>
          </w:p>
          <w:p w14:paraId="6A6B62B3">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知识点标签：标注考核知识点名称；</w:t>
            </w:r>
          </w:p>
          <w:p w14:paraId="3F776632">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难易程度：简单、中等、较难三级分类；</w:t>
            </w:r>
          </w:p>
          <w:p w14:paraId="58906853">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题型分类：明确标注题型；</w:t>
            </w:r>
          </w:p>
          <w:p w14:paraId="40DF370E">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题干内容：文字通顺、表述严谨、无歧义；</w:t>
            </w:r>
          </w:p>
          <w:p w14:paraId="7C9BB9F3">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参考答案：客观题标准答案，主观题评分要点；</w:t>
            </w:r>
          </w:p>
          <w:p w14:paraId="5FFD2172">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题目解析：重难点题目须附带解析，说明考核要点、易错原因、知识点拓展。</w:t>
            </w:r>
          </w:p>
          <w:p w14:paraId="3B68D85D">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（5）文档格式与排版要求</w:t>
            </w:r>
          </w:p>
          <w:p w14:paraId="708AB776">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交付格式：题库交付Word可编辑格式，排版整齐、层级清晰，无乱码、无格式错乱；</w:t>
            </w:r>
          </w:p>
          <w:p w14:paraId="2420836E">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排版规范：统一字体、字号、行距，题号顺序连续，选项对齐，答案统一放置在题目下方或文末汇总；</w:t>
            </w:r>
          </w:p>
          <w:p w14:paraId="70EE4492">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图表公式：含图表、公式、流程图的题目，图片高清、公式可编辑、排版规范；</w:t>
            </w:r>
          </w:p>
          <w:p w14:paraId="480A460A">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分类目录：附带题库总目录，按教学任务、单元进行分类索引，方便教师快速调取使用。</w:t>
            </w:r>
          </w:p>
          <w:p w14:paraId="20E6FEED">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（6）交付、修改要求</w:t>
            </w:r>
          </w:p>
          <w:p w14:paraId="40E27EA0">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①交付内容</w:t>
            </w:r>
          </w:p>
          <w:p w14:paraId="6B42FFDD">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分教学任务课后练习题题库（Word汇总版）；</w:t>
            </w:r>
          </w:p>
          <w:p w14:paraId="03DC320A">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分单元自测题库（Word汇总版）；</w:t>
            </w:r>
          </w:p>
          <w:p w14:paraId="6EB606AF">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题库使用说明文档，含出题说明、难易分布、使用建议；</w:t>
            </w:r>
          </w:p>
          <w:p w14:paraId="75481052">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全套题库无加密、无锁定，可自由编辑、复制、导入教学平台。</w:t>
            </w:r>
          </w:p>
          <w:p w14:paraId="2FADCE7C">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单个教学任务课后练习题不少于50道，数量达标、分布均匀；</w:t>
            </w:r>
          </w:p>
          <w:p w14:paraId="6549307D">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单门课程单元自测题库总量不少于200道，无重复试题；</w:t>
            </w:r>
          </w:p>
          <w:p w14:paraId="5BD8B43F">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试题覆盖全部教学任务重难点，知识点覆盖率100%；</w:t>
            </w:r>
          </w:p>
          <w:p w14:paraId="20969222">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题目无知识性错误、无错别字、答案准确规范；</w:t>
            </w:r>
          </w:p>
          <w:p w14:paraId="132143A7">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格式统一规范，可直接用于教学、考试、平台导入；</w:t>
            </w:r>
          </w:p>
          <w:p w14:paraId="207F1CD5">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本项目所有试题库成品版权归采购方所有，未经允许不得外泄、二次售卖。</w:t>
            </w:r>
          </w:p>
          <w:p w14:paraId="27C9E327">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5.图库制作</w:t>
            </w:r>
          </w:p>
          <w:p w14:paraId="6123F75D">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（1）总体要求</w:t>
            </w:r>
          </w:p>
          <w:p w14:paraId="3A59249C">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针对单门课程定制开发专属专业教学图库，每门课程独立制作一套完整教学图库。图库需全面覆盖本课程教学全过程、各教学任务所需教学图片资源，单门课程图片素材总量不少于200张。图库摒弃传统教材单一插图模式，采用组合图片、流程组图、对比组图、分解组图等形式，替代零散单张插图；同步包含思维导图、逻辑结构图、知识框架图等教学图示。图库整体服务于课程课件、试题、视频、教材等课程资源开发，强化视觉教学辅助效果，降低学习理解难度，提升课程整体教学质量。</w:t>
            </w:r>
          </w:p>
          <w:p w14:paraId="411F09AF">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（2）图库基础通用技术规范</w:t>
            </w:r>
          </w:p>
          <w:p w14:paraId="161DBBD2">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①图片质量参数</w:t>
            </w:r>
          </w:p>
          <w:p w14:paraId="23D237A7">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图片分辨率：所有图片素材原始分辨率不低于1920×1080，专业实拍图、细节图、示意图分辨率不低于300dpi，放大无模糊、无锯齿、无失真。</w:t>
            </w:r>
          </w:p>
          <w:p w14:paraId="58BABBDD">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图片格式：交付格式包含JPG通用格式、PNG透明底格式，思维导图、矢量图示同步提供可编辑源文件，适配课件制作、视频剪辑、教材排版、线上平台发布。</w:t>
            </w:r>
          </w:p>
          <w:p w14:paraId="5F677560">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画质要求：图片清晰通透、无水印、无logo、无广告、无多余杂物，画面干净整洁；色彩还原真实，无偏色、过曝、暗角等问题。</w:t>
            </w:r>
          </w:p>
          <w:p w14:paraId="74E193FC">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版权要求：全部图片素材采用商用正版素材、原创自制图片、合规实拍图片，无版权侵权风险</w:t>
            </w:r>
            <w:r>
              <w:rPr>
                <w:rFonts w:hint="eastAsia" w:ascii="宋体" w:hAnsi="宋体" w:eastAsia="宋体" w:cs="宋体"/>
                <w:b w:val="0"/>
                <w:bCs w:val="0"/>
                <w:kern w:val="2"/>
                <w:sz w:val="21"/>
                <w:szCs w:val="21"/>
                <w:highlight w:val="none"/>
                <w:lang w:val="en-US" w:eastAsia="zh-CN" w:bidi="ar-SA"/>
              </w:rPr>
              <w:t>，中标方需承诺图库可永久无偿用于本课程教学资源开发，不得二次流</w:t>
            </w:r>
            <w:r>
              <w:rPr>
                <w:rFonts w:hint="eastAsia" w:ascii="宋体" w:hAnsi="宋体" w:eastAsia="宋体" w:cs="宋体"/>
                <w:b w:val="0"/>
                <w:bCs w:val="0"/>
                <w:kern w:val="2"/>
                <w:sz w:val="21"/>
                <w:szCs w:val="21"/>
                <w:lang w:val="en-US" w:eastAsia="zh-CN" w:bidi="ar-SA"/>
              </w:rPr>
              <w:t>转售卖。</w:t>
            </w:r>
          </w:p>
          <w:p w14:paraId="4054281F">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（3）排版与视觉规范</w:t>
            </w:r>
          </w:p>
          <w:p w14:paraId="495DD431">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统一视觉标准：全套图库色调统一、标注样式统一、字体格式统一；图示标注文字清晰、大小适中，专业符号、图标规范一致。</w:t>
            </w:r>
          </w:p>
          <w:p w14:paraId="0D78906C">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构图要求：图片构图合理、重点突出，无关元素全部剔除；关键部位、核心结构需做放大、描边、高亮标注处理。</w:t>
            </w:r>
          </w:p>
          <w:p w14:paraId="1B4A885A">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标注规范：专业图片需配套文字标注、编号说明、结构释义，标注简洁易懂，适配教学讲解，便于学生快速识别核心知识点。</w:t>
            </w:r>
          </w:p>
          <w:p w14:paraId="6EA54BC0">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（4）图库内容硬性量化指标</w:t>
            </w:r>
          </w:p>
          <w:p w14:paraId="5DAB3B35">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①图片总量要求</w:t>
            </w:r>
          </w:p>
          <w:p w14:paraId="4840F6A8">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素材数量：单门课程专属图库图片素材总数不少于200张，全部为课程专用有效教学图片，不含重复、雷同、无教学意义的无效图片。</w:t>
            </w:r>
          </w:p>
          <w:p w14:paraId="6CB76E91">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覆盖范围：图库须完整覆盖课程全部教学任务、章节知识点，覆盖教学基础概念、原理结构、操作流程、行业应用、易错辨析、拓展知识等全部内容，做到知识点图片全覆盖、无遗漏。</w:t>
            </w:r>
          </w:p>
          <w:p w14:paraId="49C929E4">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②图片类型分类要求</w:t>
            </w:r>
          </w:p>
          <w:p w14:paraId="46331430">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图库素材类型丰富，包含但不限于以下类别，适配多元化课程资源开发：</w:t>
            </w:r>
          </w:p>
          <w:p w14:paraId="14BC5120">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组合流程类图片：采用多图组合形式，替代传统单一插图，包含步骤分解图、流程组合图、前后对比图、结构拆分图、场景联动图；通过组图连贯展示操作流程、演变过程、逻辑关系，提升辅助学习效果。</w:t>
            </w:r>
          </w:p>
          <w:p w14:paraId="7A6F6531">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思维导图类图示：按照教学任务、章节、课程整体三级架构制作思维导图，包含知识框架导图、逻辑关系导图、重难点梳理导图、归纳总结导图；导图层级分明、逻辑清晰、配色简洁，适配课前预习、课中学习、课后复盘。</w:t>
            </w:r>
          </w:p>
          <w:p w14:paraId="2C316BA3">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专业示意类图片：包含原理示意图、结构解剖图、数据图表、模型结构图、行业标准示意图，专业术语标注准确，符合行业规范。</w:t>
            </w:r>
          </w:p>
          <w:p w14:paraId="7627249F">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实景实拍类图片：包含教学场景、实操设备、行业实景、应用案例实拍图，贴合真实工作场景，强化实操认知。</w:t>
            </w:r>
          </w:p>
          <w:p w14:paraId="632D70F7">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辨析拓展类图片：包含易错对比图、优劣对照图、新旧标准对比图、前沿技术拓展图，辅助学生辨析易混淆知识点，拓宽知识边界。</w:t>
            </w:r>
          </w:p>
          <w:p w14:paraId="1A667A2C">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（5）图库制作质量要求</w:t>
            </w:r>
          </w:p>
          <w:p w14:paraId="3325B731">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贴合教学逻辑：图片严格匹配课程教学大纲、课件内容、教学任务，贴合授课逻辑，图片难度、内容适配授课人群认知水平。</w:t>
            </w:r>
          </w:p>
          <w:p w14:paraId="6A5074B7">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组合图设计要求：所有组合图片需做到排版有序、关联清晰，图片之间存在逻辑递进、对比、补充关系；每张组合图附带简短文字说明，明确图示教学用途。</w:t>
            </w:r>
          </w:p>
          <w:p w14:paraId="1DC8B895">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思维导图设计要求：思维导图需采用扁平化简约设计，层级不低于3级，可自由拆分、缩放、编辑；重点知识点采用高亮、变色标注，适配课堂教学与自主学习。</w:t>
            </w:r>
          </w:p>
          <w:p w14:paraId="449E378E">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专业准确性：所有专业图示、结构图片、流程图片严格遵循现行行业标准、国家标准，无知识性、专业性错误，杜绝过时、淘汰技术图示。</w:t>
            </w:r>
          </w:p>
          <w:p w14:paraId="22C5E790">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适配多场景使用：图库素材可直接用于课件制作、试题配图、课程视频剪辑、电子教材编排、线上教学平台展示，通用性强，无需二次加工。</w:t>
            </w:r>
          </w:p>
          <w:p w14:paraId="6BBBD0DA">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（6）文件整理与交付要求</w:t>
            </w:r>
          </w:p>
          <w:p w14:paraId="274536D4">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①交付文件清单</w:t>
            </w:r>
          </w:p>
          <w:p w14:paraId="1FAC132D">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高清成品图库：JPG、PNG格式高清图片，分类归档文件夹；</w:t>
            </w:r>
          </w:p>
          <w:p w14:paraId="1E7890FD">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可编辑源文件：思维导图、矢量图示、组合图片工程源文件；</w:t>
            </w:r>
          </w:p>
          <w:p w14:paraId="58FA246C">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图库目录清单：Excel格式清单，标注图片编号、图片名称、所属教学任务、图片类型、用途说明；</w:t>
            </w:r>
          </w:p>
          <w:p w14:paraId="7E594E09">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图库使用说明书：说明图库分类规则、适用场景、二次编辑注意事项。</w:t>
            </w:r>
          </w:p>
          <w:p w14:paraId="585F302D">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②归档分类要求</w:t>
            </w:r>
          </w:p>
          <w:p w14:paraId="77F35FB3">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按照课程教学任务、章节进行分层文件夹归档，分类清晰、命名规范；</w:t>
            </w:r>
          </w:p>
          <w:p w14:paraId="10F78698">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严格区分组合图片、思维导图、实景图片、示意图片，独立归类，便于快速检索调取。</w:t>
            </w:r>
          </w:p>
          <w:p w14:paraId="218B3659">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（7）修改服务及交付标准</w:t>
            </w:r>
          </w:p>
          <w:p w14:paraId="2A4918AB">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支持图片替换、标注修改、配色调整、导图优化、补充新增图片，直至满足教学使用要求。</w:t>
            </w:r>
          </w:p>
          <w:p w14:paraId="32C1F237">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单门课程图库图片数量不少于200张，无重复、无效图片；</w:t>
            </w:r>
          </w:p>
          <w:p w14:paraId="613F882A">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包含组合组图、思维导图、专业示意图等全部要求类型，组合图片占比不低于40%；</w:t>
            </w:r>
          </w:p>
          <w:p w14:paraId="4F835FD7">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图片画质高清无水印、标注规范、专业准确，无知识性错误；</w:t>
            </w:r>
          </w:p>
          <w:p w14:paraId="458155D5">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分类归档清晰，格式齐全，可直接用于各类课程资源开发。</w:t>
            </w:r>
          </w:p>
          <w:p w14:paraId="4982A744">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本项目图库所有素材版权归采购方独家所有，未经允许不得留存、外泄、二次商用。</w:t>
            </w:r>
          </w:p>
          <w:p w14:paraId="45BF31FD">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6.教学设计</w:t>
            </w:r>
          </w:p>
          <w:p w14:paraId="0415A4B1">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（1）总体建设要求</w:t>
            </w:r>
          </w:p>
          <w:p w14:paraId="754EAC9B">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本项目需针对每门课程编制全套规范化、系统化课程教学设计文件，严格遵循高等教育/职业教育教学规范，贴合课程人才培养定位。教学设计需结构完整、逻辑严谨，覆盖课程基础信息、教学资源、教学流程、考核评价、教学成效及反思改进等全要素。整套教学设计以教学任务为最小编制单元，做到一案一设计、单元有汇总、课程有总览；结合本项目已开发课件、题库、图库、课程视频等数字化资源，形成一体化教学设计方案，满足日常授课、教学评审、课程申报、教学督导检查等使用要求。</w:t>
            </w:r>
          </w:p>
          <w:p w14:paraId="74EEDA05">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（2）教学设计编制通用规范</w:t>
            </w:r>
          </w:p>
          <w:p w14:paraId="70E43FAE">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编制依据：严格按照人才培养方案、课程教学大纲、行业职业标准、岗位能力要求进行编制，贴合专业培养目标，符合现行教学规范。</w:t>
            </w:r>
          </w:p>
          <w:p w14:paraId="7B99E21C">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编制粒度：以单个教学任务为基础编制单元，每个教学任务独立教学设计；同时编制课程总体教学设计汇总，形成“课程总设计+单元设计+任务设计”三级教学设计体系。</w:t>
            </w:r>
          </w:p>
          <w:p w14:paraId="4A934984">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格式规范：统一模板、统一字体、统一层级格式，排版工整、段落规范，无错别字、无逻辑混乱，专业术语标准统一。</w:t>
            </w:r>
          </w:p>
          <w:p w14:paraId="10A7E46E">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适配资源：深度融合本项目配套制作的教学PPT、专业图库、试题题库、课程介绍视频等数字资源，实现资源与教学设计一一对应、互联互通。</w:t>
            </w:r>
          </w:p>
          <w:p w14:paraId="07D5FA22">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（3）教学设计硬性内容参数（全覆盖要求）</w:t>
            </w:r>
          </w:p>
          <w:p w14:paraId="44BC205F">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每套课程教学设计必须包含以下固定模块，不得缺项、漏项，各模块编写要求如下：</w:t>
            </w:r>
          </w:p>
          <w:p w14:paraId="31353DEB">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①课程基础信息</w:t>
            </w:r>
          </w:p>
          <w:p w14:paraId="566DB52E">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需清晰、准确列明课程基础概况，要素齐全，包含：</w:t>
            </w:r>
          </w:p>
          <w:p w14:paraId="7B3A5C71">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课程名称：严格按照人才培养方案标准名称填写，名称规范、无简称、无错写。</w:t>
            </w:r>
          </w:p>
          <w:p w14:paraId="450203DF">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课程性质：明确标注课程类型，区分公共基础课、专业基础课、专业核心课、拓展选修课；注明课程必修/选修属性。</w:t>
            </w:r>
          </w:p>
          <w:p w14:paraId="1D371A90">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授课学时：明确课程总学时、理论学时、实践学时、课外学时，学时分配科学合理，符合教学大纲要求。</w:t>
            </w:r>
          </w:p>
          <w:p w14:paraId="0B5BC67E">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适用对象：明确授课专业、年级、学情特征，分析学生知识基础、学习能力、认知特点。</w:t>
            </w:r>
          </w:p>
          <w:p w14:paraId="3D6485A4">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前置课程与后续课程：梳理课程在专业课程体系中的位置，明确先修课程、并行课程、后续衔接课程。</w:t>
            </w:r>
          </w:p>
          <w:p w14:paraId="5F825792">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②授课形式设计</w:t>
            </w:r>
          </w:p>
          <w:p w14:paraId="17A1077F">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结合课程特点制定多元化授课模式，明确教学组织形式，包含但不限于：线下课堂讲授、线上混合教学、案例研讨、实操训练、分组教学、情景模拟、企业观摩、翻转课堂等；明确不同教学内容对应的授课方式，合理分配讲授时长、互动时长、实操时长。</w:t>
            </w:r>
          </w:p>
          <w:p w14:paraId="126F4EDE">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③资源应用设计</w:t>
            </w:r>
          </w:p>
          <w:p w14:paraId="3204EDD4">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详细列明本课程全部教学资源使用方案，明确资源应用场景、应用时机、使用方式，资源必须包含本项目配套建设资源：</w:t>
            </w:r>
          </w:p>
          <w:p w14:paraId="3037F675">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数字化教学资源：教学PPT课件、课程专业图库、思维导图、课程介绍视频、课程拓展素材。</w:t>
            </w:r>
          </w:p>
          <w:p w14:paraId="240D6D01">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试题资源：课后练习题、单元自测题、随堂测试题、综合考核题库。</w:t>
            </w:r>
          </w:p>
          <w:p w14:paraId="1FED25B2">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纸质教学资源：教材、参考书籍、行业标准、规范文件、教学讲义。</w:t>
            </w:r>
          </w:p>
          <w:p w14:paraId="071E05B7">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硬件实训资源：教学场地、实训设备、实验器材、教学软件、实训平台。</w:t>
            </w:r>
          </w:p>
          <w:p w14:paraId="42AC56BC">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④教学内容设计</w:t>
            </w:r>
          </w:p>
          <w:p w14:paraId="67CE4542">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以教学任务为单元拆分教学内容，构建完整课程知识体系：</w:t>
            </w:r>
          </w:p>
          <w:p w14:paraId="3625A705">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章节划分：按知识逻辑划分教学章节、教学单元，层级清晰、衔接顺畅。</w:t>
            </w:r>
          </w:p>
          <w:p w14:paraId="44EF3D25">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教学任务拆分：细化至单个教学任务，明确每个任务教学内容、知识要点、技能要点。</w:t>
            </w:r>
          </w:p>
          <w:p w14:paraId="77F536A0">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内容编排：遵循由浅入深、循序渐进原则，理论知识与实操内容穿插排布，贴合教学规律。</w:t>
            </w:r>
          </w:p>
          <w:p w14:paraId="75B27091">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行业拓展内容：融入行业新技术、新工艺、新标准、典型行业案例，贴合岗位实际应用。</w:t>
            </w:r>
          </w:p>
          <w:p w14:paraId="78A943EE">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⑤教学目标及重难点设计</w:t>
            </w:r>
          </w:p>
          <w:p w14:paraId="1734177F">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每一个教学任务均需独立编制教学目标、教学重点、教学难点，分类清晰、定位准确：</w:t>
            </w:r>
          </w:p>
          <w:p w14:paraId="17580840">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知识目标：明确学生需要掌握的基础概念、理论知识、原理规范。</w:t>
            </w:r>
          </w:p>
          <w:p w14:paraId="6F2B6B7E">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能力目标：明确学生需要具备的操作能力、分析能力、应用能力、综合解决问题能力。</w:t>
            </w:r>
          </w:p>
          <w:p w14:paraId="7EC35738">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素养目标：包含职业素养、职业道德、安全意识、规范意识、合作意识等综合育人目标。</w:t>
            </w:r>
          </w:p>
          <w:p w14:paraId="0055DC22">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教学重点：明确课程核心必考知识点、岗位高频应用知识。</w:t>
            </w:r>
          </w:p>
          <w:p w14:paraId="5470D7AE">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教学难点：明确学生不易理解、容易混淆、实操难度较大的内容，并标注难点突破方法。</w:t>
            </w:r>
          </w:p>
          <w:p w14:paraId="41F6CFE5">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⑥教学组织设计</w:t>
            </w:r>
          </w:p>
          <w:p w14:paraId="1F791917">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科学规划教学组织流程，明确课堂人员组织、分组方式、教学流程排布：</w:t>
            </w:r>
          </w:p>
          <w:p w14:paraId="0E58D0A1">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人员组织：根据教学内容采用单人独立学习、小组合作学习、团队协作实训等组织模式。</w:t>
            </w:r>
          </w:p>
          <w:p w14:paraId="77ED8A53">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课堂结构组织：合理划分课前预习、课堂导入、知识讲授、实操练习、课堂互动、总结复盘、课后作业各环节时长。</w:t>
            </w:r>
          </w:p>
          <w:p w14:paraId="59F962C5">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课堂管理设计：明确课堂纪律要求、课堂管控方式、学生状态管控措施。</w:t>
            </w:r>
          </w:p>
          <w:p w14:paraId="0FEF31FA">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⑦教学实施设计</w:t>
            </w:r>
          </w:p>
          <w:p w14:paraId="58108F87">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制定可落地、可执行的课堂实施流程，做到步骤清晰、流程可视化：</w:t>
            </w:r>
          </w:p>
          <w:p w14:paraId="0ECA1380">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课前准备：教师准备、学生准备、资源准备、设备调试。</w:t>
            </w:r>
          </w:p>
          <w:p w14:paraId="330B2396">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课堂导入：采用案例导入、问题导入、视频导入、情景导入等方式激发学习兴趣。</w:t>
            </w:r>
          </w:p>
          <w:p w14:paraId="6679D076">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知识讲授：结合图文、视频、案例分层讲解知识点，重难点分步拆解。</w:t>
            </w:r>
          </w:p>
          <w:p w14:paraId="3B3C77B5">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实操训练：明确实操步骤、操作规范、注意事项、考核标准。</w:t>
            </w:r>
          </w:p>
          <w:p w14:paraId="7845F36A">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课堂互动：设置提问、讨论、练习、抢答、互评等互动环节。</w:t>
            </w:r>
          </w:p>
          <w:p w14:paraId="55B4B04F">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课堂总结：梳理知识框架，结合思维导图复盘本节重难点。</w:t>
            </w:r>
          </w:p>
          <w:p w14:paraId="26BE0421">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⑧教学评价设计</w:t>
            </w:r>
          </w:p>
          <w:p w14:paraId="79500901">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建立多元化、全过程综合评价体系，明确评分标准、评价维度：</w:t>
            </w:r>
          </w:p>
          <w:p w14:paraId="3804A92D">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评价方式：实行过程性评价+终结性评价相结合模式。</w:t>
            </w:r>
          </w:p>
          <w:p w14:paraId="077496E5">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评价内容：包含课堂考勤、课堂表现、随堂练习、作业完成、实操考核、单元测试、期末考核。</w:t>
            </w:r>
          </w:p>
          <w:p w14:paraId="545B5755">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评价主体：教师评价、学生自评、小组互评相结合。</w:t>
            </w:r>
          </w:p>
          <w:p w14:paraId="70E3379B">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评分标准：量化各项分值占比，评分细则清晰、客观、可执行。</w:t>
            </w:r>
          </w:p>
          <w:p w14:paraId="49BEADF0">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⑨教学成效分析</w:t>
            </w:r>
          </w:p>
          <w:p w14:paraId="182C7D52">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对课程预期教学成效进行系统性分析，包含：</w:t>
            </w:r>
          </w:p>
          <w:p w14:paraId="56FCC36D">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知识成效：学生对基础知识、专业知识的掌握程度预期。</w:t>
            </w:r>
          </w:p>
          <w:p w14:paraId="698BD6ED">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能力成效：学生实操能力、应用能力、问题解决能力提升预期。</w:t>
            </w:r>
          </w:p>
          <w:p w14:paraId="2F10A2A3">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素养成效：职业素养、规范意识、安全意识、团队协作能力提升成效。</w:t>
            </w:r>
          </w:p>
          <w:p w14:paraId="4699E938">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长远成效：对接岗位就业、技能竞赛、职业证书、升学发展等综合育人成效。</w:t>
            </w:r>
          </w:p>
          <w:p w14:paraId="567F2DC1">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⑩反思与改进设计</w:t>
            </w:r>
          </w:p>
          <w:p w14:paraId="29657652">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针对教学全过程设置教学反思模块，内容包含：</w:t>
            </w:r>
          </w:p>
          <w:p w14:paraId="17637901">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教学现状反思：分析教学过程中易出现的问题、学生常见易错点、课堂管控难点。</w:t>
            </w:r>
          </w:p>
          <w:p w14:paraId="758084B9">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教学不足分析：从教学方法、资源使用、课堂节奏、学情适配等方面分析不足。</w:t>
            </w:r>
          </w:p>
          <w:p w14:paraId="3033A719">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优化改进措施：提出针对性优化方案，包含教学方法改进、资源优化、难度调整、分层教学、课后辅导等改进措施。</w:t>
            </w:r>
          </w:p>
          <w:p w14:paraId="26A91BC4">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持续更新机制：结合行业新技术、新标准、新案例，明确课程后期迭代更新方案。</w:t>
            </w:r>
          </w:p>
          <w:p w14:paraId="14AD1B1B">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（4）交付与格式要求</w:t>
            </w:r>
          </w:p>
          <w:p w14:paraId="745DB4A6">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交付文件：交付可编辑Word格式，全套教学设计模板统一、排版规范、无加密。</w:t>
            </w:r>
          </w:p>
          <w:p w14:paraId="01F9C590">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highlight w:val="none"/>
                <w:lang w:val="en-US" w:eastAsia="zh-CN" w:bidi="ar-SA"/>
              </w:rPr>
              <w:t>编制数量：按照课程全部教学任务逐份编制，每个教学任务单独教学设计文档，同</w:t>
            </w:r>
            <w:r>
              <w:rPr>
                <w:rFonts w:hint="eastAsia" w:ascii="宋体" w:hAnsi="宋体" w:eastAsia="宋体" w:cs="宋体"/>
                <w:b w:val="0"/>
                <w:bCs w:val="0"/>
                <w:kern w:val="2"/>
                <w:sz w:val="21"/>
                <w:szCs w:val="21"/>
                <w:lang w:val="en-US" w:eastAsia="zh-CN" w:bidi="ar-SA"/>
              </w:rPr>
              <w:t>时提交课程总体教学设计汇总一份。</w:t>
            </w:r>
          </w:p>
          <w:p w14:paraId="5AA94FFA">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资源联动：教学设计需明确标注关联PPT页码、图库图片、题库题号、教学视频片段，实现资源一一对应。</w:t>
            </w:r>
          </w:p>
          <w:p w14:paraId="68CDB601">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（5）验收标准</w:t>
            </w:r>
          </w:p>
          <w:p w14:paraId="2C1353CD">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必须完整包含：课程名称、课程性质、授课学时、授课形式、资源应用、教学内容、教学目标及重难点、教学组织、教学实施、教学评价、教学成效、反思改进全部模块，无缺项。</w:t>
            </w:r>
          </w:p>
          <w:p w14:paraId="7ED33678">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教学逻辑通顺，贴合学情，重难点划分合理，教学流程可落地执行。</w:t>
            </w:r>
          </w:p>
          <w:p w14:paraId="3A23BC92">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深度融合本项目全部数字化课程资源，资源应用合理、贴合教学环节。</w:t>
            </w:r>
          </w:p>
          <w:p w14:paraId="698F3EC4">
            <w:pPr>
              <w:keepNext w:val="0"/>
              <w:keepLines w:val="0"/>
              <w:pageBreakBefore w:val="0"/>
              <w:kinsoku/>
              <w:overflowPunct/>
              <w:topLinePunct w:val="0"/>
              <w:autoSpaceDE/>
              <w:autoSpaceDN/>
              <w:bidi w:val="0"/>
              <w:adjustRightInd/>
              <w:snapToGrid/>
              <w:spacing w:line="360" w:lineRule="exact"/>
              <w:rPr>
                <w:rFonts w:hint="eastAsia"/>
                <w:lang w:val="en-US" w:eastAsia="zh-CN"/>
              </w:rPr>
            </w:pPr>
            <w:r>
              <w:rPr>
                <w:rFonts w:hint="eastAsia" w:ascii="宋体" w:hAnsi="宋体" w:eastAsia="宋体" w:cs="宋体"/>
                <w:b w:val="0"/>
                <w:bCs w:val="0"/>
                <w:kern w:val="2"/>
                <w:sz w:val="21"/>
                <w:szCs w:val="21"/>
                <w:lang w:val="en-US" w:eastAsia="zh-CN" w:bidi="ar-SA"/>
              </w:rPr>
              <w:t>无知识性错误、无逻辑漏洞、格式规范统一。</w:t>
            </w:r>
          </w:p>
          <w:p w14:paraId="3254E847">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7.课程标准</w:t>
            </w:r>
          </w:p>
          <w:p w14:paraId="023EA023">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（1）总体建设要求</w:t>
            </w:r>
          </w:p>
          <w:p w14:paraId="776C47F0">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本项目需为每门课程定制编制规范化、标准化、专业化课程标准，严格遵循教育教学大纲规范、行业职业标准及人才培养方案要求。课程标准作为课程建设纲领性文件，需结构完整、逻辑严谨、内容合规，必须完整包含课程性质、课程目标、课程内容、课时安排、课程实施、课程评价六大核心模块，同时配套课程前置后置关系、教学资源配置、教学保障、课程质量管控等辅助内容。本文件需与本项目教学设计、课件、题库、图库、教学视频等数字化资源配套联动，适配日常教学管理、课程评审、教学督导、人才培养核查等使用场景，保证课程教学标准化、规范化、系统化实施。</w:t>
            </w:r>
          </w:p>
          <w:p w14:paraId="46AA634E">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（2）编制通用规范要求</w:t>
            </w:r>
          </w:p>
          <w:p w14:paraId="1678DDE3">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编制依据：严格依据专业人才培养方案、国家教学标准、行业职业技能标准、岗位从业规范、最新政策文件进行编制，贴合专业人才培养定位，适配对应学段学情特征。</w:t>
            </w:r>
          </w:p>
          <w:p w14:paraId="2B9AFEDA">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格式规范：全套课程标准采用统一制式模板，字体、行距、标题层级、排版格式统一；专业术语规范统一，语句严谨通顺，无错别字、无歧义表述、无知识性错误。</w:t>
            </w:r>
          </w:p>
          <w:p w14:paraId="4863F10C">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适配联动：课程标准内容需与本课程教学设计、教学PPT、试题库、专业图库、课程介绍视频内容高度匹配，做到纲领要求、教学实施、教学资源、考核标准保持一致。</w:t>
            </w:r>
          </w:p>
          <w:p w14:paraId="6374A90C">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时效性要求：融入行业新技术、新工艺、新标准、新规范，剔除过时、淘汰、作废的知识内容，保证课程标准贴合当下行业岗位应用需求。</w:t>
            </w:r>
          </w:p>
          <w:p w14:paraId="3C729B6E">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（3）课程标准编制内容参数</w:t>
            </w:r>
          </w:p>
          <w:p w14:paraId="0BA237B9">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每套课程标准必须包含以下规定模块，不得缺项、漏项、简项，各模块详细编制要求如下：</w:t>
            </w:r>
          </w:p>
          <w:p w14:paraId="4540F4A3">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①课程性质</w:t>
            </w:r>
          </w:p>
          <w:p w14:paraId="0B0910F6">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需客观、完整阐述课程基本定位，内容详实规范，包含以下编制要点：</w:t>
            </w:r>
          </w:p>
          <w:p w14:paraId="2B15FB98">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课程定位：明确课程在专业人才培养体系中的地位，界定为公共基础课、专业基础课、专业核心课、专业拓展课；标注必修、选修课程属性。</w:t>
            </w:r>
          </w:p>
          <w:p w14:paraId="6033AA0A">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课程作用：说明课程承担的育人功能、专业赋能作用，阐述课程对学生专业能力、职业素养、综合能力的支撑作用。</w:t>
            </w:r>
          </w:p>
          <w:p w14:paraId="0B7EC103">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课程衔接：清晰列明前置先修课程、并行课程、后续衔接课程，梳理专业课程体系逻辑关系，明确知识递进架构。</w:t>
            </w:r>
          </w:p>
          <w:p w14:paraId="0CC87F92">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适用范围：明确适用专业、适用年级、授课对象，简要分析学生学情基础、认知特点、学习短板。</w:t>
            </w:r>
          </w:p>
          <w:p w14:paraId="0AD5B518">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②课程目标</w:t>
            </w:r>
          </w:p>
          <w:p w14:paraId="7817101F">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依据人才培养要求，构建三维一体化课程目标，目标需量化、可达成、可考核，不得空洞泛化：</w:t>
            </w:r>
          </w:p>
          <w:p w14:paraId="7404539E">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知识目标：明确学生需掌握的基础理论、专业概念、原理规范、行业标准、基础知识体系，清晰界定掌握、理解、了解三个层级要求。</w:t>
            </w:r>
          </w:p>
          <w:p w14:paraId="6F33D31D">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能力目标：明确学生需具备的专业操作能力、问题分析能力、综合应用能力、岗位实操能力，贴合行业岗位能力要求。</w:t>
            </w:r>
          </w:p>
          <w:p w14:paraId="0DDD2478">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素养目标：涵盖职业素养、职业道德、安全规范、团队协作、创新思维、敬业精神等综合育人目标，契合素质教育要求。</w:t>
            </w:r>
          </w:p>
          <w:p w14:paraId="19F49ED0">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目标对标：对标岗位职业能力要求、职业技能等级证书考核要求，明确课程目标与岗位、证书、竞赛的对应关系。</w:t>
            </w:r>
          </w:p>
          <w:p w14:paraId="0252B48C">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③课程内容</w:t>
            </w:r>
          </w:p>
          <w:p w14:paraId="6698603E">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按照模块化、任务化思路划分课程内容，贴合教学实施逻辑，内容详实完整：</w:t>
            </w:r>
          </w:p>
          <w:p w14:paraId="1A5A4557">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内容模块划分：依据教学逻辑划分课程教学单元、教学任务，明确每个模块、每个教学任务的核心知识点、技能点、素养要点。</w:t>
            </w:r>
          </w:p>
          <w:p w14:paraId="10BEC4BB">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重难点划分：明确标注课程教学重点、教学难点，说明重难点形成原因及攻克思路。</w:t>
            </w:r>
          </w:p>
          <w:p w14:paraId="3DD9B231">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内容编排要求：遵循由浅入深、循序渐进原则，合理排布理论内容、实操内容、拓展内容，兼顾基础教学与拔高提升。</w:t>
            </w:r>
          </w:p>
          <w:p w14:paraId="1DFF3D27">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拓展内容：融入行业前沿技术、典型案例、实操项目、行业规范，补充岗位实战应用内容。</w:t>
            </w:r>
          </w:p>
          <w:p w14:paraId="4599186A">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④课时安排</w:t>
            </w:r>
          </w:p>
          <w:p w14:paraId="6B213F26">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制定科学、清晰、可落地的课时分配方案，明确课时结构与教学排布：</w:t>
            </w:r>
          </w:p>
          <w:p w14:paraId="0B6B5B91">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总学时分配：明确课程总学时、总学分，拆分理论学时、实践学时、课外自主学习学时，学时分配比例合理合规。</w:t>
            </w:r>
          </w:p>
          <w:p w14:paraId="66EAC843">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分单元课时表：以表格形式列明各教学单元、教学任务的授课课时、授课类型、教学场所、教学方式。</w:t>
            </w:r>
          </w:p>
          <w:p w14:paraId="6D0ABAA9">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教学节奏规划：合理规划学期教学进度，明确各阶段教学任务、实训安排、考核节点，节奏贴合教学规律。</w:t>
            </w:r>
          </w:p>
          <w:p w14:paraId="2AAFE571">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弹性课时设置：预留弹性教学课时，用于行业拓展、综合实训、查漏补缺、学情辅导。</w:t>
            </w:r>
          </w:p>
          <w:p w14:paraId="0CB692A6">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⑤课程实施</w:t>
            </w:r>
          </w:p>
          <w:p w14:paraId="47B0CD83">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明确课程全流程实施细则，包含教学方式、资源配置、实施条件、教学流程等内容，具备高度可执行性：</w:t>
            </w:r>
          </w:p>
          <w:p w14:paraId="1C3BF649">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教学实施条件：列明师资条件、实训场地、教学设备、教学软件、硬件配套设施要求。</w:t>
            </w:r>
          </w:p>
          <w:p w14:paraId="243205E2">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教学方法手段：明确采用讲授法、案例教学法、任务驱动法、分组研讨法、实操演练法、混合式教学法等多元化教学方法。</w:t>
            </w:r>
          </w:p>
          <w:p w14:paraId="2151D7A1">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教学资源应用：明确配套教学资源使用方案，包含教材、参考资料、教学PPT、专业图库、课程视频、试题库等数字化资源的应用场景。</w:t>
            </w:r>
          </w:p>
          <w:p w14:paraId="2DB9E21E">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教学实施流程：规范课前、课中、课后全流程实施要求，明确预习、授课、实操、练习、复盘、辅导各环节实施标准。</w:t>
            </w:r>
          </w:p>
          <w:p w14:paraId="7155109B">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分层实施要求：针对不同学情学生，制定差异化教学实施办法，兼顾基础薄弱学生与能力拔尖学生。</w:t>
            </w:r>
          </w:p>
          <w:p w14:paraId="1E067EA1">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⑥课程评价</w:t>
            </w:r>
          </w:p>
          <w:p w14:paraId="3A7D400B">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建立多元化、全过程、可量化的综合评价体系，明确考核规则与评定标准：</w:t>
            </w:r>
          </w:p>
          <w:p w14:paraId="10F44FB0">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评价原则：坚持公平、公正、公开原则，实行过程性评价与终结性评价相结合、理论考核与实操考核相结合。</w:t>
            </w:r>
          </w:p>
          <w:p w14:paraId="5024C661">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评价构成：明确各项考核占比，包含课堂考勤、课堂表现、课后作业、随堂测验、单元考核、实操考核、期末综合考核。</w:t>
            </w:r>
          </w:p>
          <w:p w14:paraId="113E6285">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评价方式：采用教师评价、学生自评、小组互评多元评价方式，细化评分细则，量化考核分值。</w:t>
            </w:r>
          </w:p>
          <w:p w14:paraId="55ED3C35">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合格标准：明确课程合格判定标准、补考及重修要求，制定学生学业预警机制。</w:t>
            </w:r>
          </w:p>
          <w:p w14:paraId="588ABBC9">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质量复盘评价：建立课程教学质量评价机制，包含教师自评、学生评价、同行评价、督导评价。</w:t>
            </w:r>
          </w:p>
          <w:p w14:paraId="5FA4F711">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（4）辅助配套编写要求</w:t>
            </w:r>
          </w:p>
          <w:p w14:paraId="1D931571">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除六大核心模块外，每门课程标准需额外补充配套保障内容，完善文件完整性：</w:t>
            </w:r>
          </w:p>
          <w:p w14:paraId="30DD505E">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教学保障要求：明确师资资质、实训环境、设备耗材、安全保障、教学管理制度等保障条件。</w:t>
            </w:r>
          </w:p>
          <w:p w14:paraId="1039E085">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教材与参考资料：列明主教材、辅助教材、行业标准、参考文献、线上学习资源清单。</w:t>
            </w:r>
          </w:p>
          <w:p w14:paraId="1A24E9DF">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课程质量管控：制定教学质量监控措施、教学检查节点、质量整改流程。</w:t>
            </w:r>
          </w:p>
          <w:p w14:paraId="18E3EB21">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课程迭代更新：明确课程动态更新机制，结合行业发展、教学反馈、技术迭代定期优化课程内容。</w:t>
            </w:r>
          </w:p>
          <w:p w14:paraId="1FFC50D7">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（5）交付格式及标准</w:t>
            </w:r>
          </w:p>
          <w:p w14:paraId="19DBA0A2">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①交付要求</w:t>
            </w:r>
          </w:p>
          <w:p w14:paraId="7B50AA16">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交付格式：提供可编辑Word格式文件，无加密、无格式锁定，排版规整、目录清晰。</w:t>
            </w:r>
          </w:p>
          <w:p w14:paraId="6F73126E">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模板统一：所有课程标准采用同款制式模板，字体、表格、层级格式完全统一。</w:t>
            </w:r>
          </w:p>
          <w:p w14:paraId="6D9CC47A">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配套资料：同步提交课程标准编制说明，列明编制依据、参考资料、资源对应清单。</w:t>
            </w:r>
          </w:p>
          <w:p w14:paraId="3C71550A">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②交付标准</w:t>
            </w:r>
          </w:p>
          <w:p w14:paraId="550DF170">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highlight w:val="none"/>
                <w:lang w:val="en-US" w:eastAsia="zh-CN" w:bidi="ar-SA"/>
              </w:rPr>
              <w:t>必须完整包</w:t>
            </w:r>
            <w:r>
              <w:rPr>
                <w:rFonts w:hint="eastAsia" w:ascii="宋体" w:hAnsi="宋体" w:eastAsia="宋体" w:cs="宋体"/>
                <w:b w:val="0"/>
                <w:bCs w:val="0"/>
                <w:kern w:val="2"/>
                <w:sz w:val="21"/>
                <w:szCs w:val="21"/>
                <w:lang w:val="en-US" w:eastAsia="zh-CN" w:bidi="ar-SA"/>
              </w:rPr>
              <w:t>含课程性质、课程目标、课程内容、课时安排、课程实施、课程评价六大核心必填模块，无缺项漏项。</w:t>
            </w:r>
          </w:p>
          <w:p w14:paraId="57032E09">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内容符合教学规范，逻辑严谨，学时分配合理，考核标准量化清晰，具备落地执行性。</w:t>
            </w:r>
          </w:p>
          <w:p w14:paraId="2C00935A">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与本课程配套教学资源高度适配，无内容冲突、逻辑矛盾等问题。</w:t>
            </w:r>
          </w:p>
          <w:p w14:paraId="71320483">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全文无错别字、无专业错误、无格式混乱，符合招标文件及教学归档要求。</w:t>
            </w:r>
          </w:p>
        </w:tc>
        <w:tc>
          <w:tcPr>
            <w:tcW w:w="910" w:type="dxa"/>
            <w:tcBorders>
              <w:top w:val="single" w:color="auto" w:sz="4" w:space="0"/>
              <w:left w:val="single" w:color="auto" w:sz="4" w:space="0"/>
              <w:bottom w:val="single" w:color="auto" w:sz="4" w:space="0"/>
              <w:right w:val="single" w:color="auto" w:sz="4" w:space="0"/>
            </w:tcBorders>
            <w:noWrap w:val="0"/>
            <w:vAlign w:val="center"/>
          </w:tcPr>
          <w:p w14:paraId="22437E79">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240000</w:t>
            </w:r>
          </w:p>
        </w:tc>
      </w:tr>
      <w:tr w14:paraId="1035F8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39" w:type="dxa"/>
            <w:tcBorders>
              <w:top w:val="single" w:color="auto" w:sz="4" w:space="0"/>
              <w:left w:val="single" w:color="auto" w:sz="4" w:space="0"/>
              <w:bottom w:val="single" w:color="auto" w:sz="4" w:space="0"/>
              <w:right w:val="single" w:color="auto" w:sz="4" w:space="0"/>
            </w:tcBorders>
            <w:noWrap w:val="0"/>
            <w:vAlign w:val="center"/>
          </w:tcPr>
          <w:p w14:paraId="27B99051">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0"/>
                <w:sz w:val="21"/>
                <w:szCs w:val="21"/>
                <w:highlight w:val="none"/>
              </w:rPr>
              <w:t>2</w:t>
            </w:r>
          </w:p>
        </w:tc>
        <w:tc>
          <w:tcPr>
            <w:tcW w:w="720" w:type="dxa"/>
            <w:gridSpan w:val="2"/>
            <w:tcBorders>
              <w:top w:val="single" w:color="auto" w:sz="4" w:space="0"/>
              <w:left w:val="single" w:color="auto" w:sz="4" w:space="0"/>
              <w:bottom w:val="single" w:color="auto" w:sz="4" w:space="0"/>
              <w:right w:val="single" w:color="auto" w:sz="4" w:space="0"/>
            </w:tcBorders>
            <w:noWrap w:val="0"/>
            <w:vAlign w:val="center"/>
          </w:tcPr>
          <w:p w14:paraId="15C8EA30">
            <w:pPr>
              <w:keepNext w:val="0"/>
              <w:keepLines w:val="0"/>
              <w:pageBreakBefore w:val="0"/>
              <w:widowControl/>
              <w:kinsoku/>
              <w:overflowPunct/>
              <w:topLinePunct w:val="0"/>
              <w:autoSpaceDE/>
              <w:autoSpaceDN/>
              <w:bidi w:val="0"/>
              <w:adjustRightInd/>
              <w:snapToGrid/>
              <w:spacing w:line="360" w:lineRule="exact"/>
              <w:jc w:val="left"/>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专利申报指导</w:t>
            </w:r>
          </w:p>
        </w:tc>
        <w:tc>
          <w:tcPr>
            <w:tcW w:w="413" w:type="dxa"/>
            <w:tcBorders>
              <w:top w:val="single" w:color="auto" w:sz="4" w:space="0"/>
              <w:left w:val="single" w:color="auto" w:sz="4" w:space="0"/>
              <w:bottom w:val="single" w:color="auto" w:sz="4" w:space="0"/>
              <w:right w:val="single" w:color="auto" w:sz="4" w:space="0"/>
            </w:tcBorders>
            <w:noWrap w:val="0"/>
            <w:vAlign w:val="center"/>
          </w:tcPr>
          <w:p w14:paraId="5B502303">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个</w:t>
            </w:r>
          </w:p>
        </w:tc>
        <w:tc>
          <w:tcPr>
            <w:tcW w:w="387" w:type="dxa"/>
            <w:tcBorders>
              <w:top w:val="single" w:color="auto" w:sz="4" w:space="0"/>
              <w:left w:val="single" w:color="auto" w:sz="4" w:space="0"/>
              <w:bottom w:val="single" w:color="auto" w:sz="4" w:space="0"/>
              <w:right w:val="single" w:color="auto" w:sz="4" w:space="0"/>
            </w:tcBorders>
            <w:noWrap w:val="0"/>
            <w:vAlign w:val="center"/>
          </w:tcPr>
          <w:p w14:paraId="1115A181">
            <w:pPr>
              <w:keepNext w:val="0"/>
              <w:keepLines w:val="0"/>
              <w:pageBreakBefore w:val="0"/>
              <w:widowControl/>
              <w:kinsoku/>
              <w:overflowPunct/>
              <w:topLinePunct w:val="0"/>
              <w:autoSpaceDE/>
              <w:autoSpaceDN/>
              <w:bidi w:val="0"/>
              <w:adjustRightInd/>
              <w:snapToGrid/>
              <w:spacing w:line="360" w:lineRule="exact"/>
              <w:jc w:val="both"/>
              <w:textAlignment w:val="center"/>
              <w:rPr>
                <w:rFonts w:hint="eastAsia" w:ascii="宋体" w:hAnsi="宋体" w:eastAsia="宋体" w:cs="宋体"/>
                <w:sz w:val="21"/>
                <w:szCs w:val="21"/>
                <w:lang w:val="en-US" w:eastAsia="zh-CN"/>
              </w:rPr>
            </w:pPr>
            <w:r>
              <w:rPr>
                <w:rFonts w:hint="eastAsia" w:ascii="宋体" w:hAnsi="宋体" w:eastAsia="宋体" w:cs="宋体"/>
                <w:kern w:val="2"/>
                <w:sz w:val="21"/>
                <w:szCs w:val="21"/>
                <w:highlight w:val="none"/>
                <w:lang w:val="en-US" w:eastAsia="zh-CN" w:bidi="ar-SA"/>
              </w:rPr>
              <w:t>5</w:t>
            </w:r>
          </w:p>
        </w:tc>
        <w:tc>
          <w:tcPr>
            <w:tcW w:w="6707" w:type="dxa"/>
            <w:tcBorders>
              <w:top w:val="single" w:color="auto" w:sz="4" w:space="0"/>
              <w:left w:val="single" w:color="auto" w:sz="4" w:space="0"/>
              <w:bottom w:val="single" w:color="auto" w:sz="4" w:space="0"/>
              <w:right w:val="single" w:color="auto" w:sz="4" w:space="0"/>
            </w:tcBorders>
            <w:noWrap w:val="0"/>
            <w:vAlign w:val="center"/>
          </w:tcPr>
          <w:p w14:paraId="42C7D267">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一、服务内容</w:t>
            </w:r>
          </w:p>
          <w:p w14:paraId="2EDA3E9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1.指导2项实用新型专利申报、3项外观专利申报，保障专利提交申请后顺利受理，并提供持续的跟踪指导服务。</w:t>
            </w:r>
          </w:p>
          <w:p w14:paraId="16125645">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二、服务要求</w:t>
            </w:r>
          </w:p>
          <w:p w14:paraId="39EB374A">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指导学校进行5项实用新型专利或外观专利申报，围绕5项专利申报工作，分前期筹备、中期编制、后期申报、跟进答疑四大阶段，拆解全部实操工作，确保每一项专利申报闭环推进，具体事项如下：</w:t>
            </w:r>
          </w:p>
          <w:p w14:paraId="1059EB5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（一）前期筹备阶段：专利挖掘与可行性评估</w:t>
            </w:r>
          </w:p>
          <w:p w14:paraId="0B1349F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科研成果摸排筛选对接学校教务处、科研处、各院系教研室、实训中心及核心科研教师、创新团队，全面梳理现有教学实训设备结构改良、教具构造创新、实验装置外形优化、实用教具组合设计、校园文创产品外观设计等具备形状、构造或其结合/产品外观特征的技术成果与设计成果。重点筛选具有实用性、新颖性的产品类创新与外观设计创新点，定向锁定5项适合申报实用新型专利或外观设计专利的核心技术与设计方案，避免无结构/形状创新、仅为方法改进或无新颖性外观的无效申报。</w:t>
            </w:r>
          </w:p>
          <w:p w14:paraId="7A25EDD5">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专利查新与查重分析由专业专家牵头，通过国家知识产权局专利检索系统、行业专利数据库，对筛选出的技术成果与外观设计进行全面查新检索，核查现有专利文献、公开技术资料，重点判断产品结构/形状的新颖性、实用性及外观设计的独创性、区别性，排查侵权风险、重复申报风险，出具专项查新报告，确定最终5项申报专利（实用新型/外观）的技术方向、核心结构创新点或外观设计要点。</w:t>
            </w:r>
          </w:p>
          <w:p w14:paraId="7512E443">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技术方案/设计方案梳理与完善专家一对一对接专利技术研发教师团队/外观设计团队，深度沟通产品结构组成、连接方式、形状设计、功能实现路径或外观设计要素、整体造型、图案与色彩组合，协助梳理完整技术方案或设计方案，弥补结构描述漏洞、优化构造创新点表述、完善外观设计表达，明确专利保护范围，确保方案符合实用新型专利“针对产品、强调实用”或外观设计专利“针对产品外观、富有美感、适于工业应用”的核心要求。</w:t>
            </w:r>
          </w:p>
          <w:p w14:paraId="029A012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申报主体与材料基础准备协助学校确定专利申报主体（学校为专利权人），整理学校资质证明材料、发明人身份信息、科研成果归属证明等基础资料，建立5项专利专项申报档案，分类归档各项基础素材（重点收集产品实物照片、结构拆解图、外观六面视图、设计草图等）。</w:t>
            </w:r>
          </w:p>
          <w:p w14:paraId="3050FA3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（二）中期编制阶段：申报材料全流程撰写与打磨</w:t>
            </w:r>
          </w:p>
          <w:p w14:paraId="4A9F7661">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1.专利请求书填写</w:t>
            </w:r>
          </w:p>
          <w:p w14:paraId="44D9BB06">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专家指导规范填写实用新型专利请求书或外观设计专利请求书，明确发明名称/外观设计产品名称、发明人信息、申请人信息、优先权要求等核心信息，确保信息准确无误、格式符合国家知识产权局要求。</w:t>
            </w:r>
          </w:p>
          <w:p w14:paraId="7550D863">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2.技术说明书/外观设计简要说明编制</w:t>
            </w:r>
          </w:p>
          <w:p w14:paraId="41E4E900">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实用新型专利：指导撰写完整技术说明书，包含技术领域、背景技术、发明内容、附图说明、具体实施方式五大模块，重点阐述产品结构、部件连接关系、形状细节及实用效果。</w:t>
            </w:r>
          </w:p>
          <w:p w14:paraId="0A0ECD75">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外观设计专利：指导撰写外观设计简要说明，明确产品用途、设计要点、指定视图、省略视图等，确保表述简洁规范。</w:t>
            </w:r>
          </w:p>
          <w:p w14:paraId="0FA6D95D">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权利要求书撰写/外观设计视图整理</w:t>
            </w:r>
          </w:p>
          <w:p w14:paraId="1116336D">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实用新型专利：指导撰写独立权利要求与从属权利要求，以产品结构/形状特征为核心界定保护范围，突出创新点。</w:t>
            </w:r>
          </w:p>
          <w:p w14:paraId="18C8988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外观设计专利：指导完成六面视图、立体图、使用状态参考图的绘制、拍摄与规范整理，确保视图清晰、投影关系正确、能完整表达设计要点。</w:t>
            </w:r>
          </w:p>
          <w:p w14:paraId="1AA8BDE8">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3.摘要编制与附图/视图制作</w:t>
            </w:r>
          </w:p>
          <w:p w14:paraId="07439AB0">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实用新型专利：指导编写简洁规范的摘要，协助绘制结构示意图、装配图、拆解图。</w:t>
            </w:r>
          </w:p>
          <w:p w14:paraId="318B9C0F">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外观设计专利：确保外观设计图片/照片符合格式、尺寸、清晰度、视图对应关系要求，无投影错误、无阴影、无反光、无背景干扰。</w:t>
            </w:r>
          </w:p>
          <w:p w14:paraId="2804D75F">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费用减缓请求材料准备针对学校事业单位性质，指导准备费用减缓申请相关证明材料，协助办理专利申请费用减缓备案，最大化降低专利申报成本。</w:t>
            </w:r>
          </w:p>
          <w:p w14:paraId="3CF4227F">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材料初审与修改完善专家对5项专利（实用新型/外观）的全套申报材料进行交叉审核、反复打磨，重点核查：</w:t>
            </w:r>
          </w:p>
          <w:p w14:paraId="10C8F0BD">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实用新型：结构描述准确性、附图规范性、权利要求完整性；</w:t>
            </w:r>
          </w:p>
          <w:p w14:paraId="5EF99583">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外观设计：视图规范性、简要说明准确性、设计要点表述合规性。组织研发人/设计人沟通修改，形成最终定稿版申报材料，确保全套材料零差错、符合审查要求。</w:t>
            </w:r>
          </w:p>
          <w:p w14:paraId="440B6E9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（三）后期申报阶段：材料提交与流程对接</w:t>
            </w:r>
          </w:p>
          <w:p w14:paraId="584CAAA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申报材料线上线下提交专家指导完成国家知识产权局专利申报系统的线上填报、材料上传（重点核对附图/外观视图格式），核对提交信息无误后完成正式提交；如需纸质材料，协助整理、装订、邮寄纸质版申报资料，同步留存提交回执与受理通知书。</w:t>
            </w:r>
          </w:p>
          <w:p w14:paraId="0AA49201">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受理信息跟进与归档跟进专利申请受理进度，及时领取专利受理通知书，核对受理信息（确认专利类型为实用新型或外观设计），将受理通知书、申报材料底稿、查新报告等资料统一归档至学校知识产权档案，方便后续查询与管理。</w:t>
            </w:r>
          </w:p>
          <w:p w14:paraId="5EDE89DB">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申报费用缴纳指导明确专利申请费、登记费等各项费用标准、缴纳时限，指导学校按时完成费用缴纳，避免因逾期缴费导致专利申请视为撤回。</w:t>
            </w:r>
          </w:p>
          <w:p w14:paraId="21A65A10">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（四）后续跟进阶段：审查答复与授权跟进</w:t>
            </w:r>
          </w:p>
          <w:p w14:paraId="50ED46E0">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专利初步审查跟进全程跟进5项专利的初步审查进度（实用新型/外观设计均仅需初步审查，无实质审查环节），及时接收国家知识产权局下发的审查意见通知书，第一时间反馈学校与研发/设计团队。</w:t>
            </w:r>
          </w:p>
          <w:p w14:paraId="3F9AFC8E">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审查意见答复指导针对审查意见（多为补正通知、形式问题、视图问题、结构描述问题等），专家全程指导撰写审查意见答复书，针对性补充说明、完善附图/视图、修正格式问题，全力争取专利授权。</w:t>
            </w:r>
          </w:p>
          <w:p w14:paraId="4ABBF5F1">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授权后续手续办理专利通过初步审查获得授权后，指导办理专利授权登记手续、缴纳授权登记费、印花税，协助完成专利权属归档、知识产权备案工作。</w:t>
            </w:r>
          </w:p>
          <w:p w14:paraId="39105312">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highlight w:val="none"/>
                <w:lang w:val="en-US" w:eastAsia="zh-CN" w:bidi="ar-SA"/>
              </w:rPr>
              <w:t>后期维护与咨询提供专利年费缴纳提醒、专利维权初步咨询、专利成果转化建议等后续服务，保障学校实用新型专利与外观设计专利权益落地。</w:t>
            </w:r>
          </w:p>
        </w:tc>
        <w:tc>
          <w:tcPr>
            <w:tcW w:w="910" w:type="dxa"/>
            <w:tcBorders>
              <w:top w:val="single" w:color="auto" w:sz="4" w:space="0"/>
              <w:left w:val="single" w:color="auto" w:sz="4" w:space="0"/>
              <w:bottom w:val="single" w:color="auto" w:sz="4" w:space="0"/>
              <w:right w:val="single" w:color="auto" w:sz="4" w:space="0"/>
            </w:tcBorders>
            <w:noWrap w:val="0"/>
            <w:vAlign w:val="center"/>
          </w:tcPr>
          <w:p w14:paraId="1FAC56AE">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20000</w:t>
            </w:r>
          </w:p>
        </w:tc>
      </w:tr>
      <w:tr w14:paraId="689A6D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39" w:type="dxa"/>
            <w:tcBorders>
              <w:top w:val="single" w:color="auto" w:sz="4" w:space="0"/>
              <w:left w:val="single" w:color="auto" w:sz="4" w:space="0"/>
              <w:bottom w:val="single" w:color="auto" w:sz="4" w:space="0"/>
              <w:right w:val="single" w:color="auto" w:sz="4" w:space="0"/>
            </w:tcBorders>
            <w:noWrap w:val="0"/>
            <w:vAlign w:val="center"/>
          </w:tcPr>
          <w:p w14:paraId="711F0384">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0"/>
                <w:sz w:val="21"/>
                <w:szCs w:val="21"/>
                <w:highlight w:val="none"/>
              </w:rPr>
              <w:t>3</w:t>
            </w:r>
          </w:p>
        </w:tc>
        <w:tc>
          <w:tcPr>
            <w:tcW w:w="720" w:type="dxa"/>
            <w:gridSpan w:val="2"/>
            <w:tcBorders>
              <w:top w:val="single" w:color="auto" w:sz="4" w:space="0"/>
              <w:left w:val="single" w:color="auto" w:sz="4" w:space="0"/>
              <w:bottom w:val="single" w:color="auto" w:sz="4" w:space="0"/>
              <w:right w:val="single" w:color="auto" w:sz="4" w:space="0"/>
            </w:tcBorders>
            <w:noWrap w:val="0"/>
            <w:vAlign w:val="center"/>
          </w:tcPr>
          <w:p w14:paraId="4A3A3DAB">
            <w:pPr>
              <w:keepNext w:val="0"/>
              <w:keepLines w:val="0"/>
              <w:pageBreakBefore w:val="0"/>
              <w:widowControl/>
              <w:kinsoku/>
              <w:overflowPunct/>
              <w:topLinePunct w:val="0"/>
              <w:autoSpaceDE/>
              <w:autoSpaceDN/>
              <w:bidi w:val="0"/>
              <w:adjustRightInd/>
              <w:snapToGrid/>
              <w:spacing w:line="360" w:lineRule="exact"/>
              <w:jc w:val="left"/>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师资队伍建设</w:t>
            </w:r>
          </w:p>
        </w:tc>
        <w:tc>
          <w:tcPr>
            <w:tcW w:w="413" w:type="dxa"/>
            <w:tcBorders>
              <w:top w:val="single" w:color="auto" w:sz="4" w:space="0"/>
              <w:left w:val="single" w:color="auto" w:sz="4" w:space="0"/>
              <w:bottom w:val="single" w:color="auto" w:sz="4" w:space="0"/>
              <w:right w:val="single" w:color="auto" w:sz="4" w:space="0"/>
            </w:tcBorders>
            <w:noWrap w:val="0"/>
            <w:vAlign w:val="center"/>
          </w:tcPr>
          <w:p w14:paraId="3B406714">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组</w:t>
            </w:r>
          </w:p>
        </w:tc>
        <w:tc>
          <w:tcPr>
            <w:tcW w:w="387" w:type="dxa"/>
            <w:tcBorders>
              <w:top w:val="single" w:color="auto" w:sz="4" w:space="0"/>
              <w:left w:val="single" w:color="auto" w:sz="4" w:space="0"/>
              <w:bottom w:val="single" w:color="auto" w:sz="4" w:space="0"/>
              <w:right w:val="single" w:color="auto" w:sz="4" w:space="0"/>
            </w:tcBorders>
            <w:noWrap w:val="0"/>
            <w:vAlign w:val="center"/>
          </w:tcPr>
          <w:p w14:paraId="668658F0">
            <w:pPr>
              <w:keepNext w:val="0"/>
              <w:keepLines w:val="0"/>
              <w:pageBreakBefore w:val="0"/>
              <w:widowControl/>
              <w:kinsoku/>
              <w:overflowPunct/>
              <w:topLinePunct w:val="0"/>
              <w:autoSpaceDE/>
              <w:autoSpaceDN/>
              <w:bidi w:val="0"/>
              <w:adjustRightInd/>
              <w:snapToGrid/>
              <w:spacing w:line="360" w:lineRule="exact"/>
              <w:jc w:val="both"/>
              <w:textAlignment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8</w:t>
            </w:r>
          </w:p>
        </w:tc>
        <w:tc>
          <w:tcPr>
            <w:tcW w:w="6707" w:type="dxa"/>
            <w:tcBorders>
              <w:top w:val="single" w:color="auto" w:sz="4" w:space="0"/>
              <w:left w:val="single" w:color="auto" w:sz="4" w:space="0"/>
              <w:bottom w:val="single" w:color="auto" w:sz="4" w:space="0"/>
              <w:right w:val="single" w:color="auto" w:sz="4" w:space="0"/>
            </w:tcBorders>
            <w:noWrap w:val="0"/>
            <w:vAlign w:val="center"/>
          </w:tcPr>
          <w:p w14:paraId="5D09354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exact"/>
              <w:jc w:val="both"/>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lang w:val="en-US" w:eastAsia="zh-CN" w:bidi="ar-SA"/>
              </w:rPr>
              <w:t>一、</w:t>
            </w:r>
            <w:r>
              <w:rPr>
                <w:rFonts w:hint="eastAsia" w:ascii="宋体" w:hAnsi="宋体" w:eastAsia="宋体" w:cs="宋体"/>
                <w:b w:val="0"/>
                <w:bCs w:val="0"/>
                <w:color w:val="auto"/>
                <w:kern w:val="2"/>
                <w:sz w:val="21"/>
                <w:szCs w:val="21"/>
                <w:highlight w:val="none"/>
                <w:lang w:val="en-US" w:eastAsia="zh-CN" w:bidi="ar-SA"/>
              </w:rPr>
              <w:t>服务内容</w:t>
            </w:r>
          </w:p>
          <w:p w14:paraId="14C88D34">
            <w:pPr>
              <w:keepNext w:val="0"/>
              <w:keepLines w:val="0"/>
              <w:pageBreakBefore w:val="0"/>
              <w:kinsoku/>
              <w:wordWrap/>
              <w:overflowPunct/>
              <w:topLinePunct w:val="0"/>
              <w:autoSpaceDE/>
              <w:autoSpaceDN/>
              <w:bidi w:val="0"/>
              <w:adjustRightInd/>
              <w:snapToGrid/>
              <w:spacing w:beforeAutospacing="0" w:afterAutospacing="0" w:line="360" w:lineRule="exac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vertAlign w:val="baseline"/>
                <w:lang w:val="en-US" w:eastAsia="zh-CN"/>
              </w:rPr>
              <w:t>8组微课比赛作品（每组3个微课）的脚本策划指导、微课素材录制及剪辑</w:t>
            </w:r>
            <w:r>
              <w:rPr>
                <w:rFonts w:hint="eastAsia" w:ascii="宋体" w:hAnsi="宋体" w:eastAsia="宋体" w:cs="宋体"/>
                <w:b w:val="0"/>
                <w:bCs w:val="0"/>
                <w:color w:val="auto"/>
                <w:sz w:val="21"/>
                <w:szCs w:val="21"/>
                <w:highlight w:val="none"/>
                <w:lang w:val="en-US" w:eastAsia="zh-CN"/>
              </w:rPr>
              <w:t>。</w:t>
            </w:r>
          </w:p>
          <w:p w14:paraId="5A486A0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exact"/>
              <w:jc w:val="both"/>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lang w:val="en-US" w:eastAsia="zh-CN" w:bidi="ar-SA"/>
              </w:rPr>
              <w:t>二、</w:t>
            </w:r>
            <w:r>
              <w:rPr>
                <w:rFonts w:hint="eastAsia" w:ascii="宋体" w:hAnsi="宋体" w:eastAsia="宋体" w:cs="宋体"/>
                <w:b w:val="0"/>
                <w:bCs w:val="0"/>
                <w:color w:val="auto"/>
                <w:kern w:val="2"/>
                <w:sz w:val="21"/>
                <w:szCs w:val="21"/>
                <w:highlight w:val="none"/>
                <w:lang w:val="en-US" w:eastAsia="zh-CN" w:bidi="ar-SA"/>
              </w:rPr>
              <w:t>服务要求</w:t>
            </w:r>
          </w:p>
          <w:p w14:paraId="4B6824F2">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1.聘请相关领域专家，</w:t>
            </w:r>
            <w:r>
              <w:rPr>
                <w:rFonts w:hint="eastAsia" w:ascii="宋体" w:hAnsi="宋体" w:eastAsia="宋体" w:cs="宋体"/>
                <w:b w:val="0"/>
                <w:bCs w:val="0"/>
                <w:color w:val="auto"/>
                <w:sz w:val="21"/>
                <w:szCs w:val="21"/>
                <w:highlight w:val="none"/>
                <w:lang w:val="en-US" w:eastAsia="zh-CN"/>
              </w:rPr>
              <w:t>指导微课比赛项目，共8</w:t>
            </w:r>
            <w:r>
              <w:rPr>
                <w:rFonts w:hint="eastAsia" w:ascii="宋体" w:hAnsi="宋体" w:eastAsia="宋体" w:cs="宋体"/>
                <w:b w:val="0"/>
                <w:bCs w:val="0"/>
                <w:color w:val="auto"/>
                <w:sz w:val="21"/>
                <w:szCs w:val="21"/>
                <w:highlight w:val="none"/>
              </w:rPr>
              <w:t>项微课比赛</w:t>
            </w:r>
            <w:r>
              <w:rPr>
                <w:rFonts w:hint="eastAsia" w:ascii="宋体" w:hAnsi="宋体" w:eastAsia="宋体" w:cs="宋体"/>
                <w:b w:val="0"/>
                <w:bCs w:val="0"/>
                <w:color w:val="auto"/>
                <w:sz w:val="21"/>
                <w:szCs w:val="21"/>
                <w:highlight w:val="none"/>
                <w:lang w:val="en-US" w:eastAsia="zh-CN"/>
              </w:rPr>
              <w:t>作品</w:t>
            </w:r>
            <w:r>
              <w:rPr>
                <w:rFonts w:hint="eastAsia" w:ascii="宋体" w:hAnsi="宋体" w:eastAsia="宋体" w:cs="宋体"/>
                <w:b w:val="0"/>
                <w:bCs w:val="0"/>
                <w:color w:val="auto"/>
                <w:sz w:val="21"/>
                <w:szCs w:val="21"/>
                <w:highlight w:val="none"/>
              </w:rPr>
              <w:t>。</w:t>
            </w:r>
          </w:p>
          <w:p w14:paraId="3E409AE1">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2.邀请专家对赛事政策进行详细解读，助力教师深入熟悉参赛文件要求。</w:t>
            </w:r>
          </w:p>
          <w:p w14:paraId="577CBA5C">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3.参赛项目视频拍摄。</w:t>
            </w:r>
          </w:p>
          <w:p w14:paraId="451333D4">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二、服务要求</w:t>
            </w:r>
          </w:p>
          <w:p w14:paraId="35662BFB">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rPr>
                <w:rFonts w:hint="eastAsia" w:ascii="宋体" w:hAnsi="宋体" w:eastAsia="宋体" w:cs="宋体"/>
                <w:b w:val="0"/>
                <w:bCs w:val="0"/>
                <w:strike w:val="0"/>
                <w:dstrike w:val="0"/>
                <w:color w:val="auto"/>
                <w:sz w:val="21"/>
                <w:szCs w:val="21"/>
                <w:highlight w:val="none"/>
              </w:rPr>
            </w:pPr>
            <w:r>
              <w:rPr>
                <w:rFonts w:hint="eastAsia" w:ascii="宋体" w:hAnsi="宋体" w:eastAsia="宋体" w:cs="宋体"/>
                <w:b w:val="0"/>
                <w:bCs w:val="0"/>
                <w:strike w:val="0"/>
                <w:dstrike w:val="0"/>
                <w:color w:val="auto"/>
                <w:sz w:val="21"/>
                <w:szCs w:val="21"/>
                <w:highlight w:val="none"/>
              </w:rPr>
              <w:t>1.集中培训：组织</w:t>
            </w:r>
            <w:r>
              <w:rPr>
                <w:rFonts w:hint="eastAsia" w:ascii="宋体" w:hAnsi="宋体" w:eastAsia="宋体" w:cs="宋体"/>
                <w:b w:val="0"/>
                <w:bCs w:val="0"/>
                <w:strike w:val="0"/>
                <w:dstrike w:val="0"/>
                <w:color w:val="auto"/>
                <w:sz w:val="21"/>
                <w:szCs w:val="21"/>
                <w:highlight w:val="none"/>
                <w:lang w:val="en-US" w:eastAsia="zh-CN"/>
              </w:rPr>
              <w:t>1</w:t>
            </w:r>
            <w:r>
              <w:rPr>
                <w:rFonts w:hint="eastAsia" w:ascii="宋体" w:hAnsi="宋体" w:eastAsia="宋体" w:cs="宋体"/>
                <w:b w:val="0"/>
                <w:bCs w:val="0"/>
                <w:strike w:val="0"/>
                <w:dstrike w:val="0"/>
                <w:color w:val="auto"/>
                <w:sz w:val="21"/>
                <w:szCs w:val="21"/>
                <w:highlight w:val="none"/>
              </w:rPr>
              <w:t>期</w:t>
            </w:r>
            <w:r>
              <w:rPr>
                <w:rFonts w:hint="eastAsia" w:ascii="宋体" w:hAnsi="宋体" w:eastAsia="宋体" w:cs="宋体"/>
                <w:b w:val="0"/>
                <w:bCs w:val="0"/>
                <w:strike w:val="0"/>
                <w:dstrike w:val="0"/>
                <w:color w:val="auto"/>
                <w:sz w:val="21"/>
                <w:szCs w:val="21"/>
                <w:highlight w:val="none"/>
                <w:lang w:val="en-US" w:eastAsia="zh-CN"/>
              </w:rPr>
              <w:t>微课大赛</w:t>
            </w:r>
            <w:r>
              <w:rPr>
                <w:rFonts w:hint="eastAsia" w:ascii="宋体" w:hAnsi="宋体" w:eastAsia="宋体" w:cs="宋体"/>
                <w:b w:val="0"/>
                <w:bCs w:val="0"/>
                <w:strike w:val="0"/>
                <w:dstrike w:val="0"/>
                <w:color w:val="auto"/>
                <w:sz w:val="21"/>
                <w:szCs w:val="21"/>
                <w:highlight w:val="none"/>
              </w:rPr>
              <w:t>专项培训。</w:t>
            </w:r>
          </w:p>
          <w:p w14:paraId="10D40861">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2.一对一指导阶段：在集中培训结束后，为</w:t>
            </w:r>
            <w:r>
              <w:rPr>
                <w:rFonts w:hint="eastAsia" w:ascii="宋体" w:hAnsi="宋体" w:eastAsia="宋体" w:cs="宋体"/>
                <w:b w:val="0"/>
                <w:bCs w:val="0"/>
                <w:color w:val="auto"/>
                <w:sz w:val="21"/>
                <w:szCs w:val="21"/>
                <w:highlight w:val="none"/>
                <w:lang w:val="en-US" w:eastAsia="zh-CN"/>
              </w:rPr>
              <w:t>8</w:t>
            </w:r>
            <w:r>
              <w:rPr>
                <w:rFonts w:hint="eastAsia" w:ascii="宋体" w:hAnsi="宋体" w:eastAsia="宋体" w:cs="宋体"/>
                <w:b w:val="0"/>
                <w:bCs w:val="0"/>
                <w:color w:val="auto"/>
                <w:sz w:val="21"/>
                <w:szCs w:val="21"/>
                <w:highlight w:val="none"/>
              </w:rPr>
              <w:t>个参赛项目</w:t>
            </w:r>
            <w:r>
              <w:rPr>
                <w:rFonts w:hint="eastAsia" w:ascii="宋体" w:hAnsi="宋体" w:eastAsia="宋体" w:cs="宋体"/>
                <w:b w:val="0"/>
                <w:bCs w:val="0"/>
                <w:color w:val="auto"/>
                <w:sz w:val="21"/>
                <w:szCs w:val="21"/>
                <w:highlight w:val="none"/>
                <w:lang w:val="en-US" w:eastAsia="zh-CN"/>
              </w:rPr>
              <w:t>安排</w:t>
            </w:r>
            <w:r>
              <w:rPr>
                <w:rFonts w:hint="eastAsia" w:ascii="宋体" w:hAnsi="宋体" w:eastAsia="宋体" w:cs="宋体"/>
                <w:b w:val="0"/>
                <w:bCs w:val="0"/>
                <w:color w:val="auto"/>
                <w:sz w:val="21"/>
                <w:szCs w:val="21"/>
                <w:highlight w:val="none"/>
              </w:rPr>
              <w:t>一对一的专项指导，每次指导时长不少于</w:t>
            </w:r>
            <w:r>
              <w:rPr>
                <w:rFonts w:hint="eastAsia" w:ascii="宋体" w:hAnsi="宋体" w:eastAsia="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rPr>
              <w:t>小时</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线上指导响应时间不超过24小时</w:t>
            </w:r>
            <w:r>
              <w:rPr>
                <w:rFonts w:hint="eastAsia" w:ascii="宋体" w:hAnsi="宋体" w:eastAsia="宋体" w:cs="宋体"/>
                <w:b w:val="0"/>
                <w:bCs w:val="0"/>
                <w:color w:val="auto"/>
                <w:sz w:val="21"/>
                <w:szCs w:val="21"/>
                <w:highlight w:val="none"/>
              </w:rPr>
              <w:t>。专家将根据教师的实际情况，针对</w:t>
            </w:r>
            <w:r>
              <w:rPr>
                <w:rFonts w:hint="eastAsia" w:ascii="宋体" w:hAnsi="宋体" w:eastAsia="宋体" w:cs="宋体"/>
                <w:b w:val="0"/>
                <w:bCs w:val="0"/>
                <w:color w:val="auto"/>
                <w:sz w:val="21"/>
                <w:szCs w:val="21"/>
                <w:highlight w:val="none"/>
                <w:lang w:val="en-US" w:eastAsia="zh-CN"/>
              </w:rPr>
              <w:t>脚本设计</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教学设计表撰写</w:t>
            </w:r>
            <w:r>
              <w:rPr>
                <w:rFonts w:hint="eastAsia" w:ascii="宋体" w:hAnsi="宋体" w:eastAsia="宋体" w:cs="宋体"/>
                <w:b w:val="0"/>
                <w:bCs w:val="0"/>
                <w:color w:val="auto"/>
                <w:sz w:val="21"/>
                <w:szCs w:val="21"/>
                <w:highlight w:val="none"/>
              </w:rPr>
              <w:t>过程中存在的问题进行详细点评与指导，</w:t>
            </w:r>
            <w:r>
              <w:rPr>
                <w:rFonts w:hint="eastAsia" w:ascii="宋体" w:hAnsi="宋体" w:eastAsia="宋体" w:cs="宋体"/>
                <w:b w:val="0"/>
                <w:bCs w:val="0"/>
                <w:color w:val="auto"/>
                <w:sz w:val="21"/>
                <w:szCs w:val="21"/>
                <w:highlight w:val="none"/>
                <w:lang w:val="en-US" w:eastAsia="zh-CN"/>
              </w:rPr>
              <w:t>安排编辑</w:t>
            </w:r>
            <w:r>
              <w:rPr>
                <w:rFonts w:hint="eastAsia" w:ascii="宋体" w:hAnsi="宋体" w:eastAsia="宋体" w:cs="宋体"/>
                <w:b w:val="0"/>
                <w:bCs w:val="0"/>
                <w:color w:val="auto"/>
                <w:sz w:val="21"/>
                <w:szCs w:val="21"/>
                <w:highlight w:val="none"/>
              </w:rPr>
              <w:t>帮助教师不断完善相关材料，直至比赛材料上交。</w:t>
            </w:r>
          </w:p>
          <w:p w14:paraId="794AFB12">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highlight w:val="none"/>
              </w:rPr>
              <w:t>3</w:t>
            </w:r>
            <w:r>
              <w:rPr>
                <w:rFonts w:hint="eastAsia" w:ascii="宋体" w:hAnsi="宋体" w:eastAsia="宋体" w:cs="宋体"/>
                <w:b w:val="0"/>
                <w:bCs w:val="0"/>
                <w:color w:val="auto"/>
                <w:sz w:val="21"/>
                <w:szCs w:val="21"/>
                <w:highlight w:val="none"/>
                <w:lang w:val="en-US" w:eastAsia="zh-CN"/>
              </w:rPr>
              <w:t>.按广西职业院校教师技能比赛微课教学赛项文件要求</w:t>
            </w:r>
            <w:r>
              <w:rPr>
                <w:rFonts w:hint="eastAsia" w:ascii="宋体" w:hAnsi="宋体" w:eastAsia="宋体" w:cs="宋体"/>
                <w:b w:val="0"/>
                <w:bCs w:val="0"/>
                <w:color w:val="auto"/>
                <w:sz w:val="21"/>
                <w:szCs w:val="21"/>
                <w:lang w:val="en-US" w:eastAsia="zh-CN"/>
              </w:rPr>
              <w:t>，</w:t>
            </w:r>
            <w:r>
              <w:rPr>
                <w:rFonts w:hint="eastAsia" w:ascii="宋体" w:hAnsi="宋体" w:eastAsia="宋体" w:cs="宋体"/>
                <w:b w:val="0"/>
                <w:bCs w:val="0"/>
                <w:color w:val="auto"/>
                <w:sz w:val="21"/>
                <w:szCs w:val="21"/>
              </w:rPr>
              <w:t>单节微课时长控制在5-10分钟，符合教学比赛标准；画面构图合理、光线均匀，后期剪辑流畅，音效搭配适宜，无明显拍摄、剪辑瑕疵，整体呈现专业、美观。</w:t>
            </w:r>
          </w:p>
          <w:p w14:paraId="2D31BE17">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4.</w:t>
            </w:r>
            <w:r>
              <w:rPr>
                <w:rFonts w:hint="eastAsia" w:ascii="宋体" w:hAnsi="宋体" w:eastAsia="宋体" w:cs="宋体"/>
                <w:b w:val="0"/>
                <w:bCs w:val="0"/>
                <w:color w:val="auto"/>
                <w:sz w:val="21"/>
                <w:szCs w:val="21"/>
              </w:rPr>
              <w:t>包含专业录制场地租赁、专业拍摄设备（摄像机、麦克风、补光灯等）使用、</w:t>
            </w:r>
            <w:r>
              <w:rPr>
                <w:rFonts w:hint="eastAsia" w:ascii="宋体" w:hAnsi="宋体" w:eastAsia="宋体" w:cs="宋体"/>
                <w:b w:val="0"/>
                <w:bCs w:val="0"/>
                <w:color w:val="auto"/>
                <w:sz w:val="21"/>
                <w:szCs w:val="21"/>
                <w:lang w:val="en-US" w:eastAsia="zh-CN"/>
              </w:rPr>
              <w:t>教师化妆、</w:t>
            </w:r>
            <w:r>
              <w:rPr>
                <w:rFonts w:hint="eastAsia" w:ascii="宋体" w:hAnsi="宋体" w:eastAsia="宋体" w:cs="宋体"/>
                <w:b w:val="0"/>
                <w:bCs w:val="0"/>
                <w:color w:val="auto"/>
                <w:sz w:val="21"/>
                <w:szCs w:val="21"/>
              </w:rPr>
              <w:t>视频拍摄、后期剪辑、字幕制作、音效处理、画面优化及初稿修改、终稿定稿等全流程服务，确保作品</w:t>
            </w:r>
            <w:r>
              <w:rPr>
                <w:rFonts w:hint="eastAsia" w:ascii="宋体" w:hAnsi="宋体" w:eastAsia="宋体" w:cs="宋体"/>
                <w:b w:val="0"/>
                <w:bCs w:val="0"/>
                <w:color w:val="auto"/>
                <w:sz w:val="21"/>
                <w:szCs w:val="21"/>
                <w:lang w:val="en-US" w:eastAsia="zh-CN"/>
              </w:rPr>
              <w:t>符合技能比赛要求</w:t>
            </w:r>
            <w:r>
              <w:rPr>
                <w:rFonts w:hint="eastAsia" w:ascii="宋体" w:hAnsi="宋体" w:eastAsia="宋体" w:cs="宋体"/>
                <w:b w:val="0"/>
                <w:bCs w:val="0"/>
                <w:color w:val="auto"/>
                <w:sz w:val="21"/>
                <w:szCs w:val="21"/>
              </w:rPr>
              <w:t>。</w:t>
            </w:r>
          </w:p>
          <w:p w14:paraId="254D7C76">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5.</w:t>
            </w:r>
            <w:r>
              <w:rPr>
                <w:rFonts w:hint="eastAsia" w:ascii="宋体" w:hAnsi="宋体" w:eastAsia="宋体" w:cs="宋体"/>
                <w:b w:val="0"/>
                <w:bCs w:val="0"/>
                <w:color w:val="auto"/>
                <w:sz w:val="21"/>
                <w:szCs w:val="21"/>
                <w:highlight w:val="none"/>
              </w:rPr>
              <w:t>指导师资</w:t>
            </w:r>
            <w:r>
              <w:rPr>
                <w:rFonts w:hint="eastAsia" w:ascii="宋体" w:hAnsi="宋体" w:eastAsia="宋体" w:cs="宋体"/>
                <w:b w:val="0"/>
                <w:bCs w:val="0"/>
                <w:color w:val="auto"/>
                <w:sz w:val="21"/>
                <w:szCs w:val="21"/>
              </w:rPr>
              <w:t>：需委派具备丰富微课设计、制作及教学比赛指导经验的行业专家担任指导老师，熟悉微课参赛评分标准，能够精准对接教师需求，提供专业、实用的指导服务。</w:t>
            </w:r>
            <w:r>
              <w:rPr>
                <w:rFonts w:hint="eastAsia" w:ascii="宋体" w:hAnsi="宋体" w:eastAsia="宋体" w:cs="宋体"/>
                <w:b w:val="0"/>
                <w:bCs w:val="0"/>
                <w:color w:val="auto"/>
                <w:sz w:val="21"/>
                <w:szCs w:val="21"/>
                <w:highlight w:val="none"/>
                <w:lang w:val="en-US" w:eastAsia="zh-CN"/>
              </w:rPr>
              <w:t>专家须具备省级（含）以上参赛经验并获省级以上奖项。</w:t>
            </w:r>
          </w:p>
          <w:p w14:paraId="47F2A99A">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color w:val="auto"/>
                <w:sz w:val="21"/>
                <w:szCs w:val="21"/>
                <w:lang w:val="en-US" w:eastAsia="zh-CN"/>
              </w:rPr>
              <w:t>6.</w:t>
            </w:r>
            <w:r>
              <w:rPr>
                <w:rFonts w:hint="eastAsia" w:ascii="宋体" w:hAnsi="宋体" w:eastAsia="宋体" w:cs="宋体"/>
                <w:b w:val="0"/>
                <w:bCs w:val="0"/>
                <w:color w:val="auto"/>
                <w:sz w:val="21"/>
                <w:szCs w:val="21"/>
              </w:rPr>
              <w:t>指导内容：涵盖微课设计、脚本撰写、拍摄技巧、后期优化等全流程内容，具体包括：指导教师确定微课主题、提炼教学重点、优化逻辑结构；讲解脚本撰写技巧。</w:t>
            </w:r>
          </w:p>
        </w:tc>
        <w:tc>
          <w:tcPr>
            <w:tcW w:w="910" w:type="dxa"/>
            <w:tcBorders>
              <w:top w:val="single" w:color="auto" w:sz="4" w:space="0"/>
              <w:left w:val="single" w:color="auto" w:sz="4" w:space="0"/>
              <w:bottom w:val="single" w:color="auto" w:sz="4" w:space="0"/>
              <w:right w:val="single" w:color="auto" w:sz="4" w:space="0"/>
            </w:tcBorders>
            <w:noWrap w:val="0"/>
            <w:vAlign w:val="center"/>
          </w:tcPr>
          <w:p w14:paraId="35F2A0B9">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80000</w:t>
            </w:r>
          </w:p>
        </w:tc>
      </w:tr>
      <w:tr w14:paraId="51C646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39" w:type="dxa"/>
            <w:tcBorders>
              <w:top w:val="single" w:color="auto" w:sz="4" w:space="0"/>
              <w:left w:val="single" w:color="auto" w:sz="4" w:space="0"/>
              <w:bottom w:val="single" w:color="auto" w:sz="4" w:space="0"/>
              <w:right w:val="single" w:color="auto" w:sz="4" w:space="0"/>
            </w:tcBorders>
            <w:noWrap w:val="0"/>
            <w:vAlign w:val="center"/>
          </w:tcPr>
          <w:p w14:paraId="08CD947D">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0"/>
                <w:sz w:val="21"/>
                <w:szCs w:val="21"/>
                <w:highlight w:val="none"/>
              </w:rPr>
              <w:t>4</w:t>
            </w:r>
          </w:p>
        </w:tc>
        <w:tc>
          <w:tcPr>
            <w:tcW w:w="720" w:type="dxa"/>
            <w:gridSpan w:val="2"/>
            <w:tcBorders>
              <w:top w:val="single" w:color="auto" w:sz="4" w:space="0"/>
              <w:left w:val="single" w:color="auto" w:sz="4" w:space="0"/>
              <w:bottom w:val="single" w:color="auto" w:sz="4" w:space="0"/>
              <w:right w:val="single" w:color="auto" w:sz="4" w:space="0"/>
            </w:tcBorders>
            <w:noWrap w:val="0"/>
            <w:vAlign w:val="center"/>
          </w:tcPr>
          <w:p w14:paraId="22B95799">
            <w:pPr>
              <w:keepNext w:val="0"/>
              <w:keepLines w:val="0"/>
              <w:pageBreakBefore w:val="0"/>
              <w:widowControl/>
              <w:kinsoku/>
              <w:overflowPunct/>
              <w:topLinePunct w:val="0"/>
              <w:autoSpaceDE/>
              <w:autoSpaceDN/>
              <w:bidi w:val="0"/>
              <w:adjustRightInd/>
              <w:snapToGrid/>
              <w:spacing w:line="360" w:lineRule="exact"/>
              <w:jc w:val="left"/>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师资队伍建设（班主任比赛作品指导）</w:t>
            </w:r>
          </w:p>
        </w:tc>
        <w:tc>
          <w:tcPr>
            <w:tcW w:w="413" w:type="dxa"/>
            <w:tcBorders>
              <w:top w:val="single" w:color="auto" w:sz="4" w:space="0"/>
              <w:left w:val="single" w:color="auto" w:sz="4" w:space="0"/>
              <w:bottom w:val="single" w:color="auto" w:sz="4" w:space="0"/>
              <w:right w:val="single" w:color="auto" w:sz="4" w:space="0"/>
            </w:tcBorders>
            <w:noWrap w:val="0"/>
            <w:vAlign w:val="center"/>
          </w:tcPr>
          <w:p w14:paraId="7090BA92">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项</w:t>
            </w:r>
          </w:p>
        </w:tc>
        <w:tc>
          <w:tcPr>
            <w:tcW w:w="387" w:type="dxa"/>
            <w:tcBorders>
              <w:top w:val="single" w:color="auto" w:sz="4" w:space="0"/>
              <w:left w:val="single" w:color="auto" w:sz="4" w:space="0"/>
              <w:bottom w:val="single" w:color="auto" w:sz="4" w:space="0"/>
              <w:right w:val="single" w:color="auto" w:sz="4" w:space="0"/>
            </w:tcBorders>
            <w:noWrap w:val="0"/>
            <w:vAlign w:val="center"/>
          </w:tcPr>
          <w:p w14:paraId="7825F081">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w:t>
            </w:r>
          </w:p>
        </w:tc>
        <w:tc>
          <w:tcPr>
            <w:tcW w:w="6707" w:type="dxa"/>
            <w:tcBorders>
              <w:top w:val="single" w:color="auto" w:sz="4" w:space="0"/>
              <w:left w:val="single" w:color="auto" w:sz="4" w:space="0"/>
              <w:bottom w:val="single" w:color="auto" w:sz="4" w:space="0"/>
              <w:right w:val="single" w:color="auto" w:sz="4" w:space="0"/>
            </w:tcBorders>
            <w:noWrap w:val="0"/>
            <w:vAlign w:val="center"/>
          </w:tcPr>
          <w:p w14:paraId="05A6F85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exact"/>
              <w:jc w:val="both"/>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lang w:val="en-US" w:eastAsia="zh-CN" w:bidi="ar-SA"/>
              </w:rPr>
              <w:t>一、</w:t>
            </w:r>
            <w:r>
              <w:rPr>
                <w:rFonts w:hint="eastAsia" w:ascii="宋体" w:hAnsi="宋体" w:eastAsia="宋体" w:cs="宋体"/>
                <w:b w:val="0"/>
                <w:bCs w:val="0"/>
                <w:color w:val="auto"/>
                <w:kern w:val="2"/>
                <w:sz w:val="21"/>
                <w:szCs w:val="21"/>
                <w:highlight w:val="none"/>
                <w:lang w:val="en-US" w:eastAsia="zh-CN" w:bidi="ar-SA"/>
              </w:rPr>
              <w:t>服务内容</w:t>
            </w:r>
          </w:p>
          <w:p w14:paraId="29A7CA4A">
            <w:pPr>
              <w:keepNext w:val="0"/>
              <w:keepLines w:val="0"/>
              <w:pageBreakBefore w:val="0"/>
              <w:kinsoku/>
              <w:wordWrap/>
              <w:overflowPunct/>
              <w:topLinePunct w:val="0"/>
              <w:autoSpaceDE/>
              <w:autoSpaceDN/>
              <w:bidi w:val="0"/>
              <w:adjustRightInd/>
              <w:snapToGrid/>
              <w:spacing w:beforeAutospacing="0" w:afterAutospacing="0" w:line="360" w:lineRule="exac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（一）完成</w:t>
            </w:r>
            <w:r>
              <w:rPr>
                <w:rFonts w:hint="eastAsia" w:ascii="宋体" w:hAnsi="宋体" w:eastAsia="宋体" w:cs="宋体"/>
                <w:b w:val="0"/>
                <w:bCs w:val="0"/>
                <w:color w:val="auto"/>
                <w:sz w:val="21"/>
                <w:szCs w:val="21"/>
                <w:highlight w:val="none"/>
                <w:vertAlign w:val="baseline"/>
                <w:lang w:val="en-US" w:eastAsia="zh-CN"/>
              </w:rPr>
              <w:t>3组班主任比赛作品录制</w:t>
            </w:r>
            <w:r>
              <w:rPr>
                <w:rFonts w:hint="eastAsia" w:ascii="宋体" w:hAnsi="宋体" w:eastAsia="宋体" w:cs="宋体"/>
                <w:b w:val="0"/>
                <w:bCs w:val="0"/>
                <w:color w:val="auto"/>
                <w:sz w:val="21"/>
                <w:szCs w:val="21"/>
                <w:highlight w:val="none"/>
                <w:lang w:val="en-US" w:eastAsia="zh-CN"/>
              </w:rPr>
              <w:t>。</w:t>
            </w:r>
          </w:p>
          <w:p w14:paraId="3366A7E0">
            <w:pPr>
              <w:keepNext w:val="0"/>
              <w:keepLines w:val="0"/>
              <w:pageBreakBefore w:val="0"/>
              <w:kinsoku/>
              <w:wordWrap/>
              <w:overflowPunct/>
              <w:topLinePunct w:val="0"/>
              <w:autoSpaceDE/>
              <w:autoSpaceDN/>
              <w:bidi w:val="0"/>
              <w:adjustRightInd/>
              <w:snapToGrid/>
              <w:spacing w:beforeAutospacing="0" w:afterAutospacing="0" w:line="360" w:lineRule="exac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vertAlign w:val="baseline"/>
                <w:lang w:val="en-US" w:eastAsia="zh-CN"/>
              </w:rPr>
              <w:t>（二）邀请副高以上职称专家对比赛作品进行指导不少于2次。</w:t>
            </w:r>
          </w:p>
          <w:p w14:paraId="4BF1EEC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exact"/>
              <w:jc w:val="both"/>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lang w:val="en-US" w:eastAsia="zh-CN" w:bidi="ar-SA"/>
              </w:rPr>
              <w:t>二、</w:t>
            </w:r>
            <w:r>
              <w:rPr>
                <w:rFonts w:hint="eastAsia" w:ascii="宋体" w:hAnsi="宋体" w:eastAsia="宋体" w:cs="宋体"/>
                <w:b w:val="0"/>
                <w:bCs w:val="0"/>
                <w:color w:val="auto"/>
                <w:kern w:val="2"/>
                <w:sz w:val="21"/>
                <w:szCs w:val="21"/>
                <w:highlight w:val="none"/>
                <w:lang w:val="en-US" w:eastAsia="zh-CN" w:bidi="ar-SA"/>
              </w:rPr>
              <w:t>服务要求</w:t>
            </w:r>
          </w:p>
          <w:p w14:paraId="1C28FE25">
            <w:pPr>
              <w:keepNext w:val="0"/>
              <w:keepLines w:val="0"/>
              <w:pageBreakBefore w:val="0"/>
              <w:widowControl w:val="0"/>
              <w:kinsoku/>
              <w:wordWrap/>
              <w:overflowPunct/>
              <w:topLinePunct w:val="0"/>
              <w:autoSpaceDE/>
              <w:autoSpaceDN/>
              <w:bidi w:val="0"/>
              <w:adjustRightInd/>
              <w:snapToGrid/>
              <w:spacing w:beforeAutospacing="0" w:afterAutospacing="0" w:line="360" w:lineRule="exact"/>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（一）录制及视频输出成品要求</w:t>
            </w:r>
          </w:p>
          <w:p w14:paraId="7E8D4833">
            <w:pPr>
              <w:keepNext w:val="0"/>
              <w:keepLines w:val="0"/>
              <w:pageBreakBefore w:val="0"/>
              <w:widowControl w:val="0"/>
              <w:kinsoku/>
              <w:wordWrap/>
              <w:overflowPunct/>
              <w:topLinePunct w:val="0"/>
              <w:autoSpaceDE/>
              <w:autoSpaceDN/>
              <w:bidi w:val="0"/>
              <w:adjustRightInd/>
              <w:snapToGrid/>
              <w:spacing w:beforeAutospacing="0" w:afterAutospacing="0" w:line="360" w:lineRule="exact"/>
              <w:ind w:firstLine="420" w:firstLineChars="200"/>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班级活动实录视频须采用三个不同机位，同步全程连续录制（不得使用无人机、虚拟演播系统、临时拼接大型LED显示屏等脱离建班育人实际、片面追求拍摄效果、费用昂贵的录制手段）。三个机位可根据班级活动需要摆放，均要求机位和镜头固定，画面中能够看到另外两个机位，三个机位共同覆盖班级活动场所全景无死角（班级活动需要多个场所的，每个场所均须按相同要求安放三个机位，可移动前一场所的其中一个机位，随师生转场，全程连续录制）。三个机位录制音视频须做到同步起止。录制过程中除实际参与班级活动的人员外，拍摄人员及其他人员不在场，提交的视频从拍摄人员离场开始到拍摄人员停机为止（班级活动之外的录制时长不超过2分钟）。所有机位拍摄的视频均需上传，须保证音轨连续，不允许另行剪辑及配音，不加片头片尾、字幕注解，不得泄露地区、学校名称以及教师个人姓名。</w:t>
            </w:r>
          </w:p>
          <w:p w14:paraId="41E94BAD">
            <w:pPr>
              <w:keepNext w:val="0"/>
              <w:keepLines w:val="0"/>
              <w:pageBreakBefore w:val="0"/>
              <w:widowControl w:val="0"/>
              <w:kinsoku/>
              <w:wordWrap/>
              <w:overflowPunct/>
              <w:topLinePunct w:val="0"/>
              <w:autoSpaceDE/>
              <w:autoSpaceDN/>
              <w:bidi w:val="0"/>
              <w:adjustRightInd/>
              <w:snapToGrid/>
              <w:spacing w:beforeAutospacing="0" w:afterAutospacing="0" w:line="360" w:lineRule="exact"/>
              <w:ind w:firstLine="420" w:firstLineChars="200"/>
              <w:jc w:val="both"/>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color w:val="auto"/>
                <w:sz w:val="21"/>
                <w:szCs w:val="21"/>
                <w:highlight w:val="none"/>
                <w:lang w:val="en-US" w:eastAsia="zh-CN"/>
              </w:rPr>
              <w:t>视频采用MP4格式封装，每个文件大小不超过400M。视频录制软件不限，采用H.264/AVC（MPEG-4Part10）编码格式压缩；动态码流的码率不低于1024Kbps，不超过1280Kbps；分辨率设定为720×576（标清4:3拍摄）或1280×720（高清16:9拍摄）；采用逐行扫描（帧率25帧/秒）。音频采用AAC（MPEG4Part3）格式压缩；采样率48KHz；码流128Kbps（恒定）。</w:t>
            </w:r>
          </w:p>
        </w:tc>
        <w:tc>
          <w:tcPr>
            <w:tcW w:w="910" w:type="dxa"/>
            <w:tcBorders>
              <w:top w:val="single" w:color="auto" w:sz="4" w:space="0"/>
              <w:left w:val="single" w:color="auto" w:sz="4" w:space="0"/>
              <w:bottom w:val="single" w:color="auto" w:sz="4" w:space="0"/>
              <w:right w:val="single" w:color="auto" w:sz="4" w:space="0"/>
            </w:tcBorders>
            <w:noWrap w:val="0"/>
            <w:vAlign w:val="center"/>
          </w:tcPr>
          <w:p w14:paraId="57618E74">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20000</w:t>
            </w:r>
          </w:p>
        </w:tc>
      </w:tr>
      <w:tr w14:paraId="3756AE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39" w:type="dxa"/>
            <w:tcBorders>
              <w:top w:val="single" w:color="auto" w:sz="4" w:space="0"/>
              <w:left w:val="single" w:color="auto" w:sz="4" w:space="0"/>
              <w:bottom w:val="single" w:color="auto" w:sz="4" w:space="0"/>
              <w:right w:val="single" w:color="auto" w:sz="4" w:space="0"/>
            </w:tcBorders>
            <w:noWrap w:val="0"/>
            <w:vAlign w:val="center"/>
          </w:tcPr>
          <w:p w14:paraId="2F2BFDC2">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0"/>
                <w:sz w:val="21"/>
                <w:szCs w:val="21"/>
                <w:highlight w:val="none"/>
              </w:rPr>
              <w:t>5</w:t>
            </w:r>
          </w:p>
        </w:tc>
        <w:tc>
          <w:tcPr>
            <w:tcW w:w="720" w:type="dxa"/>
            <w:gridSpan w:val="2"/>
            <w:tcBorders>
              <w:top w:val="single" w:color="auto" w:sz="4" w:space="0"/>
              <w:left w:val="single" w:color="auto" w:sz="4" w:space="0"/>
              <w:bottom w:val="single" w:color="auto" w:sz="4" w:space="0"/>
              <w:right w:val="single" w:color="auto" w:sz="4" w:space="0"/>
            </w:tcBorders>
            <w:noWrap w:val="0"/>
            <w:vAlign w:val="center"/>
          </w:tcPr>
          <w:p w14:paraId="3A1460C2">
            <w:pPr>
              <w:keepNext w:val="0"/>
              <w:keepLines w:val="0"/>
              <w:pageBreakBefore w:val="0"/>
              <w:widowControl/>
              <w:kinsoku/>
              <w:overflowPunct/>
              <w:topLinePunct w:val="0"/>
              <w:autoSpaceDE/>
              <w:autoSpaceDN/>
              <w:bidi w:val="0"/>
              <w:adjustRightInd/>
              <w:snapToGrid/>
              <w:spacing w:line="360" w:lineRule="exact"/>
              <w:jc w:val="left"/>
              <w:textAlignment w:val="center"/>
              <w:rPr>
                <w:rFonts w:hint="eastAsia" w:ascii="宋体" w:hAnsi="宋体" w:eastAsia="宋体" w:cs="宋体"/>
                <w:b w:val="0"/>
                <w:bCs w:val="0"/>
                <w:i w:val="0"/>
                <w:iCs w:val="0"/>
                <w:color w:val="000000"/>
                <w:kern w:val="2"/>
                <w:sz w:val="21"/>
                <w:szCs w:val="21"/>
                <w:u w:val="none"/>
                <w:lang w:val="en-US" w:eastAsia="zh-CN" w:bidi="ar-SA"/>
              </w:rPr>
            </w:pPr>
            <w:r>
              <w:rPr>
                <w:rFonts w:hint="eastAsia" w:ascii="宋体" w:hAnsi="宋体" w:eastAsia="宋体" w:cs="宋体"/>
                <w:b w:val="0"/>
                <w:bCs w:val="0"/>
                <w:i w:val="0"/>
                <w:iCs w:val="0"/>
                <w:color w:val="000000"/>
                <w:kern w:val="2"/>
                <w:sz w:val="21"/>
                <w:szCs w:val="21"/>
                <w:u w:val="none"/>
                <w:lang w:val="en-US" w:eastAsia="zh-CN" w:bidi="ar-SA"/>
              </w:rPr>
              <w:t>提升学校管理水平</w:t>
            </w:r>
          </w:p>
        </w:tc>
        <w:tc>
          <w:tcPr>
            <w:tcW w:w="413" w:type="dxa"/>
            <w:tcBorders>
              <w:top w:val="single" w:color="auto" w:sz="4" w:space="0"/>
              <w:left w:val="single" w:color="auto" w:sz="4" w:space="0"/>
              <w:bottom w:val="single" w:color="auto" w:sz="4" w:space="0"/>
              <w:right w:val="single" w:color="auto" w:sz="4" w:space="0"/>
            </w:tcBorders>
            <w:noWrap w:val="0"/>
            <w:vAlign w:val="center"/>
          </w:tcPr>
          <w:p w14:paraId="29F1273A">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项</w:t>
            </w:r>
          </w:p>
        </w:tc>
        <w:tc>
          <w:tcPr>
            <w:tcW w:w="387" w:type="dxa"/>
            <w:tcBorders>
              <w:top w:val="single" w:color="auto" w:sz="4" w:space="0"/>
              <w:left w:val="single" w:color="auto" w:sz="4" w:space="0"/>
              <w:bottom w:val="single" w:color="auto" w:sz="4" w:space="0"/>
              <w:right w:val="single" w:color="auto" w:sz="4" w:space="0"/>
            </w:tcBorders>
            <w:noWrap w:val="0"/>
            <w:vAlign w:val="center"/>
          </w:tcPr>
          <w:p w14:paraId="45A2444D">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w:t>
            </w:r>
          </w:p>
        </w:tc>
        <w:tc>
          <w:tcPr>
            <w:tcW w:w="6707" w:type="dxa"/>
            <w:tcBorders>
              <w:top w:val="single" w:color="auto" w:sz="4" w:space="0"/>
              <w:left w:val="single" w:color="auto" w:sz="4" w:space="0"/>
              <w:bottom w:val="single" w:color="auto" w:sz="4" w:space="0"/>
              <w:right w:val="single" w:color="auto" w:sz="4" w:space="0"/>
            </w:tcBorders>
            <w:noWrap w:val="0"/>
            <w:vAlign w:val="center"/>
          </w:tcPr>
          <w:p w14:paraId="7B3B0733">
            <w:pPr>
              <w:keepNext w:val="0"/>
              <w:keepLines w:val="0"/>
              <w:pageBreakBefore w:val="0"/>
              <w:numPr>
                <w:ilvl w:val="0"/>
                <w:numId w:val="0"/>
              </w:numPr>
              <w:kinsoku/>
              <w:overflowPunct/>
              <w:topLinePunct w:val="0"/>
              <w:autoSpaceDE/>
              <w:autoSpaceDN/>
              <w:bidi w:val="0"/>
              <w:adjustRightInd/>
              <w:snapToGrid/>
              <w:spacing w:line="360" w:lineRule="exact"/>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一、服务内容</w:t>
            </w:r>
          </w:p>
          <w:p w14:paraId="4FE9638D">
            <w:pPr>
              <w:keepNext w:val="0"/>
              <w:keepLines w:val="0"/>
              <w:pageBreakBefore w:val="0"/>
              <w:numPr>
                <w:ilvl w:val="0"/>
                <w:numId w:val="0"/>
              </w:numPr>
              <w:kinsoku/>
              <w:overflowPunct/>
              <w:topLinePunct w:val="0"/>
              <w:autoSpaceDE/>
              <w:autoSpaceDN/>
              <w:bidi w:val="0"/>
              <w:adjustRightInd/>
              <w:snapToGrid/>
              <w:spacing w:line="360" w:lineRule="exac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bidi="ar-SA"/>
              </w:rPr>
              <w:t>1.</w:t>
            </w:r>
            <w:r>
              <w:rPr>
                <w:rFonts w:hint="eastAsia" w:ascii="宋体" w:hAnsi="宋体" w:eastAsia="宋体" w:cs="宋体"/>
                <w:b w:val="0"/>
                <w:bCs w:val="0"/>
                <w:color w:val="auto"/>
                <w:sz w:val="21"/>
                <w:szCs w:val="21"/>
                <w:highlight w:val="none"/>
              </w:rPr>
              <w:t>健全专业群实训</w:t>
            </w:r>
            <w:r>
              <w:rPr>
                <w:rFonts w:hint="eastAsia" w:ascii="宋体" w:hAnsi="宋体" w:eastAsia="宋体" w:cs="宋体"/>
                <w:b w:val="0"/>
                <w:bCs w:val="0"/>
                <w:color w:val="auto"/>
                <w:sz w:val="21"/>
                <w:szCs w:val="21"/>
                <w:highlight w:val="none"/>
                <w:lang w:val="en-US" w:eastAsia="zh-CN"/>
              </w:rPr>
              <w:t>的</w:t>
            </w:r>
            <w:r>
              <w:rPr>
                <w:rFonts w:hint="eastAsia" w:ascii="宋体" w:hAnsi="宋体" w:eastAsia="宋体" w:cs="宋体"/>
                <w:b w:val="0"/>
                <w:bCs w:val="0"/>
                <w:color w:val="auto"/>
                <w:sz w:val="21"/>
                <w:szCs w:val="21"/>
                <w:highlight w:val="none"/>
              </w:rPr>
              <w:t>目标、内容、管理、条件、评价</w:t>
            </w:r>
            <w:r>
              <w:rPr>
                <w:rFonts w:hint="eastAsia" w:ascii="宋体" w:hAnsi="宋体" w:eastAsia="宋体" w:cs="宋体"/>
                <w:b w:val="0"/>
                <w:bCs w:val="0"/>
                <w:color w:val="auto"/>
                <w:sz w:val="21"/>
                <w:szCs w:val="21"/>
                <w:highlight w:val="none"/>
                <w:lang w:val="en-US" w:eastAsia="zh-CN"/>
              </w:rPr>
              <w:t>体系</w:t>
            </w:r>
            <w:r>
              <w:rPr>
                <w:rFonts w:hint="eastAsia" w:ascii="宋体" w:hAnsi="宋体" w:eastAsia="宋体" w:cs="宋体"/>
                <w:b w:val="0"/>
                <w:bCs w:val="0"/>
                <w:color w:val="auto"/>
                <w:sz w:val="21"/>
                <w:szCs w:val="21"/>
                <w:highlight w:val="none"/>
              </w:rPr>
              <w:t>五大体系</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编撰整理，汇编成册。</w:t>
            </w:r>
          </w:p>
          <w:p w14:paraId="39BDA510">
            <w:pPr>
              <w:keepNext w:val="0"/>
              <w:keepLines w:val="0"/>
              <w:pageBreakBefore w:val="0"/>
              <w:numPr>
                <w:ilvl w:val="0"/>
                <w:numId w:val="0"/>
              </w:numPr>
              <w:kinsoku/>
              <w:overflowPunct/>
              <w:topLinePunct w:val="0"/>
              <w:autoSpaceDE/>
              <w:autoSpaceDN/>
              <w:bidi w:val="0"/>
              <w:adjustRightInd/>
              <w:snapToGrid/>
              <w:spacing w:line="360" w:lineRule="exac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bidi="ar-SA"/>
              </w:rPr>
              <w:t>2.</w:t>
            </w:r>
            <w:r>
              <w:rPr>
                <w:rFonts w:hint="eastAsia" w:ascii="宋体" w:hAnsi="宋体" w:eastAsia="宋体" w:cs="宋体"/>
                <w:b w:val="0"/>
                <w:bCs w:val="0"/>
                <w:color w:val="auto"/>
                <w:sz w:val="21"/>
                <w:szCs w:val="21"/>
                <w:highlight w:val="none"/>
              </w:rPr>
              <w:t>建成</w:t>
            </w:r>
            <w:r>
              <w:rPr>
                <w:rFonts w:hint="eastAsia" w:ascii="宋体" w:hAnsi="宋体" w:eastAsia="宋体" w:cs="宋体"/>
                <w:b w:val="0"/>
                <w:bCs w:val="0"/>
                <w:color w:val="auto"/>
                <w:sz w:val="21"/>
                <w:szCs w:val="21"/>
                <w:highlight w:val="none"/>
                <w:lang w:val="en-US" w:eastAsia="zh-CN"/>
              </w:rPr>
              <w:t>党建</w:t>
            </w:r>
            <w:r>
              <w:rPr>
                <w:rFonts w:hint="eastAsia" w:ascii="宋体" w:hAnsi="宋体" w:eastAsia="宋体" w:cs="宋体"/>
                <w:b w:val="0"/>
                <w:bCs w:val="0"/>
                <w:color w:val="auto"/>
                <w:sz w:val="21"/>
                <w:szCs w:val="21"/>
                <w:highlight w:val="none"/>
              </w:rPr>
              <w:t>“123456”育人体系</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编撰整理，汇编成册。</w:t>
            </w:r>
          </w:p>
          <w:p w14:paraId="66BDE552">
            <w:pPr>
              <w:keepNext w:val="0"/>
              <w:keepLines w:val="0"/>
              <w:pageBreakBefore w:val="0"/>
              <w:numPr>
                <w:ilvl w:val="0"/>
                <w:numId w:val="0"/>
              </w:numPr>
              <w:kinsoku/>
              <w:overflowPunct/>
              <w:topLinePunct w:val="0"/>
              <w:autoSpaceDE/>
              <w:autoSpaceDN/>
              <w:bidi w:val="0"/>
              <w:adjustRightInd/>
              <w:snapToGrid/>
              <w:spacing w:line="360" w:lineRule="exac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rPr>
              <w:t>“大思政课”育人体系</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编撰整理，汇编成册。</w:t>
            </w:r>
          </w:p>
          <w:p w14:paraId="49916169">
            <w:pPr>
              <w:keepNext w:val="0"/>
              <w:keepLines w:val="0"/>
              <w:pageBreakBefore w:val="0"/>
              <w:numPr>
                <w:ilvl w:val="0"/>
                <w:numId w:val="0"/>
              </w:numPr>
              <w:kinsoku/>
              <w:overflowPunct/>
              <w:topLinePunct w:val="0"/>
              <w:autoSpaceDE/>
              <w:autoSpaceDN/>
              <w:bidi w:val="0"/>
              <w:adjustRightInd/>
              <w:snapToGrid/>
              <w:spacing w:line="360" w:lineRule="exac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bidi="ar-SA"/>
              </w:rPr>
              <w:t>4.</w:t>
            </w:r>
            <w:r>
              <w:rPr>
                <w:rFonts w:hint="eastAsia" w:ascii="宋体" w:hAnsi="宋体" w:eastAsia="宋体" w:cs="宋体"/>
                <w:b w:val="0"/>
                <w:bCs w:val="0"/>
                <w:color w:val="auto"/>
                <w:sz w:val="21"/>
                <w:szCs w:val="21"/>
                <w:highlight w:val="none"/>
              </w:rPr>
              <w:t>健全“三全育人”制度体系</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编撰整理，汇编成册。</w:t>
            </w:r>
          </w:p>
          <w:p w14:paraId="1DC2C113">
            <w:pPr>
              <w:keepNext w:val="0"/>
              <w:keepLines w:val="0"/>
              <w:pageBreakBefore w:val="0"/>
              <w:numPr>
                <w:ilvl w:val="0"/>
                <w:numId w:val="0"/>
              </w:numPr>
              <w:kinsoku/>
              <w:overflowPunct/>
              <w:topLinePunct w:val="0"/>
              <w:autoSpaceDE/>
              <w:autoSpaceDN/>
              <w:bidi w:val="0"/>
              <w:adjustRightInd/>
              <w:snapToGrid/>
              <w:spacing w:line="360" w:lineRule="exac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bidi="ar-SA"/>
              </w:rPr>
              <w:t>5.</w:t>
            </w:r>
            <w:r>
              <w:rPr>
                <w:rFonts w:hint="eastAsia" w:ascii="宋体" w:hAnsi="宋体" w:eastAsia="宋体" w:cs="宋体"/>
                <w:b w:val="0"/>
                <w:bCs w:val="0"/>
                <w:color w:val="auto"/>
                <w:sz w:val="21"/>
                <w:szCs w:val="21"/>
                <w:highlight w:val="none"/>
              </w:rPr>
              <w:t>完成学校制度</w:t>
            </w:r>
            <w:r>
              <w:rPr>
                <w:rFonts w:hint="eastAsia" w:ascii="宋体" w:hAnsi="宋体" w:eastAsia="宋体" w:cs="宋体"/>
                <w:b w:val="0"/>
                <w:bCs w:val="0"/>
                <w:color w:val="auto"/>
                <w:sz w:val="21"/>
                <w:szCs w:val="21"/>
                <w:highlight w:val="none"/>
                <w:lang w:val="en-US" w:eastAsia="zh-CN"/>
              </w:rPr>
              <w:t>排版、审校、装订成册。</w:t>
            </w:r>
          </w:p>
          <w:p w14:paraId="66D22A99">
            <w:pPr>
              <w:keepNext w:val="0"/>
              <w:keepLines w:val="0"/>
              <w:pageBreakBefore w:val="0"/>
              <w:numPr>
                <w:ilvl w:val="0"/>
                <w:numId w:val="0"/>
              </w:numPr>
              <w:kinsoku/>
              <w:overflowPunct/>
              <w:topLinePunct w:val="0"/>
              <w:autoSpaceDE/>
              <w:autoSpaceDN/>
              <w:bidi w:val="0"/>
              <w:adjustRightInd/>
              <w:snapToGrid/>
              <w:spacing w:line="360" w:lineRule="exac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二、服务要求</w:t>
            </w:r>
          </w:p>
          <w:p w14:paraId="19B5DF6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1.总体建设要求</w:t>
            </w:r>
          </w:p>
          <w:p w14:paraId="77C384B7">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围绕学校规范化管理、育人体系完善、制度标准落地开展管理水平提升建设工作，聚焦专业群实训管理、党建育人、大思政育人、三全育人、校内管理制度优化五大板块，通过体系梳理、文案编撰、制度修订、排版审校、规范装帧、成册汇编，形成标准化、系统化、可落地、可存档、可评审的纸质+电子成套资料。所有体系需明确层级架构、组成内容、运行机制、管理流程、考核标准；所有成果要求量化成册、页码明确、条目清晰、格式统一，全面提升学校办学规范化、精细化、科学化管理水平，满足教育主管部门督导检查、院校评审、质量诊断、材料归档等使用要求。</w:t>
            </w:r>
          </w:p>
          <w:p w14:paraId="5CFA38DE">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2.通用编撰、排版、装订量化标准</w:t>
            </w:r>
          </w:p>
          <w:p w14:paraId="3A0DE43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（1）编撰规范要求</w:t>
            </w:r>
          </w:p>
          <w:p w14:paraId="5DB5C5EC">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文本规范：全部采用公文制式语言，逻辑严谨、表述规范，无错别字、语病、歧义；专业术语、制度称谓统一规范，贴合教育行业、职业院校管理制度编写标准。</w:t>
            </w:r>
          </w:p>
          <w:p w14:paraId="0BDFF6E6">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排版标准：全套汇编资料统一版式、统一封面、统一页眉页脚、统一字体字号、统一行间距；标题层级清晰，目录可跳转，章节编号规范。</w:t>
            </w:r>
          </w:p>
          <w:p w14:paraId="0AB07A43">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审校要求：中标方须协助学校完成三审三校，包含文字校对、逻辑审核、格式审核、语句润色、合规审查，修正语病、漏洞、格式错乱等问题。</w:t>
            </w:r>
          </w:p>
          <w:p w14:paraId="227FDB27">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（2）量化成果及装订标准</w:t>
            </w:r>
          </w:p>
          <w:p w14:paraId="2FB450FF">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lang w:val="en-US" w:eastAsia="zh-CN"/>
              </w:rPr>
              <w:t>输出形式：每一套体系单独成</w:t>
            </w:r>
            <w:r>
              <w:rPr>
                <w:rFonts w:hint="eastAsia" w:ascii="宋体" w:hAnsi="宋体" w:eastAsia="宋体" w:cs="宋体"/>
                <w:b w:val="0"/>
                <w:bCs w:val="0"/>
                <w:color w:val="auto"/>
                <w:sz w:val="21"/>
                <w:szCs w:val="21"/>
                <w:highlight w:val="none"/>
                <w:lang w:val="en-US" w:eastAsia="zh-CN"/>
              </w:rPr>
              <w:t>册，单册成册页码不低于40页；整套管理汇编资料合计成册总页数不低于160页。</w:t>
            </w:r>
          </w:p>
          <w:p w14:paraId="39A3389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装订材质：采用硬壳精装装订，封面铜版纸彩印、覆膜防水，封面印制学校LOGO、汇编名称、编制年份；内页采用70g及以上纯木浆打印纸，黑白印刷，页码清晰。</w:t>
            </w:r>
          </w:p>
          <w:p w14:paraId="5E1C2EBF">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交付成果：每套汇编资料交付胶装纸质版一式2册，同步交付可编辑无加密Word电子版+PDF高清固化版。</w:t>
            </w:r>
          </w:p>
          <w:p w14:paraId="2ADB4052">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3.分项体系详细建设参数</w:t>
            </w:r>
          </w:p>
          <w:p w14:paraId="47DEB53B">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（1）健全专业群实训五大体系汇编</w:t>
            </w:r>
          </w:p>
          <w:p w14:paraId="0BD7943E">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本项目需完整梳理、编撰、优化专业群实训目标体系、内容体系、条件体系、管理体系、评价体系五大核心体系，形成完整实训管理汇编手册，用于实训教学管理、实训室规范化建设、实训质量诊断评审。</w:t>
            </w:r>
          </w:p>
          <w:p w14:paraId="65B0243E">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实训目标体系：明确专业群实训总体建设目标、阶段建设目标、人才培养目标；拆解专业能力目标、实操技能目标、职业素养目标；对标行业岗位标准、技能等级证书要求，形成分级、分层、可量化实训目标清单。</w:t>
            </w:r>
          </w:p>
          <w:p w14:paraId="573A5893">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实训内容体系：按照专业群专业划分实训模块，包含基础实训、专项实训、综合实训、顶岗实训；梳理实训项目清单、实训任务书、实训指导要求；编制实训课程、实训项目、实训课时分配表，内容覆盖全部实训教学环节。</w:t>
            </w:r>
          </w:p>
          <w:p w14:paraId="445B1562">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实训条件体系：梳理现有实训场地、实训室、实训设备、工具耗材、实训软件、信息化平台；编制实训场地管理制度、设备台账、耗材管理标准；制定实训场地升级、设备更新、运维保障建设方案。</w:t>
            </w:r>
          </w:p>
          <w:p w14:paraId="03FBF3B1">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实训管理体系：完善实训教师管理、学生实训管理、实训室安全管理、实训流程管理、实训档案管理；制定实训考勤、实训纪律、安全操作、设备借用、卫生管理、应急处置管理制度。</w:t>
            </w:r>
          </w:p>
          <w:p w14:paraId="449DF528">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实训评价体系：建立过程评价+结果评价、教师评价+学生互评、技能评价+素养评价多维评价机制；制定实训评分标准、实训考核细则、实训成绩评定办法、实训质量监测反馈机制。</w:t>
            </w:r>
          </w:p>
          <w:p w14:paraId="1A4C3865">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量化成果要求：本汇编成册不少于40页，包含制度文件、实训流程图、实训台账模板、评价考核表格，体系架构图不少于5张，全部整理汇编为《专业群实训五大体系汇编手册》。</w:t>
            </w:r>
          </w:p>
          <w:p w14:paraId="6FEFE358">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（2）党建“123456”育人体系汇编</w:t>
            </w:r>
          </w:p>
          <w:p w14:paraId="6582E9BA">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依据学校党建工作要求，编撰完善党建“123456”育人体系，明确体系逻辑、架构组成、实施路径、工作制度、育人成效，形成标准化党建育人汇编资料。</w:t>
            </w:r>
          </w:p>
          <w:p w14:paraId="1CCEC178">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一个核心引领：坚持党建引领为核心，明确党组织在办学治校、立德树人、思想政治工作中的领导职责，编制党建引领管理制度。</w:t>
            </w:r>
          </w:p>
          <w:p w14:paraId="7DDED5D5">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两条主线并行：搭建党员教师育人主线、学生党建成长主线；明确教师党员、学生党员职责分工、培育流程、管理规范。</w:t>
            </w:r>
          </w:p>
          <w:p w14:paraId="3FE809DF">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三级组织联动：完善校党委、二级党支部、党小组三级组织架构；制定层级工作职责、联动机制、议事流程、沟通协调制度。</w:t>
            </w:r>
          </w:p>
          <w:p w14:paraId="2A581DD8">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四项育人阵地：建设党建活动室、思政教育阵地、文化育人阵地、实践育人阵地；明确阵地建设标准、使用规范、管理办法、活动开展要求。</w:t>
            </w:r>
          </w:p>
          <w:p w14:paraId="2F346DC3">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五类育人队伍：组建党员干部、专任教师、辅导员、后勤管理人员、学生骨干五类育人队伍；制定队伍选拔、培养、考核、激励管理办法。</w:t>
            </w:r>
          </w:p>
          <w:p w14:paraId="329C7CE7">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六项育人活动：规范主题党日、红色研学、党课学习、师德师风、帮扶结对、党建文化六项常态化活动；制定活动流程、活动方案、台账留存标准。</w:t>
            </w:r>
          </w:p>
          <w:p w14:paraId="3B39F12C">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量化成果要求：本汇编成册不少于40页，体系架构图、党建制度、活动模板、流程规范，整理汇编为《党建“123456”育人体系汇编手册》。</w:t>
            </w:r>
          </w:p>
          <w:p w14:paraId="00F8C815">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（3）“大思政课”育人体系汇编</w:t>
            </w:r>
          </w:p>
          <w:p w14:paraId="0E959FB6">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立足全员、全程、全方位思政建设要求，搭建科学化、系统化大思政育人体系，完成编撰、梳理、整合、汇编成册，明确思政架构、教学实施、资源建设、保障机制。</w:t>
            </w:r>
          </w:p>
          <w:p w14:paraId="0B7FA5DC">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思政架构体系：构建“思政课程+课程思政”双线架构，明确思政工作领导小组、责任部门、岗位职责、层级分工。</w:t>
            </w:r>
          </w:p>
          <w:p w14:paraId="18C5963A">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教学实施体系：优化思政课程教学方案、课程思政融入方案；制定课堂思政融入标准、教学方法、教学流程、课堂管控要求。</w:t>
            </w:r>
          </w:p>
          <w:p w14:paraId="4F372CC3">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资源建设体系：整合红色资源、案例资源、文化资源、实践资源；建立思政案例库、思政素材库、思政活动资源库。</w:t>
            </w:r>
          </w:p>
          <w:p w14:paraId="5A240920">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实践育人体系：规划校内思政活动、校外研学实践、志愿服务、社会实践活动；明确实践流程、活动要求、安全管理、成果归档标准。</w:t>
            </w:r>
          </w:p>
          <w:p w14:paraId="27B12F35">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评价保障体系：建立思政育人评价办法、教师思政考核、学生思政素养评价、督导检查机制；完善人员、经费、场地、制度保障措施。</w:t>
            </w:r>
          </w:p>
          <w:p w14:paraId="109A65A7">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量化成果要求：本汇编成册不少于40页，包含思政管理制度、思政案例、活动方案、评价表格，汇编为《“大思政课”育人体系建设汇编》。</w:t>
            </w:r>
          </w:p>
          <w:p w14:paraId="08360E97">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（4）“三全育人”制度体系汇编</w:t>
            </w:r>
          </w:p>
          <w:p w14:paraId="0BD1B10F">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围绕全员育人、全程育人、全方位育人要求，健全三全育人制度体系，梳理完善组织架构、育人职责、运行制度、实施流程、考核评价，形成规范性制度汇编。</w:t>
            </w:r>
          </w:p>
          <w:p w14:paraId="46B29F7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全员育人体系：划分行政管理人员、专任教师、辅导员、后勤人员、校外合作人员育人职责；明确岗位职责、育人要求、工作规范。</w:t>
            </w:r>
          </w:p>
          <w:p w14:paraId="695E06C0">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全程育人体系：按照入学教育、日常教学、实训实践、毕业就业、持续跟踪全流程，制定分阶段育人工作方案。</w:t>
            </w:r>
          </w:p>
          <w:p w14:paraId="16473FC5">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全方位育人体系：覆盖课堂育人、文化育人、环境育人、活动育人、网络育人、实践育人六大育人场景；完善各场景管理制度。</w:t>
            </w:r>
          </w:p>
          <w:p w14:paraId="00E487BC">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制度保障体系：建立例会制度、培训制度、督查制度、奖惩制度、联动制度；规范工作台账、资料归档、信息报送要求。</w:t>
            </w:r>
          </w:p>
          <w:p w14:paraId="4F0A6556">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考核激励体系：制定三全育人考核指标、评分细则、评优办法；建立育人工作表彰、整改、反馈长效机制。</w:t>
            </w:r>
          </w:p>
          <w:p w14:paraId="264CBF6B">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量化成果要求：本汇编成册不少于40页，汇编为《三全育人制度体系汇编手册》。</w:t>
            </w:r>
          </w:p>
          <w:p w14:paraId="3EBEB2E2">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（5）学校综合制度排版审校装订汇编</w:t>
            </w:r>
          </w:p>
          <w:p w14:paraId="69D158EA">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对学校现有行政、教学、学生、后勤、安全、人事、财务等现有制度进行统一梳理、文字审校、格式优化、排版规整、精装成册，实现全校制度标准化、统一化、规范化。</w:t>
            </w:r>
          </w:p>
          <w:p w14:paraId="2CC324EB">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制度收集梳理：全面收集学校现行管理制度、管理办法、工作规范、岗位职责、通知文件，分类筛选、剔除作废文件、补充缺失制度。</w:t>
            </w:r>
          </w:p>
          <w:p w14:paraId="488E0B3F">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文字审校优化：完成全文错别字校对、语句润色、逻辑修正、合规审查；统一公文格式、规范发文编号、完善落款格式。</w:t>
            </w:r>
          </w:p>
          <w:p w14:paraId="495A82EF">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分类排版归档：按照行政管理类、教学管理类、学生管理类、安全后勤类、人事财务类五大类目分类排版；制作总目录、分目录、跳转页码。</w:t>
            </w:r>
          </w:p>
          <w:p w14:paraId="1B0C3132">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lang w:val="en-US" w:eastAsia="zh-CN"/>
              </w:rPr>
              <w:t>精装成册装订：统一封面、统一版式、统一装帧标准；采用硬壳精装，成册美观大方</w:t>
            </w:r>
            <w:r>
              <w:rPr>
                <w:rFonts w:hint="eastAsia" w:ascii="宋体" w:hAnsi="宋体" w:eastAsia="宋体" w:cs="宋体"/>
                <w:b w:val="0"/>
                <w:bCs w:val="0"/>
                <w:color w:val="auto"/>
                <w:sz w:val="21"/>
                <w:szCs w:val="21"/>
                <w:highlight w:val="none"/>
                <w:lang w:val="en-US" w:eastAsia="zh-CN"/>
              </w:rPr>
              <w:t>，满足存档、检查、借阅使用。</w:t>
            </w:r>
          </w:p>
          <w:p w14:paraId="27788278">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highlight w:val="none"/>
                <w:lang w:val="en-US" w:eastAsia="zh-CN"/>
              </w:rPr>
              <w:t>量化成果要求：本次汇编收录制度文件成册总页数不少于160页，装订形成《学校综合管理制度</w:t>
            </w:r>
            <w:r>
              <w:rPr>
                <w:rFonts w:hint="eastAsia" w:ascii="宋体" w:hAnsi="宋体" w:eastAsia="宋体" w:cs="宋体"/>
                <w:b w:val="0"/>
                <w:bCs w:val="0"/>
                <w:color w:val="auto"/>
                <w:sz w:val="21"/>
                <w:szCs w:val="21"/>
                <w:lang w:val="en-US" w:eastAsia="zh-CN"/>
              </w:rPr>
              <w:t>汇编》，交付纸质精装版+可编辑电子版。</w:t>
            </w:r>
          </w:p>
          <w:p w14:paraId="1E534623">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4.服务及人员要求</w:t>
            </w:r>
          </w:p>
          <w:p w14:paraId="029BF621">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人员配置：须配备文案编撰、公文审校、排版设计、装帧制作专职人员，专职对接本次体系编撰及制度汇编工作。</w:t>
            </w:r>
          </w:p>
          <w:p w14:paraId="733F7AF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修改服务：每套汇编资料初稿完成后，提供不少于3次修改、调整、增删、润色服务，直至通过校方审核。</w:t>
            </w:r>
          </w:p>
          <w:p w14:paraId="5898FD1C">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保密要求：所有学校内部制度、资料不得外泄，中标方签署保密协议，资料交付后不得留存、转发、商用。</w:t>
            </w:r>
          </w:p>
          <w:p w14:paraId="2489B0B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5.交付标准</w:t>
            </w:r>
          </w:p>
          <w:p w14:paraId="654DC8DB">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五大汇编手册齐全，分别为：专业群实训五大体系、党建123456育人体系、大思政育人体系、三全育人体系、学校综合制度汇编，无缺项。</w:t>
            </w:r>
          </w:p>
          <w:p w14:paraId="5C6A18BF">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制度、图表、模板、流程数量满足量化指标。</w:t>
            </w:r>
          </w:p>
          <w:p w14:paraId="7FC49651">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各体系架构清晰、内容细化完整，严格按照本条参数要求拆分体系模块，逻辑通顺、符合院校管理规范。</w:t>
            </w:r>
          </w:p>
          <w:p w14:paraId="3541BD5D">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排版统一、审校严谨、装订精美、无错别字、无逻辑漏洞，电子档可编辑、纸质档可永久存档。</w:t>
            </w:r>
          </w:p>
          <w:p w14:paraId="60FF90EA">
            <w:pPr>
              <w:keepNext w:val="0"/>
              <w:keepLines w:val="0"/>
              <w:pageBreakBefore w:val="0"/>
              <w:kinsoku/>
              <w:overflowPunct/>
              <w:topLinePunct w:val="0"/>
              <w:autoSpaceDE/>
              <w:autoSpaceDN/>
              <w:bidi w:val="0"/>
              <w:adjustRightInd/>
              <w:snapToGrid/>
              <w:spacing w:line="360" w:lineRule="exact"/>
              <w:jc w:val="both"/>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（二）专家审核指导技术服务参数​</w:t>
            </w:r>
          </w:p>
          <w:p w14:paraId="7E11E394">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审核专家需具备中职学校管理相关工作经验，其中至少1名拥有副高级及以上职称（教育管理、职业教育等相关专业），至少1名具备5年以上中职学校校长/副校长或教务主任、学生主任等核心管理岗位工作经历；​</w:t>
            </w:r>
          </w:p>
          <w:p w14:paraId="1A56B822">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审核专家</w:t>
            </w:r>
            <w:r>
              <w:rPr>
                <w:rFonts w:hint="eastAsia" w:ascii="宋体" w:hAnsi="宋体" w:eastAsia="宋体" w:cs="宋体"/>
                <w:b w:val="0"/>
                <w:bCs w:val="0"/>
                <w:color w:val="auto"/>
                <w:sz w:val="21"/>
                <w:szCs w:val="21"/>
                <w:vertAlign w:val="baseline"/>
                <w:lang w:val="en-US" w:eastAsia="zh-CN"/>
              </w:rPr>
              <w:t>需熟悉最新职业教育政策法规及中职学校管理实践痛点，能够提供针对性修改建议。​​</w:t>
            </w:r>
          </w:p>
          <w:p w14:paraId="28D213E1">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实行“初审-反馈-修改-复审”两轮审核机制，初审需在收到初稿后10个工作日内完成，出具书面审核意见（包含合规性、合理性、可操作性等维度的具体修改建议）；​</w:t>
            </w:r>
          </w:p>
          <w:p w14:paraId="7097C9EA">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复审需在服务商完成修改后7个工作日内完成，确保制度文本符合要求；​</w:t>
            </w:r>
          </w:p>
          <w:p w14:paraId="40992F1F">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针对核心制度（如教学管理、实训安全管理）需组织专家专项论证会，邀请学校至少3名相关管理骨干参与，形成论证纪要。​</w:t>
            </w:r>
          </w:p>
          <w:p w14:paraId="48E87961">
            <w:pPr>
              <w:keepNext w:val="0"/>
              <w:keepLines w:val="0"/>
              <w:pageBreakBefore w:val="0"/>
              <w:kinsoku/>
              <w:overflowPunct/>
              <w:topLinePunct w:val="0"/>
              <w:autoSpaceDE/>
              <w:autoSpaceDN/>
              <w:bidi w:val="0"/>
              <w:adjustRightInd/>
              <w:snapToGrid/>
              <w:spacing w:line="360" w:lineRule="exact"/>
              <w:ind w:firstLine="420" w:firstLineChars="200"/>
              <w:jc w:val="both"/>
              <w:rPr>
                <w:rFonts w:hint="eastAsia" w:ascii="宋体" w:hAnsi="宋体" w:eastAsia="宋体" w:cs="宋体"/>
                <w:b w:val="0"/>
                <w:bCs w:val="0"/>
                <w:i w:val="0"/>
                <w:iCs w:val="0"/>
                <w:color w:val="000000"/>
                <w:kern w:val="2"/>
                <w:sz w:val="21"/>
                <w:szCs w:val="21"/>
                <w:u w:val="none"/>
                <w:lang w:val="en-US" w:eastAsia="zh-CN" w:bidi="ar-SA"/>
              </w:rPr>
            </w:pPr>
            <w:r>
              <w:rPr>
                <w:rFonts w:hint="eastAsia" w:ascii="宋体" w:hAnsi="宋体" w:eastAsia="宋体" w:cs="宋体"/>
                <w:b w:val="0"/>
                <w:bCs w:val="0"/>
                <w:color w:val="auto"/>
                <w:sz w:val="21"/>
                <w:szCs w:val="21"/>
                <w:vertAlign w:val="baseline"/>
                <w:lang w:val="en-US" w:eastAsia="zh-CN"/>
              </w:rPr>
              <w:t>指导服务要求：提交最终审核通过的制度体系汇编（含电子版及纸质版，纸质版不少于2套）。</w:t>
            </w:r>
          </w:p>
        </w:tc>
        <w:tc>
          <w:tcPr>
            <w:tcW w:w="910" w:type="dxa"/>
            <w:tcBorders>
              <w:top w:val="single" w:color="auto" w:sz="4" w:space="0"/>
              <w:left w:val="single" w:color="auto" w:sz="4" w:space="0"/>
              <w:bottom w:val="single" w:color="auto" w:sz="4" w:space="0"/>
              <w:right w:val="single" w:color="auto" w:sz="4" w:space="0"/>
            </w:tcBorders>
            <w:noWrap w:val="0"/>
            <w:vAlign w:val="center"/>
          </w:tcPr>
          <w:p w14:paraId="50148AF8">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100000</w:t>
            </w:r>
          </w:p>
        </w:tc>
      </w:tr>
      <w:tr w14:paraId="0CB6A9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39" w:type="dxa"/>
            <w:tcBorders>
              <w:top w:val="single" w:color="auto" w:sz="4" w:space="0"/>
              <w:left w:val="single" w:color="auto" w:sz="4" w:space="0"/>
              <w:bottom w:val="single" w:color="auto" w:sz="4" w:space="0"/>
              <w:right w:val="single" w:color="auto" w:sz="4" w:space="0"/>
            </w:tcBorders>
            <w:noWrap w:val="0"/>
            <w:vAlign w:val="center"/>
          </w:tcPr>
          <w:p w14:paraId="585C387B">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0"/>
                <w:sz w:val="21"/>
                <w:szCs w:val="21"/>
                <w:highlight w:val="none"/>
              </w:rPr>
              <w:t>6</w:t>
            </w:r>
          </w:p>
        </w:tc>
        <w:tc>
          <w:tcPr>
            <w:tcW w:w="720" w:type="dxa"/>
            <w:gridSpan w:val="2"/>
            <w:tcBorders>
              <w:top w:val="single" w:color="auto" w:sz="4" w:space="0"/>
              <w:left w:val="single" w:color="auto" w:sz="4" w:space="0"/>
              <w:bottom w:val="single" w:color="auto" w:sz="4" w:space="0"/>
              <w:right w:val="single" w:color="auto" w:sz="4" w:space="0"/>
            </w:tcBorders>
            <w:noWrap w:val="0"/>
            <w:vAlign w:val="center"/>
          </w:tcPr>
          <w:p w14:paraId="00F11F63">
            <w:pPr>
              <w:keepNext w:val="0"/>
              <w:keepLines w:val="0"/>
              <w:pageBreakBefore w:val="0"/>
              <w:widowControl/>
              <w:kinsoku/>
              <w:overflowPunct/>
              <w:topLinePunct w:val="0"/>
              <w:autoSpaceDE/>
              <w:autoSpaceDN/>
              <w:bidi w:val="0"/>
              <w:adjustRightInd/>
              <w:snapToGrid/>
              <w:spacing w:line="360" w:lineRule="exact"/>
              <w:jc w:val="left"/>
              <w:textAlignment w:val="center"/>
              <w:rPr>
                <w:rFonts w:hint="eastAsia" w:ascii="宋体" w:hAnsi="宋体" w:eastAsia="宋体" w:cs="宋体"/>
                <w:b w:val="0"/>
                <w:bCs w:val="0"/>
                <w:i w:val="0"/>
                <w:iCs w:val="0"/>
                <w:color w:val="000000"/>
                <w:kern w:val="2"/>
                <w:sz w:val="21"/>
                <w:szCs w:val="21"/>
                <w:u w:val="none"/>
                <w:lang w:val="en-US" w:eastAsia="zh-CN" w:bidi="ar-SA"/>
              </w:rPr>
            </w:pPr>
            <w:r>
              <w:rPr>
                <w:rFonts w:hint="eastAsia" w:ascii="宋体" w:hAnsi="宋体" w:eastAsia="宋体" w:cs="宋体"/>
                <w:b w:val="0"/>
                <w:bCs w:val="0"/>
                <w:i w:val="0"/>
                <w:iCs w:val="0"/>
                <w:color w:val="000000"/>
                <w:kern w:val="2"/>
                <w:sz w:val="21"/>
                <w:szCs w:val="21"/>
                <w:u w:val="none"/>
                <w:lang w:val="en-US" w:eastAsia="zh-CN" w:bidi="ar-SA"/>
              </w:rPr>
              <w:t>课程思政示范课</w:t>
            </w:r>
          </w:p>
        </w:tc>
        <w:tc>
          <w:tcPr>
            <w:tcW w:w="413" w:type="dxa"/>
            <w:tcBorders>
              <w:top w:val="single" w:color="auto" w:sz="4" w:space="0"/>
              <w:left w:val="single" w:color="auto" w:sz="4" w:space="0"/>
              <w:bottom w:val="single" w:color="auto" w:sz="4" w:space="0"/>
              <w:right w:val="single" w:color="auto" w:sz="4" w:space="0"/>
            </w:tcBorders>
            <w:noWrap w:val="0"/>
            <w:vAlign w:val="center"/>
          </w:tcPr>
          <w:p w14:paraId="095CA836">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门</w:t>
            </w:r>
          </w:p>
        </w:tc>
        <w:tc>
          <w:tcPr>
            <w:tcW w:w="387" w:type="dxa"/>
            <w:tcBorders>
              <w:top w:val="single" w:color="auto" w:sz="4" w:space="0"/>
              <w:left w:val="single" w:color="auto" w:sz="4" w:space="0"/>
              <w:bottom w:val="single" w:color="auto" w:sz="4" w:space="0"/>
              <w:right w:val="single" w:color="auto" w:sz="4" w:space="0"/>
            </w:tcBorders>
            <w:noWrap w:val="0"/>
            <w:vAlign w:val="center"/>
          </w:tcPr>
          <w:p w14:paraId="41FDDAE7">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2</w:t>
            </w:r>
          </w:p>
        </w:tc>
        <w:tc>
          <w:tcPr>
            <w:tcW w:w="6707" w:type="dxa"/>
            <w:tcBorders>
              <w:top w:val="single" w:color="auto" w:sz="4" w:space="0"/>
              <w:left w:val="single" w:color="auto" w:sz="4" w:space="0"/>
              <w:bottom w:val="single" w:color="auto" w:sz="4" w:space="0"/>
              <w:right w:val="single" w:color="auto" w:sz="4" w:space="0"/>
            </w:tcBorders>
            <w:noWrap w:val="0"/>
            <w:vAlign w:val="center"/>
          </w:tcPr>
          <w:p w14:paraId="4F9FEEEA">
            <w:pPr>
              <w:keepNext w:val="0"/>
              <w:keepLines w:val="0"/>
              <w:pageBreakBefore w:val="0"/>
              <w:numPr>
                <w:ilvl w:val="0"/>
                <w:numId w:val="0"/>
              </w:numPr>
              <w:kinsoku/>
              <w:overflowPunct/>
              <w:topLinePunct w:val="0"/>
              <w:autoSpaceDE/>
              <w:autoSpaceDN/>
              <w:bidi w:val="0"/>
              <w:adjustRightInd/>
              <w:snapToGrid/>
              <w:spacing w:line="360" w:lineRule="exact"/>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kern w:val="2"/>
                <w:sz w:val="21"/>
                <w:szCs w:val="21"/>
                <w:vertAlign w:val="baseline"/>
                <w:lang w:val="en-US" w:eastAsia="zh-CN" w:bidi="ar-SA"/>
              </w:rPr>
              <w:t>一、</w:t>
            </w:r>
            <w:r>
              <w:rPr>
                <w:rFonts w:hint="eastAsia" w:ascii="宋体" w:hAnsi="宋体" w:eastAsia="宋体" w:cs="宋体"/>
                <w:b w:val="0"/>
                <w:bCs w:val="0"/>
                <w:color w:val="auto"/>
                <w:sz w:val="21"/>
                <w:szCs w:val="21"/>
                <w:vertAlign w:val="baseline"/>
                <w:lang w:val="en-US" w:eastAsia="zh-CN"/>
              </w:rPr>
              <w:t>内容要求</w:t>
            </w:r>
          </w:p>
          <w:p w14:paraId="7735C02B">
            <w:pPr>
              <w:keepNext w:val="0"/>
              <w:keepLines w:val="0"/>
              <w:pageBreakBefore w:val="0"/>
              <w:widowControl/>
              <w:suppressLineNumbers w:val="0"/>
              <w:kinsoku/>
              <w:overflowPunct/>
              <w:topLinePunct w:val="0"/>
              <w:autoSpaceDE/>
              <w:autoSpaceDN/>
              <w:bidi w:val="0"/>
              <w:adjustRightInd/>
              <w:snapToGrid/>
              <w:spacing w:line="360" w:lineRule="exact"/>
              <w:jc w:val="left"/>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（一）围绕课程教学中某一章节、教学环节或知识点展开，明确课程思政教学目标，优化课程育人整体教学设计，突出价值引领，具有较强的针对性、时效性、创新性、示范性和可推广性。</w:t>
            </w:r>
          </w:p>
          <w:p w14:paraId="5B1D72EC">
            <w:pPr>
              <w:keepNext w:val="0"/>
              <w:keepLines w:val="0"/>
              <w:pageBreakBefore w:val="0"/>
              <w:kinsoku/>
              <w:overflowPunct/>
              <w:topLinePunct w:val="0"/>
              <w:autoSpaceDE/>
              <w:autoSpaceDN/>
              <w:bidi w:val="0"/>
              <w:adjustRightInd/>
              <w:snapToGrid/>
              <w:spacing w:line="360" w:lineRule="exact"/>
              <w:jc w:val="both"/>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（二）完成2门课程的校级课程思政示范课建设。</w:t>
            </w:r>
          </w:p>
          <w:p w14:paraId="7D94C805">
            <w:pPr>
              <w:keepNext w:val="0"/>
              <w:keepLines w:val="0"/>
              <w:pageBreakBefore w:val="0"/>
              <w:kinsoku/>
              <w:overflowPunct/>
              <w:topLinePunct w:val="0"/>
              <w:autoSpaceDE/>
              <w:autoSpaceDN/>
              <w:bidi w:val="0"/>
              <w:adjustRightInd/>
              <w:snapToGrid/>
              <w:spacing w:line="360" w:lineRule="exact"/>
              <w:jc w:val="both"/>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vertAlign w:val="baseline"/>
                <w:lang w:val="en-US" w:eastAsia="zh-CN"/>
              </w:rPr>
              <w:t>（三</w:t>
            </w:r>
            <w:r>
              <w:rPr>
                <w:rFonts w:hint="eastAsia" w:ascii="宋体" w:hAnsi="宋体" w:eastAsia="宋体" w:cs="宋体"/>
                <w:b w:val="0"/>
                <w:bCs w:val="0"/>
                <w:color w:val="auto"/>
                <w:sz w:val="21"/>
                <w:szCs w:val="21"/>
                <w:highlight w:val="none"/>
                <w:vertAlign w:val="baseline"/>
                <w:lang w:val="en-US" w:eastAsia="zh-CN"/>
              </w:rPr>
              <w:t>）聘请正高级专家指导课程思政示范课建设。</w:t>
            </w:r>
          </w:p>
          <w:p w14:paraId="2456FC7F">
            <w:pPr>
              <w:pStyle w:val="21"/>
              <w:keepNext w:val="0"/>
              <w:keepLines w:val="0"/>
              <w:pageBreakBefore w:val="0"/>
              <w:numPr>
                <w:ilvl w:val="0"/>
                <w:numId w:val="0"/>
              </w:numPr>
              <w:kinsoku/>
              <w:overflowPunct/>
              <w:topLinePunct w:val="0"/>
              <w:autoSpaceDE/>
              <w:autoSpaceDN/>
              <w:bidi w:val="0"/>
              <w:adjustRightInd/>
              <w:snapToGrid/>
              <w:spacing w:line="360" w:lineRule="exact"/>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kern w:val="2"/>
                <w:sz w:val="21"/>
                <w:szCs w:val="21"/>
                <w:lang w:val="en-US" w:eastAsia="zh-CN" w:bidi="ar-SA"/>
              </w:rPr>
              <w:t>二、</w:t>
            </w:r>
            <w:r>
              <w:rPr>
                <w:rFonts w:hint="eastAsia" w:ascii="宋体" w:hAnsi="宋体" w:eastAsia="宋体" w:cs="宋体"/>
                <w:b w:val="0"/>
                <w:bCs w:val="0"/>
                <w:color w:val="auto"/>
                <w:kern w:val="2"/>
                <w:sz w:val="21"/>
                <w:szCs w:val="21"/>
                <w:vertAlign w:val="baseline"/>
                <w:lang w:val="en-US" w:eastAsia="zh-CN" w:bidi="ar-SA"/>
              </w:rPr>
              <w:t>服务要求</w:t>
            </w:r>
          </w:p>
          <w:p w14:paraId="4460A38D">
            <w:pPr>
              <w:keepNext w:val="0"/>
              <w:keepLines w:val="0"/>
              <w:pageBreakBefore w:val="0"/>
              <w:kinsoku/>
              <w:overflowPunct/>
              <w:topLinePunct w:val="0"/>
              <w:autoSpaceDE/>
              <w:autoSpaceDN/>
              <w:bidi w:val="0"/>
              <w:adjustRightInd/>
              <w:snapToGrid/>
              <w:spacing w:line="360" w:lineRule="exact"/>
              <w:jc w:val="both"/>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（一）课程设计技术要求​</w:t>
            </w:r>
          </w:p>
          <w:p w14:paraId="25A09164">
            <w:pPr>
              <w:keepNext w:val="0"/>
              <w:keepLines w:val="0"/>
              <w:pageBreakBefore w:val="0"/>
              <w:kinsoku/>
              <w:overflowPunct/>
              <w:topLinePunct w:val="0"/>
              <w:autoSpaceDE/>
              <w:autoSpaceDN/>
              <w:bidi w:val="0"/>
              <w:adjustRightInd/>
              <w:snapToGrid/>
              <w:spacing w:line="360" w:lineRule="exact"/>
              <w:ind w:firstLine="210" w:firstLineChars="100"/>
              <w:jc w:val="both"/>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思政目标精准性：结合专业人才培养方案，明确每门示范课的3-5个核心思政目标，聚焦职业素养、工匠精神、法治意识、社会责任、家国情怀等维度，目标需可量化、可评估。​</w:t>
            </w:r>
          </w:p>
          <w:p w14:paraId="7BFBAC5B">
            <w:pPr>
              <w:keepNext w:val="0"/>
              <w:keepLines w:val="0"/>
              <w:pageBreakBefore w:val="0"/>
              <w:kinsoku/>
              <w:overflowPunct/>
              <w:topLinePunct w:val="0"/>
              <w:autoSpaceDE/>
              <w:autoSpaceDN/>
              <w:bidi w:val="0"/>
              <w:adjustRightInd/>
              <w:snapToGrid/>
              <w:spacing w:line="360" w:lineRule="exact"/>
              <w:ind w:firstLine="210" w:firstLineChars="100"/>
              <w:jc w:val="both"/>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课程结构合理性：采用“理论教学+技能实训+思政渗透”三维结构，每门示范课课时不少于4课时（单课时45分钟），其中思政元素渗透时长占比不低于15%，且分布均匀，避免集中“说教式”植入。​</w:t>
            </w:r>
          </w:p>
          <w:p w14:paraId="3106F274">
            <w:pPr>
              <w:keepNext w:val="0"/>
              <w:keepLines w:val="0"/>
              <w:pageBreakBefore w:val="0"/>
              <w:kinsoku/>
              <w:overflowPunct/>
              <w:topLinePunct w:val="0"/>
              <w:autoSpaceDE/>
              <w:autoSpaceDN/>
              <w:bidi w:val="0"/>
              <w:adjustRightInd/>
              <w:snapToGrid/>
              <w:spacing w:line="360" w:lineRule="exact"/>
              <w:ind w:firstLine="210" w:firstLineChars="100"/>
              <w:jc w:val="both"/>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专业与思政融合度：紧密结合中职专业技能知识点，挖掘岗位场景中的思政元素，实现“技能传授”与“价值引领”同频共振，无生硬嫁接痕迹。​</w:t>
            </w:r>
          </w:p>
          <w:p w14:paraId="18356327">
            <w:pPr>
              <w:keepNext w:val="0"/>
              <w:keepLines w:val="0"/>
              <w:pageBreakBefore w:val="0"/>
              <w:kinsoku/>
              <w:overflowPunct/>
              <w:topLinePunct w:val="0"/>
              <w:autoSpaceDE/>
              <w:autoSpaceDN/>
              <w:bidi w:val="0"/>
              <w:adjustRightInd/>
              <w:snapToGrid/>
              <w:spacing w:line="360" w:lineRule="exact"/>
              <w:jc w:val="both"/>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（二）教学内容与资源开发技术要求​</w:t>
            </w:r>
          </w:p>
          <w:p w14:paraId="4CBBF2A5">
            <w:pPr>
              <w:keepNext w:val="0"/>
              <w:keepLines w:val="0"/>
              <w:pageBreakBefore w:val="0"/>
              <w:kinsoku/>
              <w:overflowPunct/>
              <w:topLinePunct w:val="0"/>
              <w:autoSpaceDE/>
              <w:autoSpaceDN/>
              <w:bidi w:val="0"/>
              <w:adjustRightInd/>
              <w:snapToGrid/>
              <w:spacing w:line="360" w:lineRule="exact"/>
              <w:ind w:firstLine="210" w:firstLineChars="100"/>
              <w:jc w:val="both"/>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思政元素适配性：选取的思政素材需贴合中职学生认知特点和专业岗位实际，优先采用行业典型案例、大国工匠事迹、地方产业发展案例、职业模范故事等具象化素材，避免抽象理论堆砌；素材需符合最新政策导向，无违规违纪、价值观偏差内容。​</w:t>
            </w:r>
          </w:p>
          <w:p w14:paraId="26666B24">
            <w:pPr>
              <w:keepNext w:val="0"/>
              <w:keepLines w:val="0"/>
              <w:pageBreakBefore w:val="0"/>
              <w:kinsoku/>
              <w:overflowPunct/>
              <w:topLinePunct w:val="0"/>
              <w:autoSpaceDE/>
              <w:autoSpaceDN/>
              <w:bidi w:val="0"/>
              <w:adjustRightInd/>
              <w:snapToGrid/>
              <w:spacing w:line="360" w:lineRule="exact"/>
              <w:ind w:firstLine="210" w:firstLineChars="100"/>
              <w:jc w:val="both"/>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核心资源：提供标准化教案（含思政目标、融合点设计、教学流程、互动环节）、课件（PPT格式，每页思政元素标注清晰）、微课视频（每段5-8分钟，聚焦核心技能+思政亮点，画质1080P，音质清晰无杂音）；</w:t>
            </w:r>
          </w:p>
          <w:p w14:paraId="269525C3">
            <w:pPr>
              <w:keepNext w:val="0"/>
              <w:keepLines w:val="0"/>
              <w:pageBreakBefore w:val="0"/>
              <w:kinsoku/>
              <w:overflowPunct/>
              <w:topLinePunct w:val="0"/>
              <w:autoSpaceDE/>
              <w:autoSpaceDN/>
              <w:bidi w:val="0"/>
              <w:adjustRightInd/>
              <w:snapToGrid/>
              <w:spacing w:line="360" w:lineRule="exact"/>
              <w:ind w:firstLine="210" w:firstLineChars="100"/>
              <w:jc w:val="both"/>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辅助资源：配套思政案例库（每门课不少于10个针对性案例，含案例解析、应用场景说明）、课堂互动任务单（如小组讨论题、情景模拟脚本）、技能实训思政评价表；​</w:t>
            </w:r>
          </w:p>
          <w:p w14:paraId="4042C4B0">
            <w:pPr>
              <w:keepNext w:val="0"/>
              <w:keepLines w:val="0"/>
              <w:pageBreakBefore w:val="0"/>
              <w:kinsoku/>
              <w:overflowPunct/>
              <w:topLinePunct w:val="0"/>
              <w:autoSpaceDE/>
              <w:autoSpaceDN/>
              <w:bidi w:val="0"/>
              <w:adjustRightInd/>
              <w:snapToGrid/>
              <w:spacing w:line="360" w:lineRule="exact"/>
              <w:ind w:firstLine="210" w:firstLineChars="100"/>
              <w:jc w:val="both"/>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资源格式：所有电子资源需兼容常用教学平台，支持在线播放、下载，PPT提供可编辑版本，视频格式为MP4，音频为MP3。</w:t>
            </w:r>
          </w:p>
          <w:p w14:paraId="510A7E03">
            <w:pPr>
              <w:keepNext w:val="0"/>
              <w:keepLines w:val="0"/>
              <w:pageBreakBefore w:val="0"/>
              <w:kinsoku/>
              <w:overflowPunct/>
              <w:topLinePunct w:val="0"/>
              <w:autoSpaceDE/>
              <w:autoSpaceDN/>
              <w:bidi w:val="0"/>
              <w:adjustRightInd/>
              <w:snapToGrid/>
              <w:spacing w:line="360" w:lineRule="exact"/>
              <w:ind w:firstLine="210" w:firstLineChars="100"/>
              <w:jc w:val="both"/>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内容创新性：需融入数字化教学手段，或设计沉浸式教学环节，增强学生参与感；每门课至少包含1个创新性思政融合设计点。​</w:t>
            </w:r>
          </w:p>
          <w:p w14:paraId="28C87B0C">
            <w:pPr>
              <w:keepNext w:val="0"/>
              <w:keepLines w:val="0"/>
              <w:pageBreakBefore w:val="0"/>
              <w:kinsoku/>
              <w:overflowPunct/>
              <w:topLinePunct w:val="0"/>
              <w:autoSpaceDE/>
              <w:autoSpaceDN/>
              <w:bidi w:val="0"/>
              <w:adjustRightInd/>
              <w:snapToGrid/>
              <w:spacing w:line="360" w:lineRule="exact"/>
              <w:jc w:val="both"/>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三、教学实施技术要求​</w:t>
            </w:r>
          </w:p>
          <w:p w14:paraId="2CA37CEF">
            <w:pPr>
              <w:keepNext w:val="0"/>
              <w:keepLines w:val="0"/>
              <w:pageBreakBefore w:val="0"/>
              <w:widowControl w:val="0"/>
              <w:kinsoku/>
              <w:wordWrap/>
              <w:overflowPunct/>
              <w:topLinePunct w:val="0"/>
              <w:autoSpaceDE/>
              <w:autoSpaceDN/>
              <w:bidi w:val="0"/>
              <w:adjustRightInd/>
              <w:snapToGrid/>
              <w:spacing w:line="360" w:lineRule="exact"/>
              <w:ind w:firstLine="210" w:firstLineChars="100"/>
              <w:jc w:val="both"/>
              <w:textAlignment w:val="auto"/>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教学方法适配性：采用“案例教学法、情景教学法、项目驱动法”等中职学生易接受的教学方法，思政渗透方式需灵活多样（如技能操作中强调规范意识、案例分析中传递职业精神、小组合作中培养协作能力），避免单向灌输。​</w:t>
            </w:r>
          </w:p>
          <w:p w14:paraId="68F0725B">
            <w:pPr>
              <w:keepNext w:val="0"/>
              <w:keepLines w:val="0"/>
              <w:pageBreakBefore w:val="0"/>
              <w:widowControl w:val="0"/>
              <w:kinsoku/>
              <w:wordWrap/>
              <w:overflowPunct/>
              <w:topLinePunct w:val="0"/>
              <w:autoSpaceDE/>
              <w:autoSpaceDN/>
              <w:bidi w:val="0"/>
              <w:adjustRightInd/>
              <w:snapToGrid/>
              <w:spacing w:line="360" w:lineRule="exact"/>
              <w:ind w:firstLine="210" w:firstLineChars="100"/>
              <w:jc w:val="both"/>
              <w:textAlignment w:val="auto"/>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互动设计要求：每课时至少包含2个思政相关互动环节（如课堂讨论、角色扮演、技能实操反思），互动设计需紧扣思政目标和专业技能，能引导学生主动思考、表达观点；支持课堂实时反馈（如答题器、线上投票），增强教学互动性。​</w:t>
            </w:r>
          </w:p>
          <w:p w14:paraId="66174607">
            <w:pPr>
              <w:keepNext w:val="0"/>
              <w:keepLines w:val="0"/>
              <w:pageBreakBefore w:val="0"/>
              <w:widowControl w:val="0"/>
              <w:kinsoku/>
              <w:wordWrap/>
              <w:overflowPunct/>
              <w:topLinePunct w:val="0"/>
              <w:autoSpaceDE/>
              <w:autoSpaceDN/>
              <w:bidi w:val="0"/>
              <w:adjustRightInd/>
              <w:snapToGrid/>
              <w:spacing w:line="360" w:lineRule="exact"/>
              <w:ind w:firstLine="210" w:firstLineChars="100"/>
              <w:jc w:val="both"/>
              <w:textAlignment w:val="auto"/>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实训环节思政融入：针对中职实训类课程，需在技能操作流程中嵌入思政要求（如工具规范摆放体现严谨态度、实训数据真实记录体现诚信品质、团队协作完成任务体现协作精神），配套实训思政考核要点（如安全操作合规性、责任分工执行力）。</w:t>
            </w:r>
          </w:p>
          <w:p w14:paraId="4109D4F5">
            <w:pPr>
              <w:keepNext w:val="0"/>
              <w:keepLines w:val="0"/>
              <w:pageBreakBefore w:val="0"/>
              <w:kinsoku/>
              <w:overflowPunct/>
              <w:topLinePunct w:val="0"/>
              <w:autoSpaceDE/>
              <w:autoSpaceDN/>
              <w:bidi w:val="0"/>
              <w:adjustRightInd/>
              <w:snapToGrid/>
              <w:spacing w:line="360" w:lineRule="exact"/>
              <w:jc w:val="both"/>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四、评价与反思技术要求​</w:t>
            </w:r>
          </w:p>
          <w:p w14:paraId="73E3C26D">
            <w:pPr>
              <w:keepNext w:val="0"/>
              <w:keepLines w:val="0"/>
              <w:pageBreakBefore w:val="0"/>
              <w:kinsoku/>
              <w:overflowPunct/>
              <w:topLinePunct w:val="0"/>
              <w:autoSpaceDE/>
              <w:autoSpaceDN/>
              <w:bidi w:val="0"/>
              <w:adjustRightInd/>
              <w:snapToGrid/>
              <w:spacing w:line="360" w:lineRule="exact"/>
              <w:ind w:firstLine="210" w:firstLineChars="100"/>
              <w:jc w:val="both"/>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评价体系科学性：构建“技能考核+思政表现”双维度评价体系，思政评价占比不低于30%，评价指标需具体可操作（如职业态度、责任意识、协作能力、诚信表现等），提供量化评价量表（含评分标准、等级划分）。​</w:t>
            </w:r>
          </w:p>
          <w:p w14:paraId="63C3CCCE">
            <w:pPr>
              <w:keepNext w:val="0"/>
              <w:keepLines w:val="0"/>
              <w:pageBreakBefore w:val="0"/>
              <w:kinsoku/>
              <w:overflowPunct/>
              <w:topLinePunct w:val="0"/>
              <w:autoSpaceDE/>
              <w:autoSpaceDN/>
              <w:bidi w:val="0"/>
              <w:adjustRightInd/>
              <w:snapToGrid/>
              <w:spacing w:line="360" w:lineRule="exact"/>
              <w:ind w:firstLine="210" w:firstLineChars="100"/>
              <w:jc w:val="both"/>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评价方式多样性：结合过程性评价（课堂表现、实训记录、互动发言）与终结性评价（技能成果、思政感悟报告），引入学生自评、互评、教师评价、行业企业导师评价（可选）多主体评价模式；支持数字化评价数据记录与导出。​</w:t>
            </w:r>
          </w:p>
          <w:p w14:paraId="573D696F">
            <w:pPr>
              <w:keepNext w:val="0"/>
              <w:keepLines w:val="0"/>
              <w:pageBreakBefore w:val="0"/>
              <w:kinsoku/>
              <w:overflowPunct/>
              <w:topLinePunct w:val="0"/>
              <w:autoSpaceDE/>
              <w:autoSpaceDN/>
              <w:bidi w:val="0"/>
              <w:adjustRightInd/>
              <w:snapToGrid/>
              <w:spacing w:line="360" w:lineRule="exact"/>
              <w:ind w:firstLine="210" w:firstLineChars="100"/>
              <w:jc w:val="both"/>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教学反思与改进：提供示范课教学反思模板，需包含思政融合效果分析、学生反馈总结、改进措施建议等内容；服务商需配合学校开展2次教学效果复盘指导，根据课堂实践反馈优化教学资源和实施流程。</w:t>
            </w:r>
          </w:p>
          <w:p w14:paraId="5ED794EF">
            <w:pPr>
              <w:keepNext w:val="0"/>
              <w:keepLines w:val="0"/>
              <w:pageBreakBefore w:val="0"/>
              <w:kinsoku/>
              <w:overflowPunct/>
              <w:topLinePunct w:val="0"/>
              <w:autoSpaceDE/>
              <w:autoSpaceDN/>
              <w:bidi w:val="0"/>
              <w:adjustRightInd/>
              <w:snapToGrid/>
              <w:spacing w:line="360" w:lineRule="exact"/>
              <w:jc w:val="both"/>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五、示范推广技术要求​</w:t>
            </w:r>
          </w:p>
          <w:p w14:paraId="4326DAD1">
            <w:pPr>
              <w:keepNext w:val="0"/>
              <w:keepLines w:val="0"/>
              <w:pageBreakBefore w:val="0"/>
              <w:kinsoku/>
              <w:overflowPunct/>
              <w:topLinePunct w:val="0"/>
              <w:autoSpaceDE/>
              <w:autoSpaceDN/>
              <w:bidi w:val="0"/>
              <w:adjustRightInd/>
              <w:snapToGrid/>
              <w:spacing w:line="360" w:lineRule="exact"/>
              <w:ind w:firstLine="210" w:firstLineChars="100"/>
              <w:jc w:val="both"/>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可复制性：所有示范课的教学设计、资源包、评价体系需具备可复制性，可适配同专业或相近专业其他课程的思政建设，提供推广应用指南（含适配调整方法）。​</w:t>
            </w:r>
          </w:p>
          <w:p w14:paraId="5A289544">
            <w:pPr>
              <w:keepNext w:val="0"/>
              <w:keepLines w:val="0"/>
              <w:pageBreakBefore w:val="0"/>
              <w:kinsoku/>
              <w:overflowPunct/>
              <w:topLinePunct w:val="0"/>
              <w:autoSpaceDE/>
              <w:autoSpaceDN/>
              <w:bidi w:val="0"/>
              <w:adjustRightInd/>
              <w:snapToGrid/>
              <w:spacing w:line="360" w:lineRule="exact"/>
              <w:jc w:val="both"/>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展示性要求：每门示范课需录制1节完整的课堂教学视频（45分钟，画质1080P，多角度拍摄，清晰呈现师生互动、思政渗透过程），配套展示课件、案例汇编，用于校内示范推广和对外交流。</w:t>
            </w:r>
          </w:p>
        </w:tc>
        <w:tc>
          <w:tcPr>
            <w:tcW w:w="910" w:type="dxa"/>
            <w:tcBorders>
              <w:top w:val="single" w:color="auto" w:sz="4" w:space="0"/>
              <w:left w:val="single" w:color="auto" w:sz="4" w:space="0"/>
              <w:bottom w:val="single" w:color="auto" w:sz="4" w:space="0"/>
              <w:right w:val="single" w:color="auto" w:sz="4" w:space="0"/>
            </w:tcBorders>
            <w:noWrap w:val="0"/>
            <w:vAlign w:val="center"/>
          </w:tcPr>
          <w:p w14:paraId="259FBBAA">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100000</w:t>
            </w:r>
          </w:p>
        </w:tc>
      </w:tr>
      <w:tr w14:paraId="0C7CAD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39" w:type="dxa"/>
            <w:tcBorders>
              <w:top w:val="single" w:color="auto" w:sz="4" w:space="0"/>
              <w:left w:val="single" w:color="auto" w:sz="4" w:space="0"/>
              <w:bottom w:val="single" w:color="auto" w:sz="4" w:space="0"/>
              <w:right w:val="single" w:color="auto" w:sz="4" w:space="0"/>
            </w:tcBorders>
            <w:noWrap w:val="0"/>
            <w:vAlign w:val="center"/>
          </w:tcPr>
          <w:p w14:paraId="107953A4">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0"/>
                <w:sz w:val="21"/>
                <w:szCs w:val="21"/>
                <w:highlight w:val="none"/>
              </w:rPr>
              <w:t>7</w:t>
            </w:r>
          </w:p>
        </w:tc>
        <w:tc>
          <w:tcPr>
            <w:tcW w:w="720" w:type="dxa"/>
            <w:gridSpan w:val="2"/>
            <w:tcBorders>
              <w:top w:val="single" w:color="auto" w:sz="4" w:space="0"/>
              <w:left w:val="single" w:color="auto" w:sz="4" w:space="0"/>
              <w:bottom w:val="single" w:color="auto" w:sz="4" w:space="0"/>
              <w:right w:val="single" w:color="auto" w:sz="4" w:space="0"/>
            </w:tcBorders>
            <w:noWrap w:val="0"/>
            <w:vAlign w:val="center"/>
          </w:tcPr>
          <w:p w14:paraId="53338158">
            <w:pPr>
              <w:keepNext w:val="0"/>
              <w:keepLines w:val="0"/>
              <w:pageBreakBefore w:val="0"/>
              <w:widowControl/>
              <w:kinsoku/>
              <w:overflowPunct/>
              <w:topLinePunct w:val="0"/>
              <w:autoSpaceDE/>
              <w:autoSpaceDN/>
              <w:bidi w:val="0"/>
              <w:adjustRightInd/>
              <w:snapToGrid/>
              <w:spacing w:line="360" w:lineRule="exact"/>
              <w:jc w:val="left"/>
              <w:textAlignment w:val="center"/>
              <w:rPr>
                <w:rFonts w:hint="eastAsia" w:ascii="宋体" w:hAnsi="宋体" w:eastAsia="宋体" w:cs="宋体"/>
                <w:b w:val="0"/>
                <w:bCs w:val="0"/>
                <w:i w:val="0"/>
                <w:iCs w:val="0"/>
                <w:color w:val="000000"/>
                <w:kern w:val="2"/>
                <w:sz w:val="21"/>
                <w:szCs w:val="21"/>
                <w:u w:val="none"/>
                <w:lang w:val="en-US" w:eastAsia="zh-CN" w:bidi="ar-SA"/>
              </w:rPr>
            </w:pPr>
            <w:r>
              <w:rPr>
                <w:rFonts w:hint="eastAsia" w:ascii="宋体" w:hAnsi="宋体" w:eastAsia="宋体" w:cs="宋体"/>
                <w:b w:val="0"/>
                <w:bCs w:val="0"/>
                <w:i w:val="0"/>
                <w:iCs w:val="0"/>
                <w:color w:val="000000"/>
                <w:kern w:val="2"/>
                <w:sz w:val="21"/>
                <w:szCs w:val="21"/>
                <w:u w:val="none"/>
                <w:lang w:val="en-US" w:eastAsia="zh-CN" w:bidi="ar-SA"/>
              </w:rPr>
              <w:t>师生技能大赛</w:t>
            </w:r>
          </w:p>
        </w:tc>
        <w:tc>
          <w:tcPr>
            <w:tcW w:w="413" w:type="dxa"/>
            <w:tcBorders>
              <w:top w:val="single" w:color="auto" w:sz="4" w:space="0"/>
              <w:left w:val="single" w:color="auto" w:sz="4" w:space="0"/>
              <w:bottom w:val="single" w:color="auto" w:sz="4" w:space="0"/>
              <w:right w:val="single" w:color="auto" w:sz="4" w:space="0"/>
            </w:tcBorders>
            <w:noWrap w:val="0"/>
            <w:vAlign w:val="center"/>
          </w:tcPr>
          <w:p w14:paraId="661166C7">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项</w:t>
            </w:r>
          </w:p>
        </w:tc>
        <w:tc>
          <w:tcPr>
            <w:tcW w:w="387" w:type="dxa"/>
            <w:tcBorders>
              <w:top w:val="single" w:color="auto" w:sz="4" w:space="0"/>
              <w:left w:val="single" w:color="auto" w:sz="4" w:space="0"/>
              <w:bottom w:val="single" w:color="auto" w:sz="4" w:space="0"/>
              <w:right w:val="single" w:color="auto" w:sz="4" w:space="0"/>
            </w:tcBorders>
            <w:noWrap w:val="0"/>
            <w:vAlign w:val="center"/>
          </w:tcPr>
          <w:p w14:paraId="4FA82B68">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4</w:t>
            </w:r>
          </w:p>
        </w:tc>
        <w:tc>
          <w:tcPr>
            <w:tcW w:w="6707" w:type="dxa"/>
            <w:tcBorders>
              <w:top w:val="single" w:color="auto" w:sz="4" w:space="0"/>
              <w:left w:val="single" w:color="auto" w:sz="4" w:space="0"/>
              <w:bottom w:val="single" w:color="auto" w:sz="4" w:space="0"/>
              <w:right w:val="single" w:color="auto" w:sz="4" w:space="0"/>
            </w:tcBorders>
            <w:noWrap w:val="0"/>
            <w:vAlign w:val="center"/>
          </w:tcPr>
          <w:p w14:paraId="3987A644">
            <w:pPr>
              <w:pStyle w:val="21"/>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一、服务内容</w:t>
            </w:r>
          </w:p>
          <w:p w14:paraId="7396B62B">
            <w:pPr>
              <w:pStyle w:val="21"/>
              <w:keepNext w:val="0"/>
              <w:keepLines w:val="0"/>
              <w:pageBreakBefore w:val="0"/>
              <w:kinsoku/>
              <w:overflowPunct/>
              <w:topLinePunct w:val="0"/>
              <w:autoSpaceDE/>
              <w:autoSpaceDN/>
              <w:bidi w:val="0"/>
              <w:adjustRightInd/>
              <w:snapToGrid/>
              <w:spacing w:line="360" w:lineRule="exact"/>
              <w:ind w:firstLine="210" w:firstLineChars="100"/>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聘请专家开展全国职业院校技能大赛专项集训，全面提升参赛师生竞技水平与赛场应变能力。</w:t>
            </w:r>
          </w:p>
          <w:p w14:paraId="77D6788F">
            <w:pPr>
              <w:pStyle w:val="21"/>
              <w:keepNext w:val="0"/>
              <w:keepLines w:val="0"/>
              <w:pageBreakBefore w:val="0"/>
              <w:kinsoku/>
              <w:overflowPunct/>
              <w:topLinePunct w:val="0"/>
              <w:autoSpaceDE/>
              <w:autoSpaceDN/>
              <w:bidi w:val="0"/>
              <w:adjustRightInd/>
              <w:snapToGrid/>
              <w:spacing w:line="360" w:lineRule="exact"/>
              <w:ind w:firstLine="210" w:firstLineChars="100"/>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邀请专家对4支国赛参赛队伍进行一对一精准指导，强化重点项目攻坚与细节优化。</w:t>
            </w:r>
          </w:p>
          <w:p w14:paraId="5187395D">
            <w:pPr>
              <w:pStyle w:val="21"/>
              <w:keepNext w:val="0"/>
              <w:keepLines w:val="0"/>
              <w:pageBreakBefore w:val="0"/>
              <w:kinsoku/>
              <w:overflowPunct/>
              <w:topLinePunct w:val="0"/>
              <w:autoSpaceDE/>
              <w:autoSpaceDN/>
              <w:bidi w:val="0"/>
              <w:adjustRightInd/>
              <w:snapToGrid/>
              <w:spacing w:line="360" w:lineRule="exact"/>
              <w:ind w:firstLine="210" w:firstLineChars="100"/>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面向学校全体专业教师开展技能提升、教学技法、竞赛转化能力培训，推动以赛促教、以赛促研、以赛促改。</w:t>
            </w:r>
          </w:p>
          <w:p w14:paraId="100787B1">
            <w:pPr>
              <w:pStyle w:val="21"/>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二、服务要求</w:t>
            </w:r>
          </w:p>
          <w:p w14:paraId="790AB2F5">
            <w:pPr>
              <w:pStyle w:val="21"/>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（一）专家资质要求</w:t>
            </w:r>
          </w:p>
          <w:p w14:paraId="0226280E">
            <w:pPr>
              <w:pStyle w:val="21"/>
              <w:keepNext w:val="0"/>
              <w:keepLines w:val="0"/>
              <w:pageBreakBefore w:val="0"/>
              <w:kinsoku/>
              <w:overflowPunct/>
              <w:topLinePunct w:val="0"/>
              <w:autoSpaceDE/>
              <w:autoSpaceDN/>
              <w:bidi w:val="0"/>
              <w:adjustRightInd/>
              <w:snapToGrid/>
              <w:spacing w:line="360" w:lineRule="exact"/>
              <w:ind w:firstLine="210" w:firstLineChars="10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专家须具有副高级及以上职称，同时具备高级技师职业资格；</w:t>
            </w:r>
          </w:p>
          <w:p w14:paraId="102FA56C">
            <w:pPr>
              <w:pStyle w:val="21"/>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具有全国职业院校技能大赛裁判经验、指导经验或带队获国家级奖项经历；</w:t>
            </w:r>
          </w:p>
          <w:p w14:paraId="2466F586">
            <w:pPr>
              <w:pStyle w:val="21"/>
              <w:keepNext w:val="0"/>
              <w:keepLines w:val="0"/>
              <w:pageBreakBefore w:val="0"/>
              <w:kinsoku/>
              <w:overflowPunct/>
              <w:topLinePunct w:val="0"/>
              <w:autoSpaceDE/>
              <w:autoSpaceDN/>
              <w:bidi w:val="0"/>
              <w:adjustRightInd/>
              <w:snapToGrid/>
              <w:spacing w:line="360" w:lineRule="exact"/>
              <w:ind w:firstLine="210" w:firstLineChars="100"/>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具备教师培训、课堂教学改革、技能普及提升的丰富经验。</w:t>
            </w:r>
          </w:p>
          <w:p w14:paraId="16475AF8">
            <w:pPr>
              <w:pStyle w:val="21"/>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（二）参赛队伍专项指导要求</w:t>
            </w:r>
          </w:p>
          <w:p w14:paraId="1A6CC0EE">
            <w:pPr>
              <w:pStyle w:val="21"/>
              <w:keepNext w:val="0"/>
              <w:keepLines w:val="0"/>
              <w:pageBreakBefore w:val="0"/>
              <w:kinsoku/>
              <w:overflowPunct/>
              <w:topLinePunct w:val="0"/>
              <w:autoSpaceDE/>
              <w:autoSpaceDN/>
              <w:bidi w:val="0"/>
              <w:adjustRightInd/>
              <w:snapToGrid/>
              <w:spacing w:line="360" w:lineRule="exact"/>
              <w:ind w:firstLine="210" w:firstLineChars="100"/>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对4组国赛参赛队伍进行针对性强化训练，每组指导时长不少于10天，每天不低于8学时；</w:t>
            </w:r>
          </w:p>
          <w:p w14:paraId="7BEE278B">
            <w:pPr>
              <w:pStyle w:val="21"/>
              <w:keepNext w:val="0"/>
              <w:keepLines w:val="0"/>
              <w:pageBreakBefore w:val="0"/>
              <w:kinsoku/>
              <w:overflowPunct/>
              <w:topLinePunct w:val="0"/>
              <w:autoSpaceDE/>
              <w:autoSpaceDN/>
              <w:bidi w:val="0"/>
              <w:adjustRightInd/>
              <w:snapToGrid/>
              <w:spacing w:line="360" w:lineRule="exact"/>
              <w:ind w:firstLine="210" w:firstLineChars="100"/>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指导内容包括：竞赛规程解读、技能操作强化、作品打磨优化、仿真模拟训练、心理调适、备赛策略、现场应变指导等；</w:t>
            </w:r>
          </w:p>
          <w:p w14:paraId="43DB687D">
            <w:pPr>
              <w:pStyle w:val="21"/>
              <w:keepNext w:val="0"/>
              <w:keepLines w:val="0"/>
              <w:pageBreakBefore w:val="0"/>
              <w:kinsoku/>
              <w:overflowPunct/>
              <w:topLinePunct w:val="0"/>
              <w:autoSpaceDE/>
              <w:autoSpaceDN/>
              <w:bidi w:val="0"/>
              <w:adjustRightInd/>
              <w:snapToGrid/>
              <w:spacing w:line="360" w:lineRule="exact"/>
              <w:ind w:firstLine="210" w:firstLineChars="100"/>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做到精准把脉、逐项突破、全程跟进，确保参赛师生竞技水平显著提升。</w:t>
            </w:r>
          </w:p>
          <w:p w14:paraId="3D6D412C">
            <w:pPr>
              <w:pStyle w:val="21"/>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（三）全体教师技能提升培训要求</w:t>
            </w:r>
          </w:p>
          <w:p w14:paraId="043C8EF3">
            <w:pPr>
              <w:pStyle w:val="21"/>
              <w:keepNext w:val="0"/>
              <w:keepLines w:val="0"/>
              <w:pageBreakBefore w:val="0"/>
              <w:kinsoku/>
              <w:overflowPunct/>
              <w:topLinePunct w:val="0"/>
              <w:autoSpaceDE/>
              <w:autoSpaceDN/>
              <w:bidi w:val="0"/>
              <w:adjustRightInd/>
              <w:snapToGrid/>
              <w:spacing w:line="360" w:lineRule="exact"/>
              <w:ind w:firstLine="210" w:firstLineChars="100"/>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专家面向学校全体专业教师开展技能提升培训，内容包括：核心技能强化、赛项标准转化、实训教学优化、竞赛资源开发、以赛促教方法等；</w:t>
            </w:r>
          </w:p>
          <w:p w14:paraId="76524E5A">
            <w:pPr>
              <w:pStyle w:val="21"/>
              <w:keepNext w:val="0"/>
              <w:keepLines w:val="0"/>
              <w:pageBreakBefore w:val="0"/>
              <w:kinsoku/>
              <w:overflowPunct/>
              <w:topLinePunct w:val="0"/>
              <w:autoSpaceDE/>
              <w:autoSpaceDN/>
              <w:bidi w:val="0"/>
              <w:adjustRightInd/>
              <w:snapToGrid/>
              <w:spacing w:line="360" w:lineRule="exact"/>
              <w:ind w:firstLine="210" w:firstLineChars="100"/>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培训形式采用示范教学、实操带练、案例分享、互动研讨、成果点评相结合；</w:t>
            </w:r>
          </w:p>
          <w:p w14:paraId="113597CD">
            <w:pPr>
              <w:pStyle w:val="21"/>
              <w:keepNext w:val="0"/>
              <w:keepLines w:val="0"/>
              <w:pageBreakBefore w:val="0"/>
              <w:kinsoku/>
              <w:overflowPunct/>
              <w:topLinePunct w:val="0"/>
              <w:autoSpaceDE/>
              <w:autoSpaceDN/>
              <w:bidi w:val="0"/>
              <w:adjustRightInd/>
              <w:snapToGrid/>
              <w:spacing w:line="360" w:lineRule="exact"/>
              <w:ind w:firstLine="210" w:firstLineChars="100"/>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通过培训提升教师专业技能水平、实训教学能力、竞赛指导能力、课程开发能力，实现赛技相通、赛教相融、赛训相长。</w:t>
            </w:r>
          </w:p>
          <w:p w14:paraId="397EBFFA">
            <w:pPr>
              <w:pStyle w:val="21"/>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（四）整体服务要求</w:t>
            </w:r>
          </w:p>
          <w:p w14:paraId="18CB74AD">
            <w:pPr>
              <w:pStyle w:val="21"/>
              <w:keepNext w:val="0"/>
              <w:keepLines w:val="0"/>
              <w:pageBreakBefore w:val="0"/>
              <w:kinsoku/>
              <w:overflowPunct/>
              <w:topLinePunct w:val="0"/>
              <w:autoSpaceDE/>
              <w:autoSpaceDN/>
              <w:bidi w:val="0"/>
              <w:adjustRightInd/>
              <w:snapToGrid/>
              <w:spacing w:line="360" w:lineRule="exact"/>
              <w:ind w:firstLine="210" w:firstLineChars="100"/>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专家指导须贴合学校专业实际与国赛最新要求，做到实用性强、针对性强、可落地、可提升；</w:t>
            </w:r>
          </w:p>
          <w:p w14:paraId="1B9EA2E2">
            <w:pPr>
              <w:pStyle w:val="21"/>
              <w:keepNext w:val="0"/>
              <w:keepLines w:val="0"/>
              <w:pageBreakBefore w:val="0"/>
              <w:kinsoku/>
              <w:overflowPunct/>
              <w:topLinePunct w:val="0"/>
              <w:autoSpaceDE/>
              <w:autoSpaceDN/>
              <w:bidi w:val="0"/>
              <w:adjustRightInd/>
              <w:snapToGrid/>
              <w:spacing w:line="360" w:lineRule="exact"/>
              <w:ind w:firstLine="210" w:firstLineChars="100"/>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全程提供备赛方案、训练计划、技术要点、教学改进建议等成果输出；</w:t>
            </w:r>
          </w:p>
          <w:p w14:paraId="21364638">
            <w:pPr>
              <w:pStyle w:val="21"/>
              <w:keepNext w:val="0"/>
              <w:keepLines w:val="0"/>
              <w:pageBreakBefore w:val="0"/>
              <w:kinsoku/>
              <w:overflowPunct/>
              <w:topLinePunct w:val="0"/>
              <w:autoSpaceDE/>
              <w:autoSpaceDN/>
              <w:bidi w:val="0"/>
              <w:adjustRightInd/>
              <w:snapToGrid/>
              <w:spacing w:line="360" w:lineRule="exact"/>
              <w:ind w:firstLine="210" w:firstLineChars="100"/>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color w:val="auto"/>
                <w:sz w:val="21"/>
                <w:szCs w:val="21"/>
                <w:lang w:val="en-US" w:eastAsia="zh-CN"/>
              </w:rPr>
              <w:t>确保实现参赛队伍冲奖能力提升+全体教师专业技能双提升的双重目标。</w:t>
            </w:r>
          </w:p>
        </w:tc>
        <w:tc>
          <w:tcPr>
            <w:tcW w:w="910" w:type="dxa"/>
            <w:tcBorders>
              <w:top w:val="single" w:color="auto" w:sz="4" w:space="0"/>
              <w:left w:val="single" w:color="auto" w:sz="4" w:space="0"/>
              <w:bottom w:val="single" w:color="auto" w:sz="4" w:space="0"/>
              <w:right w:val="single" w:color="auto" w:sz="4" w:space="0"/>
            </w:tcBorders>
            <w:noWrap w:val="0"/>
            <w:vAlign w:val="center"/>
          </w:tcPr>
          <w:p w14:paraId="235EA0C8">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200000</w:t>
            </w:r>
          </w:p>
        </w:tc>
      </w:tr>
      <w:tr w14:paraId="744E98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39" w:type="dxa"/>
            <w:tcBorders>
              <w:top w:val="single" w:color="auto" w:sz="4" w:space="0"/>
              <w:left w:val="single" w:color="auto" w:sz="4" w:space="0"/>
              <w:bottom w:val="single" w:color="auto" w:sz="4" w:space="0"/>
              <w:right w:val="single" w:color="auto" w:sz="4" w:space="0"/>
            </w:tcBorders>
            <w:noWrap w:val="0"/>
            <w:vAlign w:val="center"/>
          </w:tcPr>
          <w:p w14:paraId="6F3D6344">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0"/>
                <w:sz w:val="21"/>
                <w:szCs w:val="21"/>
                <w:highlight w:val="none"/>
              </w:rPr>
              <w:t>8</w:t>
            </w:r>
          </w:p>
        </w:tc>
        <w:tc>
          <w:tcPr>
            <w:tcW w:w="720" w:type="dxa"/>
            <w:gridSpan w:val="2"/>
            <w:tcBorders>
              <w:top w:val="single" w:color="auto" w:sz="4" w:space="0"/>
              <w:left w:val="single" w:color="auto" w:sz="4" w:space="0"/>
              <w:bottom w:val="single" w:color="auto" w:sz="4" w:space="0"/>
              <w:right w:val="single" w:color="auto" w:sz="4" w:space="0"/>
            </w:tcBorders>
            <w:noWrap w:val="0"/>
            <w:vAlign w:val="center"/>
          </w:tcPr>
          <w:p w14:paraId="25079DE9">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b w:val="0"/>
                <w:bCs w:val="0"/>
                <w:i w:val="0"/>
                <w:iCs w:val="0"/>
                <w:color w:val="000000"/>
                <w:kern w:val="2"/>
                <w:sz w:val="21"/>
                <w:szCs w:val="21"/>
                <w:u w:val="none"/>
                <w:lang w:val="en-US" w:eastAsia="zh-CN" w:bidi="ar-SA"/>
              </w:rPr>
            </w:pPr>
            <w:r>
              <w:rPr>
                <w:rFonts w:hint="eastAsia" w:ascii="宋体" w:hAnsi="宋体" w:eastAsia="宋体" w:cs="宋体"/>
                <w:b w:val="0"/>
                <w:bCs w:val="0"/>
                <w:i w:val="0"/>
                <w:iCs w:val="0"/>
                <w:color w:val="000000"/>
                <w:kern w:val="2"/>
                <w:sz w:val="21"/>
                <w:szCs w:val="21"/>
                <w:u w:val="none"/>
                <w:lang w:val="en-US" w:eastAsia="zh-CN" w:bidi="ar-SA"/>
              </w:rPr>
              <w:t>科研能力提升</w:t>
            </w:r>
          </w:p>
        </w:tc>
        <w:tc>
          <w:tcPr>
            <w:tcW w:w="413" w:type="dxa"/>
            <w:tcBorders>
              <w:top w:val="single" w:color="auto" w:sz="4" w:space="0"/>
              <w:left w:val="single" w:color="auto" w:sz="4" w:space="0"/>
              <w:bottom w:val="single" w:color="auto" w:sz="4" w:space="0"/>
              <w:right w:val="single" w:color="auto" w:sz="4" w:space="0"/>
            </w:tcBorders>
            <w:noWrap w:val="0"/>
            <w:vAlign w:val="center"/>
          </w:tcPr>
          <w:p w14:paraId="13BAB069">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项</w:t>
            </w:r>
          </w:p>
        </w:tc>
        <w:tc>
          <w:tcPr>
            <w:tcW w:w="387" w:type="dxa"/>
            <w:tcBorders>
              <w:top w:val="single" w:color="auto" w:sz="4" w:space="0"/>
              <w:left w:val="single" w:color="auto" w:sz="4" w:space="0"/>
              <w:bottom w:val="single" w:color="auto" w:sz="4" w:space="0"/>
              <w:right w:val="single" w:color="auto" w:sz="4" w:space="0"/>
            </w:tcBorders>
            <w:noWrap w:val="0"/>
            <w:vAlign w:val="center"/>
          </w:tcPr>
          <w:p w14:paraId="22904B21">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w:t>
            </w:r>
          </w:p>
        </w:tc>
        <w:tc>
          <w:tcPr>
            <w:tcW w:w="6707" w:type="dxa"/>
            <w:tcBorders>
              <w:top w:val="single" w:color="auto" w:sz="4" w:space="0"/>
              <w:left w:val="single" w:color="auto" w:sz="4" w:space="0"/>
              <w:bottom w:val="single" w:color="auto" w:sz="4" w:space="0"/>
              <w:right w:val="single" w:color="auto" w:sz="4" w:space="0"/>
            </w:tcBorders>
            <w:noWrap w:val="0"/>
            <w:vAlign w:val="center"/>
          </w:tcPr>
          <w:p w14:paraId="6349AD60">
            <w:pPr>
              <w:pStyle w:val="21"/>
              <w:keepNext w:val="0"/>
              <w:keepLines w:val="0"/>
              <w:pageBreakBefore w:val="0"/>
              <w:numPr>
                <w:ilvl w:val="0"/>
                <w:numId w:val="0"/>
              </w:numPr>
              <w:kinsoku/>
              <w:wordWrap/>
              <w:overflowPunct/>
              <w:topLinePunct w:val="0"/>
              <w:autoSpaceDE/>
              <w:autoSpaceDN/>
              <w:bidi w:val="0"/>
              <w:adjustRightInd/>
              <w:snapToGrid/>
              <w:spacing w:line="360" w:lineRule="exact"/>
              <w:ind w:left="120" w:leftChars="0" w:firstLine="0" w:firstLineChars="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bidi="ar-SA"/>
              </w:rPr>
              <w:t>一、</w:t>
            </w:r>
            <w:r>
              <w:rPr>
                <w:rFonts w:hint="eastAsia" w:ascii="宋体" w:hAnsi="宋体" w:eastAsia="宋体" w:cs="宋体"/>
                <w:b w:val="0"/>
                <w:bCs w:val="0"/>
                <w:color w:val="auto"/>
                <w:sz w:val="21"/>
                <w:szCs w:val="21"/>
                <w:highlight w:val="none"/>
                <w:lang w:val="en-US" w:eastAsia="zh-CN"/>
              </w:rPr>
              <w:t>服务内容</w:t>
            </w:r>
          </w:p>
          <w:p w14:paraId="732BFB4A">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1.开展科研能力提升培训；</w:t>
            </w:r>
          </w:p>
          <w:p w14:paraId="768D0D31">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2.提供2个自治区级课题申报或结题指导。</w:t>
            </w:r>
          </w:p>
          <w:p w14:paraId="504D774F">
            <w:pPr>
              <w:pStyle w:val="21"/>
              <w:keepNext w:val="0"/>
              <w:keepLines w:val="0"/>
              <w:pageBreakBefore w:val="0"/>
              <w:numPr>
                <w:ilvl w:val="0"/>
                <w:numId w:val="0"/>
              </w:numPr>
              <w:kinsoku/>
              <w:wordWrap/>
              <w:overflowPunct/>
              <w:topLinePunct w:val="0"/>
              <w:autoSpaceDE/>
              <w:autoSpaceDN/>
              <w:bidi w:val="0"/>
              <w:adjustRightInd/>
              <w:snapToGrid/>
              <w:spacing w:line="360" w:lineRule="exact"/>
              <w:ind w:left="120" w:leftChars="0" w:firstLine="0" w:firstLineChars="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bidi="ar-SA"/>
              </w:rPr>
              <w:t>二、</w:t>
            </w:r>
            <w:r>
              <w:rPr>
                <w:rFonts w:hint="eastAsia" w:ascii="宋体" w:hAnsi="宋体" w:eastAsia="宋体" w:cs="宋体"/>
                <w:b w:val="0"/>
                <w:bCs w:val="0"/>
                <w:color w:val="auto"/>
                <w:sz w:val="21"/>
                <w:szCs w:val="21"/>
                <w:highlight w:val="none"/>
                <w:lang w:val="en-US" w:eastAsia="zh-CN"/>
              </w:rPr>
              <w:t>服务要求</w:t>
            </w:r>
          </w:p>
          <w:p w14:paraId="670E9B5F">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1.总体建设要求</w:t>
            </w:r>
          </w:p>
          <w:p w14:paraId="7075398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旨在强化学校教师科研综合能力，完善校内科研人才梯队建设，规范课题研究流程，提升学术论文质量。中标方需为学校提供专业化、全流程科研赋能服务，包含系统化科研能力提升培训、自治区级课题全过程申报指导、学术论文撰写及发表指导。服务需贴合本地区科研申报政策、行业研究方向、学校专业发展定位，采用专家授课、一对一打磨、案例剖析、实操辅导、持续跟进的服务模式，完成既定科研建设量化任务，全面提升学校整体科研水平、师资学术能力及科研成果产出质量。</w:t>
            </w:r>
          </w:p>
          <w:p w14:paraId="4A0C201F">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2.通用服务规范要求</w:t>
            </w:r>
          </w:p>
          <w:p w14:paraId="18EAD42D">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服务团队要求：中标方须配备科研指导专家</w:t>
            </w:r>
            <w:r>
              <w:rPr>
                <w:rFonts w:hint="eastAsia" w:ascii="宋体" w:hAnsi="宋体" w:eastAsia="宋体" w:cs="宋体"/>
                <w:b w:val="0"/>
                <w:bCs w:val="0"/>
                <w:color w:val="auto"/>
                <w:sz w:val="21"/>
                <w:szCs w:val="21"/>
                <w:highlight w:val="none"/>
                <w:lang w:val="en-US" w:eastAsia="zh-CN"/>
              </w:rPr>
              <w:t>团队，专家需具备副高级及以上专业技术职称，拥有自治区级及以上课题立项、</w:t>
            </w:r>
            <w:r>
              <w:rPr>
                <w:rFonts w:hint="eastAsia" w:ascii="宋体" w:hAnsi="宋体" w:eastAsia="宋体" w:cs="宋体"/>
                <w:b w:val="0"/>
                <w:bCs w:val="0"/>
                <w:color w:val="auto"/>
                <w:sz w:val="21"/>
                <w:szCs w:val="21"/>
                <w:lang w:val="en-US" w:eastAsia="zh-CN"/>
              </w:rPr>
              <w:t>结题经验，具备期刊论文发表指导经验；全程固定专家对接，未经甲方允许不得随意更换指导人员。</w:t>
            </w:r>
          </w:p>
          <w:p w14:paraId="2FE3D71B">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服务周期要求：服务周期覆盖培训开展、课题选题、材料编制、申报提交、研究实践、论文撰写、修改发表全流程，直至完成本项目全部量化科研成果。</w:t>
            </w:r>
          </w:p>
          <w:p w14:paraId="1B4244B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资料版权要求：本项目所有培训课件、课题申报材料、研究文稿、论文稿件等成果版权均归采购方独家所有，中标方不得留存、外泄、二次售卖、重复商用，全程签订保密协议。</w:t>
            </w:r>
          </w:p>
          <w:p w14:paraId="7FFBA09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修改服务要求：所有科研材料提供不限次数专业修改、润色、优化服务，确保文书逻辑严谨、格式规范、符合区级课题及正规期刊发表要求。</w:t>
            </w:r>
          </w:p>
          <w:p w14:paraId="4F387EED">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3.分项建设量化技术参数</w:t>
            </w:r>
          </w:p>
          <w:p w14:paraId="4816F76F">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（1）科研能力提升专项培训</w:t>
            </w:r>
          </w:p>
          <w:p w14:paraId="50721216">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围绕教师科研基础薄弱、文书撰写不规范、选题方向模糊、研究逻辑欠缺等问题，开展系统化科研能力培训，培训要求如下：</w:t>
            </w:r>
          </w:p>
          <w:p w14:paraId="41DE8E5E">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培训场次时长：累计开展专项科研培训1次，单场培训时长≥120分钟，采用集中授课+实操演练+互动答疑相结合模式。</w:t>
            </w:r>
          </w:p>
          <w:p w14:paraId="36A25255">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培训参训人员：单次参训专任教师不少于30人，建立完整培训台账，包含签到表、培训照片、培训视频、过程记录表、学员档案。</w:t>
            </w:r>
          </w:p>
          <w:p w14:paraId="6C026CFA">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培训核心内容：必须包含科研政策解读、课题选题技巧、课题申报书撰写、研究方案设计、文献检索与分析、科研数据处理、结题材料汇编、学术论文撰写、学术规范与查重、知识产权注意事项十大模块。</w:t>
            </w:r>
          </w:p>
          <w:p w14:paraId="46A2ACF0">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培训配套资料：提供定制化培训课件、科研模板汇编、申报书范文、论文范文、文献工具包、查重规范手册，全套资料无加密、可编辑，交付电子版+纸质汇编手册。</w:t>
            </w:r>
          </w:p>
          <w:p w14:paraId="4470CD7C">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培训考核要求：培训结束后组织简易科研能力测评，形成教师科研能力分析报告，针对薄弱教师提供个性化课后辅导。</w:t>
            </w:r>
          </w:p>
          <w:p w14:paraId="14C83048">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（2）自治区级课题申报及研究实践指导</w:t>
            </w:r>
          </w:p>
          <w:p w14:paraId="3904A133">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中标方需全程辅导完成2项自治区级课题申报及研究实践工作，覆盖选题、申报、开题、中期、研究、资料归档全流程，硬性要求如下：</w:t>
            </w:r>
          </w:p>
          <w:p w14:paraId="54550D18">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课题数量级别：完成2项自治区级课题申报材料编制、打磨、提交，课题类别包含教育科学规划课题、职业教育改革课题、人文社科课题等区级正规立项课题。</w:t>
            </w:r>
          </w:p>
          <w:p w14:paraId="49E8412C">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全流程辅导内容：包含课题方向研判、选题论证、文献综述撰写、申报书编制、经费预算编制、可行性分析、研究方案设计、创新点提炼、申报材料排版优化；立项后完成开题报告、中期报告、研究过程资料、调研数据、研究台账、阶段性成果汇编。</w:t>
            </w:r>
          </w:p>
          <w:p w14:paraId="50B06DE1">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研究实践指导：指导课题组完成实地调研、数据采集、案例分析、教研实验、资料整理等研究实践工作，规范研究流程，完善课题过程性材料，保障课题可顺利推进、按期结题。</w:t>
            </w:r>
          </w:p>
          <w:p w14:paraId="1FE9FBC6">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交付成果资料：每套课题完整资料包含申报书、可行性论证报告、开题报告、实施方案、中期检查表、调研台账、研究过程资料、阶段性总结、佐证材料汇编，单套课题资料不少于60页。</w:t>
            </w:r>
          </w:p>
          <w:p w14:paraId="344A0B13">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（3）学术论文撰写及发表指导（3篇）</w:t>
            </w:r>
          </w:p>
          <w:p w14:paraId="22DA11CB">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中标方需指导完成3篇学术论文高质量撰写、润色、排版、投稿、发表全流程服务，论文贴合校内教学、专业建设、管理改革、科研实践方向，具体参数要求如下：</w:t>
            </w:r>
          </w:p>
          <w:p w14:paraId="56830B57">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论文量化指标：累计完成3篇正规学术论文指导发表，论文字符数每篇不少于4500字符，查重率控制在正规期刊要求范围内，无学术不端行为。</w:t>
            </w:r>
          </w:p>
          <w:p w14:paraId="1895938A">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论文研究方向：贴合学校专业建设、教育教学改革、实训管理、思政育人、师资建设、院校管理等本校研究方向，不得发布无关、泛化、低质量水文论文。</w:t>
            </w:r>
          </w:p>
          <w:p w14:paraId="69049066">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全流程指导内容：包含论文选题、大纲搭建、文献筛选、正文撰写、逻辑优化、语言润色、格式排版、图表规范、查重降重、期刊筛选、投稿返修、录用跟进全流程指导。</w:t>
            </w:r>
          </w:p>
          <w:p w14:paraId="41CC9B55">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期刊发表要求：发表期刊为正规合法公开发行期刊，具备国内统一刊号（CN），可在国家新闻出版总署查询备案，可用于教师职称评审、科研成果认定。</w:t>
            </w:r>
          </w:p>
          <w:p w14:paraId="4CFEB0F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交付成果：交付论文定稿、查重报告、录用通知书、期刊见刊样刊扫描件，全套论文资料汇编成册归档。</w:t>
            </w:r>
          </w:p>
          <w:p w14:paraId="75E318FB">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4.交付成果清单</w:t>
            </w:r>
          </w:p>
          <w:p w14:paraId="416A9958">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培训类：培训课件、培训台账、过程影像、测评报告、科研模板汇编手册1套；</w:t>
            </w:r>
          </w:p>
          <w:p w14:paraId="7862E755">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课题类：2项自治区级课题全套申报资料、研究过程资料、阶段性成果汇编；</w:t>
            </w:r>
          </w:p>
          <w:p w14:paraId="5E91FED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论文类：3篇学术论文定稿、查重报告、期刊录用及发表佐证材料；</w:t>
            </w:r>
          </w:p>
          <w:p w14:paraId="72CB326C">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汇总资料：本次科研服务工作总结报告、教师科研能力提升分析报告、科研成果汇总汇编手册。</w:t>
            </w:r>
          </w:p>
          <w:p w14:paraId="2AF596C7">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5.交付标准</w:t>
            </w:r>
          </w:p>
          <w:p w14:paraId="0E218D70">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完成2项自治区级课题全套申报材料报送，研究过程资料规范完整；</w:t>
            </w:r>
          </w:p>
          <w:p w14:paraId="717847DC">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完成3篇学术论文发表指导，取得正规期刊录用或见刊证明；</w:t>
            </w:r>
          </w:p>
          <w:p w14:paraId="27FBB8EA">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kern w:val="2"/>
                <w:sz w:val="21"/>
                <w:szCs w:val="21"/>
                <w:highlight w:val="none"/>
                <w:vertAlign w:val="baseline"/>
                <w:lang w:val="en-US" w:eastAsia="zh-CN" w:bidi="ar-SA"/>
              </w:rPr>
            </w:pPr>
            <w:r>
              <w:rPr>
                <w:rFonts w:hint="eastAsia" w:ascii="宋体" w:hAnsi="宋体" w:eastAsia="宋体" w:cs="宋体"/>
                <w:b w:val="0"/>
                <w:bCs w:val="0"/>
                <w:color w:val="auto"/>
                <w:sz w:val="21"/>
                <w:szCs w:val="21"/>
                <w:lang w:val="en-US" w:eastAsia="zh-CN"/>
              </w:rPr>
              <w:t>所有资料格式规范、逻辑严谨、无学术错误、无版权纠纷，全部可用于学校科研存档、职称评审、项目验收。</w:t>
            </w:r>
          </w:p>
        </w:tc>
        <w:tc>
          <w:tcPr>
            <w:tcW w:w="910" w:type="dxa"/>
            <w:tcBorders>
              <w:top w:val="single" w:color="auto" w:sz="4" w:space="0"/>
              <w:left w:val="single" w:color="auto" w:sz="4" w:space="0"/>
              <w:bottom w:val="single" w:color="auto" w:sz="4" w:space="0"/>
              <w:right w:val="single" w:color="auto" w:sz="4" w:space="0"/>
            </w:tcBorders>
            <w:noWrap w:val="0"/>
            <w:vAlign w:val="center"/>
          </w:tcPr>
          <w:p w14:paraId="2E314BD8">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60000</w:t>
            </w:r>
          </w:p>
        </w:tc>
      </w:tr>
      <w:tr w14:paraId="461960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39" w:type="dxa"/>
            <w:tcBorders>
              <w:top w:val="single" w:color="auto" w:sz="4" w:space="0"/>
              <w:left w:val="single" w:color="auto" w:sz="4" w:space="0"/>
              <w:bottom w:val="single" w:color="auto" w:sz="4" w:space="0"/>
              <w:right w:val="single" w:color="auto" w:sz="4" w:space="0"/>
            </w:tcBorders>
            <w:noWrap w:val="0"/>
            <w:vAlign w:val="center"/>
          </w:tcPr>
          <w:p w14:paraId="0A0BDD67">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0"/>
                <w:sz w:val="21"/>
                <w:szCs w:val="21"/>
                <w:highlight w:val="none"/>
                <w:lang w:val="en-US" w:eastAsia="zh-CN"/>
              </w:rPr>
            </w:pPr>
            <w:r>
              <w:rPr>
                <w:rFonts w:hint="eastAsia" w:ascii="宋体" w:hAnsi="宋体" w:eastAsia="宋体" w:cs="宋体"/>
                <w:kern w:val="0"/>
                <w:sz w:val="21"/>
                <w:szCs w:val="21"/>
                <w:highlight w:val="none"/>
                <w:lang w:val="en-US" w:eastAsia="zh-CN"/>
              </w:rPr>
              <w:t>9</w:t>
            </w:r>
          </w:p>
        </w:tc>
        <w:tc>
          <w:tcPr>
            <w:tcW w:w="720" w:type="dxa"/>
            <w:gridSpan w:val="2"/>
            <w:tcBorders>
              <w:top w:val="single" w:color="auto" w:sz="4" w:space="0"/>
              <w:left w:val="single" w:color="auto" w:sz="4" w:space="0"/>
              <w:bottom w:val="single" w:color="auto" w:sz="4" w:space="0"/>
              <w:right w:val="single" w:color="auto" w:sz="4" w:space="0"/>
            </w:tcBorders>
            <w:noWrap w:val="0"/>
            <w:vAlign w:val="center"/>
          </w:tcPr>
          <w:p w14:paraId="6DA72880">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b w:val="0"/>
                <w:bCs w:val="0"/>
                <w:i w:val="0"/>
                <w:iCs w:val="0"/>
                <w:color w:val="000000"/>
                <w:kern w:val="2"/>
                <w:sz w:val="21"/>
                <w:szCs w:val="21"/>
                <w:u w:val="none"/>
                <w:lang w:val="en-US" w:eastAsia="zh-CN" w:bidi="ar-SA"/>
              </w:rPr>
            </w:pPr>
            <w:r>
              <w:rPr>
                <w:rFonts w:hint="eastAsia" w:ascii="宋体" w:hAnsi="宋体" w:eastAsia="宋体" w:cs="宋体"/>
                <w:b w:val="0"/>
                <w:bCs w:val="0"/>
                <w:i w:val="0"/>
                <w:iCs w:val="0"/>
                <w:color w:val="000000"/>
                <w:kern w:val="2"/>
                <w:sz w:val="21"/>
                <w:szCs w:val="21"/>
                <w:u w:val="none"/>
                <w:lang w:val="en-US" w:eastAsia="zh-CN" w:bidi="ar-SA"/>
              </w:rPr>
              <w:t>教师队伍建设</w:t>
            </w:r>
          </w:p>
        </w:tc>
        <w:tc>
          <w:tcPr>
            <w:tcW w:w="413" w:type="dxa"/>
            <w:tcBorders>
              <w:top w:val="single" w:color="auto" w:sz="4" w:space="0"/>
              <w:left w:val="single" w:color="auto" w:sz="4" w:space="0"/>
              <w:bottom w:val="single" w:color="auto" w:sz="4" w:space="0"/>
              <w:right w:val="single" w:color="auto" w:sz="4" w:space="0"/>
            </w:tcBorders>
            <w:noWrap w:val="0"/>
            <w:vAlign w:val="center"/>
          </w:tcPr>
          <w:p w14:paraId="49FA91B3">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项</w:t>
            </w:r>
          </w:p>
        </w:tc>
        <w:tc>
          <w:tcPr>
            <w:tcW w:w="387" w:type="dxa"/>
            <w:tcBorders>
              <w:top w:val="single" w:color="auto" w:sz="4" w:space="0"/>
              <w:left w:val="single" w:color="auto" w:sz="4" w:space="0"/>
              <w:bottom w:val="single" w:color="auto" w:sz="4" w:space="0"/>
              <w:right w:val="single" w:color="auto" w:sz="4" w:space="0"/>
            </w:tcBorders>
            <w:noWrap w:val="0"/>
            <w:vAlign w:val="center"/>
          </w:tcPr>
          <w:p w14:paraId="2A9824AB">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w:t>
            </w:r>
          </w:p>
        </w:tc>
        <w:tc>
          <w:tcPr>
            <w:tcW w:w="6707" w:type="dxa"/>
            <w:tcBorders>
              <w:top w:val="single" w:color="auto" w:sz="4" w:space="0"/>
              <w:left w:val="single" w:color="auto" w:sz="4" w:space="0"/>
              <w:bottom w:val="single" w:color="auto" w:sz="4" w:space="0"/>
              <w:right w:val="single" w:color="auto" w:sz="4" w:space="0"/>
            </w:tcBorders>
            <w:noWrap w:val="0"/>
            <w:vAlign w:val="center"/>
          </w:tcPr>
          <w:p w14:paraId="4A0536DE">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一、服务内容</w:t>
            </w:r>
          </w:p>
          <w:p w14:paraId="33493CE6">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1.完成5名专业带头人</w:t>
            </w:r>
            <w:r>
              <w:rPr>
                <w:rFonts w:hint="eastAsia" w:ascii="宋体" w:hAnsi="宋体" w:eastAsia="宋体" w:cs="宋体"/>
                <w:b w:val="0"/>
                <w:bCs w:val="0"/>
                <w:color w:val="auto"/>
                <w:sz w:val="21"/>
                <w:szCs w:val="21"/>
                <w:highlight w:val="none"/>
                <w:lang w:val="en-US" w:eastAsia="zh-CN"/>
              </w:rPr>
              <w:t>培养；</w:t>
            </w:r>
          </w:p>
          <w:p w14:paraId="6024C814">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2.完成12名骨干教师培优培训；</w:t>
            </w:r>
          </w:p>
          <w:p w14:paraId="491B0436">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3.完成15名“双师型”教师专项培训。</w:t>
            </w:r>
          </w:p>
          <w:p w14:paraId="01BB9FFB">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二、服务要求</w:t>
            </w:r>
          </w:p>
          <w:p w14:paraId="11C522BA">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（一）专业带头人培养培训</w:t>
            </w:r>
          </w:p>
          <w:p w14:paraId="6216E61B">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1.总体建设要求</w:t>
            </w:r>
          </w:p>
          <w:p w14:paraId="344876D7">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为持续优化学校教师队伍结构，完善分层分类教师培养体系，强化专业带头人引领能力、骨干教师教学教研能力、双师型教师实践实操能力。中标方需结合学校专业建设规划、师资发展现状，定制专业化、分层化、系统化教师培养方案，开展专业带头人培养、骨干教师培优、“双师型”教师专项培训三类专项服务。通过专家授课、专题研修、案例研讨、对标学习、一对一辅导、成果打磨等方式，构建梯队化、高质量教师人才队伍，全面提升学校师资综合教学能力、专业建设能力、行业实践能力，培训成果需可量化、可归档、可评审、可溯源。</w:t>
            </w:r>
          </w:p>
          <w:p w14:paraId="7FB34B51">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2.通用培训规范要求</w:t>
            </w:r>
          </w:p>
          <w:p w14:paraId="0E8C8FC5">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培训师资要求：</w:t>
            </w:r>
            <w:r>
              <w:rPr>
                <w:rFonts w:hint="eastAsia" w:ascii="宋体" w:hAnsi="宋体" w:eastAsia="宋体" w:cs="宋体"/>
                <w:b w:val="0"/>
                <w:bCs w:val="0"/>
                <w:color w:val="auto"/>
                <w:sz w:val="21"/>
                <w:szCs w:val="21"/>
                <w:highlight w:val="none"/>
                <w:lang w:val="en-US" w:eastAsia="zh-CN"/>
              </w:rPr>
              <w:t>中标方须配备行业资深教育专家、副高及以上职称师资、专业建设评审专家、企业高级工程师组成培训团队，专家具备院校师资培养、专业建设、双师认定丰富经验；</w:t>
            </w:r>
            <w:r>
              <w:rPr>
                <w:rFonts w:hint="eastAsia" w:ascii="宋体" w:hAnsi="宋体" w:eastAsia="宋体" w:cs="宋体"/>
                <w:b w:val="0"/>
                <w:bCs w:val="0"/>
                <w:color w:val="auto"/>
                <w:sz w:val="21"/>
                <w:szCs w:val="21"/>
                <w:lang w:val="en-US" w:eastAsia="zh-CN"/>
              </w:rPr>
              <w:t>未经采购方同意不得随意更换授课专家。</w:t>
            </w:r>
          </w:p>
          <w:p w14:paraId="2DE6139F">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培训形式要求：采用线下集中面授为主、线上答疑为辅模式，结合专题授课、案例剖析、现场研讨、对标观摩、成果打磨、一对一指导等方式开展培训。</w:t>
            </w:r>
          </w:p>
          <w:p w14:paraId="2E39125D">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过程资料要求：每一场培训须完整留存培训方案、培训课件、人员台账、签到表、现场照片、培训视频、学员作业、考核记录、培训总结，形成标准化培训档案。</w:t>
            </w:r>
          </w:p>
          <w:p w14:paraId="5A8D4C42">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成果版权要求：本次培训所有课件、资料、培养成果、研修材料版权归采购方独家所有，中标方不得外泄、复用、商用，需签订保密协议。</w:t>
            </w:r>
          </w:p>
          <w:p w14:paraId="20DD0AB4">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修改服务要求：培训结束后提供不少于3个月课后答疑、资料优化、成果打磨服务，指导教师完成培训成果固化。</w:t>
            </w:r>
          </w:p>
          <w:p w14:paraId="3C77FE4C">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3.具体要求</w:t>
            </w:r>
          </w:p>
          <w:p w14:paraId="4F095D08">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①专业带头人培养建设</w:t>
            </w:r>
          </w:p>
          <w:p w14:paraId="1A85192C">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聚焦专业建设、专业规划、课程改革、团队管理、教研创新能力，针对性培养专业带头人，明确人员数量、培训场次及培养内容。</w:t>
            </w:r>
          </w:p>
          <w:p w14:paraId="18686F95">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培养人员量化：选拔培养专业带头人不少于5名，覆盖学校重点建设专业。</w:t>
            </w:r>
          </w:p>
          <w:p w14:paraId="16046CA1">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培训场次量化：开展专业带头人专项研修培训不少于5场，单场培训时长≥120分钟。</w:t>
            </w:r>
          </w:p>
          <w:p w14:paraId="63D511BE">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核心培养内容：包含专业人才培养方案编制、专业群建设规划、专业诊断与改进、课程体系搭建、教学团队管理、教改项目申报、专业建设成果凝练、行业产业调研、校企合作运营、质量年报撰写。</w:t>
            </w:r>
          </w:p>
          <w:p w14:paraId="579AC3D2">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培养成果要求：每名专业带头人形成1份专业建设发展规划、1份专业诊断分析报告、1份教改优化方案；汇总形成《专业带头人培养成果汇编》。</w:t>
            </w:r>
          </w:p>
          <w:p w14:paraId="0681C04D">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考核评价要求：采用专家评价+成果评审方式，对带头人专业研判能力、规划能力、统筹能力进行综合考评，出具个人培养评价报告。</w:t>
            </w:r>
          </w:p>
          <w:p w14:paraId="6BBF3256">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②骨干教师培优培训</w:t>
            </w:r>
          </w:p>
          <w:p w14:paraId="7BDEB53C">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以打造教学能力强、教研能力优、示范引领突出的骨干教师队伍为目标，开展培优拔高专项培训，夯实教学基本功，提升教研创新能力。</w:t>
            </w:r>
          </w:p>
          <w:p w14:paraId="7C625B9B">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培训人员量化：选拔校内优秀专任教师，完成骨干教师培优不少于12名。</w:t>
            </w:r>
          </w:p>
          <w:p w14:paraId="7EDA6821">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培训场次量化：开展骨干教师培优专题培训不少于5场，单场培训时长≥120分钟。</w:t>
            </w:r>
          </w:p>
          <w:p w14:paraId="2D288BE3">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核心培训内容：包含教学设计优化、精品课程打造、教学能力比赛备赛、课件制作优化、课堂教学改革、教学评价设计、教研论文撰写、教学案例打磨、信息化教学技术应用、教学成果提炼。</w:t>
            </w:r>
          </w:p>
          <w:p w14:paraId="6D8EB88B">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培训成果要求：每名骨干教师完成1份高质量教学设计、1套精品教学课件、1份教学案例；培训结束后形成骨干教师教学能力测评档案，汇编《骨干教师培优成果集》。</w:t>
            </w:r>
          </w:p>
          <w:p w14:paraId="6F926221">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培优考核要求：开展课堂模拟教学、教学设计评比、教学案例互评，形成教师能力排名、优劣分析、成长建议，建立骨干教师成长跟踪台账。</w:t>
            </w:r>
          </w:p>
          <w:p w14:paraId="6C10BD65">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③“双师型”教师专项培训</w:t>
            </w:r>
          </w:p>
          <w:p w14:paraId="542A1FF5">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对标行业职业标准、双师教师认定条件，强化教师行业实操能力、岗位实践能力、专业技术应用能力，完善双师型教师队伍建设。</w:t>
            </w:r>
          </w:p>
          <w:p w14:paraId="6019637F">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培训人员量化：组织开展双师型教师专项培训不少于15人，重点面向无行业资质、企业实践经历薄弱教师。</w:t>
            </w:r>
          </w:p>
          <w:p w14:paraId="1922098F">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培训场次量化：开展双师专项培训不少于5场，包含行业技术实操、企业实践规范、职业技能认证三类培训，单场时长≥120分钟。</w:t>
            </w:r>
          </w:p>
          <w:p w14:paraId="1D6B2FBA">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核心培训内容：包含行业前沿技术标准、岗位实操流程、企业生产管理规范、职业技能等级认定、双师资质申报流程、实训课程开发、实训场地管理、实操教学方法、行业案例应用。</w:t>
            </w:r>
          </w:p>
          <w:p w14:paraId="73FFF8F1">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培训成果要求：参训教师完成实操作业、技能考核、行业调研报告；完善个人双师成长档案，明确资质考取计划、企业实践计划、技能提升计划，形成《双师型教师专项培训汇编手册》。</w:t>
            </w:r>
          </w:p>
          <w:p w14:paraId="403DE97E">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能力达标要求：培训结束后，参训教师熟练掌握本专业岗位基础实操技能、行业最新规范，具备独立开展实训教学、实操指导的能力。</w:t>
            </w:r>
          </w:p>
          <w:p w14:paraId="2F34E794">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4.统一交付成果清单</w:t>
            </w:r>
          </w:p>
          <w:p w14:paraId="399B023F">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培训资料：全套培训课件、授课讲义、培训制度、培训流程方案；</w:t>
            </w:r>
          </w:p>
          <w:p w14:paraId="43EDD64E">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过程档案：每场培训签到表、影像资料、培训记录表、学员台账；</w:t>
            </w:r>
          </w:p>
          <w:p w14:paraId="02940C6B">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成果汇编：《专业带头人培养成果汇编》《骨干教师培优成果集》《双师型教师培训手册》；</w:t>
            </w:r>
          </w:p>
          <w:p w14:paraId="2E9C183C">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评价报告：教师个人能力测评报告、师资队伍建设综合分析报告、后期培养改进建议方案。</w:t>
            </w:r>
          </w:p>
          <w:p w14:paraId="0666E7B0">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5.交付标准</w:t>
            </w:r>
          </w:p>
          <w:p w14:paraId="520F06F0">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人员数量达标：专业带头人≥5人、骨干教师≥12人、双师型教师≥15人；</w:t>
            </w:r>
          </w:p>
          <w:p w14:paraId="63FE128F">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培训场次达标：专业带头人培训≥5场、骨干教师培训≥5场、双师培训≥5场，总培训场次不少于15场；</w:t>
            </w:r>
          </w:p>
          <w:p w14:paraId="56E5ADC9">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培训资料齐全规范，过程留痕完整，成果汇编成册、可查阅、可归档；</w:t>
            </w:r>
          </w:p>
          <w:p w14:paraId="0D74A60F">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kern w:val="2"/>
                <w:sz w:val="21"/>
                <w:szCs w:val="21"/>
                <w:highlight w:val="none"/>
                <w:vertAlign w:val="baseline"/>
                <w:lang w:val="en-US" w:eastAsia="zh-CN" w:bidi="ar-SA"/>
              </w:rPr>
            </w:pPr>
            <w:r>
              <w:rPr>
                <w:rFonts w:hint="eastAsia" w:ascii="宋体" w:hAnsi="宋体" w:eastAsia="宋体" w:cs="宋体"/>
                <w:b w:val="0"/>
                <w:bCs w:val="0"/>
                <w:color w:val="auto"/>
                <w:sz w:val="21"/>
                <w:szCs w:val="21"/>
                <w:lang w:val="en-US" w:eastAsia="zh-CN"/>
              </w:rPr>
              <w:t>参训教师完成对应考核任务，能力指标达到本次师资建设培养要求。</w:t>
            </w:r>
          </w:p>
        </w:tc>
        <w:tc>
          <w:tcPr>
            <w:tcW w:w="910" w:type="dxa"/>
            <w:tcBorders>
              <w:top w:val="single" w:color="auto" w:sz="4" w:space="0"/>
              <w:left w:val="single" w:color="auto" w:sz="4" w:space="0"/>
              <w:bottom w:val="single" w:color="auto" w:sz="4" w:space="0"/>
              <w:right w:val="single" w:color="auto" w:sz="4" w:space="0"/>
            </w:tcBorders>
            <w:noWrap w:val="0"/>
            <w:vAlign w:val="center"/>
          </w:tcPr>
          <w:p w14:paraId="569BB3FD">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80000</w:t>
            </w:r>
          </w:p>
        </w:tc>
      </w:tr>
      <w:tr w14:paraId="2B5EE0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39" w:type="dxa"/>
            <w:tcBorders>
              <w:top w:val="single" w:color="auto" w:sz="4" w:space="0"/>
              <w:left w:val="single" w:color="auto" w:sz="4" w:space="0"/>
              <w:bottom w:val="single" w:color="auto" w:sz="4" w:space="0"/>
              <w:right w:val="single" w:color="auto" w:sz="4" w:space="0"/>
            </w:tcBorders>
            <w:noWrap w:val="0"/>
            <w:vAlign w:val="center"/>
          </w:tcPr>
          <w:p w14:paraId="0F10FF1C">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0"/>
                <w:sz w:val="21"/>
                <w:szCs w:val="21"/>
                <w:highlight w:val="none"/>
                <w:lang w:val="en-US" w:eastAsia="zh-CN"/>
              </w:rPr>
            </w:pPr>
            <w:r>
              <w:rPr>
                <w:rFonts w:hint="eastAsia" w:ascii="宋体" w:hAnsi="宋体" w:eastAsia="宋体" w:cs="宋体"/>
                <w:kern w:val="0"/>
                <w:sz w:val="21"/>
                <w:szCs w:val="21"/>
                <w:highlight w:val="none"/>
                <w:lang w:val="en-US" w:eastAsia="zh-CN"/>
              </w:rPr>
              <w:t>10</w:t>
            </w:r>
          </w:p>
        </w:tc>
        <w:tc>
          <w:tcPr>
            <w:tcW w:w="720" w:type="dxa"/>
            <w:gridSpan w:val="2"/>
            <w:tcBorders>
              <w:top w:val="single" w:color="auto" w:sz="4" w:space="0"/>
              <w:left w:val="single" w:color="auto" w:sz="4" w:space="0"/>
              <w:bottom w:val="single" w:color="auto" w:sz="4" w:space="0"/>
              <w:right w:val="single" w:color="auto" w:sz="4" w:space="0"/>
            </w:tcBorders>
            <w:noWrap w:val="0"/>
            <w:vAlign w:val="center"/>
          </w:tcPr>
          <w:p w14:paraId="79561021">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b w:val="0"/>
                <w:bCs w:val="0"/>
                <w:i w:val="0"/>
                <w:iCs w:val="0"/>
                <w:color w:val="000000"/>
                <w:kern w:val="2"/>
                <w:sz w:val="21"/>
                <w:szCs w:val="21"/>
                <w:u w:val="none"/>
                <w:lang w:val="en-US" w:eastAsia="zh-CN" w:bidi="ar-SA"/>
              </w:rPr>
            </w:pPr>
            <w:r>
              <w:rPr>
                <w:rFonts w:hint="eastAsia" w:ascii="宋体" w:hAnsi="宋体" w:eastAsia="宋体" w:cs="宋体"/>
                <w:b w:val="0"/>
                <w:bCs w:val="0"/>
                <w:i w:val="0"/>
                <w:iCs w:val="0"/>
                <w:color w:val="000000"/>
                <w:kern w:val="2"/>
                <w:sz w:val="21"/>
                <w:szCs w:val="21"/>
                <w:u w:val="none"/>
                <w:lang w:val="en-US" w:eastAsia="zh-CN" w:bidi="ar-SA"/>
              </w:rPr>
              <w:t>开发烹饪专业群国际化课程1门</w:t>
            </w:r>
          </w:p>
        </w:tc>
        <w:tc>
          <w:tcPr>
            <w:tcW w:w="413" w:type="dxa"/>
            <w:tcBorders>
              <w:top w:val="single" w:color="auto" w:sz="4" w:space="0"/>
              <w:left w:val="single" w:color="auto" w:sz="4" w:space="0"/>
              <w:bottom w:val="single" w:color="auto" w:sz="4" w:space="0"/>
              <w:right w:val="single" w:color="auto" w:sz="4" w:space="0"/>
            </w:tcBorders>
            <w:noWrap w:val="0"/>
            <w:vAlign w:val="center"/>
          </w:tcPr>
          <w:p w14:paraId="66B9331B">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项</w:t>
            </w:r>
          </w:p>
        </w:tc>
        <w:tc>
          <w:tcPr>
            <w:tcW w:w="387" w:type="dxa"/>
            <w:tcBorders>
              <w:top w:val="single" w:color="auto" w:sz="4" w:space="0"/>
              <w:left w:val="single" w:color="auto" w:sz="4" w:space="0"/>
              <w:bottom w:val="single" w:color="auto" w:sz="4" w:space="0"/>
              <w:right w:val="single" w:color="auto" w:sz="4" w:space="0"/>
            </w:tcBorders>
            <w:noWrap w:val="0"/>
            <w:vAlign w:val="center"/>
          </w:tcPr>
          <w:p w14:paraId="66AEC66F">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w:t>
            </w:r>
          </w:p>
        </w:tc>
        <w:tc>
          <w:tcPr>
            <w:tcW w:w="6707" w:type="dxa"/>
            <w:tcBorders>
              <w:top w:val="single" w:color="auto" w:sz="4" w:space="0"/>
              <w:left w:val="single" w:color="auto" w:sz="4" w:space="0"/>
              <w:bottom w:val="single" w:color="auto" w:sz="4" w:space="0"/>
              <w:right w:val="single" w:color="auto" w:sz="4" w:space="0"/>
            </w:tcBorders>
            <w:noWrap w:val="0"/>
            <w:vAlign w:val="center"/>
          </w:tcPr>
          <w:p w14:paraId="5BF06563">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一、课程的资源开发要求</w:t>
            </w:r>
          </w:p>
          <w:p w14:paraId="4D218E0C">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（一）中英双语开发</w:t>
            </w:r>
          </w:p>
          <w:p w14:paraId="1C5B8F7F">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1.所有视频资源配中英双语字幕；</w:t>
            </w:r>
          </w:p>
          <w:p w14:paraId="076FE563">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2.所有课件配中英双语文本；</w:t>
            </w:r>
          </w:p>
          <w:p w14:paraId="6997A0E3">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3.所有试题配中英双语文本；</w:t>
            </w:r>
          </w:p>
          <w:p w14:paraId="7405D385">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4.所有的工作页内容配中英双语文本。</w:t>
            </w:r>
          </w:p>
          <w:p w14:paraId="58618116">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（二）课程资源数量要求</w:t>
            </w:r>
          </w:p>
          <w:tbl>
            <w:tblPr>
              <w:tblStyle w:val="17"/>
              <w:tblpPr w:leftFromText="180" w:rightFromText="180" w:vertAnchor="text" w:horzAnchor="page" w:tblpX="369" w:tblpY="76"/>
              <w:tblOverlap w:val="never"/>
              <w:tblW w:w="59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9"/>
              <w:gridCol w:w="774"/>
              <w:gridCol w:w="4075"/>
            </w:tblGrid>
            <w:tr w14:paraId="77F5A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1109" w:type="dxa"/>
                  <w:noWrap w:val="0"/>
                  <w:tcMar>
                    <w:top w:w="28" w:type="dxa"/>
                    <w:left w:w="28" w:type="dxa"/>
                    <w:bottom w:w="28" w:type="dxa"/>
                    <w:right w:w="28" w:type="dxa"/>
                  </w:tcMar>
                  <w:vAlign w:val="center"/>
                </w:tcPr>
                <w:p w14:paraId="4B62BC16">
                  <w:pPr>
                    <w:keepNext w:val="0"/>
                    <w:keepLines w:val="0"/>
                    <w:pageBreakBefore w:val="0"/>
                    <w:widowControl w:val="0"/>
                    <w:kinsoku/>
                    <w:wordWrap/>
                    <w:overflowPunct/>
                    <w:topLinePunct w:val="0"/>
                    <w:autoSpaceDE/>
                    <w:autoSpaceDN/>
                    <w:bidi w:val="0"/>
                    <w:adjustRightInd/>
                    <w:snapToGrid/>
                    <w:spacing w:line="360" w:lineRule="exact"/>
                    <w:ind w:right="0" w:righ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资源</w:t>
                  </w:r>
                </w:p>
                <w:p w14:paraId="7ADBB63D">
                  <w:pPr>
                    <w:keepNext w:val="0"/>
                    <w:keepLines w:val="0"/>
                    <w:pageBreakBefore w:val="0"/>
                    <w:widowControl w:val="0"/>
                    <w:kinsoku/>
                    <w:wordWrap/>
                    <w:overflowPunct/>
                    <w:topLinePunct w:val="0"/>
                    <w:autoSpaceDE/>
                    <w:autoSpaceDN/>
                    <w:bidi w:val="0"/>
                    <w:adjustRightInd/>
                    <w:snapToGrid/>
                    <w:spacing w:line="360" w:lineRule="exact"/>
                    <w:ind w:right="0" w:righ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类型</w:t>
                  </w:r>
                </w:p>
              </w:tc>
              <w:tc>
                <w:tcPr>
                  <w:tcW w:w="774" w:type="dxa"/>
                  <w:noWrap w:val="0"/>
                  <w:tcMar>
                    <w:top w:w="28" w:type="dxa"/>
                    <w:left w:w="28" w:type="dxa"/>
                    <w:bottom w:w="28" w:type="dxa"/>
                    <w:right w:w="28" w:type="dxa"/>
                  </w:tcMar>
                  <w:vAlign w:val="center"/>
                </w:tcPr>
                <w:p w14:paraId="7AC73DE2">
                  <w:pPr>
                    <w:keepNext w:val="0"/>
                    <w:keepLines w:val="0"/>
                    <w:pageBreakBefore w:val="0"/>
                    <w:widowControl w:val="0"/>
                    <w:kinsoku/>
                    <w:wordWrap/>
                    <w:overflowPunct/>
                    <w:topLinePunct w:val="0"/>
                    <w:autoSpaceDE/>
                    <w:autoSpaceDN/>
                    <w:bidi w:val="0"/>
                    <w:adjustRightInd/>
                    <w:snapToGrid/>
                    <w:spacing w:line="360" w:lineRule="exact"/>
                    <w:ind w:right="0" w:righ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数量</w:t>
                  </w:r>
                </w:p>
              </w:tc>
              <w:tc>
                <w:tcPr>
                  <w:tcW w:w="4075" w:type="dxa"/>
                  <w:noWrap w:val="0"/>
                  <w:tcMar>
                    <w:top w:w="28" w:type="dxa"/>
                    <w:left w:w="28" w:type="dxa"/>
                    <w:bottom w:w="28" w:type="dxa"/>
                    <w:right w:w="28" w:type="dxa"/>
                  </w:tcMar>
                  <w:vAlign w:val="center"/>
                </w:tcPr>
                <w:p w14:paraId="0B716592">
                  <w:pPr>
                    <w:keepNext w:val="0"/>
                    <w:keepLines w:val="0"/>
                    <w:pageBreakBefore w:val="0"/>
                    <w:widowControl w:val="0"/>
                    <w:kinsoku/>
                    <w:wordWrap/>
                    <w:overflowPunct/>
                    <w:topLinePunct w:val="0"/>
                    <w:autoSpaceDE/>
                    <w:autoSpaceDN/>
                    <w:bidi w:val="0"/>
                    <w:adjustRightInd/>
                    <w:snapToGrid/>
                    <w:spacing w:line="360" w:lineRule="exact"/>
                    <w:ind w:right="0" w:righ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备注</w:t>
                  </w:r>
                </w:p>
              </w:tc>
            </w:tr>
            <w:tr w14:paraId="21D02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trPr>
              <w:tc>
                <w:tcPr>
                  <w:tcW w:w="1109" w:type="dxa"/>
                  <w:noWrap w:val="0"/>
                  <w:tcMar>
                    <w:top w:w="28" w:type="dxa"/>
                    <w:left w:w="28" w:type="dxa"/>
                    <w:bottom w:w="28" w:type="dxa"/>
                    <w:right w:w="28" w:type="dxa"/>
                  </w:tcMar>
                  <w:vAlign w:val="center"/>
                </w:tcPr>
                <w:p w14:paraId="3B9EE06A">
                  <w:pPr>
                    <w:keepNext w:val="0"/>
                    <w:keepLines w:val="0"/>
                    <w:pageBreakBefore w:val="0"/>
                    <w:widowControl w:val="0"/>
                    <w:kinsoku/>
                    <w:wordWrap/>
                    <w:overflowPunct/>
                    <w:topLinePunct w:val="0"/>
                    <w:autoSpaceDE/>
                    <w:autoSpaceDN/>
                    <w:bidi w:val="0"/>
                    <w:adjustRightInd/>
                    <w:snapToGrid/>
                    <w:spacing w:line="360" w:lineRule="exact"/>
                    <w:ind w:right="0" w:righ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中英双语微课视频拍摄及制作</w:t>
                  </w:r>
                </w:p>
              </w:tc>
              <w:tc>
                <w:tcPr>
                  <w:tcW w:w="774" w:type="dxa"/>
                  <w:noWrap w:val="0"/>
                  <w:tcMar>
                    <w:top w:w="28" w:type="dxa"/>
                    <w:left w:w="28" w:type="dxa"/>
                    <w:bottom w:w="28" w:type="dxa"/>
                    <w:right w:w="28" w:type="dxa"/>
                  </w:tcMar>
                  <w:vAlign w:val="center"/>
                </w:tcPr>
                <w:p w14:paraId="10DF5C20">
                  <w:pPr>
                    <w:keepNext w:val="0"/>
                    <w:keepLines w:val="0"/>
                    <w:pageBreakBefore w:val="0"/>
                    <w:widowControl w:val="0"/>
                    <w:kinsoku/>
                    <w:wordWrap/>
                    <w:overflowPunct/>
                    <w:topLinePunct w:val="0"/>
                    <w:autoSpaceDE/>
                    <w:autoSpaceDN/>
                    <w:bidi w:val="0"/>
                    <w:adjustRightInd/>
                    <w:snapToGrid/>
                    <w:spacing w:line="360" w:lineRule="exact"/>
                    <w:ind w:right="0" w:rightChars="0"/>
                    <w:jc w:val="center"/>
                    <w:textAlignment w:val="auto"/>
                    <w:rPr>
                      <w:rFonts w:hint="eastAsia" w:ascii="宋体" w:hAnsi="宋体" w:eastAsia="宋体" w:cs="宋体"/>
                      <w:color w:val="auto"/>
                      <w:kern w:val="2"/>
                      <w:sz w:val="21"/>
                      <w:szCs w:val="21"/>
                      <w:highlight w:val="none"/>
                      <w:lang w:val="en-US" w:eastAsia="zh-CN" w:bidi="ar-SA"/>
                    </w:rPr>
                  </w:pPr>
                </w:p>
                <w:p w14:paraId="3BA1097A">
                  <w:pPr>
                    <w:keepNext w:val="0"/>
                    <w:keepLines w:val="0"/>
                    <w:pageBreakBefore w:val="0"/>
                    <w:widowControl w:val="0"/>
                    <w:kinsoku/>
                    <w:wordWrap/>
                    <w:overflowPunct/>
                    <w:topLinePunct w:val="0"/>
                    <w:autoSpaceDE/>
                    <w:autoSpaceDN/>
                    <w:bidi w:val="0"/>
                    <w:adjustRightInd/>
                    <w:snapToGrid/>
                    <w:spacing w:line="360" w:lineRule="exact"/>
                    <w:ind w:right="0" w:righ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35个</w:t>
                  </w:r>
                </w:p>
              </w:tc>
              <w:tc>
                <w:tcPr>
                  <w:tcW w:w="4075" w:type="dxa"/>
                  <w:noWrap w:val="0"/>
                  <w:tcMar>
                    <w:top w:w="28" w:type="dxa"/>
                    <w:left w:w="28" w:type="dxa"/>
                    <w:bottom w:w="28" w:type="dxa"/>
                    <w:right w:w="28" w:type="dxa"/>
                  </w:tcMar>
                  <w:vAlign w:val="center"/>
                </w:tcPr>
                <w:p w14:paraId="210FC39B">
                  <w:pPr>
                    <w:keepNext w:val="0"/>
                    <w:keepLines w:val="0"/>
                    <w:pageBreakBefore w:val="0"/>
                    <w:widowControl w:val="0"/>
                    <w:kinsoku/>
                    <w:wordWrap/>
                    <w:overflowPunct/>
                    <w:topLinePunct w:val="0"/>
                    <w:autoSpaceDE/>
                    <w:autoSpaceDN/>
                    <w:bidi w:val="0"/>
                    <w:adjustRightInd/>
                    <w:snapToGrid/>
                    <w:spacing w:line="360" w:lineRule="exact"/>
                    <w:ind w:right="0" w:rightChars="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时长5-10分钟/个。匹配教学内容中的重点、难点，以视频形式讲解、演示，使学生通过灵活、活泼的形式学习知识点。</w:t>
                  </w:r>
                </w:p>
              </w:tc>
            </w:tr>
            <w:tr w14:paraId="23A79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8" w:hRule="atLeast"/>
              </w:trPr>
              <w:tc>
                <w:tcPr>
                  <w:tcW w:w="1109" w:type="dxa"/>
                  <w:noWrap w:val="0"/>
                  <w:tcMar>
                    <w:top w:w="28" w:type="dxa"/>
                    <w:left w:w="28" w:type="dxa"/>
                    <w:bottom w:w="28" w:type="dxa"/>
                    <w:right w:w="28" w:type="dxa"/>
                  </w:tcMar>
                  <w:vAlign w:val="center"/>
                </w:tcPr>
                <w:p w14:paraId="3BB7035C">
                  <w:pPr>
                    <w:keepNext w:val="0"/>
                    <w:keepLines w:val="0"/>
                    <w:pageBreakBefore w:val="0"/>
                    <w:widowControl w:val="0"/>
                    <w:kinsoku/>
                    <w:wordWrap/>
                    <w:overflowPunct/>
                    <w:topLinePunct w:val="0"/>
                    <w:autoSpaceDE/>
                    <w:autoSpaceDN/>
                    <w:bidi w:val="0"/>
                    <w:adjustRightInd/>
                    <w:snapToGrid/>
                    <w:spacing w:line="360" w:lineRule="exact"/>
                    <w:ind w:right="0" w:righ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中英双语二维动画视频制作</w:t>
                  </w:r>
                </w:p>
              </w:tc>
              <w:tc>
                <w:tcPr>
                  <w:tcW w:w="774" w:type="dxa"/>
                  <w:noWrap w:val="0"/>
                  <w:tcMar>
                    <w:top w:w="28" w:type="dxa"/>
                    <w:left w:w="28" w:type="dxa"/>
                    <w:bottom w:w="28" w:type="dxa"/>
                    <w:right w:w="28" w:type="dxa"/>
                  </w:tcMar>
                  <w:vAlign w:val="center"/>
                </w:tcPr>
                <w:p w14:paraId="3052BF6E">
                  <w:pPr>
                    <w:keepNext w:val="0"/>
                    <w:keepLines w:val="0"/>
                    <w:pageBreakBefore w:val="0"/>
                    <w:widowControl w:val="0"/>
                    <w:kinsoku/>
                    <w:wordWrap/>
                    <w:overflowPunct/>
                    <w:topLinePunct w:val="0"/>
                    <w:autoSpaceDE/>
                    <w:autoSpaceDN/>
                    <w:bidi w:val="0"/>
                    <w:adjustRightInd/>
                    <w:snapToGrid/>
                    <w:spacing w:line="360" w:lineRule="exact"/>
                    <w:ind w:right="0" w:righ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5个</w:t>
                  </w:r>
                </w:p>
              </w:tc>
              <w:tc>
                <w:tcPr>
                  <w:tcW w:w="4075" w:type="dxa"/>
                  <w:noWrap w:val="0"/>
                  <w:tcMar>
                    <w:top w:w="28" w:type="dxa"/>
                    <w:left w:w="28" w:type="dxa"/>
                    <w:bottom w:w="28" w:type="dxa"/>
                    <w:right w:w="28" w:type="dxa"/>
                  </w:tcMar>
                  <w:vAlign w:val="center"/>
                </w:tcPr>
                <w:p w14:paraId="688BD954">
                  <w:pPr>
                    <w:keepNext w:val="0"/>
                    <w:keepLines w:val="0"/>
                    <w:pageBreakBefore w:val="0"/>
                    <w:widowControl w:val="0"/>
                    <w:kinsoku/>
                    <w:wordWrap/>
                    <w:overflowPunct/>
                    <w:topLinePunct w:val="0"/>
                    <w:autoSpaceDE/>
                    <w:autoSpaceDN/>
                    <w:bidi w:val="0"/>
                    <w:adjustRightInd/>
                    <w:snapToGrid/>
                    <w:spacing w:line="360" w:lineRule="exact"/>
                    <w:ind w:right="0" w:rightChars="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时长5-10分钟/个。匹配教学内容中的重点、难点，以视频形式讲解、演示，使学生通过灵活、活泼的形式学习知识点。</w:t>
                  </w:r>
                </w:p>
              </w:tc>
            </w:tr>
            <w:tr w14:paraId="42EF5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1" w:hRule="atLeast"/>
              </w:trPr>
              <w:tc>
                <w:tcPr>
                  <w:tcW w:w="1109" w:type="dxa"/>
                  <w:noWrap w:val="0"/>
                  <w:tcMar>
                    <w:top w:w="28" w:type="dxa"/>
                    <w:left w:w="28" w:type="dxa"/>
                    <w:bottom w:w="28" w:type="dxa"/>
                    <w:right w:w="28" w:type="dxa"/>
                  </w:tcMar>
                  <w:vAlign w:val="center"/>
                </w:tcPr>
                <w:p w14:paraId="1023B1C1">
                  <w:pPr>
                    <w:keepNext w:val="0"/>
                    <w:keepLines w:val="0"/>
                    <w:pageBreakBefore w:val="0"/>
                    <w:widowControl w:val="0"/>
                    <w:kinsoku/>
                    <w:wordWrap/>
                    <w:overflowPunct/>
                    <w:topLinePunct w:val="0"/>
                    <w:autoSpaceDE/>
                    <w:autoSpaceDN/>
                    <w:bidi w:val="0"/>
                    <w:adjustRightInd/>
                    <w:snapToGrid/>
                    <w:spacing w:line="360" w:lineRule="exact"/>
                    <w:ind w:right="0" w:righ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中英双语试题开发</w:t>
                  </w:r>
                </w:p>
              </w:tc>
              <w:tc>
                <w:tcPr>
                  <w:tcW w:w="774" w:type="dxa"/>
                  <w:noWrap w:val="0"/>
                  <w:tcMar>
                    <w:top w:w="28" w:type="dxa"/>
                    <w:left w:w="28" w:type="dxa"/>
                    <w:bottom w:w="28" w:type="dxa"/>
                    <w:right w:w="28" w:type="dxa"/>
                  </w:tcMar>
                  <w:vAlign w:val="center"/>
                </w:tcPr>
                <w:p w14:paraId="4E2B3114">
                  <w:pPr>
                    <w:keepNext w:val="0"/>
                    <w:keepLines w:val="0"/>
                    <w:pageBreakBefore w:val="0"/>
                    <w:widowControl w:val="0"/>
                    <w:kinsoku/>
                    <w:wordWrap/>
                    <w:overflowPunct/>
                    <w:topLinePunct w:val="0"/>
                    <w:autoSpaceDE/>
                    <w:autoSpaceDN/>
                    <w:bidi w:val="0"/>
                    <w:adjustRightInd/>
                    <w:snapToGrid/>
                    <w:spacing w:line="360" w:lineRule="exact"/>
                    <w:ind w:right="0" w:righ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1套</w:t>
                  </w:r>
                </w:p>
              </w:tc>
              <w:tc>
                <w:tcPr>
                  <w:tcW w:w="4075" w:type="dxa"/>
                  <w:noWrap w:val="0"/>
                  <w:tcMar>
                    <w:top w:w="28" w:type="dxa"/>
                    <w:left w:w="28" w:type="dxa"/>
                    <w:bottom w:w="28" w:type="dxa"/>
                    <w:right w:w="28" w:type="dxa"/>
                  </w:tcMar>
                  <w:vAlign w:val="center"/>
                </w:tcPr>
                <w:p w14:paraId="0C7E770D">
                  <w:pPr>
                    <w:keepNext w:val="0"/>
                    <w:keepLines w:val="0"/>
                    <w:pageBreakBefore w:val="0"/>
                    <w:widowControl w:val="0"/>
                    <w:kinsoku/>
                    <w:wordWrap/>
                    <w:overflowPunct/>
                    <w:topLinePunct w:val="0"/>
                    <w:autoSpaceDE/>
                    <w:autoSpaceDN/>
                    <w:bidi w:val="0"/>
                    <w:adjustRightInd/>
                    <w:snapToGrid/>
                    <w:spacing w:line="360" w:lineRule="exact"/>
                    <w:ind w:right="0" w:rightChars="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每门课每个教学任务</w:t>
                  </w:r>
                  <w:r>
                    <w:rPr>
                      <w:rFonts w:hint="eastAsia" w:ascii="宋体" w:hAnsi="宋体" w:eastAsia="宋体" w:cs="宋体"/>
                      <w:color w:val="auto"/>
                      <w:sz w:val="21"/>
                      <w:szCs w:val="21"/>
                      <w:highlight w:val="none"/>
                      <w:lang w:val="en-US" w:eastAsia="zh-CN"/>
                    </w:rPr>
                    <w:t>配套</w:t>
                  </w:r>
                  <w:r>
                    <w:rPr>
                      <w:rFonts w:hint="eastAsia" w:ascii="宋体" w:hAnsi="宋体" w:eastAsia="宋体" w:cs="宋体"/>
                      <w:color w:val="auto"/>
                      <w:sz w:val="21"/>
                      <w:szCs w:val="21"/>
                      <w:highlight w:val="none"/>
                    </w:rPr>
                    <w:t>课后练习题和单元自测题，</w:t>
                  </w:r>
                  <w:r>
                    <w:rPr>
                      <w:rFonts w:hint="eastAsia" w:ascii="宋体" w:hAnsi="宋体" w:eastAsia="宋体" w:cs="宋体"/>
                      <w:color w:val="auto"/>
                      <w:sz w:val="21"/>
                      <w:szCs w:val="21"/>
                      <w:highlight w:val="none"/>
                      <w:lang w:val="en-US" w:eastAsia="zh-CN"/>
                    </w:rPr>
                    <w:t>课后练习题不低于50道题，单元自测题不低于200道题，</w:t>
                  </w:r>
                  <w:r>
                    <w:rPr>
                      <w:rFonts w:hint="eastAsia" w:ascii="宋体" w:hAnsi="宋体" w:eastAsia="宋体" w:cs="宋体"/>
                      <w:color w:val="auto"/>
                      <w:sz w:val="21"/>
                      <w:szCs w:val="21"/>
                      <w:highlight w:val="none"/>
                    </w:rPr>
                    <w:t>课后检验学习成果和重难点掌握情况。</w:t>
                  </w:r>
                </w:p>
              </w:tc>
            </w:tr>
            <w:tr w14:paraId="4D6F6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1109" w:type="dxa"/>
                  <w:noWrap w:val="0"/>
                  <w:tcMar>
                    <w:top w:w="28" w:type="dxa"/>
                    <w:left w:w="28" w:type="dxa"/>
                    <w:bottom w:w="28" w:type="dxa"/>
                    <w:right w:w="28" w:type="dxa"/>
                  </w:tcMar>
                  <w:vAlign w:val="center"/>
                </w:tcPr>
                <w:p w14:paraId="5EDC9ACB">
                  <w:pPr>
                    <w:keepNext w:val="0"/>
                    <w:keepLines w:val="0"/>
                    <w:pageBreakBefore w:val="0"/>
                    <w:widowControl w:val="0"/>
                    <w:kinsoku/>
                    <w:wordWrap/>
                    <w:overflowPunct/>
                    <w:topLinePunct w:val="0"/>
                    <w:autoSpaceDE/>
                    <w:autoSpaceDN/>
                    <w:bidi w:val="0"/>
                    <w:adjustRightInd/>
                    <w:snapToGrid/>
                    <w:spacing w:line="360" w:lineRule="exact"/>
                    <w:ind w:right="0" w:righ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中英双语工作页开发翻译</w:t>
                  </w:r>
                </w:p>
              </w:tc>
              <w:tc>
                <w:tcPr>
                  <w:tcW w:w="774" w:type="dxa"/>
                  <w:noWrap w:val="0"/>
                  <w:tcMar>
                    <w:top w:w="28" w:type="dxa"/>
                    <w:left w:w="28" w:type="dxa"/>
                    <w:bottom w:w="28" w:type="dxa"/>
                    <w:right w:w="28" w:type="dxa"/>
                  </w:tcMar>
                  <w:vAlign w:val="center"/>
                </w:tcPr>
                <w:p w14:paraId="4503DEB7">
                  <w:pPr>
                    <w:keepNext w:val="0"/>
                    <w:keepLines w:val="0"/>
                    <w:pageBreakBefore w:val="0"/>
                    <w:widowControl w:val="0"/>
                    <w:kinsoku/>
                    <w:wordWrap/>
                    <w:overflowPunct/>
                    <w:topLinePunct w:val="0"/>
                    <w:autoSpaceDE/>
                    <w:autoSpaceDN/>
                    <w:bidi w:val="0"/>
                    <w:adjustRightInd/>
                    <w:snapToGrid/>
                    <w:spacing w:line="360" w:lineRule="exact"/>
                    <w:ind w:right="0" w:righ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30个</w:t>
                  </w:r>
                </w:p>
              </w:tc>
              <w:tc>
                <w:tcPr>
                  <w:tcW w:w="4075" w:type="dxa"/>
                  <w:noWrap w:val="0"/>
                  <w:tcMar>
                    <w:top w:w="28" w:type="dxa"/>
                    <w:left w:w="28" w:type="dxa"/>
                    <w:bottom w:w="28" w:type="dxa"/>
                    <w:right w:w="28" w:type="dxa"/>
                  </w:tcMar>
                  <w:vAlign w:val="center"/>
                </w:tcPr>
                <w:p w14:paraId="280DB406">
                  <w:pPr>
                    <w:keepNext w:val="0"/>
                    <w:keepLines w:val="0"/>
                    <w:pageBreakBefore w:val="0"/>
                    <w:widowControl w:val="0"/>
                    <w:kinsoku/>
                    <w:wordWrap/>
                    <w:overflowPunct/>
                    <w:topLinePunct w:val="0"/>
                    <w:autoSpaceDE/>
                    <w:autoSpaceDN/>
                    <w:bidi w:val="0"/>
                    <w:adjustRightInd/>
                    <w:snapToGrid/>
                    <w:spacing w:line="360" w:lineRule="exact"/>
                    <w:ind w:right="0" w:rightChars="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围绕课程教学任务开发工作页，并将工作页内容翻译成双语形式。</w:t>
                  </w:r>
                </w:p>
              </w:tc>
            </w:tr>
            <w:tr w14:paraId="0786A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trPr>
              <w:tc>
                <w:tcPr>
                  <w:tcW w:w="1109" w:type="dxa"/>
                  <w:noWrap w:val="0"/>
                  <w:tcMar>
                    <w:top w:w="28" w:type="dxa"/>
                    <w:left w:w="28" w:type="dxa"/>
                    <w:bottom w:w="28" w:type="dxa"/>
                    <w:right w:w="28" w:type="dxa"/>
                  </w:tcMar>
                  <w:vAlign w:val="center"/>
                </w:tcPr>
                <w:p w14:paraId="03F12802">
                  <w:pPr>
                    <w:keepNext w:val="0"/>
                    <w:keepLines w:val="0"/>
                    <w:pageBreakBefore w:val="0"/>
                    <w:widowControl w:val="0"/>
                    <w:kinsoku/>
                    <w:wordWrap/>
                    <w:overflowPunct/>
                    <w:topLinePunct w:val="0"/>
                    <w:autoSpaceDE/>
                    <w:autoSpaceDN/>
                    <w:bidi w:val="0"/>
                    <w:adjustRightInd/>
                    <w:snapToGrid/>
                    <w:spacing w:line="360" w:lineRule="exact"/>
                    <w:ind w:right="0" w:righ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中英双语PPT设计制作</w:t>
                  </w:r>
                </w:p>
              </w:tc>
              <w:tc>
                <w:tcPr>
                  <w:tcW w:w="774" w:type="dxa"/>
                  <w:noWrap w:val="0"/>
                  <w:tcMar>
                    <w:top w:w="28" w:type="dxa"/>
                    <w:left w:w="28" w:type="dxa"/>
                    <w:bottom w:w="28" w:type="dxa"/>
                    <w:right w:w="28" w:type="dxa"/>
                  </w:tcMar>
                  <w:vAlign w:val="center"/>
                </w:tcPr>
                <w:p w14:paraId="0C3ACD8D">
                  <w:pPr>
                    <w:keepNext w:val="0"/>
                    <w:keepLines w:val="0"/>
                    <w:pageBreakBefore w:val="0"/>
                    <w:widowControl w:val="0"/>
                    <w:kinsoku/>
                    <w:wordWrap/>
                    <w:overflowPunct/>
                    <w:topLinePunct w:val="0"/>
                    <w:autoSpaceDE/>
                    <w:autoSpaceDN/>
                    <w:bidi w:val="0"/>
                    <w:adjustRightInd/>
                    <w:snapToGrid/>
                    <w:spacing w:line="360" w:lineRule="exact"/>
                    <w:ind w:right="0" w:righ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30个</w:t>
                  </w:r>
                </w:p>
              </w:tc>
              <w:tc>
                <w:tcPr>
                  <w:tcW w:w="4075" w:type="dxa"/>
                  <w:noWrap w:val="0"/>
                  <w:tcMar>
                    <w:top w:w="28" w:type="dxa"/>
                    <w:left w:w="28" w:type="dxa"/>
                    <w:bottom w:w="28" w:type="dxa"/>
                    <w:right w:w="28" w:type="dxa"/>
                  </w:tcMar>
                  <w:vAlign w:val="center"/>
                </w:tcPr>
                <w:p w14:paraId="3D6E48E4">
                  <w:pPr>
                    <w:keepNext w:val="0"/>
                    <w:keepLines w:val="0"/>
                    <w:pageBreakBefore w:val="0"/>
                    <w:widowControl w:val="0"/>
                    <w:kinsoku/>
                    <w:wordWrap/>
                    <w:overflowPunct/>
                    <w:topLinePunct w:val="0"/>
                    <w:autoSpaceDE/>
                    <w:autoSpaceDN/>
                    <w:bidi w:val="0"/>
                    <w:adjustRightInd/>
                    <w:snapToGrid/>
                    <w:spacing w:line="360" w:lineRule="exact"/>
                    <w:ind w:right="0" w:rightChars="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以双语的形式展现PPT，融合教学目标、各种参考资料、学习素材等。</w:t>
                  </w:r>
                </w:p>
              </w:tc>
            </w:tr>
          </w:tbl>
          <w:p w14:paraId="056C1503">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二、课程资源技术要求</w:t>
            </w:r>
          </w:p>
          <w:p w14:paraId="3E32AF59">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（一）制作要求：</w:t>
            </w:r>
          </w:p>
          <w:p w14:paraId="3FE73715">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1.资源内容基于教材，按照课程教学需求、课程标准进行建设。</w:t>
            </w:r>
          </w:p>
          <w:p w14:paraId="0D1E7A22">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2.资源呈现的教学目标、重难点，与教材一致。</w:t>
            </w:r>
          </w:p>
          <w:p w14:paraId="0738CC78">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3.资源内容无科学性错误。</w:t>
            </w:r>
          </w:p>
          <w:p w14:paraId="2D495E02">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4.制作手段含视频拍摄、音频录制、动画设计制作等。</w:t>
            </w:r>
          </w:p>
          <w:p w14:paraId="7F486342">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5.微课的开发脚本由供应商提供思路，采购人专业老师配合提供技术操作流程和技能要点，双方合作完善脚本，最后由编导人员统稿，将脚本转化成视频语言，实现语言文字规范化表达，形成文本性文件，用于之后的制作。</w:t>
            </w:r>
          </w:p>
          <w:p w14:paraId="7D8699D2">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6.微课的制作包括知识点教学结构设计、碎片资源教学设计、素材采集、知识点的知识内容编辑加工处理（包括后期剪辑、配音、字幕）等。微课中录屏一般由学校老师完成，编导可以在旁边记录关键流程。</w:t>
            </w:r>
          </w:p>
          <w:p w14:paraId="0F3C2808">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7.教学课件的制作应在充分理解教师的教学设计基础上，综合使用动画、视频、二维等技术将其进行可视化建构，辅助教师和学生完成一堂沉浸式的教与学的体验。</w:t>
            </w:r>
          </w:p>
          <w:p w14:paraId="6E46F703">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8.所有资源可独立运行，也可与教材融合使用。</w:t>
            </w:r>
          </w:p>
          <w:p w14:paraId="1594822A">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（二）指导专家要求</w:t>
            </w:r>
          </w:p>
          <w:p w14:paraId="21103DCF">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highlight w:val="none"/>
                <w:lang w:val="en-US" w:eastAsia="zh-CN"/>
              </w:rPr>
              <w:t>聘请具有职业教育课程资源建设指导经验的职教专家团队开展项目建设指导，</w:t>
            </w:r>
            <w:r>
              <w:rPr>
                <w:rFonts w:hint="eastAsia" w:ascii="宋体" w:hAnsi="宋体" w:eastAsia="宋体" w:cs="宋体"/>
                <w:b w:val="0"/>
                <w:bCs w:val="0"/>
                <w:color w:val="auto"/>
                <w:sz w:val="21"/>
                <w:szCs w:val="21"/>
                <w:lang w:val="en-US" w:eastAsia="zh-CN"/>
              </w:rPr>
              <w:t>提供完善的开发指导、知识点与资源形态规划。</w:t>
            </w:r>
          </w:p>
          <w:p w14:paraId="5ED82853">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（三）服务团队要求：</w:t>
            </w:r>
          </w:p>
          <w:p w14:paraId="528B2736">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1.供应商具有从事职业教育教学规划、精品课程开发、课程设计规划等类型项目的丰富经验。</w:t>
            </w:r>
          </w:p>
          <w:p w14:paraId="4F6D4F61">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2.供应商自身拥有完善的专业技术人员配备，</w:t>
            </w:r>
            <w:r>
              <w:rPr>
                <w:rFonts w:hint="eastAsia" w:ascii="宋体" w:hAnsi="宋体" w:eastAsia="宋体" w:cs="宋体"/>
                <w:b w:val="0"/>
                <w:bCs w:val="0"/>
                <w:color w:val="auto"/>
                <w:sz w:val="21"/>
                <w:szCs w:val="21"/>
                <w:highlight w:val="none"/>
                <w:lang w:val="en-US" w:eastAsia="zh-CN"/>
              </w:rPr>
              <w:t>针对本项目提供不少于3人的项目服务团队，具</w:t>
            </w:r>
            <w:r>
              <w:rPr>
                <w:rFonts w:hint="eastAsia" w:ascii="宋体" w:hAnsi="宋体" w:eastAsia="宋体" w:cs="宋体"/>
                <w:b w:val="0"/>
                <w:bCs w:val="0"/>
                <w:color w:val="auto"/>
                <w:sz w:val="21"/>
                <w:szCs w:val="21"/>
                <w:lang w:val="en-US" w:eastAsia="zh-CN"/>
              </w:rPr>
              <w:t>备以下岗位人员，满足本项目课程资源开发和制作方面专业需求。</w:t>
            </w:r>
          </w:p>
          <w:p w14:paraId="44DE644A">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（1）项目负责人：统筹负责沟通对接和制作审核等任务，具备教学经验，具备同类项目实施和管理经验。</w:t>
            </w:r>
          </w:p>
          <w:p w14:paraId="57615BFE">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（2）专业编辑：与老师协作进行课程资源开发工作。</w:t>
            </w:r>
          </w:p>
          <w:p w14:paraId="5A329436">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3）课程编导：审读解读课程教学需求、课程目标、人才培养方案，具备课程设计经验与能力，能够与任课教师沟通对接并提供专业化建议和解决方案，能够进行脚本的设计与策划，具有专业的文字开发编辑能力。</w:t>
            </w:r>
          </w:p>
          <w:p w14:paraId="72397672">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（4）拍摄小组：负责现场的场景搭建、灯光布置，视频录制，音频录制，其他拍摄设备的准备、调试和维护。</w:t>
            </w:r>
          </w:p>
          <w:p w14:paraId="383712BB">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5）场务：现场记录，拍摄文件的收集、整理、备份、上传等，辅助教师准备衣着、仪容、随身设备等，根据实际需求灵活提供提词器解决方案。应能根据课程教学需求、实际场地条件等，搭建方便拍摄的场地，包括但不限于绿幕环境、常亮灯光环境的创建。并在技术上实现声音、光线的不受干扰。</w:t>
            </w:r>
          </w:p>
          <w:p w14:paraId="03E9D931">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（6）后期剪辑：基于脚本、拍摄素材、音频素材，进行后期剪辑合成，片头片尾及其他特效的设计与制作。</w:t>
            </w:r>
          </w:p>
          <w:p w14:paraId="12E981D3">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（7）动画：绘制与制作动画，特效包装。</w:t>
            </w:r>
          </w:p>
          <w:p w14:paraId="69E5E9C8">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（四）课程建设技术与质量标准要求</w:t>
            </w:r>
          </w:p>
          <w:p w14:paraId="15D195CA">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1.中英双语微课视频拍摄及制作</w:t>
            </w:r>
          </w:p>
          <w:p w14:paraId="786F3953">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(1)总体建设要求</w:t>
            </w:r>
          </w:p>
          <w:p w14:paraId="2801DBA2">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定制开发1门国际化课程中英双语微课视频资源，围绕课程教学大纲、知识体系、重难点内容进行专业化拍摄与后期制作。整套微课视频数量不少于35个视频，单条视频时长控制在5-10分钟。视频需精准匹配课程重难点、核心知识点、实操要点，采用中英双语讲解、动态演示、图文结合的呈现方式，视频风格灵活生动、通俗易懂，符合国际化课程教学标准，适配国际化教学、线上自主学习、跨境教学交流、对外课程展示等使用场景，助力学生碎片化、灵活化掌握专业知识，提升课程国际化建设水平。</w:t>
            </w:r>
          </w:p>
          <w:p w14:paraId="38EDC71A">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(2)技术规范</w:t>
            </w:r>
          </w:p>
          <w:p w14:paraId="573791D5">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①视频画质参数</w:t>
            </w:r>
          </w:p>
          <w:p w14:paraId="7499B940">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分辨率：成片分辨率不低于1920×1080（1080P）高清画质，支持4K素材拍摄，画面无拉伸、无黑边、无模糊重影。</w:t>
            </w:r>
          </w:p>
          <w:p w14:paraId="5D71A5A4">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帧率标准：视频帧率≥25fps，画面运动流畅，无卡顿、拖影、频闪现象。</w:t>
            </w:r>
          </w:p>
          <w:p w14:paraId="5D96F42B">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色彩规范：采用RGB标准色彩模式，色彩还原真实、饱和度适中，画面干净通透，符合国际化课程高清教学展示标准。</w:t>
            </w:r>
          </w:p>
          <w:p w14:paraId="73B56AA1">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输出格式：成片输出通用MP4格式，编码H.264，兼容国内外主流教学平台、移动端、电脑端、大屏播放设备。</w:t>
            </w:r>
          </w:p>
          <w:p w14:paraId="0BA6F5A8">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视频码率：视频码率≥8Mbps，画质压缩无损，无噪点、无马赛克，高清画质持久清晰。</w:t>
            </w:r>
          </w:p>
          <w:p w14:paraId="78B76294">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②音频及语言规范</w:t>
            </w:r>
          </w:p>
          <w:p w14:paraId="4D6D4C74">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语言配置：全程采用中英双语制式，包含中文讲解+英文同步翻译解说，语言专业、语法规范，符合国际教学用语标准。</w:t>
            </w:r>
          </w:p>
          <w:p w14:paraId="70A32379">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配音要求：采用专业中英双语配音，中文发音标准、英文发音纯正，语速平缓适中，单分钟语速控制在180-200字，适配留学生及双语教学场景。</w:t>
            </w:r>
          </w:p>
          <w:p w14:paraId="0E343F81">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音频音质：音频采样率≥48kHz，无电流声、底噪、杂音，人声清晰通透，人声与背景音乐分层明确。</w:t>
            </w:r>
          </w:p>
          <w:p w14:paraId="567B413D">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背景音乐：选用简约国际化纯音乐，无版权风险，曲风轻快简洁，音量低于人声25%，不得干扰讲解人声。</w:t>
            </w:r>
          </w:p>
          <w:p w14:paraId="3B6281F8">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③字幕与包装规范</w:t>
            </w:r>
          </w:p>
          <w:p w14:paraId="3FDE3BFE">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双语字幕：视频全程配置中英双语对照字幕，字幕字体清晰、大小适中，专业英文术语翻译准确统一，无错译、漏译、语法错误。</w:t>
            </w:r>
          </w:p>
          <w:p w14:paraId="6A39BA3F">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片头片尾：统一定制国际化简约片头片尾，包含课程英文名称、中文名称、课程LOGO、出品单位，单段时长5-8秒。</w:t>
            </w:r>
          </w:p>
          <w:p w14:paraId="69451926">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画面包装：采用简约国际化版式，搭配动态文字标注、知识点弹窗、双语词条标注；重难点内容高亮变色、放大强调，禁止花哨冗余特效。</w:t>
            </w:r>
          </w:p>
          <w:p w14:paraId="357E6C5F">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术语规范：所有专业名词、行业术语中英翻译统一标准，贴合国际通用专业术语释义。</w:t>
            </w:r>
          </w:p>
          <w:p w14:paraId="28971392">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（3）课程微课内容建设参数</w:t>
            </w:r>
          </w:p>
          <w:p w14:paraId="0C8679B9">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①数量及时长要求</w:t>
            </w:r>
          </w:p>
          <w:p w14:paraId="6854A037">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视频数量：单门国际化课程制作微课视频不少于35个，无重复知识点、无冗余凑数视频，全部为有效教学微课。</w:t>
            </w:r>
          </w:p>
          <w:p w14:paraId="3D39962C">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单节时长：单条微课视频严格控制在5-10分钟，精准切割知识点，时长分布均匀，单视频聚焦单一知识点，短小精炼、通俗易懂。</w:t>
            </w:r>
          </w:p>
          <w:p w14:paraId="273AF00B">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②内容选取要求</w:t>
            </w:r>
          </w:p>
          <w:p w14:paraId="6D6125F8">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内容定位：全部视频聚焦课程教学重点、知识难点、易混淆知识点、实操关键要点，重难点覆盖率100%。</w:t>
            </w:r>
          </w:p>
          <w:p w14:paraId="7561C068">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知识结构：严格按照课程教学任务、知识逻辑顺序排布，知识点循序渐进，视频之间衔接连贯，形成完整双语知识体系。</w:t>
            </w:r>
          </w:p>
          <w:p w14:paraId="0D1C35EE">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讲解形式：采用理论讲解+图文演示+动画展示+实操演示结合模式，画面生动灵活，通俗易懂，降低双语学习理解难度。</w:t>
            </w:r>
          </w:p>
          <w:p w14:paraId="7EBAAFF1">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国际化适配：内容符合国际化教学理念，贴合中外学生认知习惯，规避文化差异问题，适配跨境教学、留学生教学使用。</w:t>
            </w:r>
          </w:p>
          <w:p w14:paraId="3AE144FC">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③脚本文案要求</w:t>
            </w:r>
          </w:p>
          <w:p w14:paraId="1695E80C">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配套撰写全套双语微课脚本，包含中文文案、英文翻译、画面脚本、配音文案、字幕文案；</w:t>
            </w:r>
          </w:p>
          <w:p w14:paraId="1A0C8A61">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文案简洁精炼，适配短时间微课讲解，专业术语准确，句式通俗易懂，符合国际化课程语言规范；</w:t>
            </w:r>
          </w:p>
          <w:p w14:paraId="01E20079">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每节微课配套知识点总结、双语重点词汇表，强化双语教学学习效果。</w:t>
            </w:r>
          </w:p>
          <w:p w14:paraId="73818E1B">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（4）拍摄制作工艺要求</w:t>
            </w:r>
          </w:p>
          <w:p w14:paraId="321AF2EA">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拍摄设备：采用专业高清摄影机、收音设备、补光设备拍摄，画质清晰、收音纯净，不得使用手机低成本拍摄。</w:t>
            </w:r>
          </w:p>
          <w:p w14:paraId="25550F11">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剪辑要求：剪辑节奏轻快流畅，转场自然，画面切换简洁；图文、动画、配音、字幕同步对齐。</w:t>
            </w:r>
          </w:p>
          <w:p w14:paraId="53C81443">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素材要求：视频内配图、动画、图表全部为高清无水印商用素材，无版权纠纷，画面风格统一简约国际化。</w:t>
            </w:r>
          </w:p>
          <w:p w14:paraId="445A2F1B">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特效动画：针对重难点制作简易动态演示动画、流程示意图，直观展示抽象知识点，提升学习趣味性。</w:t>
            </w:r>
          </w:p>
          <w:p w14:paraId="56E5FB7F">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（5）交付成果清单</w:t>
            </w:r>
          </w:p>
          <w:p w14:paraId="18555580">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高清微课成片：1080P MP4格式双语微课视频≥35条；</w:t>
            </w:r>
          </w:p>
          <w:p w14:paraId="39C76DA5">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全套工程文件：视频剪辑工程源文件、无压缩高清素材；</w:t>
            </w:r>
          </w:p>
          <w:p w14:paraId="135E69C8">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文案资料：全套中英双语脚本、字幕文档、专业术语对照表；</w:t>
            </w:r>
          </w:p>
          <w:p w14:paraId="3C843ECA">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汇总资料：微课视频目录清单、知识点分布表、使用说明文档。</w:t>
            </w:r>
          </w:p>
          <w:p w14:paraId="0944C3A7">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（6）修改及验收标准</w:t>
            </w:r>
          </w:p>
          <w:p w14:paraId="66C347EC">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①修改服务</w:t>
            </w:r>
          </w:p>
          <w:p w14:paraId="0772586C">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中标方提交初稿后，提供不少于3次修改优化，包含字幕修正、配音优化、画面调整、文案润色、术语修改；</w:t>
            </w:r>
          </w:p>
          <w:p w14:paraId="2248BB5D">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全程配合校方优化双语内容，确保符合国际化课程教学标准。</w:t>
            </w:r>
          </w:p>
          <w:p w14:paraId="4230997E">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②交付标准</w:t>
            </w:r>
          </w:p>
          <w:p w14:paraId="3C56AC08">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微课视频数量≥35个，单条时长严格控制在5-10分钟，时长合规；</w:t>
            </w:r>
          </w:p>
          <w:p w14:paraId="00EDDF56">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全部视频为中英双语配音+双语字幕，翻译准确、发音标准；</w:t>
            </w:r>
          </w:p>
          <w:p w14:paraId="2D760168">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视频内容100%覆盖课程重难点，讲解逻辑清晰、演示直观；</w:t>
            </w:r>
          </w:p>
          <w:p w14:paraId="47972CDA">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画质、音质、包装符合高清国际化教学视频标准，无版权、无瑕疵；</w:t>
            </w:r>
          </w:p>
          <w:p w14:paraId="6D742006">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本项目所有视频、文案、脚本版权归采购方独家所有，未经允许不得留存、外泄、二次商用。</w:t>
            </w:r>
          </w:p>
          <w:p w14:paraId="3D4E27D2">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2.中英双语二维动画视频制作</w:t>
            </w:r>
          </w:p>
          <w:p w14:paraId="5493C909">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（1）总体建设要求</w:t>
            </w:r>
          </w:p>
          <w:p w14:paraId="3FE2C2D0">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制开发1门国际化课程中英双语二维动画教学视频，结合人工智能动画制作技术，针对课程重点、难点知识点进行可视化动画演绎制作。整套动画视频数量不少于5个，单条视频时长控制在5-10分钟。采用专业二维卡通动画表现形式，融合智能动态演示、AI图形渲染、智能字幕匹配等人工智能技术，将抽象理论、复杂流程、专业原理进行通俗化、动态化、可视化展示。视频采用中英双语制式，画面生动活泼、逻辑清晰、专业性强，适配国际化教学、线上自主学习、对外教学交流、课堂辅助授课等场景，提升课程趣味性与国际化教学水平。</w:t>
            </w:r>
          </w:p>
          <w:p w14:paraId="7232B4F1">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（2）技术参数</w:t>
            </w:r>
          </w:p>
          <w:p w14:paraId="7C4BC028">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①画质及输出规范</w:t>
            </w:r>
          </w:p>
          <w:p w14:paraId="73862593">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视频分辨率：成片分辨率不低于1920×1080，采用1080P高清制式输出，画面高清无锯齿、无模糊失真。</w:t>
            </w:r>
          </w:p>
          <w:p w14:paraId="6F199C54">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视频格式：输出通用MP4格式，H.264编码，兼容教学平台、移动端、多媒体大屏等各类播放终端。</w:t>
            </w:r>
          </w:p>
          <w:p w14:paraId="11CE2507">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帧率标准：视频帧率≥25fps，动画动作流畅顺滑，无卡顿、拖影、闪屏现象。</w:t>
            </w:r>
          </w:p>
          <w:p w14:paraId="312337F9">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色彩标准：采用高清RGB色彩模式，配色柔和美观，符合国际化教学动画审美，色调统一、视觉舒适。</w:t>
            </w:r>
          </w:p>
          <w:p w14:paraId="2C648637">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②音频与双语规范</w:t>
            </w:r>
          </w:p>
          <w:p w14:paraId="3AB0059B">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语言制式：全程采用中英双语讲解，专业术语翻译精准统一，符合国际行业通用标准，无错译、漏译、语法错误。</w:t>
            </w:r>
          </w:p>
          <w:p w14:paraId="2FFD742C">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配音要求：采用专业中英双语配音，中文吐字清晰，英文发音纯正，语速平缓，适配教学讲解节奏。</w:t>
            </w:r>
          </w:p>
          <w:p w14:paraId="658156B7">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音频质量：音频采样率≥48kHz，无电流声、底噪、杂音；背景音乐采用无版权简约轻音乐，音量低于人声，不干扰教学讲解。</w:t>
            </w:r>
          </w:p>
          <w:p w14:paraId="2483DAFA">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字幕配置：视频全程叠加中英双语对照字幕，字幕大小适中、排版规范，重点专业词汇高亮标注。</w:t>
            </w:r>
          </w:p>
          <w:p w14:paraId="7F3DA4B1">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（3）二维动画及人工智能技术制作要求</w:t>
            </w:r>
          </w:p>
          <w:p w14:paraId="259A4210">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①二维动画制作要求</w:t>
            </w:r>
          </w:p>
          <w:p w14:paraId="10974C6B">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动画风格：采用简约扁平化专业二维动画风格，人物、图标、场景统一画风，线条流畅、造型简洁、商务专业，杜绝低俗卡通风格。</w:t>
            </w:r>
          </w:p>
          <w:p w14:paraId="18D6B7EF">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动画表现：包含人物动画、流程动画、结构拆解动画、原理演示动画、数据变化动画，对难点、抽象知识点进行动态推演展示。</w:t>
            </w:r>
          </w:p>
          <w:p w14:paraId="5DBDC29C">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画面元素：定制原创动画角色、教学场景、专业图标、流程示意图，所有元素原创设计，无直接套用模板。</w:t>
            </w:r>
          </w:p>
          <w:p w14:paraId="546E1811">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转场特效：采用自然柔和转场，章节切换流畅，重点知识点搭配高亮、闪烁、放大等轻量特效，强化记忆效果。</w:t>
            </w:r>
          </w:p>
          <w:p w14:paraId="4D769C49">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②人工智能技术融合要求</w:t>
            </w:r>
          </w:p>
          <w:p w14:paraId="0165034B">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AI智能图形渲染：利用人工智能渲染技术完成专业模型、流程结构图、原理推演图智能优化渲染，提升画面细腻度、逻辑性。</w:t>
            </w:r>
          </w:p>
          <w:p w14:paraId="61B5A8C7">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AI智能字幕匹配：采用人工智能语音识别同步双语字幕，字幕与人声精准对齐，时间轴误差不超过0.1秒。</w:t>
            </w:r>
          </w:p>
          <w:p w14:paraId="055D0DD7">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AI智能动画生成：针对复杂原理、动态流程采用AI智能动画补帧技术，确保动作顺滑、逻辑连贯，提高复杂知识点可视化表现力。</w:t>
            </w:r>
          </w:p>
          <w:p w14:paraId="5C67D389">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AI智能画面优化：通过人工智能画质增强技术优化色彩对比度、清晰度，适配线上平台压缩播放，保障高清画质不损失。</w:t>
            </w:r>
          </w:p>
          <w:p w14:paraId="2A0EF1FA">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（4）内容制作量化指标</w:t>
            </w:r>
          </w:p>
          <w:p w14:paraId="09D36F19">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①基础量化要求</w:t>
            </w:r>
          </w:p>
          <w:p w14:paraId="5F1B39A2">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动画数量：制作中英双语二维动画视频不少于5个，全部为原创教学动画，无重复知识点、无模板套用凑数视频。</w:t>
            </w:r>
          </w:p>
          <w:p w14:paraId="15706727">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单条时长：单条动画视频时长严格控制在5-10分钟，单视频聚焦单个重难点，知识独立、结构完整。</w:t>
            </w:r>
          </w:p>
          <w:p w14:paraId="2F335E6A">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②内容编排要求</w:t>
            </w:r>
          </w:p>
          <w:p w14:paraId="110C8819">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内容定位：视频内容精准选取课程重点、教学难点、抽象原理、复杂流程，重难点覆盖率100%。</w:t>
            </w:r>
          </w:p>
          <w:p w14:paraId="3544DF76">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知识逻辑：严格按照课程教学大纲逻辑排序，由浅入深、层层递进，符合国际化教学编排标准。</w:t>
            </w:r>
          </w:p>
          <w:p w14:paraId="287E5EAF">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脚本要求：中标方需原创撰写全套中英双语动画脚本，语言精炼通俗，专业术语规范，适配动画演示节奏。</w:t>
            </w:r>
          </w:p>
          <w:p w14:paraId="7A9DF172">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国际化适配：内容规避文化差异，适配国内外学生学习习惯，可用于留学生教学、对外课程展示、跨境教学交流。</w:t>
            </w:r>
          </w:p>
          <w:p w14:paraId="2E67D9F7">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（5）交付成果清单</w:t>
            </w:r>
          </w:p>
          <w:p w14:paraId="4E593FA6">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高清动画成片：1080P MP4格式中英双语二维动画视频≥5条；</w:t>
            </w:r>
          </w:p>
          <w:p w14:paraId="3A2264B3">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工程源文件：动画工程源文件、分层素材文件、无加密可编辑；</w:t>
            </w:r>
          </w:p>
          <w:p w14:paraId="1B113323">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配套文案：全套中英双语动画脚本、字幕文件、专业术语对照表；</w:t>
            </w:r>
          </w:p>
          <w:p w14:paraId="53AA7393">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汇总资料：动画视频目录清单、AI技术应用说明文档、使用说明。</w:t>
            </w:r>
          </w:p>
          <w:p w14:paraId="7E0F5CB2">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动画视频数量≥5个，单条时长严格控制在5-10分钟，时长合规；</w:t>
            </w:r>
          </w:p>
          <w:p w14:paraId="4095E3DE">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采用原创二维动画制作，融合人工智能渲染、补帧、字幕匹配技术，AI应用功能齐全；</w:t>
            </w:r>
          </w:p>
          <w:p w14:paraId="4722418A">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视频为中英双语配音+双语字幕，翻译准确、发音标准；</w:t>
            </w:r>
          </w:p>
          <w:p w14:paraId="5B0A141B">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画面原创无版权纠纷、画质清晰、动画流畅，重难点演示直观清晰。</w:t>
            </w:r>
          </w:p>
          <w:p w14:paraId="24DCBB3A">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本项目所有动画视频、脚本、素材版权归采购方独家所有，未经允许不得留存、外泄、二次商用。</w:t>
            </w:r>
          </w:p>
          <w:p w14:paraId="7322AAB9">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3.中英双语试题开发</w:t>
            </w:r>
          </w:p>
          <w:p w14:paraId="42AC0BF3">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（1）总体建设要求</w:t>
            </w:r>
          </w:p>
          <w:p w14:paraId="5326D5CB">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针对1门国际化课程定制开发标准化、专业化中英双语试题库。严格依据课程教学大纲、国际化人才培养标准、双语教学要求进行命题编撰，按照课程教学任务分层设置试题，做到每个教学任务配套课后练习题，每个教学单元配置单元自测题。题库全部采用中英双语对照格式，专业术语翻译规范统一，题型结构合理、难易梯度分明，精准匹配课程重难点，用于课后随堂检测、单元学业测评、学习成果检验，满足国际化教学、留学生教学、双语课程考核使用要求，全面检验学生对双语知识、专业原理、专业术语的掌握程度。</w:t>
            </w:r>
          </w:p>
          <w:p w14:paraId="64248925">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（2）题库通用编制规范</w:t>
            </w:r>
          </w:p>
          <w:p w14:paraId="0CB8616F">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①编制依据</w:t>
            </w:r>
          </w:p>
          <w:p w14:paraId="34131F2B">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严格按照国际化课程教学大纲、授课课件、外文教材、行业国际通用标准进行命题，贴合双语教学授课逻辑。</w:t>
            </w:r>
          </w:p>
          <w:p w14:paraId="7FEA74E8">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试题覆盖全部教学任务知识点，重点针对课程重难点、易混淆专业术语、核心原理进行出题，知识点覆盖率100%。</w:t>
            </w:r>
          </w:p>
          <w:p w14:paraId="752F181B">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贴合国际化教学考核特点，兼顾国内学生双语学习、外籍留学生学习考核要求，试题通俗易懂、表述严谨。</w:t>
            </w:r>
          </w:p>
          <w:p w14:paraId="308E9D57">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②双语编写规范</w:t>
            </w:r>
          </w:p>
          <w:p w14:paraId="7B0DBB82">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格式要求：全部试题采用中英双语对照排版，题干、选项、答案、解析全部实现中文+英文双语展示。</w:t>
            </w:r>
          </w:p>
          <w:p w14:paraId="75811BD6">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术语规范：专业名词、行业术语、技术名词采用国际通用标准翻译，全程统一术语，无错译、漏译、歧义翻译。</w:t>
            </w:r>
          </w:p>
          <w:p w14:paraId="06CAED7B">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语言要求：英文语法严谨、句式简洁，中文表述通俗易懂，适配双语教学考核场景。</w:t>
            </w:r>
          </w:p>
          <w:p w14:paraId="78E74D05">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③出题质量要求</w:t>
            </w:r>
          </w:p>
          <w:p w14:paraId="2C03E141">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准确性：所有试题、标准答案、解析无知识性错误，无逻辑漏洞，双语表述规范。</w:t>
            </w:r>
          </w:p>
          <w:p w14:paraId="0ABA33B0">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层次性：试题难度按照基础题、中等题、拔高题比例6:3:1设置，适配不同层次学生学习测评。</w:t>
            </w:r>
          </w:p>
          <w:p w14:paraId="7045AE39">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原创性：题库为课程专属定制，禁止通用题库直接套用，杜绝重复试题、雷同试题。</w:t>
            </w:r>
          </w:p>
          <w:p w14:paraId="49B86C5E">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适用性：适配国际化课程线上测试、线下考试、课后练习、自学自测等多种使用场景。</w:t>
            </w:r>
          </w:p>
          <w:p w14:paraId="258BF500">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（3）技术指标</w:t>
            </w:r>
          </w:p>
          <w:p w14:paraId="20B9EC92">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①教学任务课后练习题要求</w:t>
            </w:r>
          </w:p>
          <w:p w14:paraId="0F19A18B">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配置规则：针对本门国际化课程内部每一个独立教学任务，单独配套课后练习题，实现一任务一练习，做到学完即测、课后巩固。</w:t>
            </w:r>
          </w:p>
          <w:p w14:paraId="60651589">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题量要求：单个教学任务课后练习题数量不低于50道。</w:t>
            </w:r>
          </w:p>
          <w:p w14:paraId="5CE27A28">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题型结构：包含判断题、单项选择题、多项选择题、填空题为主，题型简洁易懂，侧重基础知识、双语专业术语巩固。</w:t>
            </w:r>
          </w:p>
          <w:p w14:paraId="03187170">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出题导向：聚焦本任务基础知识点、简单原理、专业名词，用于课后检验学生基础掌握情况，夯实双语基础知识。</w:t>
            </w:r>
          </w:p>
          <w:p w14:paraId="01DC3EE3">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配套内容：每道题目附带中英双语标准答案，重难点题目附带双语解析。</w:t>
            </w:r>
          </w:p>
          <w:p w14:paraId="3BD4151A">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②单元自测题要求</w:t>
            </w:r>
          </w:p>
          <w:p w14:paraId="0802FABE">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配置规则：按照课程教学单元进行整合出题，编制单元综合自测题库，用于阶段性教学质量检测、重难点复盘考核。</w:t>
            </w:r>
          </w:p>
          <w:p w14:paraId="26EB968F">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题量要求：单门国际化课程单元自测题总量不低于200道。</w:t>
            </w:r>
          </w:p>
          <w:p w14:paraId="5E33DB49">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题型结构：包含判断、单选、多选、填空、简答题、综合分析题，主观题占比不低于20%，强化综合应用能力考核。</w:t>
            </w:r>
          </w:p>
          <w:p w14:paraId="031869E7">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出题导向：重点考核单元重难点、易混淆双语知识点、综合应用能力，检验学生知识迁移能力、专业双语应用能力。</w:t>
            </w:r>
          </w:p>
          <w:p w14:paraId="5585D41C">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难易要求：增加综合性题目、辨析类题目，适配国际化课程综合性测评要求。</w:t>
            </w:r>
          </w:p>
          <w:p w14:paraId="61778343">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（4）题库字段及排版要求</w:t>
            </w:r>
          </w:p>
          <w:p w14:paraId="163C27BA">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①标准化题库字段</w:t>
            </w:r>
          </w:p>
          <w:p w14:paraId="7310E977">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每一道试题必须包含完整标准化字段，方便教学平台导入、分类组卷，字段包含：试题唯一编号、所属课程、所属教学任务/单元、知识点标签、难易程度、题型、中英双语题干、中英双语选项、中英双语标准答案、双语题目解析。</w:t>
            </w:r>
          </w:p>
          <w:p w14:paraId="6AF810F2">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②排版格式要求</w:t>
            </w:r>
          </w:p>
          <w:p w14:paraId="410CA0A2">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统一排版格式，中英对照清晰，字体、行距、编号规范统一；</w:t>
            </w:r>
          </w:p>
          <w:p w14:paraId="62A232AE">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公式、图表、符号国际通用标准化标注，适配国际化课程要求；</w:t>
            </w:r>
          </w:p>
          <w:p w14:paraId="736944EF">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无错别字、无乱码、无格式错乱。</w:t>
            </w:r>
          </w:p>
          <w:p w14:paraId="0C5431E9">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（5）交付成果要求</w:t>
            </w:r>
          </w:p>
          <w:p w14:paraId="5F4FB79D">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分教学任务课后双语练习题题库（Word可编辑版+Excel标准化汇总版）；</w:t>
            </w:r>
          </w:p>
          <w:p w14:paraId="1643113B">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分单元双语自测题库（Word可编辑版+Excel标准化汇总版）；</w:t>
            </w:r>
          </w:p>
          <w:p w14:paraId="71EDA3F8">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双语题库使用说明文档，包含出题依据、难易分布、术语对照表；</w:t>
            </w:r>
          </w:p>
          <w:p w14:paraId="7F5BEECD">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全套题库无加密、无锁定，可自由编辑、导入教学平台。</w:t>
            </w:r>
          </w:p>
          <w:p w14:paraId="290AE09D">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（6）验收硬性标准</w:t>
            </w:r>
          </w:p>
          <w:p w14:paraId="6547ED5E">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单教学任务课后练习题≥50道，单元自测题总量≥200道，无凑数、无重复试题；</w:t>
            </w:r>
          </w:p>
          <w:p w14:paraId="356C90B9">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全部试题实现中英双语对照，翻译准确、术语统一，符合国际化课程标准；</w:t>
            </w:r>
          </w:p>
          <w:p w14:paraId="07B4CC6C">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试题全覆盖课程重难点，知识点覆盖率100%；</w:t>
            </w:r>
          </w:p>
          <w:p w14:paraId="3368AD9C">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题库无知识性错误、格式规范、排版统一，满足双语教学考核归档要求。</w:t>
            </w:r>
          </w:p>
          <w:p w14:paraId="3953B4B7">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（7）版权及售后保障</w:t>
            </w:r>
          </w:p>
          <w:p w14:paraId="7248ED43">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本项目双语题库成品版权归采购方独家所有，中标方不得外泄、二次售卖、留存商用；</w:t>
            </w:r>
          </w:p>
          <w:p w14:paraId="11B85516">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所有试题原创改编，杜绝版权纠纷，若产生侵权问题由中标方全权承担；</w:t>
            </w:r>
          </w:p>
          <w:p w14:paraId="04E468C6">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highlight w:val="none"/>
                <w:lang w:val="en-US" w:eastAsia="zh-CN"/>
              </w:rPr>
              <w:t>验收合格后提供1年维护，</w:t>
            </w:r>
            <w:r>
              <w:rPr>
                <w:rFonts w:hint="eastAsia" w:ascii="宋体" w:hAnsi="宋体" w:eastAsia="宋体" w:cs="宋体"/>
                <w:b w:val="0"/>
                <w:bCs w:val="0"/>
                <w:color w:val="auto"/>
                <w:sz w:val="21"/>
                <w:szCs w:val="21"/>
                <w:lang w:val="en-US" w:eastAsia="zh-CN"/>
              </w:rPr>
              <w:t>可优化双语术语、调整题目结构、补充试题。</w:t>
            </w:r>
          </w:p>
          <w:p w14:paraId="25FA8500">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4.中英双语工作页开发翻译</w:t>
            </w:r>
          </w:p>
          <w:p w14:paraId="5144A643">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（1）总体建设要求</w:t>
            </w:r>
          </w:p>
          <w:p w14:paraId="4596CB78">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本项目针对1门国际化课程，结合课程教学任务、教学流程、课堂实训环节，定制开发专业化、体系化中英双语工作页。共计开发制作不少于30个课程工作页，严格依据课程教学大纲、人才培养方案、国际化教学标准进行原创编排设计。工作页贴合课堂学习、课后巩固、自主研习、实训实操等教学场景，全面覆盖课程全部教学任务，实现“一任务一工作页”。所有工作页内容采用中英双语对照排版，完成专业精准翻译，优化版式设计，培养学生自主学习能力、专业实操能力与双语应用能力，满足国际化教学、留学生授课、双语课堂教学使用要求。</w:t>
            </w:r>
          </w:p>
          <w:p w14:paraId="4CC3AE99">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（2）通用编制规范要求</w:t>
            </w:r>
          </w:p>
          <w:p w14:paraId="68D4B3CB">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①内容编制规范</w:t>
            </w:r>
          </w:p>
          <w:p w14:paraId="12DC14F5">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编制依据：严格按照课程教学任务、教学重难点、知识逻辑顺序开发工作页，贴合课堂教学流程，匹配本课程课件、动画、题库等配套教学资源。</w:t>
            </w:r>
          </w:p>
          <w:p w14:paraId="42017843">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内容原创性：工作页为课程专属原创定制，禁止套用通用模板，内容贴合本专业、本课程行业岗位应用场景，杜绝空洞、泛化内容。</w:t>
            </w:r>
          </w:p>
          <w:p w14:paraId="2E2F0C74">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知识覆盖率：完整覆盖课程所有教学任务，知识点、重难点全覆盖，无缺项、无漏项，满足全过程教学使用。</w:t>
            </w:r>
          </w:p>
          <w:p w14:paraId="1D9DC080">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②双语翻译规范</w:t>
            </w:r>
          </w:p>
          <w:p w14:paraId="07430C5E">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双语格式：全部工作页采用中英双语对照版式，文字、题干、图表标注、专业注释全部实现中文、英文双向对照。</w:t>
            </w:r>
          </w:p>
          <w:p w14:paraId="71A8722E">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翻译标准：采用国际通用专业术语翻译，语法严谨、句式规范，专业名词统一、精准，无错译、漏译、歧义翻译，符合行业国际化表述标准。</w:t>
            </w:r>
          </w:p>
          <w:p w14:paraId="1405D150">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语言难度：英文句式通俗易懂，适配国内双语教学及外籍留学生学习认知水平，兼顾专业性与可读性。</w:t>
            </w:r>
          </w:p>
          <w:p w14:paraId="70953EA0">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（3）技术要求</w:t>
            </w:r>
          </w:p>
          <w:p w14:paraId="3EE112A7">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①工作页数量配置要求</w:t>
            </w:r>
          </w:p>
          <w:p w14:paraId="0B86EFAF">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开发数量：单门国际化课程定制开发工作页不少于30个。</w:t>
            </w:r>
          </w:p>
          <w:p w14:paraId="6600F2D3">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配置逻辑：严格按照课程教学任务进行逐一匹配，一个教学任务至少配套1份专属工作页，贴合教学进度，做到随堂使用、课后巩固。</w:t>
            </w:r>
          </w:p>
          <w:p w14:paraId="4A02F046">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单页容量：单份工作页篇幅不少于2页A4版面，包含学习引导、知识填空、任务实操、练习作答、总结反思等模块，不得制作简易半页、空白凑数工作页。</w:t>
            </w:r>
          </w:p>
          <w:p w14:paraId="78A4BC1C">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②工作页内容模块要求</w:t>
            </w:r>
          </w:p>
          <w:p w14:paraId="03D568F7">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每一份双语工作页必须包含固定标准化教学模块，模块不得删减缺失，具体包含以下内容：</w:t>
            </w:r>
          </w:p>
          <w:p w14:paraId="5742F97A">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学习目标模块：中英双语标注知识目标、能力目标、素养目标，明确本任务学习要求。</w:t>
            </w:r>
          </w:p>
          <w:p w14:paraId="6A7B39B3">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知识导入模块：结合案例、问题、流程进行知识导入，辅助学生快速进入学习状态。</w:t>
            </w:r>
          </w:p>
          <w:p w14:paraId="7F67CA0B">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知识梳理模块：归纳本任务核心知识点、专业术语、关键流程，采用填空、思维导图、流程图形式梳理。</w:t>
            </w:r>
          </w:p>
          <w:p w14:paraId="0796EBA1">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课堂实操模块：设置实操任务、模拟演练、流程填写、案例分析等实操练习内容。</w:t>
            </w:r>
          </w:p>
          <w:p w14:paraId="5AE431E9">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随堂练习模块：搭配判断、单选、简答等题型，巩固本任务重难点知识。</w:t>
            </w:r>
          </w:p>
          <w:p w14:paraId="36351230">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总结反思模块：设置双语总结、学习反思、难点记录栏目，强化学习复盘效果。</w:t>
            </w:r>
          </w:p>
          <w:p w14:paraId="2E438380">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（4）版式设计及排版技术要求</w:t>
            </w:r>
          </w:p>
          <w:p w14:paraId="7DC2E616">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版式规范：全套30份工作页统一版式、统一页眉页脚、统一字体字号、统一配色风格，国际化简约设计，排版整洁美观。</w:t>
            </w:r>
          </w:p>
          <w:p w14:paraId="2BC10400">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页面规格：采用A4标准页面尺寸，页边距规范，适配打印装订、线上电子版传阅。</w:t>
            </w:r>
          </w:p>
          <w:p w14:paraId="17A1ABB4">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图文要求：合理搭配示意图、流程图、结构图，图片高清无水印，双语标注清晰。</w:t>
            </w:r>
          </w:p>
          <w:p w14:paraId="239B8B1A">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格式文件：排版工整，无乱码、无错位、无格式错乱，公式、符号、图表符合国际通用标注标准。</w:t>
            </w:r>
          </w:p>
          <w:p w14:paraId="14D1FD81">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（5）翻译质量硬性要求</w:t>
            </w:r>
          </w:p>
          <w:p w14:paraId="6C43C0BF">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highlight w:val="none"/>
                <w:lang w:val="en-US" w:eastAsia="zh-CN"/>
              </w:rPr>
              <w:t>中标方须配备专业双语翻译人员，</w:t>
            </w:r>
            <w:r>
              <w:rPr>
                <w:rFonts w:hint="eastAsia" w:ascii="宋体" w:hAnsi="宋体" w:eastAsia="宋体" w:cs="宋体"/>
                <w:b w:val="0"/>
                <w:bCs w:val="0"/>
                <w:color w:val="auto"/>
                <w:sz w:val="21"/>
                <w:szCs w:val="21"/>
                <w:lang w:val="en-US" w:eastAsia="zh-CN"/>
              </w:rPr>
              <w:t>熟悉本专业行业术语，杜绝机翻、生硬翻译；</w:t>
            </w:r>
          </w:p>
          <w:p w14:paraId="08BC4407">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所有专业名词、技术语句、操作流程严格对照国际行业通用标准翻译；</w:t>
            </w:r>
          </w:p>
          <w:p w14:paraId="46E43BA6">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完成翻译后进行三审三校，修正语法错误、用词偏差、格式漏洞；</w:t>
            </w:r>
          </w:p>
          <w:p w14:paraId="2B5BB358">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全套工作页术语保持一致性，同一专业名词全文翻译统一，不得出现多种译法。</w:t>
            </w:r>
          </w:p>
          <w:p w14:paraId="06C11A92">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（6）交付成果清单</w:t>
            </w:r>
          </w:p>
          <w:p w14:paraId="4D6B3439">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中英双语工作页：30份工作页（可编辑Word原版+高清不可编辑PDF版）；</w:t>
            </w:r>
          </w:p>
          <w:p w14:paraId="679788CB">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配套答案手册：同步制作全套双语参考答案手册，便于教师批改、教学参考；</w:t>
            </w:r>
          </w:p>
          <w:p w14:paraId="075C9A09">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翻译说明文档：包含专业术语对照表、翻译标准说明、编制依据说明；</w:t>
            </w:r>
          </w:p>
          <w:p w14:paraId="4EDBBE17">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汇总归档资料：工作页目录清单、分类汇总表、使用指导说明书。</w:t>
            </w:r>
          </w:p>
          <w:p w14:paraId="158CDC18">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支持内容增删、术语修正、版式调整，直至符合国际化课程教学要求。</w:t>
            </w:r>
          </w:p>
          <w:p w14:paraId="443F1866">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工作页数量不少于30个，严格匹配课程全部教学任务，一任务一页；</w:t>
            </w:r>
          </w:p>
          <w:p w14:paraId="0685C7C4">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全部页面实现中英双语对照，翻译专业精准，无翻译错误；</w:t>
            </w:r>
          </w:p>
          <w:p w14:paraId="10AF585F">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页面模块齐全，包含学习目标、知识梳理、实操练习、总结反思等标准模块；</w:t>
            </w:r>
          </w:p>
          <w:p w14:paraId="1734450F">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排版统一、图文规范、无知识性错误，适配打印归档、线上教学使用；</w:t>
            </w:r>
          </w:p>
          <w:p w14:paraId="29A4A48B">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本项目所有双语工作页版权归采购方独家所有，未经允许不得留存、外泄、二次商用。</w:t>
            </w:r>
          </w:p>
          <w:p w14:paraId="04028105">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5.中英双语PPT设计制作</w:t>
            </w:r>
          </w:p>
          <w:p w14:paraId="0BCCF105">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（1）总体建设要求</w:t>
            </w:r>
          </w:p>
          <w:p w14:paraId="3150E0EA">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本项目需完成1门国际化课程中英双语教学PPT定制开发，合计制作不少于30套教学PPT。严格依据课程教学大纲、教学任务逻辑、国际化教学标准编制。PPT采用中英双语同步展示模式，系统融入教学目标、专业资料、学习素材、重难点解析、拓展资源等教学要素，版式国际化、内容专业化、逻辑体系化，适配双语教学、留学生教学、对外课程展示、线上自主学习等教学场景，保障国际化课程教学规范性、专业性、美观性。</w:t>
            </w:r>
          </w:p>
          <w:p w14:paraId="5614BF08">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（2）通用编制硬性要求</w:t>
            </w:r>
          </w:p>
          <w:p w14:paraId="5ADF8EFF">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①编制依据要求</w:t>
            </w:r>
          </w:p>
          <w:p w14:paraId="539861D1">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严格按照本课程教学任务顺序编制，做到一个教学任务配套1套PPT，共30套，无合并、无删减、无重复。</w:t>
            </w:r>
          </w:p>
          <w:p w14:paraId="133D378A">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内容须同步匹配本课程配套工作页、试题库、动画视频等教学资源，知识点、专业术语保持高度统一。</w:t>
            </w:r>
          </w:p>
          <w:p w14:paraId="26DA7A77">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贴合国际化课程育人要求，融入行业国际标准、前沿资料、双语学习素材。</w:t>
            </w:r>
          </w:p>
          <w:p w14:paraId="595F5226">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②双语规范要求</w:t>
            </w:r>
          </w:p>
          <w:p w14:paraId="68616C74">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全部页面采用中英双语对照展示，标题、正文、图表标注、注释、总结全部双语呈现。</w:t>
            </w:r>
          </w:p>
          <w:p w14:paraId="70D1D5F3">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专业术语统一采用国际通用英文译法，全程术语一致，无错译、漏译、机翻生硬语句。</w:t>
            </w:r>
          </w:p>
          <w:p w14:paraId="02FAE089">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英文语法严谨，中文表述规范，语言难度适配国际化教学及留学生学习要求。</w:t>
            </w:r>
          </w:p>
          <w:p w14:paraId="114AA6F4">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（3）量化技术参数（评标硬性指标）</w:t>
            </w:r>
          </w:p>
          <w:p w14:paraId="3E045952">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①数量规格指标</w:t>
            </w:r>
          </w:p>
          <w:p w14:paraId="2E068709">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PPT数量：单门国际化课程制作不少于30套PPT，对应全部教学任务。</w:t>
            </w:r>
          </w:p>
          <w:p w14:paraId="5CA1CE11">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单套页数：单套PPT页数不少于15页，不得出现页数过少、内容空洞、空白页面等凑数情况。</w:t>
            </w:r>
          </w:p>
          <w:p w14:paraId="34BD118D">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页面比例：统一16:9宽屏版式，适配多媒体教室、线上教学、大屏播放。</w:t>
            </w:r>
          </w:p>
          <w:p w14:paraId="6037AA07">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②页面内容硬性模块</w:t>
            </w:r>
          </w:p>
          <w:p w14:paraId="2C7F37F2">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每套PPT必须完整包含以下固定教学模块，不得缺项漏项：</w:t>
            </w:r>
          </w:p>
          <w:p w14:paraId="0A432FB8">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教学目标：双语展示知识目标、能力目标、素养目标，明确本任务教学要求。</w:t>
            </w:r>
          </w:p>
          <w:p w14:paraId="750DF2AC">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课前导入：融入案例、问题、行业资料、拓展素材，贴合国际化教学逻辑。</w:t>
            </w:r>
          </w:p>
          <w:p w14:paraId="26645879">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知识讲解：重难点分层展示，文字精炼、逻辑清晰，专业知识点全覆盖。</w:t>
            </w:r>
          </w:p>
          <w:p w14:paraId="7967448B">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素材资源：内嵌参考资料、行业标准、高清图表、流程示意图、拓展学习素材。</w:t>
            </w:r>
          </w:p>
          <w:p w14:paraId="207841C8">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课堂互动：设置随堂提问、课堂练习、知识辨析等互动板块。</w:t>
            </w:r>
          </w:p>
          <w:p w14:paraId="11AEB79F">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知识总结：双语归纳重难点，梳理知识框架，形成知识闭环。</w:t>
            </w:r>
          </w:p>
          <w:p w14:paraId="47380B62">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（4）版式设计及制作标准</w:t>
            </w:r>
          </w:p>
          <w:p w14:paraId="38576E3F">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风格规范：全套PPT采用统一国际化简约版式，配色清爽、商务专业，适配高校国际化课程教学风格，不得使用花哨卡通模板。</w:t>
            </w:r>
          </w:p>
          <w:p w14:paraId="488A1908">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字体格式：中英文字体区分规范，层级分明，标题、正文、注释字号合理，行间距舒适，阅读视觉清晰。</w:t>
            </w:r>
          </w:p>
          <w:p w14:paraId="75ACCAD1">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图文要求：配图高清无水印，图表规范、逻辑清晰，所有图示标注双语说明。</w:t>
            </w:r>
          </w:p>
          <w:p w14:paraId="27F3C50A">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动画切换：页面转场简洁流畅，内置轻量动画，突出重难点，不使用冗余特效。</w:t>
            </w:r>
          </w:p>
          <w:p w14:paraId="1A2EABEB">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（5）资料合规及素材要求</w:t>
            </w:r>
          </w:p>
          <w:p w14:paraId="63FDD487">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PPT所用图片、图表、素材均为正版商用素材，无版权风险，不得使用网络水印图片。</w:t>
            </w:r>
          </w:p>
          <w:p w14:paraId="514CB17F">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全部内容原创编排，禁止直接套用通用成品模板，贴合本校课程专业特色。</w:t>
            </w:r>
          </w:p>
          <w:p w14:paraId="35F60BBF">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无知识性错误、无文字乱码、无格式错乱，专业表述严谨规范。</w:t>
            </w:r>
          </w:p>
          <w:p w14:paraId="6CE45039">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（6）交付成果要求</w:t>
            </w:r>
          </w:p>
          <w:p w14:paraId="506F13DF">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highlight w:val="none"/>
                <w:lang w:val="en-US" w:eastAsia="zh-CN"/>
              </w:rPr>
              <w:t>交付可编辑原版PPT文</w:t>
            </w:r>
            <w:r>
              <w:rPr>
                <w:rFonts w:hint="eastAsia" w:ascii="宋体" w:hAnsi="宋体" w:eastAsia="宋体" w:cs="宋体"/>
                <w:b w:val="0"/>
                <w:bCs w:val="0"/>
                <w:color w:val="auto"/>
                <w:sz w:val="21"/>
                <w:szCs w:val="21"/>
                <w:lang w:val="en-US" w:eastAsia="zh-CN"/>
              </w:rPr>
              <w:t>件+高清固化PDF文件，无加密、无锁定、可二次修改。</w:t>
            </w:r>
          </w:p>
          <w:p w14:paraId="32E36329">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提供全套PPT目录清单、素材来源说明、双语术语对照表。</w:t>
            </w:r>
          </w:p>
          <w:p w14:paraId="0E8EAAEA">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配套提交PPT编制说明文档，包含编制依据、素材说明、使用说明。</w:t>
            </w:r>
          </w:p>
          <w:p w14:paraId="5E400EC2">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PPT数量≥30套，单套不少于15页，匹配全部教学任务，无缺项、无凑数。</w:t>
            </w:r>
          </w:p>
          <w:p w14:paraId="7B6D3E78">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全程中英双语对照，翻译准确、术语统一，无翻译错误。</w:t>
            </w:r>
          </w:p>
          <w:p w14:paraId="024E0D40">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每套PPT必须包含教学目标、参考资料、学习素材、重难点、课堂总结等标准模块。</w:t>
            </w:r>
          </w:p>
          <w:p w14:paraId="0A3B7F8A">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版式统一、素材合规、图文规范、无版权纠纷，符合国际化课程验收标准。</w:t>
            </w:r>
          </w:p>
          <w:p w14:paraId="12805E39">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本项目所有PPT版权归采购方独家所有，未经允许不得留存、外泄、二次商用。</w:t>
            </w:r>
          </w:p>
        </w:tc>
        <w:tc>
          <w:tcPr>
            <w:tcW w:w="910" w:type="dxa"/>
            <w:tcBorders>
              <w:top w:val="single" w:color="auto" w:sz="4" w:space="0"/>
              <w:left w:val="single" w:color="auto" w:sz="4" w:space="0"/>
              <w:bottom w:val="single" w:color="auto" w:sz="4" w:space="0"/>
              <w:right w:val="single" w:color="auto" w:sz="4" w:space="0"/>
            </w:tcBorders>
            <w:noWrap w:val="0"/>
            <w:vAlign w:val="center"/>
          </w:tcPr>
          <w:p w14:paraId="63FC4F0F">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150000</w:t>
            </w:r>
          </w:p>
        </w:tc>
      </w:tr>
      <w:tr w14:paraId="52BC92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8666" w:type="dxa"/>
            <w:gridSpan w:val="6"/>
            <w:tcBorders>
              <w:top w:val="single" w:color="auto" w:sz="4" w:space="0"/>
              <w:left w:val="single" w:color="auto" w:sz="4" w:space="0"/>
              <w:bottom w:val="single" w:color="auto" w:sz="4" w:space="0"/>
              <w:right w:val="single" w:color="auto" w:sz="4" w:space="0"/>
            </w:tcBorders>
            <w:noWrap w:val="0"/>
            <w:vAlign w:val="center"/>
          </w:tcPr>
          <w:p w14:paraId="337C7F40">
            <w:pPr>
              <w:keepNext w:val="0"/>
              <w:keepLines w:val="0"/>
              <w:pageBreakBefore w:val="0"/>
              <w:widowControl/>
              <w:kinsoku/>
              <w:overflowPunct/>
              <w:topLinePunct w:val="0"/>
              <w:autoSpaceDE/>
              <w:autoSpaceDN/>
              <w:bidi w:val="0"/>
              <w:adjustRightInd/>
              <w:snapToGrid/>
              <w:spacing w:line="360" w:lineRule="exact"/>
              <w:jc w:val="left"/>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合计</w:t>
            </w:r>
          </w:p>
        </w:tc>
        <w:tc>
          <w:tcPr>
            <w:tcW w:w="910" w:type="dxa"/>
            <w:tcBorders>
              <w:top w:val="single" w:color="auto" w:sz="4" w:space="0"/>
              <w:left w:val="single" w:color="auto" w:sz="4" w:space="0"/>
              <w:bottom w:val="single" w:color="auto" w:sz="4" w:space="0"/>
              <w:right w:val="single" w:color="auto" w:sz="4" w:space="0"/>
            </w:tcBorders>
            <w:noWrap w:val="0"/>
            <w:vAlign w:val="center"/>
          </w:tcPr>
          <w:p w14:paraId="2BD4F1FF">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1050000</w:t>
            </w:r>
          </w:p>
        </w:tc>
      </w:tr>
      <w:tr w14:paraId="0C9549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47" w:hRule="atLeast"/>
          <w:jc w:val="center"/>
        </w:trPr>
        <w:tc>
          <w:tcPr>
            <w:tcW w:w="634" w:type="dxa"/>
            <w:gridSpan w:val="2"/>
            <w:tcBorders>
              <w:top w:val="single" w:color="auto" w:sz="4" w:space="0"/>
              <w:left w:val="single" w:color="auto" w:sz="4" w:space="0"/>
              <w:bottom w:val="single" w:color="auto" w:sz="4" w:space="0"/>
              <w:right w:val="single" w:color="auto" w:sz="4" w:space="0"/>
            </w:tcBorders>
            <w:noWrap w:val="0"/>
            <w:vAlign w:val="top"/>
          </w:tcPr>
          <w:p w14:paraId="6F9056E8">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sz w:val="21"/>
                <w:szCs w:val="21"/>
              </w:rPr>
            </w:pPr>
            <w:bookmarkStart w:id="47" w:name="_top"/>
            <w:bookmarkEnd w:id="47"/>
            <w:r>
              <w:rPr>
                <w:rFonts w:hint="eastAsia" w:ascii="宋体" w:hAnsi="宋体" w:eastAsia="宋体" w:cs="宋体"/>
                <w:sz w:val="21"/>
                <w:szCs w:val="21"/>
              </w:rPr>
              <w:t>商务条款</w:t>
            </w:r>
          </w:p>
        </w:tc>
        <w:tc>
          <w:tcPr>
            <w:tcW w:w="8942" w:type="dxa"/>
            <w:gridSpan w:val="5"/>
            <w:tcBorders>
              <w:top w:val="single" w:color="auto" w:sz="4" w:space="0"/>
              <w:left w:val="single" w:color="auto" w:sz="4" w:space="0"/>
              <w:bottom w:val="single" w:color="auto" w:sz="4" w:space="0"/>
              <w:right w:val="single" w:color="auto" w:sz="4" w:space="0"/>
            </w:tcBorders>
            <w:noWrap w:val="0"/>
            <w:vAlign w:val="top"/>
          </w:tcPr>
          <w:p w14:paraId="759E83D9">
            <w:pPr>
              <w:keepNext w:val="0"/>
              <w:keepLines w:val="0"/>
              <w:pageBreakBefore w:val="0"/>
              <w:widowControl w:val="0"/>
              <w:kinsoku/>
              <w:wordWrap w:val="0"/>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▲一、合同签订期：自中标通知书发出之日起</w:t>
            </w:r>
            <w:r>
              <w:rPr>
                <w:rFonts w:hint="eastAsia" w:ascii="宋体" w:hAnsi="宋体" w:eastAsia="宋体" w:cs="宋体"/>
                <w:color w:val="auto"/>
                <w:sz w:val="21"/>
                <w:szCs w:val="21"/>
                <w:highlight w:val="none"/>
                <w:lang w:val="en-US" w:eastAsia="zh-CN"/>
              </w:rPr>
              <w:t>25</w:t>
            </w:r>
            <w:r>
              <w:rPr>
                <w:rFonts w:hint="eastAsia" w:ascii="宋体" w:hAnsi="宋体" w:eastAsia="宋体" w:cs="宋体"/>
                <w:color w:val="auto"/>
                <w:sz w:val="21"/>
                <w:szCs w:val="21"/>
                <w:highlight w:val="none"/>
              </w:rPr>
              <w:t>日内。</w:t>
            </w:r>
          </w:p>
          <w:p w14:paraId="19FF7A21">
            <w:pPr>
              <w:keepNext w:val="0"/>
              <w:keepLines w:val="0"/>
              <w:pageBreakBefore w:val="0"/>
              <w:widowControl w:val="0"/>
              <w:kinsoku/>
              <w:wordWrap w:val="0"/>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二、服务时间：签订合同之日起</w:t>
            </w:r>
            <w:r>
              <w:rPr>
                <w:rFonts w:hint="eastAsia" w:ascii="宋体" w:hAnsi="宋体" w:eastAsia="宋体" w:cs="宋体"/>
                <w:color w:val="auto"/>
                <w:sz w:val="21"/>
                <w:szCs w:val="21"/>
                <w:highlight w:val="none"/>
                <w:lang w:val="en-US" w:eastAsia="zh-CN"/>
              </w:rPr>
              <w:t>至</w:t>
            </w:r>
            <w:r>
              <w:rPr>
                <w:rFonts w:hint="eastAsia" w:ascii="宋体" w:hAnsi="宋体" w:eastAsia="宋体" w:cs="宋体"/>
                <w:color w:val="auto"/>
                <w:sz w:val="21"/>
                <w:szCs w:val="21"/>
                <w:highlight w:val="none"/>
              </w:rPr>
              <w:t>202</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lang w:val="en-US" w:eastAsia="zh-CN"/>
              </w:rPr>
              <w:t>12月10日内</w:t>
            </w:r>
            <w:r>
              <w:rPr>
                <w:rFonts w:hint="eastAsia" w:ascii="宋体" w:hAnsi="宋体" w:eastAsia="宋体" w:cs="宋体"/>
                <w:color w:val="auto"/>
                <w:sz w:val="21"/>
                <w:szCs w:val="21"/>
                <w:highlight w:val="none"/>
              </w:rPr>
              <w:t>完成。</w:t>
            </w:r>
          </w:p>
          <w:p w14:paraId="6B81260D">
            <w:pPr>
              <w:keepNext w:val="0"/>
              <w:keepLines w:val="0"/>
              <w:pageBreakBefore w:val="0"/>
              <w:widowControl w:val="0"/>
              <w:kinsoku/>
              <w:wordWrap w:val="0"/>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w:t>
            </w:r>
            <w:r>
              <w:rPr>
                <w:rFonts w:hint="eastAsia" w:ascii="宋体" w:hAnsi="宋体" w:eastAsia="宋体" w:cs="宋体"/>
                <w:color w:val="auto"/>
                <w:sz w:val="21"/>
                <w:szCs w:val="21"/>
                <w:highlight w:val="none"/>
                <w:lang w:val="en-US" w:eastAsia="zh-CN"/>
              </w:rPr>
              <w:t>交付地点</w:t>
            </w:r>
            <w:r>
              <w:rPr>
                <w:rFonts w:hint="eastAsia" w:ascii="宋体" w:hAnsi="宋体" w:eastAsia="宋体" w:cs="宋体"/>
                <w:color w:val="auto"/>
                <w:sz w:val="21"/>
                <w:szCs w:val="21"/>
                <w:highlight w:val="none"/>
              </w:rPr>
              <w:t>：采购人（南宁市第三职业技术学校）指定地点。</w:t>
            </w:r>
          </w:p>
          <w:p w14:paraId="5E339B32">
            <w:pPr>
              <w:pStyle w:val="21"/>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四、质量保证期：自项目验收之日起1年。</w:t>
            </w:r>
          </w:p>
          <w:p w14:paraId="58952288">
            <w:pPr>
              <w:keepNext w:val="0"/>
              <w:keepLines w:val="0"/>
              <w:pageBreakBefore w:val="0"/>
              <w:widowControl w:val="0"/>
              <w:kinsoku/>
              <w:wordWrap w:val="0"/>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五</w:t>
            </w:r>
            <w:r>
              <w:rPr>
                <w:rFonts w:hint="eastAsia" w:ascii="宋体" w:hAnsi="宋体" w:eastAsia="宋体" w:cs="宋体"/>
                <w:color w:val="auto"/>
                <w:sz w:val="21"/>
                <w:szCs w:val="21"/>
                <w:highlight w:val="none"/>
              </w:rPr>
              <w:t>、付款方式：项目通过采购人书面验收合格，且按采购人要求提交项目请款函及有关请款资料，市财政局批复用款计划后10个工作日内一次性支付合同款。</w:t>
            </w:r>
          </w:p>
          <w:p w14:paraId="59CAECFA">
            <w:pPr>
              <w:keepNext w:val="0"/>
              <w:keepLines w:val="0"/>
              <w:pageBreakBefore w:val="0"/>
              <w:widowControl w:val="0"/>
              <w:kinsoku/>
              <w:wordWrap w:val="0"/>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六、</w:t>
            </w:r>
            <w:r>
              <w:rPr>
                <w:rFonts w:hint="eastAsia" w:ascii="宋体" w:hAnsi="宋体" w:eastAsia="宋体" w:cs="宋体"/>
                <w:color w:val="auto"/>
                <w:sz w:val="21"/>
                <w:szCs w:val="21"/>
                <w:highlight w:val="none"/>
              </w:rPr>
              <w:t>服务要求：</w:t>
            </w:r>
          </w:p>
          <w:p w14:paraId="3D2EF7F6">
            <w:pPr>
              <w:keepNext w:val="0"/>
              <w:keepLines w:val="0"/>
              <w:pageBreakBefore w:val="0"/>
              <w:widowControl w:val="0"/>
              <w:kinsoku/>
              <w:wordWrap w:val="0"/>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1.提供7×24小时电话热线支持和传真服务。项目建设及售后服务期间，出现任何项目问题，中标供应商须在1小时内响应，5小时内帮助采购人处理并解决问题。质量保证期外也提供服务热线支持。</w:t>
            </w:r>
          </w:p>
          <w:p w14:paraId="6DC8E25B">
            <w:pPr>
              <w:keepNext w:val="0"/>
              <w:keepLines w:val="0"/>
              <w:pageBreakBefore w:val="0"/>
              <w:widowControl w:val="0"/>
              <w:kinsoku/>
              <w:wordWrap w:val="0"/>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2.在合同履行期限内，中标供应商应对服务出现的问题负责处理解决并承担一切费用。</w:t>
            </w:r>
          </w:p>
          <w:p w14:paraId="38C966FA">
            <w:pPr>
              <w:keepNext w:val="0"/>
              <w:keepLines w:val="0"/>
              <w:pageBreakBefore w:val="0"/>
              <w:widowControl w:val="0"/>
              <w:kinsoku/>
              <w:wordWrap w:val="0"/>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七</w:t>
            </w:r>
            <w:r>
              <w:rPr>
                <w:rFonts w:hint="eastAsia" w:ascii="宋体" w:hAnsi="宋体" w:eastAsia="宋体" w:cs="宋体"/>
                <w:color w:val="auto"/>
                <w:sz w:val="21"/>
                <w:szCs w:val="21"/>
                <w:highlight w:val="none"/>
              </w:rPr>
              <w:t>、验收要求</w:t>
            </w:r>
            <w:r>
              <w:rPr>
                <w:rFonts w:hint="eastAsia" w:ascii="宋体" w:hAnsi="宋体" w:eastAsia="宋体" w:cs="宋体"/>
                <w:color w:val="auto"/>
                <w:sz w:val="21"/>
                <w:szCs w:val="21"/>
                <w:highlight w:val="none"/>
                <w:lang w:eastAsia="zh-CN"/>
              </w:rPr>
              <w:t>：</w:t>
            </w:r>
          </w:p>
          <w:p w14:paraId="044DA23F">
            <w:pPr>
              <w:keepNext w:val="0"/>
              <w:keepLines w:val="0"/>
              <w:pageBreakBefore w:val="0"/>
              <w:widowControl w:val="0"/>
              <w:kinsoku/>
              <w:wordWrap w:val="0"/>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1.验收依据招标文件、投标文件以及国家和行业验收规范要求及合同中的相关条款。</w:t>
            </w:r>
          </w:p>
          <w:p w14:paraId="4D4E3CD5">
            <w:pPr>
              <w:keepNext w:val="0"/>
              <w:keepLines w:val="0"/>
              <w:pageBreakBefore w:val="0"/>
              <w:widowControl w:val="0"/>
              <w:kinsoku/>
              <w:wordWrap w:val="0"/>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2.中标供应商提交的项目成果，由双方对照采购需求（包含建设目标、技术指标）进行验收。</w:t>
            </w:r>
          </w:p>
          <w:p w14:paraId="4C5D677F">
            <w:pPr>
              <w:keepNext w:val="0"/>
              <w:keepLines w:val="0"/>
              <w:pageBreakBefore w:val="0"/>
              <w:widowControl w:val="0"/>
              <w:kinsoku/>
              <w:wordWrap w:val="0"/>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3.由采购</w:t>
            </w:r>
            <w:r>
              <w:rPr>
                <w:rFonts w:hint="eastAsia" w:ascii="宋体" w:hAnsi="宋体" w:eastAsia="宋体" w:cs="宋体"/>
                <w:color w:val="auto"/>
                <w:sz w:val="21"/>
                <w:szCs w:val="21"/>
                <w:highlight w:val="none"/>
                <w:lang w:val="en-US" w:eastAsia="zh-CN"/>
              </w:rPr>
              <w:t>人</w:t>
            </w:r>
            <w:r>
              <w:rPr>
                <w:rFonts w:hint="eastAsia" w:ascii="宋体" w:hAnsi="宋体" w:eastAsia="宋体" w:cs="宋体"/>
                <w:color w:val="auto"/>
                <w:sz w:val="21"/>
                <w:szCs w:val="21"/>
                <w:highlight w:val="none"/>
              </w:rPr>
              <w:t>对照</w:t>
            </w:r>
            <w:r>
              <w:rPr>
                <w:rFonts w:hint="eastAsia" w:ascii="宋体" w:hAnsi="宋体" w:eastAsia="宋体" w:cs="宋体"/>
                <w:color w:val="auto"/>
                <w:sz w:val="21"/>
                <w:szCs w:val="21"/>
                <w:highlight w:val="none"/>
                <w:lang w:val="en-US" w:eastAsia="zh-CN"/>
              </w:rPr>
              <w:t>招标</w:t>
            </w:r>
            <w:r>
              <w:rPr>
                <w:rFonts w:hint="eastAsia" w:ascii="宋体" w:hAnsi="宋体" w:eastAsia="宋体" w:cs="宋体"/>
                <w:color w:val="auto"/>
                <w:sz w:val="21"/>
                <w:szCs w:val="21"/>
                <w:highlight w:val="none"/>
              </w:rPr>
              <w:t>文件的技术要求全面核对检验，中标供应商须无条件配合采购人对服务成果进行验收，如发现不符合</w:t>
            </w:r>
            <w:r>
              <w:rPr>
                <w:rFonts w:hint="eastAsia" w:ascii="宋体" w:hAnsi="宋体" w:eastAsia="宋体" w:cs="宋体"/>
                <w:color w:val="auto"/>
                <w:sz w:val="21"/>
                <w:szCs w:val="21"/>
                <w:highlight w:val="none"/>
                <w:lang w:val="en-US" w:eastAsia="zh-CN"/>
              </w:rPr>
              <w:t>招标</w:t>
            </w:r>
            <w:r>
              <w:rPr>
                <w:rFonts w:hint="eastAsia" w:ascii="宋体" w:hAnsi="宋体" w:eastAsia="宋体" w:cs="宋体"/>
                <w:color w:val="auto"/>
                <w:sz w:val="21"/>
                <w:szCs w:val="21"/>
                <w:highlight w:val="none"/>
              </w:rPr>
              <w:t>文件的技术需求及要求或提供虚假承诺的，按相关规定做违约处理，中标供应商承担所有责任和费用，采购人保留进一步追究责任的权利。</w:t>
            </w:r>
          </w:p>
          <w:p w14:paraId="154A1F35">
            <w:pPr>
              <w:keepNext w:val="0"/>
              <w:keepLines w:val="0"/>
              <w:pageBreakBefore w:val="0"/>
              <w:widowControl w:val="0"/>
              <w:kinsoku/>
              <w:wordWrap w:val="0"/>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八、</w:t>
            </w:r>
            <w:r>
              <w:rPr>
                <w:rFonts w:hint="eastAsia" w:ascii="宋体" w:hAnsi="宋体" w:eastAsia="宋体" w:cs="宋体"/>
                <w:color w:val="auto"/>
                <w:sz w:val="21"/>
                <w:szCs w:val="21"/>
                <w:highlight w:val="none"/>
              </w:rPr>
              <w:t>其他要求：</w:t>
            </w:r>
          </w:p>
          <w:p w14:paraId="796CA911">
            <w:pPr>
              <w:keepNext w:val="0"/>
              <w:keepLines w:val="0"/>
              <w:pageBreakBefore w:val="0"/>
              <w:widowControl w:val="0"/>
              <w:kinsoku/>
              <w:wordWrap w:val="0"/>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1.报价必须含以下部分，包括：</w:t>
            </w:r>
          </w:p>
          <w:p w14:paraId="36AFA3A1">
            <w:pPr>
              <w:keepNext w:val="0"/>
              <w:keepLines w:val="0"/>
              <w:pageBreakBefore w:val="0"/>
              <w:widowControl w:val="0"/>
              <w:kinsoku/>
              <w:wordWrap w:val="0"/>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（1）服务的价格，包括但不限于全部人工费、服务费、管理费、利润、调试、修改、维护、答疑、资料优化、验收、培训、聘请专家等各种费用以及售后服务及其它所有成本费用的总和；</w:t>
            </w:r>
          </w:p>
          <w:p w14:paraId="50D10A64">
            <w:pPr>
              <w:keepNext w:val="0"/>
              <w:keepLines w:val="0"/>
              <w:pageBreakBefore w:val="0"/>
              <w:widowControl w:val="0"/>
              <w:kinsoku/>
              <w:wordWrap w:val="0"/>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（2）必要的保险费用和各项税金；</w:t>
            </w:r>
          </w:p>
          <w:p w14:paraId="2A566EF2">
            <w:pPr>
              <w:keepNext w:val="0"/>
              <w:keepLines w:val="0"/>
              <w:pageBreakBefore w:val="0"/>
              <w:widowControl w:val="0"/>
              <w:kinsoku/>
              <w:wordWrap w:val="0"/>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（3）投标人应对本项目的所有内容范围及服务进行报价；采购人不再支付任何费用。</w:t>
            </w:r>
          </w:p>
          <w:p w14:paraId="46BB3BB6">
            <w:pPr>
              <w:keepNext w:val="0"/>
              <w:keepLines w:val="0"/>
              <w:pageBreakBefore w:val="0"/>
              <w:widowControl w:val="0"/>
              <w:kinsoku/>
              <w:wordWrap w:val="0"/>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.违约责任</w:t>
            </w:r>
            <w:r>
              <w:rPr>
                <w:rFonts w:hint="eastAsia" w:ascii="宋体" w:hAnsi="宋体" w:eastAsia="宋体" w:cs="宋体"/>
                <w:color w:val="auto"/>
                <w:sz w:val="21"/>
                <w:szCs w:val="21"/>
                <w:highlight w:val="none"/>
                <w:lang w:eastAsia="zh-CN"/>
              </w:rPr>
              <w:t>：</w:t>
            </w:r>
          </w:p>
          <w:p w14:paraId="7688D2AD">
            <w:pPr>
              <w:keepNext w:val="0"/>
              <w:keepLines w:val="0"/>
              <w:pageBreakBefore w:val="0"/>
              <w:widowControl w:val="0"/>
              <w:kinsoku/>
              <w:wordWrap w:val="0"/>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中标供应商在项目实施要求的服务期内因自身原因不能按时完成项目的，每逾期1天采购人对中标供应商处罚合同总金额的1‰作为违约金；逾期超过10天，采购人有权上报相关监督部门，因此给采购人造成的经济损失由中标供应商自行承担。由于不可抗力原因导致的项目延期，不在违约处罚范围内。</w:t>
            </w:r>
          </w:p>
          <w:p w14:paraId="7394B332">
            <w:pPr>
              <w:keepNext w:val="0"/>
              <w:keepLines w:val="0"/>
              <w:pageBreakBefore w:val="0"/>
              <w:widowControl w:val="0"/>
              <w:kinsoku/>
              <w:wordWrap w:val="0"/>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）中标供应商在项目实施期间的服务成果未达到采购人要求的，采购人对中标供应商处罚合同总金额的2‰作为违约金，因此给采购人造成的经济损失由中标供应商自行承担。</w:t>
            </w:r>
          </w:p>
          <w:p w14:paraId="603CB29E">
            <w:pPr>
              <w:keepNext w:val="0"/>
              <w:keepLines w:val="0"/>
              <w:pageBreakBefore w:val="0"/>
              <w:widowControl w:val="0"/>
              <w:kinsoku/>
              <w:wordWrap w:val="0"/>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）违约责任产生的赔偿不意味违约方整个合同责任的解除，未经采购人同意，中标供应商不得以任何理由推迟、降低、减少有关合同条款履行的承诺。</w:t>
            </w:r>
          </w:p>
          <w:p w14:paraId="2C20DD85">
            <w:pPr>
              <w:keepNext w:val="0"/>
              <w:keepLines w:val="0"/>
              <w:pageBreakBefore w:val="0"/>
              <w:widowControl w:val="0"/>
              <w:kinsoku/>
              <w:wordWrap w:val="0"/>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如中标供应商出现违约时，采购人应以书面方式告知中标供应商应承担的违约责任；中标供应商须在收到通知后须立即整改，由此产生的一切损失由中标供应商须承担相应责任，且须向采购人支付合同总金额的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作为违约金。</w:t>
            </w:r>
          </w:p>
          <w:p w14:paraId="09ED0229">
            <w:pPr>
              <w:keepNext w:val="0"/>
              <w:keepLines w:val="0"/>
              <w:pageBreakBefore w:val="0"/>
              <w:widowControl w:val="0"/>
              <w:kinsoku/>
              <w:wordWrap w:val="0"/>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）中标供应商的其它违约行为，采购人对中标供应商处罚合同总金额的2‰作为违约金，并赔偿采购人相应的经济损失。</w:t>
            </w:r>
          </w:p>
          <w:p w14:paraId="7F2607CD">
            <w:pPr>
              <w:keepNext w:val="0"/>
              <w:keepLines w:val="0"/>
              <w:pageBreakBefore w:val="0"/>
              <w:widowControl w:val="0"/>
              <w:kinsoku/>
              <w:wordWrap w:val="0"/>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3.知识产权：</w:t>
            </w:r>
          </w:p>
          <w:p w14:paraId="44F6F765">
            <w:pPr>
              <w:keepNext w:val="0"/>
              <w:keepLines w:val="0"/>
              <w:pageBreakBefore w:val="0"/>
              <w:widowControl w:val="0"/>
              <w:kinsoku/>
              <w:wordWrap w:val="0"/>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（1）本项目所有权、使用权归采购人所有。</w:t>
            </w:r>
          </w:p>
          <w:p w14:paraId="31E2E868">
            <w:pPr>
              <w:keepNext w:val="0"/>
              <w:keepLines w:val="0"/>
              <w:pageBreakBefore w:val="0"/>
              <w:kinsoku/>
              <w:overflowPunct/>
              <w:topLinePunct w:val="0"/>
              <w:autoSpaceDE/>
              <w:autoSpaceDN/>
              <w:bidi w:val="0"/>
              <w:adjustRightInd/>
              <w:snapToGrid/>
              <w:spacing w:line="36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（2）供应商须保证采购人在使用该项目成果内容时免受第三方在知识产权方面的起诉。如果第三方提出侵权指控，供应商应承担由此而引起的一切法律责任和费用。</w:t>
            </w:r>
          </w:p>
        </w:tc>
      </w:tr>
      <w:tr w14:paraId="5D7170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47" w:hRule="atLeast"/>
          <w:jc w:val="center"/>
        </w:trPr>
        <w:tc>
          <w:tcPr>
            <w:tcW w:w="634" w:type="dxa"/>
            <w:gridSpan w:val="2"/>
            <w:tcBorders>
              <w:top w:val="single" w:color="auto" w:sz="4" w:space="0"/>
              <w:left w:val="single" w:color="auto" w:sz="4" w:space="0"/>
              <w:bottom w:val="single" w:color="auto" w:sz="4" w:space="0"/>
              <w:right w:val="single" w:color="auto" w:sz="4" w:space="0"/>
            </w:tcBorders>
            <w:noWrap w:val="0"/>
            <w:vAlign w:val="top"/>
          </w:tcPr>
          <w:p w14:paraId="67AD27A7">
            <w:pPr>
              <w:keepNext w:val="0"/>
              <w:keepLines w:val="0"/>
              <w:pageBreakBefore w:val="0"/>
              <w:widowControl/>
              <w:shd w:val="clear" w:color="auto" w:fill="FFFFFF"/>
              <w:kinsoku/>
              <w:overflowPunct/>
              <w:topLinePunct w:val="0"/>
              <w:autoSpaceDE/>
              <w:autoSpaceDN/>
              <w:bidi w:val="0"/>
              <w:adjustRightInd/>
              <w:snapToGrid/>
              <w:spacing w:line="360" w:lineRule="exact"/>
              <w:rPr>
                <w:rFonts w:hint="eastAsia" w:ascii="宋体" w:hAnsi="宋体" w:eastAsia="宋体" w:cs="宋体"/>
                <w:sz w:val="21"/>
                <w:szCs w:val="21"/>
              </w:rPr>
            </w:pPr>
            <w:r>
              <w:rPr>
                <w:rFonts w:hint="eastAsia" w:ascii="宋体" w:hAnsi="宋体" w:eastAsia="宋体" w:cs="宋体"/>
                <w:sz w:val="21"/>
                <w:szCs w:val="21"/>
              </w:rPr>
              <w:t>其他说明</w:t>
            </w:r>
          </w:p>
        </w:tc>
        <w:tc>
          <w:tcPr>
            <w:tcW w:w="8942" w:type="dxa"/>
            <w:gridSpan w:val="5"/>
            <w:tcBorders>
              <w:top w:val="single" w:color="auto" w:sz="4" w:space="0"/>
              <w:left w:val="single" w:color="auto" w:sz="4" w:space="0"/>
              <w:bottom w:val="single" w:color="auto" w:sz="4" w:space="0"/>
              <w:right w:val="single" w:color="auto" w:sz="4" w:space="0"/>
            </w:tcBorders>
            <w:noWrap w:val="0"/>
            <w:vAlign w:val="top"/>
          </w:tcPr>
          <w:p w14:paraId="2A40F0CE">
            <w:pPr>
              <w:keepNext w:val="0"/>
              <w:keepLines w:val="0"/>
              <w:pageBreakBefore w:val="0"/>
              <w:widowControl/>
              <w:numPr>
                <w:ilvl w:val="0"/>
                <w:numId w:val="1"/>
              </w:numPr>
              <w:shd w:val="clear" w:color="auto" w:fill="FFFFFF"/>
              <w:kinsoku/>
              <w:overflowPunct/>
              <w:topLinePunct w:val="0"/>
              <w:autoSpaceDE/>
              <w:autoSpaceDN/>
              <w:bidi w:val="0"/>
              <w:adjustRightInd/>
              <w:snapToGrid/>
              <w:spacing w:line="360" w:lineRule="exact"/>
              <w:rPr>
                <w:rFonts w:ascii="宋体" w:hAnsi="宋体" w:eastAsia="宋体"/>
                <w:kern w:val="0"/>
                <w:szCs w:val="21"/>
              </w:rPr>
            </w:pPr>
            <w:r>
              <w:rPr>
                <w:rFonts w:ascii="宋体" w:hAnsi="宋体" w:eastAsia="宋体"/>
                <w:kern w:val="0"/>
                <w:szCs w:val="21"/>
              </w:rPr>
              <w:t>本项目采购标的对应的中小企业划分标准所属行业：</w:t>
            </w:r>
            <w:r>
              <w:rPr>
                <w:rFonts w:ascii="宋体" w:hAnsi="宋体" w:eastAsia="宋体"/>
                <w:b/>
                <w:bCs/>
                <w:kern w:val="0"/>
                <w:szCs w:val="21"/>
              </w:rPr>
              <w:t>其</w:t>
            </w:r>
            <w:r>
              <w:rPr>
                <w:rFonts w:hint="eastAsia" w:ascii="宋体" w:hAnsi="宋体" w:eastAsia="宋体"/>
                <w:b/>
                <w:bCs/>
                <w:kern w:val="0"/>
                <w:szCs w:val="21"/>
              </w:rPr>
              <w:t>他</w:t>
            </w:r>
            <w:r>
              <w:rPr>
                <w:rFonts w:ascii="宋体" w:hAnsi="宋体" w:eastAsia="宋体"/>
                <w:b/>
                <w:bCs/>
                <w:kern w:val="0"/>
                <w:szCs w:val="21"/>
              </w:rPr>
              <w:t>未列明行业</w:t>
            </w:r>
            <w:r>
              <w:rPr>
                <w:rFonts w:ascii="宋体" w:hAnsi="宋体" w:eastAsia="宋体"/>
                <w:kern w:val="0"/>
                <w:szCs w:val="21"/>
              </w:rPr>
              <w:t>。</w:t>
            </w:r>
          </w:p>
          <w:p w14:paraId="66BB0B4A">
            <w:pPr>
              <w:keepNext w:val="0"/>
              <w:keepLines w:val="0"/>
              <w:pageBreakBefore w:val="0"/>
              <w:widowControl/>
              <w:numPr>
                <w:ilvl w:val="0"/>
                <w:numId w:val="1"/>
              </w:numPr>
              <w:shd w:val="clear" w:color="auto" w:fill="FFFFFF"/>
              <w:kinsoku/>
              <w:overflowPunct/>
              <w:topLinePunct w:val="0"/>
              <w:autoSpaceDE/>
              <w:autoSpaceDN/>
              <w:bidi w:val="0"/>
              <w:adjustRightInd/>
              <w:snapToGrid/>
              <w:spacing w:line="360" w:lineRule="exact"/>
              <w:rPr>
                <w:rFonts w:hint="eastAsia" w:ascii="宋体" w:hAnsi="宋体" w:eastAsia="宋体" w:cs="宋体"/>
                <w:sz w:val="21"/>
                <w:szCs w:val="21"/>
              </w:rPr>
            </w:pPr>
            <w:r>
              <w:rPr>
                <w:rFonts w:hint="eastAsia" w:ascii="宋体" w:hAnsi="宋体" w:eastAsia="宋体" w:cs="宋体"/>
                <w:sz w:val="21"/>
                <w:szCs w:val="21"/>
              </w:rPr>
              <w:t>本项目采购标的的需执行的国家相关标准、行业标准、地方标准或其他强制性标准、规范等要求：按国家、行业相关标准及中标供应商承诺进行验收。</w:t>
            </w:r>
          </w:p>
          <w:p w14:paraId="5D3A7D8B">
            <w:pPr>
              <w:keepNext w:val="0"/>
              <w:keepLines w:val="0"/>
              <w:pageBreakBefore w:val="0"/>
              <w:widowControl/>
              <w:numPr>
                <w:ilvl w:val="0"/>
                <w:numId w:val="1"/>
              </w:numPr>
              <w:shd w:val="clear" w:color="auto" w:fill="FFFFFF"/>
              <w:kinsoku/>
              <w:overflowPunct/>
              <w:topLinePunct w:val="0"/>
              <w:autoSpaceDE/>
              <w:autoSpaceDN/>
              <w:bidi w:val="0"/>
              <w:adjustRightInd/>
              <w:snapToGrid/>
              <w:spacing w:line="360" w:lineRule="exact"/>
              <w:ind w:left="0" w:leftChars="0" w:firstLine="0" w:firstLineChars="0"/>
              <w:rPr>
                <w:rFonts w:hint="eastAsia" w:ascii="宋体" w:hAnsi="宋体" w:eastAsia="宋体" w:cs="宋体"/>
                <w:sz w:val="21"/>
                <w:szCs w:val="21"/>
              </w:rPr>
            </w:pPr>
            <w:r>
              <w:rPr>
                <w:rFonts w:hint="eastAsia" w:ascii="宋体" w:hAnsi="宋体" w:eastAsia="宋体" w:cs="宋体"/>
                <w:sz w:val="21"/>
                <w:szCs w:val="21"/>
              </w:rPr>
              <w:t xml:space="preserve">合同延续年限、条件和方式：本项目合同到期后不续签。 </w:t>
            </w:r>
          </w:p>
          <w:p w14:paraId="7A9DE30A">
            <w:pPr>
              <w:pStyle w:val="20"/>
              <w:numPr>
                <w:ilvl w:val="0"/>
                <w:numId w:val="1"/>
              </w:numPr>
              <w:ind w:left="0" w:leftChars="0" w:firstLine="0" w:firstLineChars="0"/>
              <w:rPr>
                <w:rFonts w:hint="eastAsia"/>
              </w:rPr>
            </w:pPr>
            <w:r>
              <w:rPr>
                <w:rFonts w:hint="eastAsia" w:ascii="宋体" w:hAnsi="宋体" w:eastAsia="宋体" w:cs="宋体"/>
                <w:kern w:val="2"/>
                <w:sz w:val="21"/>
                <w:szCs w:val="21"/>
                <w:lang w:val="en-US" w:eastAsia="zh-CN" w:bidi="ar-SA"/>
              </w:rPr>
              <w:t>如有请提供与本项目相关的组织服务方案（实施方案、服务承诺、实施专家队伍）、业绩以及其他可以证明企业实力的证明材料。</w:t>
            </w:r>
          </w:p>
        </w:tc>
      </w:tr>
    </w:tbl>
    <w:p w14:paraId="14216BE8">
      <w:pPr>
        <w:spacing w:line="360" w:lineRule="auto"/>
        <w:jc w:val="left"/>
        <w:rPr>
          <w:rFonts w:hint="eastAsia"/>
        </w:rPr>
      </w:pPr>
    </w:p>
    <w:p w14:paraId="1A323A28">
      <w:pPr>
        <w:spacing w:line="320" w:lineRule="exact"/>
        <w:rPr>
          <w:rFonts w:ascii="宋体" w:hAnsi="宋体"/>
        </w:rPr>
      </w:pPr>
    </w:p>
    <w:bookmarkEnd w:id="46"/>
    <w:p w14:paraId="28C2D45A">
      <w:pPr>
        <w:spacing w:line="428" w:lineRule="exact"/>
        <w:ind w:left="119"/>
        <w:rPr>
          <w:rFonts w:hint="eastAsia" w:ascii="微软雅黑" w:hAnsi="微软雅黑" w:eastAsia="微软雅黑" w:cs="微软雅黑"/>
          <w:sz w:val="32"/>
          <w:szCs w:val="32"/>
        </w:rPr>
      </w:pPr>
      <w:r>
        <w:rPr>
          <w:rFonts w:ascii="微软雅黑" w:hAnsi="微软雅黑" w:eastAsia="微软雅黑" w:cs="微软雅黑"/>
          <w:sz w:val="32"/>
          <w:szCs w:val="32"/>
        </w:rPr>
        <w:br w:type="page"/>
      </w:r>
    </w:p>
    <w:p w14:paraId="2CD16942">
      <w:pPr>
        <w:spacing w:line="428" w:lineRule="exact"/>
        <w:ind w:left="119"/>
        <w:rPr>
          <w:rFonts w:hint="eastAsia" w:ascii="Arial Unicode MS" w:hAnsi="Arial Unicode MS" w:eastAsia="Arial Unicode MS" w:cs="Arial Unicode MS"/>
          <w:sz w:val="32"/>
          <w:szCs w:val="32"/>
        </w:rPr>
      </w:pPr>
      <w:r>
        <w:rPr>
          <w:rFonts w:hint="eastAsia" w:ascii="微软雅黑" w:hAnsi="微软雅黑" w:eastAsia="微软雅黑" w:cs="微软雅黑"/>
          <w:sz w:val="32"/>
          <w:szCs w:val="32"/>
        </w:rPr>
        <w:t>附件</w:t>
      </w:r>
      <w:r>
        <w:rPr>
          <w:rFonts w:ascii="Arial Unicode MS" w:hAnsi="Arial Unicode MS" w:eastAsia="Arial Unicode MS" w:cs="Arial Unicode MS"/>
          <w:sz w:val="32"/>
          <w:szCs w:val="32"/>
        </w:rPr>
        <w:t>1</w:t>
      </w:r>
      <w:r>
        <w:rPr>
          <w:rFonts w:hint="eastAsia" w:ascii="微软雅黑" w:hAnsi="微软雅黑" w:eastAsia="微软雅黑" w:cs="微软雅黑"/>
          <w:sz w:val="32"/>
          <w:szCs w:val="32"/>
        </w:rPr>
        <w:t>：</w:t>
      </w:r>
    </w:p>
    <w:p w14:paraId="17D482BA">
      <w:pPr>
        <w:spacing w:before="7"/>
        <w:rPr>
          <w:rFonts w:ascii="Arial Unicode MS" w:hAnsi="Arial Unicode MS" w:eastAsia="Arial Unicode MS" w:cs="Arial Unicode MS"/>
          <w:sz w:val="17"/>
          <w:szCs w:val="17"/>
        </w:rPr>
      </w:pPr>
    </w:p>
    <w:p w14:paraId="2EB74DC7">
      <w:pPr>
        <w:spacing w:line="528" w:lineRule="exact"/>
        <w:ind w:left="1871"/>
        <w:rPr>
          <w:rFonts w:ascii="Arial Unicode MS" w:hAnsi="Arial Unicode MS" w:eastAsia="Arial Unicode MS" w:cs="Arial Unicode MS"/>
          <w:sz w:val="40"/>
          <w:szCs w:val="40"/>
        </w:rPr>
      </w:pPr>
      <w:r>
        <w:rPr>
          <w:rFonts w:hint="eastAsia" w:ascii="微软雅黑" w:hAnsi="微软雅黑" w:eastAsia="微软雅黑" w:cs="微软雅黑"/>
          <w:sz w:val="40"/>
          <w:szCs w:val="40"/>
        </w:rPr>
        <w:t>节能产品政府采购品目清单</w:t>
      </w:r>
    </w:p>
    <w:tbl>
      <w:tblPr>
        <w:tblStyle w:val="16"/>
        <w:tblW w:w="9220" w:type="dxa"/>
        <w:tblInd w:w="93" w:type="dxa"/>
        <w:tblLayout w:type="autofit"/>
        <w:tblCellMar>
          <w:top w:w="0" w:type="dxa"/>
          <w:left w:w="108" w:type="dxa"/>
          <w:bottom w:w="0" w:type="dxa"/>
          <w:right w:w="108" w:type="dxa"/>
        </w:tblCellMar>
      </w:tblPr>
      <w:tblGrid>
        <w:gridCol w:w="641"/>
        <w:gridCol w:w="1116"/>
        <w:gridCol w:w="1516"/>
        <w:gridCol w:w="1612"/>
        <w:gridCol w:w="4335"/>
      </w:tblGrid>
      <w:tr w14:paraId="2CCBF0FB">
        <w:tblPrEx>
          <w:tblCellMar>
            <w:top w:w="0" w:type="dxa"/>
            <w:left w:w="108" w:type="dxa"/>
            <w:bottom w:w="0" w:type="dxa"/>
            <w:right w:w="108" w:type="dxa"/>
          </w:tblCellMar>
        </w:tblPrEx>
        <w:trPr>
          <w:trHeight w:val="555" w:hRule="atLeast"/>
        </w:trPr>
        <w:tc>
          <w:tcPr>
            <w:tcW w:w="660" w:type="dxa"/>
            <w:tcBorders>
              <w:top w:val="single" w:color="000000" w:sz="8" w:space="0"/>
              <w:left w:val="single" w:color="000000" w:sz="8" w:space="0"/>
              <w:bottom w:val="single" w:color="000000" w:sz="8" w:space="0"/>
              <w:right w:val="single" w:color="000000" w:sz="8" w:space="0"/>
            </w:tcBorders>
            <w:noWrap w:val="0"/>
            <w:vAlign w:val="top"/>
          </w:tcPr>
          <w:p w14:paraId="0CA19110">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品目序号</w:t>
            </w:r>
          </w:p>
        </w:tc>
        <w:tc>
          <w:tcPr>
            <w:tcW w:w="4020" w:type="dxa"/>
            <w:gridSpan w:val="3"/>
            <w:tcBorders>
              <w:top w:val="single" w:color="000000" w:sz="8" w:space="0"/>
              <w:left w:val="nil"/>
              <w:bottom w:val="single" w:color="000000" w:sz="8" w:space="0"/>
              <w:right w:val="single" w:color="000000" w:sz="8" w:space="0"/>
            </w:tcBorders>
            <w:noWrap w:val="0"/>
            <w:vAlign w:val="center"/>
          </w:tcPr>
          <w:p w14:paraId="51416B25">
            <w:pPr>
              <w:widowControl/>
              <w:jc w:val="center"/>
              <w:rPr>
                <w:rFonts w:hint="eastAsia" w:ascii="宋体" w:hAnsi="宋体" w:cs="宋体"/>
                <w:b/>
                <w:bCs/>
                <w:color w:val="000000"/>
                <w:kern w:val="0"/>
                <w:sz w:val="22"/>
                <w:szCs w:val="22"/>
              </w:rPr>
            </w:pPr>
            <w:r>
              <w:rPr>
                <w:rFonts w:hint="eastAsia" w:ascii="宋体" w:hAnsi="宋体" w:cs="宋体"/>
                <w:b/>
                <w:bCs/>
                <w:color w:val="000000"/>
                <w:kern w:val="0"/>
                <w:sz w:val="22"/>
                <w:szCs w:val="22"/>
              </w:rPr>
              <w:t>名称</w:t>
            </w:r>
          </w:p>
        </w:tc>
        <w:tc>
          <w:tcPr>
            <w:tcW w:w="4540" w:type="dxa"/>
            <w:tcBorders>
              <w:top w:val="single" w:color="000000" w:sz="8" w:space="0"/>
              <w:left w:val="nil"/>
              <w:bottom w:val="single" w:color="000000" w:sz="8" w:space="0"/>
              <w:right w:val="single" w:color="000000" w:sz="8" w:space="0"/>
            </w:tcBorders>
            <w:noWrap w:val="0"/>
            <w:vAlign w:val="center"/>
          </w:tcPr>
          <w:p w14:paraId="31758306">
            <w:pPr>
              <w:widowControl/>
              <w:jc w:val="center"/>
              <w:rPr>
                <w:rFonts w:hint="eastAsia" w:ascii="宋体" w:hAnsi="宋体" w:cs="宋体"/>
                <w:b/>
                <w:bCs/>
                <w:color w:val="000000"/>
                <w:kern w:val="0"/>
                <w:sz w:val="22"/>
                <w:szCs w:val="22"/>
              </w:rPr>
            </w:pPr>
            <w:r>
              <w:rPr>
                <w:rFonts w:hint="eastAsia" w:ascii="宋体" w:hAnsi="宋体" w:cs="宋体"/>
                <w:b/>
                <w:bCs/>
                <w:color w:val="000000"/>
                <w:kern w:val="0"/>
                <w:sz w:val="22"/>
                <w:szCs w:val="22"/>
              </w:rPr>
              <w:t>依据的标准</w:t>
            </w:r>
          </w:p>
        </w:tc>
      </w:tr>
      <w:tr w14:paraId="0AC86236">
        <w:tblPrEx>
          <w:tblCellMar>
            <w:top w:w="0" w:type="dxa"/>
            <w:left w:w="108" w:type="dxa"/>
            <w:bottom w:w="0" w:type="dxa"/>
            <w:right w:w="108" w:type="dxa"/>
          </w:tblCellMar>
        </w:tblPrEx>
        <w:trPr>
          <w:trHeight w:val="495" w:hRule="atLeast"/>
        </w:trPr>
        <w:tc>
          <w:tcPr>
            <w:tcW w:w="660" w:type="dxa"/>
            <w:vMerge w:val="restart"/>
            <w:tcBorders>
              <w:top w:val="nil"/>
              <w:left w:val="single" w:color="000000" w:sz="8" w:space="0"/>
              <w:bottom w:val="single" w:color="000000" w:sz="8" w:space="0"/>
              <w:right w:val="single" w:color="000000" w:sz="8" w:space="0"/>
            </w:tcBorders>
            <w:noWrap w:val="0"/>
            <w:vAlign w:val="center"/>
          </w:tcPr>
          <w:p w14:paraId="700CBAA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w:t>
            </w:r>
          </w:p>
        </w:tc>
        <w:tc>
          <w:tcPr>
            <w:tcW w:w="1080" w:type="dxa"/>
            <w:vMerge w:val="restart"/>
            <w:tcBorders>
              <w:top w:val="nil"/>
              <w:left w:val="single" w:color="000000" w:sz="8" w:space="0"/>
              <w:bottom w:val="single" w:color="000000" w:sz="8" w:space="0"/>
              <w:right w:val="single" w:color="000000" w:sz="8" w:space="0"/>
            </w:tcBorders>
            <w:noWrap w:val="0"/>
            <w:vAlign w:val="center"/>
          </w:tcPr>
          <w:p w14:paraId="079BFD4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A020101计算机设备</w:t>
            </w:r>
          </w:p>
        </w:tc>
        <w:tc>
          <w:tcPr>
            <w:tcW w:w="1320" w:type="dxa"/>
            <w:tcBorders>
              <w:top w:val="nil"/>
              <w:left w:val="nil"/>
              <w:bottom w:val="single" w:color="000000" w:sz="8" w:space="0"/>
              <w:right w:val="single" w:color="000000" w:sz="8" w:space="0"/>
            </w:tcBorders>
            <w:noWrap w:val="0"/>
            <w:vAlign w:val="center"/>
          </w:tcPr>
          <w:p w14:paraId="01E04C8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★A02010104台式计算机</w:t>
            </w:r>
          </w:p>
        </w:tc>
        <w:tc>
          <w:tcPr>
            <w:tcW w:w="1620" w:type="dxa"/>
            <w:tcBorders>
              <w:top w:val="nil"/>
              <w:left w:val="nil"/>
              <w:bottom w:val="single" w:color="000000" w:sz="8" w:space="0"/>
              <w:right w:val="single" w:color="000000" w:sz="8" w:space="0"/>
            </w:tcBorders>
            <w:noWrap w:val="0"/>
            <w:vAlign w:val="center"/>
          </w:tcPr>
          <w:p w14:paraId="1E3ADF6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4540" w:type="dxa"/>
            <w:tcBorders>
              <w:top w:val="nil"/>
              <w:left w:val="nil"/>
              <w:bottom w:val="single" w:color="000000" w:sz="8" w:space="0"/>
              <w:right w:val="single" w:color="000000" w:sz="8" w:space="0"/>
            </w:tcBorders>
            <w:noWrap w:val="0"/>
            <w:vAlign w:val="center"/>
          </w:tcPr>
          <w:p w14:paraId="57FA2D5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《微型计算机能效限定值及能效等级》（GB28380）</w:t>
            </w:r>
          </w:p>
        </w:tc>
      </w:tr>
      <w:tr w14:paraId="3BC56224">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7FC11CAA">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373BD5DD">
            <w:pPr>
              <w:widowControl/>
              <w:jc w:val="left"/>
              <w:rPr>
                <w:rFonts w:ascii="宋体" w:hAnsi="宋体" w:cs="宋体"/>
                <w:color w:val="000000"/>
                <w:kern w:val="0"/>
                <w:sz w:val="20"/>
                <w:szCs w:val="20"/>
              </w:rPr>
            </w:pPr>
          </w:p>
        </w:tc>
        <w:tc>
          <w:tcPr>
            <w:tcW w:w="1320" w:type="dxa"/>
            <w:tcBorders>
              <w:top w:val="nil"/>
              <w:left w:val="nil"/>
              <w:bottom w:val="single" w:color="000000" w:sz="8" w:space="0"/>
              <w:right w:val="single" w:color="000000" w:sz="8" w:space="0"/>
            </w:tcBorders>
            <w:noWrap w:val="0"/>
            <w:vAlign w:val="center"/>
          </w:tcPr>
          <w:p w14:paraId="2E635F6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★A02010105便携式计算机</w:t>
            </w:r>
          </w:p>
        </w:tc>
        <w:tc>
          <w:tcPr>
            <w:tcW w:w="1620" w:type="dxa"/>
            <w:tcBorders>
              <w:top w:val="nil"/>
              <w:left w:val="nil"/>
              <w:bottom w:val="single" w:color="000000" w:sz="8" w:space="0"/>
              <w:right w:val="single" w:color="000000" w:sz="8" w:space="0"/>
            </w:tcBorders>
            <w:noWrap w:val="0"/>
            <w:vAlign w:val="center"/>
          </w:tcPr>
          <w:p w14:paraId="0EFCD59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4540" w:type="dxa"/>
            <w:tcBorders>
              <w:top w:val="nil"/>
              <w:left w:val="nil"/>
              <w:bottom w:val="single" w:color="000000" w:sz="8" w:space="0"/>
              <w:right w:val="single" w:color="000000" w:sz="8" w:space="0"/>
            </w:tcBorders>
            <w:noWrap w:val="0"/>
            <w:vAlign w:val="center"/>
          </w:tcPr>
          <w:p w14:paraId="3887235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《微型计算机能效限定值及能效等级》（GB28380）</w:t>
            </w:r>
          </w:p>
        </w:tc>
      </w:tr>
      <w:tr w14:paraId="7564B250">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3F593566">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7D7AAEE3">
            <w:pPr>
              <w:widowControl/>
              <w:jc w:val="left"/>
              <w:rPr>
                <w:rFonts w:ascii="宋体" w:hAnsi="宋体" w:cs="宋体"/>
                <w:color w:val="000000"/>
                <w:kern w:val="0"/>
                <w:sz w:val="20"/>
                <w:szCs w:val="20"/>
              </w:rPr>
            </w:pPr>
          </w:p>
        </w:tc>
        <w:tc>
          <w:tcPr>
            <w:tcW w:w="1320" w:type="dxa"/>
            <w:tcBorders>
              <w:top w:val="nil"/>
              <w:left w:val="nil"/>
              <w:bottom w:val="single" w:color="000000" w:sz="8" w:space="0"/>
              <w:right w:val="single" w:color="000000" w:sz="8" w:space="0"/>
            </w:tcBorders>
            <w:noWrap w:val="0"/>
            <w:vAlign w:val="center"/>
          </w:tcPr>
          <w:p w14:paraId="3D4CBAE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★A02010107平板式微型计算机</w:t>
            </w:r>
          </w:p>
        </w:tc>
        <w:tc>
          <w:tcPr>
            <w:tcW w:w="1620" w:type="dxa"/>
            <w:tcBorders>
              <w:top w:val="nil"/>
              <w:left w:val="nil"/>
              <w:bottom w:val="single" w:color="000000" w:sz="8" w:space="0"/>
              <w:right w:val="single" w:color="000000" w:sz="8" w:space="0"/>
            </w:tcBorders>
            <w:noWrap w:val="0"/>
            <w:vAlign w:val="center"/>
          </w:tcPr>
          <w:p w14:paraId="6BCFB38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4540" w:type="dxa"/>
            <w:tcBorders>
              <w:top w:val="nil"/>
              <w:left w:val="nil"/>
              <w:bottom w:val="single" w:color="000000" w:sz="8" w:space="0"/>
              <w:right w:val="single" w:color="000000" w:sz="8" w:space="0"/>
            </w:tcBorders>
            <w:noWrap w:val="0"/>
            <w:vAlign w:val="center"/>
          </w:tcPr>
          <w:p w14:paraId="5AA9B19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《微型计算机能效限定值及能效等级》（GB28380）</w:t>
            </w:r>
          </w:p>
        </w:tc>
      </w:tr>
      <w:tr w14:paraId="6A7F4966">
        <w:tblPrEx>
          <w:tblCellMar>
            <w:top w:w="0" w:type="dxa"/>
            <w:left w:w="108" w:type="dxa"/>
            <w:bottom w:w="0" w:type="dxa"/>
            <w:right w:w="108" w:type="dxa"/>
          </w:tblCellMar>
        </w:tblPrEx>
        <w:trPr>
          <w:trHeight w:val="495" w:hRule="atLeast"/>
        </w:trPr>
        <w:tc>
          <w:tcPr>
            <w:tcW w:w="660" w:type="dxa"/>
            <w:vMerge w:val="restart"/>
            <w:tcBorders>
              <w:top w:val="nil"/>
              <w:left w:val="single" w:color="000000" w:sz="8" w:space="0"/>
              <w:bottom w:val="single" w:color="000000" w:sz="8" w:space="0"/>
              <w:right w:val="single" w:color="000000" w:sz="8" w:space="0"/>
            </w:tcBorders>
            <w:noWrap w:val="0"/>
            <w:vAlign w:val="center"/>
          </w:tcPr>
          <w:p w14:paraId="1AC103C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2</w:t>
            </w:r>
          </w:p>
        </w:tc>
        <w:tc>
          <w:tcPr>
            <w:tcW w:w="1080" w:type="dxa"/>
            <w:vMerge w:val="restart"/>
            <w:tcBorders>
              <w:top w:val="nil"/>
              <w:left w:val="single" w:color="000000" w:sz="8" w:space="0"/>
              <w:bottom w:val="single" w:color="000000" w:sz="8" w:space="0"/>
              <w:right w:val="single" w:color="000000" w:sz="8" w:space="0"/>
            </w:tcBorders>
            <w:noWrap w:val="0"/>
            <w:vAlign w:val="center"/>
          </w:tcPr>
          <w:p w14:paraId="1FCE042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A020106输入输出设备</w:t>
            </w:r>
          </w:p>
        </w:tc>
        <w:tc>
          <w:tcPr>
            <w:tcW w:w="1320" w:type="dxa"/>
            <w:vMerge w:val="restart"/>
            <w:tcBorders>
              <w:top w:val="nil"/>
              <w:left w:val="single" w:color="000000" w:sz="8" w:space="0"/>
              <w:bottom w:val="single" w:color="000000" w:sz="8" w:space="0"/>
              <w:right w:val="single" w:color="000000" w:sz="8" w:space="0"/>
            </w:tcBorders>
            <w:noWrap w:val="0"/>
            <w:vAlign w:val="center"/>
          </w:tcPr>
          <w:p w14:paraId="3459FE8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A02010601打印设备</w:t>
            </w:r>
          </w:p>
        </w:tc>
        <w:tc>
          <w:tcPr>
            <w:tcW w:w="1620" w:type="dxa"/>
            <w:tcBorders>
              <w:top w:val="nil"/>
              <w:left w:val="nil"/>
              <w:bottom w:val="single" w:color="000000" w:sz="8" w:space="0"/>
              <w:right w:val="single" w:color="000000" w:sz="8" w:space="0"/>
            </w:tcBorders>
            <w:noWrap w:val="0"/>
            <w:vAlign w:val="center"/>
          </w:tcPr>
          <w:p w14:paraId="3BF1476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A0201060101喷墨打印机</w:t>
            </w:r>
          </w:p>
        </w:tc>
        <w:tc>
          <w:tcPr>
            <w:tcW w:w="4540" w:type="dxa"/>
            <w:tcBorders>
              <w:top w:val="nil"/>
              <w:left w:val="nil"/>
              <w:bottom w:val="single" w:color="000000" w:sz="8" w:space="0"/>
              <w:right w:val="single" w:color="000000" w:sz="8" w:space="0"/>
            </w:tcBorders>
            <w:noWrap w:val="0"/>
            <w:vAlign w:val="center"/>
          </w:tcPr>
          <w:p w14:paraId="48217A0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《复印机、打印机和传真机能效限定值及能效等级》（GB21521）</w:t>
            </w:r>
          </w:p>
        </w:tc>
      </w:tr>
      <w:tr w14:paraId="55B02565">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79169F6F">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17448832">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5D2B1063">
            <w:pPr>
              <w:widowControl/>
              <w:jc w:val="left"/>
              <w:rPr>
                <w:rFonts w:ascii="宋体" w:hAnsi="宋体" w:cs="宋体"/>
                <w:color w:val="000000"/>
                <w:kern w:val="0"/>
                <w:sz w:val="20"/>
                <w:szCs w:val="20"/>
              </w:rPr>
            </w:pPr>
          </w:p>
        </w:tc>
        <w:tc>
          <w:tcPr>
            <w:tcW w:w="1620" w:type="dxa"/>
            <w:tcBorders>
              <w:top w:val="nil"/>
              <w:left w:val="nil"/>
              <w:bottom w:val="single" w:color="000000" w:sz="8" w:space="0"/>
              <w:right w:val="single" w:color="000000" w:sz="8" w:space="0"/>
            </w:tcBorders>
            <w:noWrap w:val="0"/>
            <w:vAlign w:val="center"/>
          </w:tcPr>
          <w:p w14:paraId="03351EB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★A0201060102激光打印机</w:t>
            </w:r>
          </w:p>
        </w:tc>
        <w:tc>
          <w:tcPr>
            <w:tcW w:w="4540" w:type="dxa"/>
            <w:tcBorders>
              <w:top w:val="nil"/>
              <w:left w:val="nil"/>
              <w:bottom w:val="single" w:color="000000" w:sz="8" w:space="0"/>
              <w:right w:val="single" w:color="000000" w:sz="8" w:space="0"/>
            </w:tcBorders>
            <w:noWrap w:val="0"/>
            <w:vAlign w:val="center"/>
          </w:tcPr>
          <w:p w14:paraId="495CF09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《复印机、打印机和传真机能效限定值及能效等级》（GB21521）</w:t>
            </w:r>
          </w:p>
        </w:tc>
      </w:tr>
      <w:tr w14:paraId="2DBAB34D">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1E667140">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47D3AC7B">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215E3634">
            <w:pPr>
              <w:widowControl/>
              <w:jc w:val="left"/>
              <w:rPr>
                <w:rFonts w:ascii="宋体" w:hAnsi="宋体" w:cs="宋体"/>
                <w:color w:val="000000"/>
                <w:kern w:val="0"/>
                <w:sz w:val="20"/>
                <w:szCs w:val="20"/>
              </w:rPr>
            </w:pPr>
          </w:p>
        </w:tc>
        <w:tc>
          <w:tcPr>
            <w:tcW w:w="1620" w:type="dxa"/>
            <w:tcBorders>
              <w:top w:val="nil"/>
              <w:left w:val="nil"/>
              <w:bottom w:val="single" w:color="000000" w:sz="8" w:space="0"/>
              <w:right w:val="single" w:color="000000" w:sz="8" w:space="0"/>
            </w:tcBorders>
            <w:noWrap w:val="0"/>
            <w:vAlign w:val="center"/>
          </w:tcPr>
          <w:p w14:paraId="708E3EF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★A0201060104针式打印机</w:t>
            </w:r>
          </w:p>
        </w:tc>
        <w:tc>
          <w:tcPr>
            <w:tcW w:w="4540" w:type="dxa"/>
            <w:tcBorders>
              <w:top w:val="nil"/>
              <w:left w:val="nil"/>
              <w:bottom w:val="single" w:color="000000" w:sz="8" w:space="0"/>
              <w:right w:val="single" w:color="000000" w:sz="8" w:space="0"/>
            </w:tcBorders>
            <w:noWrap w:val="0"/>
            <w:vAlign w:val="center"/>
          </w:tcPr>
          <w:p w14:paraId="60A99DB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《复印机、打印机和传真机能效限定值及能效等级》（GB21521）</w:t>
            </w:r>
          </w:p>
        </w:tc>
      </w:tr>
      <w:tr w14:paraId="2D211FC9">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62BEF2D9">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5EAD92D5">
            <w:pPr>
              <w:widowControl/>
              <w:jc w:val="left"/>
              <w:rPr>
                <w:rFonts w:ascii="宋体" w:hAnsi="宋体" w:cs="宋体"/>
                <w:color w:val="000000"/>
                <w:kern w:val="0"/>
                <w:sz w:val="20"/>
                <w:szCs w:val="20"/>
              </w:rPr>
            </w:pPr>
          </w:p>
        </w:tc>
        <w:tc>
          <w:tcPr>
            <w:tcW w:w="1320" w:type="dxa"/>
            <w:tcBorders>
              <w:top w:val="nil"/>
              <w:left w:val="nil"/>
              <w:bottom w:val="single" w:color="000000" w:sz="8" w:space="0"/>
              <w:right w:val="single" w:color="000000" w:sz="8" w:space="0"/>
            </w:tcBorders>
            <w:noWrap w:val="0"/>
            <w:vAlign w:val="center"/>
          </w:tcPr>
          <w:p w14:paraId="36306CB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A02010604显示设备</w:t>
            </w:r>
          </w:p>
        </w:tc>
        <w:tc>
          <w:tcPr>
            <w:tcW w:w="1620" w:type="dxa"/>
            <w:tcBorders>
              <w:top w:val="nil"/>
              <w:left w:val="nil"/>
              <w:bottom w:val="single" w:color="000000" w:sz="8" w:space="0"/>
              <w:right w:val="single" w:color="000000" w:sz="8" w:space="0"/>
            </w:tcBorders>
            <w:noWrap w:val="0"/>
            <w:vAlign w:val="center"/>
          </w:tcPr>
          <w:p w14:paraId="69683A2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★A0201060401液晶显示器</w:t>
            </w:r>
          </w:p>
        </w:tc>
        <w:tc>
          <w:tcPr>
            <w:tcW w:w="4540" w:type="dxa"/>
            <w:tcBorders>
              <w:top w:val="nil"/>
              <w:left w:val="nil"/>
              <w:bottom w:val="single" w:color="000000" w:sz="8" w:space="0"/>
              <w:right w:val="single" w:color="000000" w:sz="8" w:space="0"/>
            </w:tcBorders>
            <w:noWrap w:val="0"/>
            <w:vAlign w:val="center"/>
          </w:tcPr>
          <w:p w14:paraId="34B79BB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《计算机显示器能效限定值及能效等级》（GB21520）</w:t>
            </w:r>
          </w:p>
        </w:tc>
      </w:tr>
      <w:tr w14:paraId="4614C429">
        <w:tblPrEx>
          <w:tblCellMar>
            <w:top w:w="0" w:type="dxa"/>
            <w:left w:w="108" w:type="dxa"/>
            <w:bottom w:w="0" w:type="dxa"/>
            <w:right w:w="108" w:type="dxa"/>
          </w:tblCellMar>
        </w:tblPrEx>
        <w:trPr>
          <w:trHeight w:val="97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67980378">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6BBB691A">
            <w:pPr>
              <w:widowControl/>
              <w:jc w:val="left"/>
              <w:rPr>
                <w:rFonts w:ascii="宋体" w:hAnsi="宋体" w:cs="宋体"/>
                <w:color w:val="000000"/>
                <w:kern w:val="0"/>
                <w:sz w:val="20"/>
                <w:szCs w:val="20"/>
              </w:rPr>
            </w:pPr>
          </w:p>
        </w:tc>
        <w:tc>
          <w:tcPr>
            <w:tcW w:w="1320" w:type="dxa"/>
            <w:tcBorders>
              <w:top w:val="nil"/>
              <w:left w:val="nil"/>
              <w:bottom w:val="single" w:color="000000" w:sz="8" w:space="0"/>
              <w:right w:val="single" w:color="000000" w:sz="8" w:space="0"/>
            </w:tcBorders>
            <w:noWrap w:val="0"/>
            <w:vAlign w:val="center"/>
          </w:tcPr>
          <w:p w14:paraId="05017FF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A02010609图形图像输入设备</w:t>
            </w:r>
          </w:p>
        </w:tc>
        <w:tc>
          <w:tcPr>
            <w:tcW w:w="1620" w:type="dxa"/>
            <w:tcBorders>
              <w:top w:val="nil"/>
              <w:left w:val="nil"/>
              <w:bottom w:val="single" w:color="000000" w:sz="8" w:space="0"/>
              <w:right w:val="single" w:color="000000" w:sz="8" w:space="0"/>
            </w:tcBorders>
            <w:noWrap w:val="0"/>
            <w:vAlign w:val="center"/>
          </w:tcPr>
          <w:p w14:paraId="3F4BE52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A0201060901扫描仪</w:t>
            </w:r>
          </w:p>
        </w:tc>
        <w:tc>
          <w:tcPr>
            <w:tcW w:w="4540" w:type="dxa"/>
            <w:tcBorders>
              <w:top w:val="nil"/>
              <w:left w:val="nil"/>
              <w:bottom w:val="single" w:color="000000" w:sz="8" w:space="0"/>
              <w:right w:val="single" w:color="000000" w:sz="8" w:space="0"/>
            </w:tcBorders>
            <w:noWrap w:val="0"/>
            <w:vAlign w:val="center"/>
          </w:tcPr>
          <w:p w14:paraId="0214767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参照《复印机、打印机和传真机能效限定值及能效等级》（GB21521中打印速度为15页/分的针式打印机相关要求中打印速度为15页/分的针式打印机相关要求</w:t>
            </w:r>
          </w:p>
        </w:tc>
      </w:tr>
      <w:tr w14:paraId="4CEB79C3">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0"/>
            <w:vAlign w:val="center"/>
          </w:tcPr>
          <w:p w14:paraId="24F846F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3</w:t>
            </w:r>
          </w:p>
        </w:tc>
        <w:tc>
          <w:tcPr>
            <w:tcW w:w="1080" w:type="dxa"/>
            <w:tcBorders>
              <w:top w:val="nil"/>
              <w:left w:val="nil"/>
              <w:bottom w:val="single" w:color="000000" w:sz="8" w:space="0"/>
              <w:right w:val="single" w:color="000000" w:sz="8" w:space="0"/>
            </w:tcBorders>
            <w:noWrap w:val="0"/>
            <w:vAlign w:val="center"/>
          </w:tcPr>
          <w:p w14:paraId="726D6BF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A020202投影仪</w:t>
            </w:r>
          </w:p>
        </w:tc>
        <w:tc>
          <w:tcPr>
            <w:tcW w:w="1320" w:type="dxa"/>
            <w:tcBorders>
              <w:top w:val="nil"/>
              <w:left w:val="nil"/>
              <w:bottom w:val="single" w:color="000000" w:sz="8" w:space="0"/>
              <w:right w:val="single" w:color="000000" w:sz="8" w:space="0"/>
            </w:tcBorders>
            <w:noWrap w:val="0"/>
            <w:vAlign w:val="center"/>
          </w:tcPr>
          <w:p w14:paraId="7CEADE1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1620" w:type="dxa"/>
            <w:tcBorders>
              <w:top w:val="nil"/>
              <w:left w:val="nil"/>
              <w:bottom w:val="single" w:color="000000" w:sz="8" w:space="0"/>
              <w:right w:val="single" w:color="000000" w:sz="8" w:space="0"/>
            </w:tcBorders>
            <w:noWrap w:val="0"/>
            <w:vAlign w:val="center"/>
          </w:tcPr>
          <w:p w14:paraId="3E495C7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4540" w:type="dxa"/>
            <w:tcBorders>
              <w:top w:val="nil"/>
              <w:left w:val="nil"/>
              <w:bottom w:val="single" w:color="000000" w:sz="8" w:space="0"/>
              <w:right w:val="single" w:color="000000" w:sz="8" w:space="0"/>
            </w:tcBorders>
            <w:noWrap w:val="0"/>
            <w:vAlign w:val="center"/>
          </w:tcPr>
          <w:p w14:paraId="5347462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《投影机能效限定值及能效等级》（GB32028）</w:t>
            </w:r>
          </w:p>
        </w:tc>
      </w:tr>
      <w:tr w14:paraId="115C39A6">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0"/>
            <w:vAlign w:val="center"/>
          </w:tcPr>
          <w:p w14:paraId="76E71D0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4</w:t>
            </w:r>
          </w:p>
        </w:tc>
        <w:tc>
          <w:tcPr>
            <w:tcW w:w="1080" w:type="dxa"/>
            <w:tcBorders>
              <w:top w:val="nil"/>
              <w:left w:val="nil"/>
              <w:bottom w:val="single" w:color="000000" w:sz="8" w:space="0"/>
              <w:right w:val="single" w:color="000000" w:sz="8" w:space="0"/>
            </w:tcBorders>
            <w:noWrap w:val="0"/>
            <w:vAlign w:val="center"/>
          </w:tcPr>
          <w:p w14:paraId="21D6860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A020204多功能一体机</w:t>
            </w:r>
          </w:p>
        </w:tc>
        <w:tc>
          <w:tcPr>
            <w:tcW w:w="1320" w:type="dxa"/>
            <w:tcBorders>
              <w:top w:val="nil"/>
              <w:left w:val="nil"/>
              <w:bottom w:val="single" w:color="000000" w:sz="8" w:space="0"/>
              <w:right w:val="single" w:color="000000" w:sz="8" w:space="0"/>
            </w:tcBorders>
            <w:noWrap w:val="0"/>
            <w:vAlign w:val="center"/>
          </w:tcPr>
          <w:p w14:paraId="0E223F9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1620" w:type="dxa"/>
            <w:tcBorders>
              <w:top w:val="nil"/>
              <w:left w:val="nil"/>
              <w:bottom w:val="single" w:color="000000" w:sz="8" w:space="0"/>
              <w:right w:val="single" w:color="000000" w:sz="8" w:space="0"/>
            </w:tcBorders>
            <w:noWrap w:val="0"/>
            <w:vAlign w:val="center"/>
          </w:tcPr>
          <w:p w14:paraId="0E2EE0E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4540" w:type="dxa"/>
            <w:tcBorders>
              <w:top w:val="nil"/>
              <w:left w:val="nil"/>
              <w:bottom w:val="single" w:color="000000" w:sz="8" w:space="0"/>
              <w:right w:val="single" w:color="000000" w:sz="8" w:space="0"/>
            </w:tcBorders>
            <w:noWrap w:val="0"/>
            <w:vAlign w:val="center"/>
          </w:tcPr>
          <w:p w14:paraId="47F0A0B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《复印机、打印机和传真机能效限定值及能效等级》（GB21521）</w:t>
            </w:r>
          </w:p>
        </w:tc>
      </w:tr>
      <w:tr w14:paraId="4DD5E931">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0"/>
            <w:vAlign w:val="center"/>
          </w:tcPr>
          <w:p w14:paraId="5ED2CA5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5</w:t>
            </w:r>
          </w:p>
        </w:tc>
        <w:tc>
          <w:tcPr>
            <w:tcW w:w="1080" w:type="dxa"/>
            <w:tcBorders>
              <w:top w:val="nil"/>
              <w:left w:val="nil"/>
              <w:bottom w:val="single" w:color="000000" w:sz="8" w:space="0"/>
              <w:right w:val="single" w:color="000000" w:sz="8" w:space="0"/>
            </w:tcBorders>
            <w:noWrap w:val="0"/>
            <w:vAlign w:val="center"/>
          </w:tcPr>
          <w:p w14:paraId="45F0412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A020519泵</w:t>
            </w:r>
          </w:p>
        </w:tc>
        <w:tc>
          <w:tcPr>
            <w:tcW w:w="1320" w:type="dxa"/>
            <w:tcBorders>
              <w:top w:val="nil"/>
              <w:left w:val="nil"/>
              <w:bottom w:val="single" w:color="000000" w:sz="8" w:space="0"/>
              <w:right w:val="single" w:color="000000" w:sz="8" w:space="0"/>
            </w:tcBorders>
            <w:noWrap w:val="0"/>
            <w:vAlign w:val="center"/>
          </w:tcPr>
          <w:p w14:paraId="7281EA1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A02051901离心泵</w:t>
            </w:r>
          </w:p>
        </w:tc>
        <w:tc>
          <w:tcPr>
            <w:tcW w:w="1620" w:type="dxa"/>
            <w:tcBorders>
              <w:top w:val="nil"/>
              <w:left w:val="nil"/>
              <w:bottom w:val="single" w:color="000000" w:sz="8" w:space="0"/>
              <w:right w:val="single" w:color="000000" w:sz="8" w:space="0"/>
            </w:tcBorders>
            <w:noWrap w:val="0"/>
            <w:vAlign w:val="center"/>
          </w:tcPr>
          <w:p w14:paraId="074DA4D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4540" w:type="dxa"/>
            <w:tcBorders>
              <w:top w:val="nil"/>
              <w:left w:val="nil"/>
              <w:bottom w:val="single" w:color="000000" w:sz="8" w:space="0"/>
              <w:right w:val="single" w:color="000000" w:sz="8" w:space="0"/>
            </w:tcBorders>
            <w:noWrap w:val="0"/>
            <w:vAlign w:val="center"/>
          </w:tcPr>
          <w:p w14:paraId="755687F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《清水离心泵能效限定值及节能评价值》（GB19762）</w:t>
            </w:r>
          </w:p>
        </w:tc>
      </w:tr>
      <w:tr w14:paraId="02DEFDFE">
        <w:tblPrEx>
          <w:tblCellMar>
            <w:top w:w="0" w:type="dxa"/>
            <w:left w:w="108" w:type="dxa"/>
            <w:bottom w:w="0" w:type="dxa"/>
            <w:right w:w="108" w:type="dxa"/>
          </w:tblCellMar>
        </w:tblPrEx>
        <w:trPr>
          <w:trHeight w:val="735" w:hRule="atLeast"/>
        </w:trPr>
        <w:tc>
          <w:tcPr>
            <w:tcW w:w="660" w:type="dxa"/>
            <w:vMerge w:val="restart"/>
            <w:tcBorders>
              <w:top w:val="nil"/>
              <w:left w:val="single" w:color="000000" w:sz="8" w:space="0"/>
              <w:bottom w:val="single" w:color="000000" w:sz="8" w:space="0"/>
              <w:right w:val="single" w:color="000000" w:sz="8" w:space="0"/>
            </w:tcBorders>
            <w:noWrap w:val="0"/>
            <w:vAlign w:val="center"/>
          </w:tcPr>
          <w:p w14:paraId="0F5599C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6</w:t>
            </w:r>
          </w:p>
        </w:tc>
        <w:tc>
          <w:tcPr>
            <w:tcW w:w="1080" w:type="dxa"/>
            <w:vMerge w:val="restart"/>
            <w:tcBorders>
              <w:top w:val="nil"/>
              <w:left w:val="single" w:color="000000" w:sz="8" w:space="0"/>
              <w:bottom w:val="single" w:color="000000" w:sz="8" w:space="0"/>
              <w:right w:val="single" w:color="000000" w:sz="8" w:space="0"/>
            </w:tcBorders>
            <w:noWrap w:val="0"/>
            <w:vAlign w:val="center"/>
          </w:tcPr>
          <w:p w14:paraId="6A9BD4D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A020523制冷空调设备</w:t>
            </w:r>
          </w:p>
        </w:tc>
        <w:tc>
          <w:tcPr>
            <w:tcW w:w="1320" w:type="dxa"/>
            <w:vMerge w:val="restart"/>
            <w:tcBorders>
              <w:top w:val="nil"/>
              <w:left w:val="single" w:color="000000" w:sz="8" w:space="0"/>
              <w:bottom w:val="single" w:color="000000" w:sz="8" w:space="0"/>
              <w:right w:val="single" w:color="000000" w:sz="8" w:space="0"/>
            </w:tcBorders>
            <w:noWrap w:val="0"/>
            <w:vAlign w:val="center"/>
          </w:tcPr>
          <w:p w14:paraId="06BE996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★A02052301制冷压缩机</w:t>
            </w:r>
          </w:p>
        </w:tc>
        <w:tc>
          <w:tcPr>
            <w:tcW w:w="1620" w:type="dxa"/>
            <w:tcBorders>
              <w:top w:val="nil"/>
              <w:left w:val="nil"/>
              <w:bottom w:val="single" w:color="000000" w:sz="8" w:space="0"/>
              <w:right w:val="single" w:color="000000" w:sz="8" w:space="0"/>
            </w:tcBorders>
            <w:noWrap w:val="0"/>
            <w:vAlign w:val="center"/>
          </w:tcPr>
          <w:p w14:paraId="3AA258C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冷水机组</w:t>
            </w:r>
          </w:p>
        </w:tc>
        <w:tc>
          <w:tcPr>
            <w:tcW w:w="4540" w:type="dxa"/>
            <w:tcBorders>
              <w:top w:val="nil"/>
              <w:left w:val="nil"/>
              <w:bottom w:val="single" w:color="000000" w:sz="8" w:space="0"/>
              <w:right w:val="single" w:color="000000" w:sz="8" w:space="0"/>
            </w:tcBorders>
            <w:noWrap w:val="0"/>
            <w:vAlign w:val="center"/>
          </w:tcPr>
          <w:p w14:paraId="4447BCC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《冷水机组能效限定值及能效等级》（GB19577），《低环境温度空气源热泵（冷水）机组能效限定值及能效等级》（GB37480）</w:t>
            </w:r>
          </w:p>
        </w:tc>
      </w:tr>
      <w:tr w14:paraId="0604CE98">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7865718B">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23121239">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175D9A27">
            <w:pPr>
              <w:widowControl/>
              <w:jc w:val="left"/>
              <w:rPr>
                <w:rFonts w:ascii="宋体" w:hAnsi="宋体" w:cs="宋体"/>
                <w:color w:val="000000"/>
                <w:kern w:val="0"/>
                <w:sz w:val="20"/>
                <w:szCs w:val="20"/>
              </w:rPr>
            </w:pPr>
          </w:p>
        </w:tc>
        <w:tc>
          <w:tcPr>
            <w:tcW w:w="1620" w:type="dxa"/>
            <w:tcBorders>
              <w:top w:val="nil"/>
              <w:left w:val="nil"/>
              <w:bottom w:val="single" w:color="000000" w:sz="8" w:space="0"/>
              <w:right w:val="single" w:color="000000" w:sz="8" w:space="0"/>
            </w:tcBorders>
            <w:noWrap w:val="0"/>
            <w:vAlign w:val="center"/>
          </w:tcPr>
          <w:p w14:paraId="2612E1E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水源热泵机组</w:t>
            </w:r>
          </w:p>
        </w:tc>
        <w:tc>
          <w:tcPr>
            <w:tcW w:w="4540" w:type="dxa"/>
            <w:tcBorders>
              <w:top w:val="nil"/>
              <w:left w:val="nil"/>
              <w:bottom w:val="single" w:color="000000" w:sz="8" w:space="0"/>
              <w:right w:val="single" w:color="000000" w:sz="8" w:space="0"/>
            </w:tcBorders>
            <w:noWrap w:val="0"/>
            <w:vAlign w:val="center"/>
          </w:tcPr>
          <w:p w14:paraId="3247152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《水（地）源热泵机组能效限定值及能效等级》（GB30721）</w:t>
            </w:r>
          </w:p>
        </w:tc>
      </w:tr>
      <w:tr w14:paraId="6381760D">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728F32FA">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76E6345F">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657805A7">
            <w:pPr>
              <w:widowControl/>
              <w:jc w:val="left"/>
              <w:rPr>
                <w:rFonts w:ascii="宋体" w:hAnsi="宋体" w:cs="宋体"/>
                <w:color w:val="000000"/>
                <w:kern w:val="0"/>
                <w:sz w:val="20"/>
                <w:szCs w:val="20"/>
              </w:rPr>
            </w:pPr>
          </w:p>
        </w:tc>
        <w:tc>
          <w:tcPr>
            <w:tcW w:w="1620" w:type="dxa"/>
            <w:tcBorders>
              <w:top w:val="nil"/>
              <w:left w:val="nil"/>
              <w:bottom w:val="single" w:color="000000" w:sz="8" w:space="0"/>
              <w:right w:val="single" w:color="000000" w:sz="8" w:space="0"/>
            </w:tcBorders>
            <w:noWrap w:val="0"/>
            <w:vAlign w:val="center"/>
          </w:tcPr>
          <w:p w14:paraId="4AAF737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溴化锂吸收式冷水机组</w:t>
            </w:r>
          </w:p>
        </w:tc>
        <w:tc>
          <w:tcPr>
            <w:tcW w:w="4540" w:type="dxa"/>
            <w:tcBorders>
              <w:top w:val="nil"/>
              <w:left w:val="nil"/>
              <w:bottom w:val="single" w:color="000000" w:sz="8" w:space="0"/>
              <w:right w:val="single" w:color="000000" w:sz="8" w:space="0"/>
            </w:tcBorders>
            <w:noWrap w:val="0"/>
            <w:vAlign w:val="center"/>
          </w:tcPr>
          <w:p w14:paraId="0FB09ED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《溴化锂吸收式冷水机组能效限定值及能效等级》（GB29540）</w:t>
            </w:r>
          </w:p>
        </w:tc>
      </w:tr>
      <w:tr w14:paraId="7FDC056C">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5A84A89A">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146FAD34">
            <w:pPr>
              <w:widowControl/>
              <w:jc w:val="left"/>
              <w:rPr>
                <w:rFonts w:ascii="宋体" w:hAnsi="宋体" w:cs="宋体"/>
                <w:color w:val="000000"/>
                <w:kern w:val="0"/>
                <w:sz w:val="20"/>
                <w:szCs w:val="20"/>
              </w:rPr>
            </w:pPr>
          </w:p>
        </w:tc>
        <w:tc>
          <w:tcPr>
            <w:tcW w:w="1320" w:type="dxa"/>
            <w:vMerge w:val="restart"/>
            <w:tcBorders>
              <w:top w:val="nil"/>
              <w:left w:val="single" w:color="000000" w:sz="8" w:space="0"/>
              <w:bottom w:val="single" w:color="000000" w:sz="8" w:space="0"/>
              <w:right w:val="single" w:color="000000" w:sz="8" w:space="0"/>
            </w:tcBorders>
            <w:noWrap w:val="0"/>
            <w:vAlign w:val="center"/>
          </w:tcPr>
          <w:p w14:paraId="4B4A376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★A02052305空调机组</w:t>
            </w:r>
          </w:p>
        </w:tc>
        <w:tc>
          <w:tcPr>
            <w:tcW w:w="1620" w:type="dxa"/>
            <w:tcBorders>
              <w:top w:val="nil"/>
              <w:left w:val="nil"/>
              <w:bottom w:val="single" w:color="000000" w:sz="8" w:space="0"/>
              <w:right w:val="single" w:color="000000" w:sz="8" w:space="0"/>
            </w:tcBorders>
            <w:noWrap w:val="0"/>
            <w:vAlign w:val="center"/>
          </w:tcPr>
          <w:p w14:paraId="26EF092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多联式空调（热泵）机组(制冷量&gt;14000W)</w:t>
            </w:r>
          </w:p>
        </w:tc>
        <w:tc>
          <w:tcPr>
            <w:tcW w:w="4540" w:type="dxa"/>
            <w:tcBorders>
              <w:top w:val="nil"/>
              <w:left w:val="nil"/>
              <w:bottom w:val="single" w:color="000000" w:sz="8" w:space="0"/>
              <w:right w:val="single" w:color="000000" w:sz="8" w:space="0"/>
            </w:tcBorders>
            <w:noWrap w:val="0"/>
            <w:vAlign w:val="center"/>
          </w:tcPr>
          <w:p w14:paraId="7476133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《多联式空调（热泵）机组能效限定值及能源效率等级》（GB21454）</w:t>
            </w:r>
          </w:p>
        </w:tc>
      </w:tr>
      <w:tr w14:paraId="2D652F8A">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3ECDE3B6">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5BB85D90">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47760070">
            <w:pPr>
              <w:widowControl/>
              <w:jc w:val="left"/>
              <w:rPr>
                <w:rFonts w:ascii="宋体" w:hAnsi="宋体" w:cs="宋体"/>
                <w:color w:val="000000"/>
                <w:kern w:val="0"/>
                <w:sz w:val="20"/>
                <w:szCs w:val="20"/>
              </w:rPr>
            </w:pPr>
          </w:p>
        </w:tc>
        <w:tc>
          <w:tcPr>
            <w:tcW w:w="1620" w:type="dxa"/>
            <w:tcBorders>
              <w:top w:val="nil"/>
              <w:left w:val="nil"/>
              <w:bottom w:val="single" w:color="000000" w:sz="8" w:space="0"/>
              <w:right w:val="single" w:color="000000" w:sz="8" w:space="0"/>
            </w:tcBorders>
            <w:noWrap w:val="0"/>
            <w:vAlign w:val="center"/>
          </w:tcPr>
          <w:p w14:paraId="04D7594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单元式空气调节机(制冷量&gt;14000W</w:t>
            </w:r>
          </w:p>
        </w:tc>
        <w:tc>
          <w:tcPr>
            <w:tcW w:w="4540" w:type="dxa"/>
            <w:tcBorders>
              <w:top w:val="nil"/>
              <w:left w:val="nil"/>
              <w:bottom w:val="single" w:color="000000" w:sz="8" w:space="0"/>
              <w:right w:val="single" w:color="000000" w:sz="8" w:space="0"/>
            </w:tcBorders>
            <w:noWrap w:val="0"/>
            <w:vAlign w:val="center"/>
          </w:tcPr>
          <w:p w14:paraId="1B025A1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《单元式空气调节机能效限定值及能效等级》（GB19576）《风管送风式空调机组能效限定值及能效等级》（GB37479）</w:t>
            </w:r>
          </w:p>
        </w:tc>
      </w:tr>
      <w:tr w14:paraId="2D3A632B">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7528358C">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7FFCFD6E">
            <w:pPr>
              <w:widowControl/>
              <w:jc w:val="left"/>
              <w:rPr>
                <w:rFonts w:ascii="宋体" w:hAnsi="宋体" w:cs="宋体"/>
                <w:color w:val="000000"/>
                <w:kern w:val="0"/>
                <w:sz w:val="20"/>
                <w:szCs w:val="20"/>
              </w:rPr>
            </w:pPr>
          </w:p>
        </w:tc>
        <w:tc>
          <w:tcPr>
            <w:tcW w:w="1320" w:type="dxa"/>
            <w:tcBorders>
              <w:top w:val="nil"/>
              <w:left w:val="nil"/>
              <w:bottom w:val="single" w:color="000000" w:sz="8" w:space="0"/>
              <w:right w:val="single" w:color="000000" w:sz="8" w:space="0"/>
            </w:tcBorders>
            <w:noWrap w:val="0"/>
            <w:vAlign w:val="center"/>
          </w:tcPr>
          <w:p w14:paraId="5E03372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★A02052309专用制冷、空调设备</w:t>
            </w:r>
          </w:p>
        </w:tc>
        <w:tc>
          <w:tcPr>
            <w:tcW w:w="1620" w:type="dxa"/>
            <w:tcBorders>
              <w:top w:val="nil"/>
              <w:left w:val="nil"/>
              <w:bottom w:val="single" w:color="000000" w:sz="8" w:space="0"/>
              <w:right w:val="single" w:color="000000" w:sz="8" w:space="0"/>
            </w:tcBorders>
            <w:noWrap w:val="0"/>
            <w:vAlign w:val="center"/>
          </w:tcPr>
          <w:p w14:paraId="127EBDE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机房空调</w:t>
            </w:r>
          </w:p>
        </w:tc>
        <w:tc>
          <w:tcPr>
            <w:tcW w:w="4540" w:type="dxa"/>
            <w:tcBorders>
              <w:top w:val="nil"/>
              <w:left w:val="nil"/>
              <w:bottom w:val="single" w:color="000000" w:sz="8" w:space="0"/>
              <w:right w:val="single" w:color="000000" w:sz="8" w:space="0"/>
            </w:tcBorders>
            <w:noWrap w:val="0"/>
            <w:vAlign w:val="center"/>
          </w:tcPr>
          <w:p w14:paraId="368CF30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《单元式空气调节机能效限定值及能效等级》（GB19576）</w:t>
            </w:r>
          </w:p>
        </w:tc>
      </w:tr>
      <w:tr w14:paraId="077F12C3">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21347B39">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0D6B3791">
            <w:pPr>
              <w:widowControl/>
              <w:jc w:val="left"/>
              <w:rPr>
                <w:rFonts w:ascii="宋体" w:hAnsi="宋体" w:cs="宋体"/>
                <w:color w:val="000000"/>
                <w:kern w:val="0"/>
                <w:sz w:val="20"/>
                <w:szCs w:val="20"/>
              </w:rPr>
            </w:pPr>
          </w:p>
        </w:tc>
        <w:tc>
          <w:tcPr>
            <w:tcW w:w="1320" w:type="dxa"/>
            <w:tcBorders>
              <w:top w:val="nil"/>
              <w:left w:val="nil"/>
              <w:bottom w:val="single" w:color="000000" w:sz="8" w:space="0"/>
              <w:right w:val="single" w:color="000000" w:sz="8" w:space="0"/>
            </w:tcBorders>
            <w:noWrap w:val="0"/>
            <w:vAlign w:val="center"/>
          </w:tcPr>
          <w:p w14:paraId="2E4F89F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A02052399其他制冷空调设备</w:t>
            </w:r>
          </w:p>
        </w:tc>
        <w:tc>
          <w:tcPr>
            <w:tcW w:w="1620" w:type="dxa"/>
            <w:tcBorders>
              <w:top w:val="nil"/>
              <w:left w:val="nil"/>
              <w:bottom w:val="single" w:color="000000" w:sz="8" w:space="0"/>
              <w:right w:val="single" w:color="000000" w:sz="8" w:space="0"/>
            </w:tcBorders>
            <w:noWrap w:val="0"/>
            <w:vAlign w:val="center"/>
          </w:tcPr>
          <w:p w14:paraId="1A1CB3B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冷却塔</w:t>
            </w:r>
          </w:p>
        </w:tc>
        <w:tc>
          <w:tcPr>
            <w:tcW w:w="4540" w:type="dxa"/>
            <w:tcBorders>
              <w:top w:val="nil"/>
              <w:left w:val="nil"/>
              <w:bottom w:val="single" w:color="000000" w:sz="8" w:space="0"/>
              <w:right w:val="single" w:color="000000" w:sz="8" w:space="0"/>
            </w:tcBorders>
            <w:noWrap w:val="0"/>
            <w:vAlign w:val="center"/>
          </w:tcPr>
          <w:p w14:paraId="3031FD2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《机械通风冷却塔第1部分：中小型开式冷却塔》（GB/T7190.1）；《机械通风冷却塔第2部分：大型开式冷却塔》（GB/T7190.2）</w:t>
            </w:r>
          </w:p>
        </w:tc>
      </w:tr>
      <w:tr w14:paraId="67FE5D6B">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0"/>
            <w:vAlign w:val="center"/>
          </w:tcPr>
          <w:p w14:paraId="297E258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w:t>
            </w:r>
          </w:p>
        </w:tc>
        <w:tc>
          <w:tcPr>
            <w:tcW w:w="1080" w:type="dxa"/>
            <w:tcBorders>
              <w:top w:val="nil"/>
              <w:left w:val="nil"/>
              <w:bottom w:val="single" w:color="000000" w:sz="8" w:space="0"/>
              <w:right w:val="single" w:color="000000" w:sz="8" w:space="0"/>
            </w:tcBorders>
            <w:noWrap w:val="0"/>
            <w:vAlign w:val="center"/>
          </w:tcPr>
          <w:p w14:paraId="52E4A5C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A020601电机</w:t>
            </w:r>
          </w:p>
        </w:tc>
        <w:tc>
          <w:tcPr>
            <w:tcW w:w="1320" w:type="dxa"/>
            <w:tcBorders>
              <w:top w:val="nil"/>
              <w:left w:val="nil"/>
              <w:bottom w:val="single" w:color="000000" w:sz="8" w:space="0"/>
              <w:right w:val="single" w:color="000000" w:sz="8" w:space="0"/>
            </w:tcBorders>
            <w:noWrap w:val="0"/>
            <w:vAlign w:val="center"/>
          </w:tcPr>
          <w:p w14:paraId="2E8BFA5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1620" w:type="dxa"/>
            <w:tcBorders>
              <w:top w:val="nil"/>
              <w:left w:val="nil"/>
              <w:bottom w:val="single" w:color="000000" w:sz="8" w:space="0"/>
              <w:right w:val="single" w:color="000000" w:sz="8" w:space="0"/>
            </w:tcBorders>
            <w:noWrap w:val="0"/>
            <w:vAlign w:val="center"/>
          </w:tcPr>
          <w:p w14:paraId="160990B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4540" w:type="dxa"/>
            <w:tcBorders>
              <w:top w:val="nil"/>
              <w:left w:val="nil"/>
              <w:bottom w:val="single" w:color="000000" w:sz="8" w:space="0"/>
              <w:right w:val="single" w:color="000000" w:sz="8" w:space="0"/>
            </w:tcBorders>
            <w:noWrap w:val="0"/>
            <w:vAlign w:val="center"/>
          </w:tcPr>
          <w:p w14:paraId="1026D2F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《中小型三相异步电动机能效限定值及能效等级》（GB18613）</w:t>
            </w:r>
          </w:p>
        </w:tc>
      </w:tr>
      <w:tr w14:paraId="5DCACFF3">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0"/>
            <w:vAlign w:val="center"/>
          </w:tcPr>
          <w:p w14:paraId="1AC1CF8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8</w:t>
            </w:r>
          </w:p>
        </w:tc>
        <w:tc>
          <w:tcPr>
            <w:tcW w:w="1080" w:type="dxa"/>
            <w:tcBorders>
              <w:top w:val="nil"/>
              <w:left w:val="nil"/>
              <w:bottom w:val="single" w:color="000000" w:sz="8" w:space="0"/>
              <w:right w:val="single" w:color="000000" w:sz="8" w:space="0"/>
            </w:tcBorders>
            <w:noWrap w:val="0"/>
            <w:vAlign w:val="center"/>
          </w:tcPr>
          <w:p w14:paraId="5F30524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A020602变压器</w:t>
            </w:r>
          </w:p>
        </w:tc>
        <w:tc>
          <w:tcPr>
            <w:tcW w:w="1320" w:type="dxa"/>
            <w:tcBorders>
              <w:top w:val="nil"/>
              <w:left w:val="nil"/>
              <w:bottom w:val="single" w:color="000000" w:sz="8" w:space="0"/>
              <w:right w:val="single" w:color="000000" w:sz="8" w:space="0"/>
            </w:tcBorders>
            <w:noWrap w:val="0"/>
            <w:vAlign w:val="center"/>
          </w:tcPr>
          <w:p w14:paraId="313E520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配电变压器</w:t>
            </w:r>
          </w:p>
        </w:tc>
        <w:tc>
          <w:tcPr>
            <w:tcW w:w="1620" w:type="dxa"/>
            <w:tcBorders>
              <w:top w:val="nil"/>
              <w:left w:val="nil"/>
              <w:bottom w:val="single" w:color="000000" w:sz="8" w:space="0"/>
              <w:right w:val="single" w:color="000000" w:sz="8" w:space="0"/>
            </w:tcBorders>
            <w:noWrap w:val="0"/>
            <w:vAlign w:val="center"/>
          </w:tcPr>
          <w:p w14:paraId="67BD2AE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4540" w:type="dxa"/>
            <w:tcBorders>
              <w:top w:val="nil"/>
              <w:left w:val="nil"/>
              <w:bottom w:val="single" w:color="000000" w:sz="8" w:space="0"/>
              <w:right w:val="single" w:color="000000" w:sz="8" w:space="0"/>
            </w:tcBorders>
            <w:noWrap w:val="0"/>
            <w:vAlign w:val="center"/>
          </w:tcPr>
          <w:p w14:paraId="1209270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《三相配电变压器能效限定值及能效等级》（GB20052）</w:t>
            </w:r>
          </w:p>
        </w:tc>
      </w:tr>
      <w:tr w14:paraId="679B6D62">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0"/>
            <w:vAlign w:val="center"/>
          </w:tcPr>
          <w:p w14:paraId="1EB7F99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9</w:t>
            </w:r>
          </w:p>
        </w:tc>
        <w:tc>
          <w:tcPr>
            <w:tcW w:w="1080" w:type="dxa"/>
            <w:tcBorders>
              <w:top w:val="nil"/>
              <w:left w:val="nil"/>
              <w:bottom w:val="single" w:color="000000" w:sz="8" w:space="0"/>
              <w:right w:val="single" w:color="000000" w:sz="8" w:space="0"/>
            </w:tcBorders>
            <w:noWrap w:val="0"/>
            <w:vAlign w:val="center"/>
          </w:tcPr>
          <w:p w14:paraId="5101380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★A020609镇流器</w:t>
            </w:r>
          </w:p>
        </w:tc>
        <w:tc>
          <w:tcPr>
            <w:tcW w:w="1320" w:type="dxa"/>
            <w:tcBorders>
              <w:top w:val="nil"/>
              <w:left w:val="nil"/>
              <w:bottom w:val="single" w:color="000000" w:sz="8" w:space="0"/>
              <w:right w:val="single" w:color="000000" w:sz="8" w:space="0"/>
            </w:tcBorders>
            <w:noWrap w:val="0"/>
            <w:vAlign w:val="center"/>
          </w:tcPr>
          <w:p w14:paraId="6673F67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管型荧光灯镇流器</w:t>
            </w:r>
          </w:p>
        </w:tc>
        <w:tc>
          <w:tcPr>
            <w:tcW w:w="1620" w:type="dxa"/>
            <w:tcBorders>
              <w:top w:val="nil"/>
              <w:left w:val="nil"/>
              <w:bottom w:val="single" w:color="000000" w:sz="8" w:space="0"/>
              <w:right w:val="single" w:color="000000" w:sz="8" w:space="0"/>
            </w:tcBorders>
            <w:noWrap w:val="0"/>
            <w:vAlign w:val="center"/>
          </w:tcPr>
          <w:p w14:paraId="38F6B5D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4540" w:type="dxa"/>
            <w:tcBorders>
              <w:top w:val="nil"/>
              <w:left w:val="nil"/>
              <w:bottom w:val="single" w:color="000000" w:sz="8" w:space="0"/>
              <w:right w:val="single" w:color="000000" w:sz="8" w:space="0"/>
            </w:tcBorders>
            <w:noWrap w:val="0"/>
            <w:vAlign w:val="center"/>
          </w:tcPr>
          <w:p w14:paraId="108A10D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《管形荧光灯镇流器能效限定值及能效等级》（GB17896）</w:t>
            </w:r>
          </w:p>
        </w:tc>
      </w:tr>
      <w:tr w14:paraId="34F97432">
        <w:tblPrEx>
          <w:tblCellMar>
            <w:top w:w="0" w:type="dxa"/>
            <w:left w:w="108" w:type="dxa"/>
            <w:bottom w:w="0" w:type="dxa"/>
            <w:right w:w="108" w:type="dxa"/>
          </w:tblCellMar>
        </w:tblPrEx>
        <w:trPr>
          <w:trHeight w:val="495" w:hRule="atLeast"/>
        </w:trPr>
        <w:tc>
          <w:tcPr>
            <w:tcW w:w="660" w:type="dxa"/>
            <w:vMerge w:val="restart"/>
            <w:tcBorders>
              <w:top w:val="nil"/>
              <w:left w:val="single" w:color="000000" w:sz="8" w:space="0"/>
              <w:bottom w:val="single" w:color="000000" w:sz="8" w:space="0"/>
              <w:right w:val="single" w:color="000000" w:sz="8" w:space="0"/>
            </w:tcBorders>
            <w:noWrap w:val="0"/>
            <w:vAlign w:val="center"/>
          </w:tcPr>
          <w:p w14:paraId="25B5A50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1080" w:type="dxa"/>
            <w:vMerge w:val="restart"/>
            <w:tcBorders>
              <w:top w:val="nil"/>
              <w:left w:val="single" w:color="000000" w:sz="8" w:space="0"/>
              <w:bottom w:val="single" w:color="000000" w:sz="8" w:space="0"/>
              <w:right w:val="single" w:color="000000" w:sz="8" w:space="0"/>
            </w:tcBorders>
            <w:noWrap w:val="0"/>
            <w:vAlign w:val="center"/>
          </w:tcPr>
          <w:p w14:paraId="6F762AB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A020618生活用电器</w:t>
            </w:r>
          </w:p>
        </w:tc>
        <w:tc>
          <w:tcPr>
            <w:tcW w:w="1320" w:type="dxa"/>
            <w:tcBorders>
              <w:top w:val="nil"/>
              <w:left w:val="nil"/>
              <w:bottom w:val="single" w:color="000000" w:sz="8" w:space="0"/>
              <w:right w:val="single" w:color="000000" w:sz="8" w:space="0"/>
            </w:tcBorders>
            <w:noWrap w:val="0"/>
            <w:vAlign w:val="center"/>
          </w:tcPr>
          <w:p w14:paraId="42AE4CF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A0206180101电冰箱</w:t>
            </w:r>
          </w:p>
        </w:tc>
        <w:tc>
          <w:tcPr>
            <w:tcW w:w="1620" w:type="dxa"/>
            <w:tcBorders>
              <w:top w:val="nil"/>
              <w:left w:val="nil"/>
              <w:bottom w:val="single" w:color="000000" w:sz="8" w:space="0"/>
              <w:right w:val="single" w:color="000000" w:sz="8" w:space="0"/>
            </w:tcBorders>
            <w:noWrap w:val="0"/>
            <w:vAlign w:val="center"/>
          </w:tcPr>
          <w:p w14:paraId="3FAF5E4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4540" w:type="dxa"/>
            <w:tcBorders>
              <w:top w:val="nil"/>
              <w:left w:val="nil"/>
              <w:bottom w:val="single" w:color="000000" w:sz="8" w:space="0"/>
              <w:right w:val="single" w:color="000000" w:sz="8" w:space="0"/>
            </w:tcBorders>
            <w:noWrap w:val="0"/>
            <w:vAlign w:val="center"/>
          </w:tcPr>
          <w:p w14:paraId="6878C63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《家用电冰箱耗电量限定值及能效等级》（GB 12021.2）</w:t>
            </w:r>
          </w:p>
        </w:tc>
      </w:tr>
      <w:tr w14:paraId="168C4325">
        <w:tblPrEx>
          <w:tblCellMar>
            <w:top w:w="0" w:type="dxa"/>
            <w:left w:w="108" w:type="dxa"/>
            <w:bottom w:w="0" w:type="dxa"/>
            <w:right w:w="108" w:type="dxa"/>
          </w:tblCellMar>
        </w:tblPrEx>
        <w:trPr>
          <w:trHeight w:val="97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22034D1F">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612B73FD">
            <w:pPr>
              <w:widowControl/>
              <w:jc w:val="left"/>
              <w:rPr>
                <w:rFonts w:ascii="宋体" w:hAnsi="宋体" w:cs="宋体"/>
                <w:color w:val="000000"/>
                <w:kern w:val="0"/>
                <w:sz w:val="20"/>
                <w:szCs w:val="20"/>
              </w:rPr>
            </w:pPr>
          </w:p>
        </w:tc>
        <w:tc>
          <w:tcPr>
            <w:tcW w:w="1320" w:type="dxa"/>
            <w:vMerge w:val="restart"/>
            <w:tcBorders>
              <w:top w:val="nil"/>
              <w:left w:val="single" w:color="000000" w:sz="8" w:space="0"/>
              <w:bottom w:val="single" w:color="000000" w:sz="8" w:space="0"/>
              <w:right w:val="single" w:color="000000" w:sz="8" w:space="0"/>
            </w:tcBorders>
            <w:noWrap w:val="0"/>
            <w:vAlign w:val="center"/>
          </w:tcPr>
          <w:p w14:paraId="7A473E0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★A0206180203空调机</w:t>
            </w:r>
          </w:p>
        </w:tc>
        <w:tc>
          <w:tcPr>
            <w:tcW w:w="1620" w:type="dxa"/>
            <w:tcBorders>
              <w:top w:val="nil"/>
              <w:left w:val="nil"/>
              <w:bottom w:val="single" w:color="000000" w:sz="8" w:space="0"/>
              <w:right w:val="single" w:color="000000" w:sz="8" w:space="0"/>
            </w:tcBorders>
            <w:noWrap w:val="0"/>
            <w:vAlign w:val="center"/>
          </w:tcPr>
          <w:p w14:paraId="1AEC5AD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房间空气调节器</w:t>
            </w:r>
          </w:p>
        </w:tc>
        <w:tc>
          <w:tcPr>
            <w:tcW w:w="4540" w:type="dxa"/>
            <w:tcBorders>
              <w:top w:val="nil"/>
              <w:left w:val="nil"/>
              <w:bottom w:val="single" w:color="000000" w:sz="8" w:space="0"/>
              <w:right w:val="single" w:color="000000" w:sz="8" w:space="0"/>
            </w:tcBorders>
            <w:noWrap w:val="0"/>
            <w:vAlign w:val="center"/>
          </w:tcPr>
          <w:p w14:paraId="3AC70C2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《转速可控型房间空气调节器能效限定值及能效等级》（GB21455-2013），待2019年修订发布后，按《房间空气调节器能效限定值及能效等级》（GB21455-2019实施。</w:t>
            </w:r>
          </w:p>
        </w:tc>
      </w:tr>
      <w:tr w14:paraId="74CE3A95">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55C22209">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511254CC">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36F8A495">
            <w:pPr>
              <w:widowControl/>
              <w:jc w:val="left"/>
              <w:rPr>
                <w:rFonts w:ascii="宋体" w:hAnsi="宋体" w:cs="宋体"/>
                <w:color w:val="000000"/>
                <w:kern w:val="0"/>
                <w:sz w:val="20"/>
                <w:szCs w:val="20"/>
              </w:rPr>
            </w:pPr>
          </w:p>
        </w:tc>
        <w:tc>
          <w:tcPr>
            <w:tcW w:w="1620" w:type="dxa"/>
            <w:tcBorders>
              <w:top w:val="nil"/>
              <w:left w:val="nil"/>
              <w:bottom w:val="single" w:color="000000" w:sz="8" w:space="0"/>
              <w:right w:val="single" w:color="000000" w:sz="8" w:space="0"/>
            </w:tcBorders>
            <w:noWrap w:val="0"/>
            <w:vAlign w:val="center"/>
          </w:tcPr>
          <w:p w14:paraId="478B83F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多联式空调（热泵）机组（制冷量≤ 14000W）</w:t>
            </w:r>
          </w:p>
        </w:tc>
        <w:tc>
          <w:tcPr>
            <w:tcW w:w="4540" w:type="dxa"/>
            <w:tcBorders>
              <w:top w:val="nil"/>
              <w:left w:val="nil"/>
              <w:bottom w:val="single" w:color="000000" w:sz="8" w:space="0"/>
              <w:right w:val="single" w:color="000000" w:sz="8" w:space="0"/>
            </w:tcBorders>
            <w:noWrap w:val="0"/>
            <w:vAlign w:val="center"/>
          </w:tcPr>
          <w:p w14:paraId="4AA330B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《多联式空调（热泵）机组能效限定值及能源效率等级》（GB21454）</w:t>
            </w:r>
          </w:p>
        </w:tc>
      </w:tr>
      <w:tr w14:paraId="15BBE5BC">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40AF501E">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54413543">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56206559">
            <w:pPr>
              <w:widowControl/>
              <w:jc w:val="left"/>
              <w:rPr>
                <w:rFonts w:ascii="宋体" w:hAnsi="宋体" w:cs="宋体"/>
                <w:color w:val="000000"/>
                <w:kern w:val="0"/>
                <w:sz w:val="20"/>
                <w:szCs w:val="20"/>
              </w:rPr>
            </w:pPr>
          </w:p>
        </w:tc>
        <w:tc>
          <w:tcPr>
            <w:tcW w:w="1620" w:type="dxa"/>
            <w:tcBorders>
              <w:top w:val="nil"/>
              <w:left w:val="nil"/>
              <w:bottom w:val="single" w:color="000000" w:sz="8" w:space="0"/>
              <w:right w:val="single" w:color="000000" w:sz="8" w:space="0"/>
            </w:tcBorders>
            <w:noWrap w:val="0"/>
            <w:vAlign w:val="center"/>
          </w:tcPr>
          <w:p w14:paraId="416FADA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单元式空气调节机(制冷量≤14000W)</w:t>
            </w:r>
          </w:p>
        </w:tc>
        <w:tc>
          <w:tcPr>
            <w:tcW w:w="4540" w:type="dxa"/>
            <w:tcBorders>
              <w:top w:val="nil"/>
              <w:left w:val="nil"/>
              <w:bottom w:val="single" w:color="000000" w:sz="8" w:space="0"/>
              <w:right w:val="single" w:color="000000" w:sz="8" w:space="0"/>
            </w:tcBorders>
            <w:noWrap w:val="0"/>
            <w:vAlign w:val="center"/>
          </w:tcPr>
          <w:p w14:paraId="36EEEAF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《单元式空气调节机能效限定值及能源效率等级》（GB19576）《风管送风式空调机组能效限定值及能效等级》（GB37479）</w:t>
            </w:r>
          </w:p>
        </w:tc>
      </w:tr>
      <w:tr w14:paraId="22DC1563">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21302CB9">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5A48928D">
            <w:pPr>
              <w:widowControl/>
              <w:jc w:val="left"/>
              <w:rPr>
                <w:rFonts w:ascii="宋体" w:hAnsi="宋体" w:cs="宋体"/>
                <w:color w:val="000000"/>
                <w:kern w:val="0"/>
                <w:sz w:val="20"/>
                <w:szCs w:val="20"/>
              </w:rPr>
            </w:pPr>
          </w:p>
        </w:tc>
        <w:tc>
          <w:tcPr>
            <w:tcW w:w="1320" w:type="dxa"/>
            <w:tcBorders>
              <w:top w:val="nil"/>
              <w:left w:val="nil"/>
              <w:bottom w:val="single" w:color="000000" w:sz="8" w:space="0"/>
              <w:right w:val="single" w:color="000000" w:sz="8" w:space="0"/>
            </w:tcBorders>
            <w:noWrap w:val="0"/>
            <w:vAlign w:val="center"/>
          </w:tcPr>
          <w:p w14:paraId="00F68B9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A0206180301洗衣机</w:t>
            </w:r>
          </w:p>
        </w:tc>
        <w:tc>
          <w:tcPr>
            <w:tcW w:w="1620" w:type="dxa"/>
            <w:tcBorders>
              <w:top w:val="nil"/>
              <w:left w:val="nil"/>
              <w:bottom w:val="single" w:color="000000" w:sz="8" w:space="0"/>
              <w:right w:val="single" w:color="000000" w:sz="8" w:space="0"/>
            </w:tcBorders>
            <w:noWrap w:val="0"/>
            <w:vAlign w:val="center"/>
          </w:tcPr>
          <w:p w14:paraId="3BBD727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4540" w:type="dxa"/>
            <w:tcBorders>
              <w:top w:val="nil"/>
              <w:left w:val="nil"/>
              <w:bottom w:val="single" w:color="000000" w:sz="8" w:space="0"/>
              <w:right w:val="single" w:color="000000" w:sz="8" w:space="0"/>
            </w:tcBorders>
            <w:noWrap w:val="0"/>
            <w:vAlign w:val="center"/>
          </w:tcPr>
          <w:p w14:paraId="42A56F1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《电动洗衣机能效水效限定值及等级》（GB12021.4）</w:t>
            </w:r>
          </w:p>
        </w:tc>
      </w:tr>
      <w:tr w14:paraId="1C112FB5">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49BB4BFA">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249F6829">
            <w:pPr>
              <w:widowControl/>
              <w:jc w:val="left"/>
              <w:rPr>
                <w:rFonts w:ascii="宋体" w:hAnsi="宋体" w:cs="宋体"/>
                <w:color w:val="000000"/>
                <w:kern w:val="0"/>
                <w:sz w:val="20"/>
                <w:szCs w:val="20"/>
              </w:rPr>
            </w:pPr>
          </w:p>
        </w:tc>
        <w:tc>
          <w:tcPr>
            <w:tcW w:w="1320" w:type="dxa"/>
            <w:vMerge w:val="restart"/>
            <w:tcBorders>
              <w:top w:val="nil"/>
              <w:left w:val="single" w:color="000000" w:sz="8" w:space="0"/>
              <w:bottom w:val="single" w:color="000000" w:sz="8" w:space="0"/>
              <w:right w:val="single" w:color="000000" w:sz="8" w:space="0"/>
            </w:tcBorders>
            <w:noWrap w:val="0"/>
            <w:vAlign w:val="center"/>
          </w:tcPr>
          <w:p w14:paraId="5973DA9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A02061808热水器</w:t>
            </w:r>
          </w:p>
        </w:tc>
        <w:tc>
          <w:tcPr>
            <w:tcW w:w="1620" w:type="dxa"/>
            <w:tcBorders>
              <w:top w:val="nil"/>
              <w:left w:val="nil"/>
              <w:bottom w:val="single" w:color="000000" w:sz="8" w:space="0"/>
              <w:right w:val="single" w:color="000000" w:sz="8" w:space="0"/>
            </w:tcBorders>
            <w:noWrap w:val="0"/>
            <w:vAlign w:val="center"/>
          </w:tcPr>
          <w:p w14:paraId="5CF367E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★电热水器</w:t>
            </w:r>
          </w:p>
        </w:tc>
        <w:tc>
          <w:tcPr>
            <w:tcW w:w="4540" w:type="dxa"/>
            <w:tcBorders>
              <w:top w:val="nil"/>
              <w:left w:val="nil"/>
              <w:bottom w:val="single" w:color="000000" w:sz="8" w:space="0"/>
              <w:right w:val="single" w:color="000000" w:sz="8" w:space="0"/>
            </w:tcBorders>
            <w:noWrap w:val="0"/>
            <w:vAlign w:val="center"/>
          </w:tcPr>
          <w:p w14:paraId="0D72FAE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《储水式电热水器能效限定值及能效等级》（GB21519）</w:t>
            </w:r>
          </w:p>
        </w:tc>
      </w:tr>
      <w:tr w14:paraId="685E44F8">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573D5196">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0151EDC3">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1380DD8B">
            <w:pPr>
              <w:widowControl/>
              <w:jc w:val="left"/>
              <w:rPr>
                <w:rFonts w:ascii="宋体" w:hAnsi="宋体" w:cs="宋体"/>
                <w:color w:val="000000"/>
                <w:kern w:val="0"/>
                <w:sz w:val="20"/>
                <w:szCs w:val="20"/>
              </w:rPr>
            </w:pPr>
          </w:p>
        </w:tc>
        <w:tc>
          <w:tcPr>
            <w:tcW w:w="1620" w:type="dxa"/>
            <w:tcBorders>
              <w:top w:val="nil"/>
              <w:left w:val="nil"/>
              <w:bottom w:val="single" w:color="000000" w:sz="8" w:space="0"/>
              <w:right w:val="single" w:color="000000" w:sz="8" w:space="0"/>
            </w:tcBorders>
            <w:noWrap w:val="0"/>
            <w:vAlign w:val="center"/>
          </w:tcPr>
          <w:p w14:paraId="622B98C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燃气热水器</w:t>
            </w:r>
          </w:p>
        </w:tc>
        <w:tc>
          <w:tcPr>
            <w:tcW w:w="4540" w:type="dxa"/>
            <w:tcBorders>
              <w:top w:val="nil"/>
              <w:left w:val="nil"/>
              <w:bottom w:val="single" w:color="000000" w:sz="8" w:space="0"/>
              <w:right w:val="single" w:color="000000" w:sz="8" w:space="0"/>
            </w:tcBorders>
            <w:noWrap w:val="0"/>
            <w:vAlign w:val="center"/>
          </w:tcPr>
          <w:p w14:paraId="0A24F9A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《家用燃气快速热水器和燃气采暖热水炉能效限定值及能效等级》（GB20665）</w:t>
            </w:r>
          </w:p>
        </w:tc>
      </w:tr>
      <w:tr w14:paraId="5DE351BE">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33021AAD">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1EC64EA6">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560F99DE">
            <w:pPr>
              <w:widowControl/>
              <w:jc w:val="left"/>
              <w:rPr>
                <w:rFonts w:ascii="宋体" w:hAnsi="宋体" w:cs="宋体"/>
                <w:color w:val="000000"/>
                <w:kern w:val="0"/>
                <w:sz w:val="20"/>
                <w:szCs w:val="20"/>
              </w:rPr>
            </w:pPr>
          </w:p>
        </w:tc>
        <w:tc>
          <w:tcPr>
            <w:tcW w:w="1620" w:type="dxa"/>
            <w:tcBorders>
              <w:top w:val="nil"/>
              <w:left w:val="nil"/>
              <w:bottom w:val="single" w:color="000000" w:sz="8" w:space="0"/>
              <w:right w:val="single" w:color="000000" w:sz="8" w:space="0"/>
            </w:tcBorders>
            <w:noWrap w:val="0"/>
            <w:vAlign w:val="center"/>
          </w:tcPr>
          <w:p w14:paraId="396D455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热泵热水器</w:t>
            </w:r>
          </w:p>
        </w:tc>
        <w:tc>
          <w:tcPr>
            <w:tcW w:w="4540" w:type="dxa"/>
            <w:tcBorders>
              <w:top w:val="nil"/>
              <w:left w:val="nil"/>
              <w:bottom w:val="single" w:color="000000" w:sz="8" w:space="0"/>
              <w:right w:val="single" w:color="000000" w:sz="8" w:space="0"/>
            </w:tcBorders>
            <w:noWrap w:val="0"/>
            <w:vAlign w:val="center"/>
          </w:tcPr>
          <w:p w14:paraId="0A5BC4B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《热泵热水机（器）能效限定值及能效等级》（GB29541）</w:t>
            </w:r>
          </w:p>
        </w:tc>
      </w:tr>
      <w:tr w14:paraId="1B192CDB">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236127B4">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4FE650C6">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3108A8D3">
            <w:pPr>
              <w:widowControl/>
              <w:jc w:val="left"/>
              <w:rPr>
                <w:rFonts w:ascii="宋体" w:hAnsi="宋体" w:cs="宋体"/>
                <w:color w:val="000000"/>
                <w:kern w:val="0"/>
                <w:sz w:val="20"/>
                <w:szCs w:val="20"/>
              </w:rPr>
            </w:pPr>
          </w:p>
        </w:tc>
        <w:tc>
          <w:tcPr>
            <w:tcW w:w="1620" w:type="dxa"/>
            <w:tcBorders>
              <w:top w:val="nil"/>
              <w:left w:val="nil"/>
              <w:bottom w:val="single" w:color="000000" w:sz="8" w:space="0"/>
              <w:right w:val="single" w:color="000000" w:sz="8" w:space="0"/>
            </w:tcBorders>
            <w:noWrap w:val="0"/>
            <w:vAlign w:val="center"/>
          </w:tcPr>
          <w:p w14:paraId="099A4F6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太阳能热水系统</w:t>
            </w:r>
          </w:p>
        </w:tc>
        <w:tc>
          <w:tcPr>
            <w:tcW w:w="4540" w:type="dxa"/>
            <w:tcBorders>
              <w:top w:val="nil"/>
              <w:left w:val="nil"/>
              <w:bottom w:val="single" w:color="000000" w:sz="8" w:space="0"/>
              <w:right w:val="single" w:color="000000" w:sz="8" w:space="0"/>
            </w:tcBorders>
            <w:noWrap w:val="0"/>
            <w:vAlign w:val="center"/>
          </w:tcPr>
          <w:p w14:paraId="3133F64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《家用太阳能热水系统能效限定值及能效等级》（GB26969）</w:t>
            </w:r>
          </w:p>
        </w:tc>
      </w:tr>
      <w:tr w14:paraId="572EDA6D">
        <w:tblPrEx>
          <w:tblCellMar>
            <w:top w:w="0" w:type="dxa"/>
            <w:left w:w="108" w:type="dxa"/>
            <w:bottom w:w="0" w:type="dxa"/>
            <w:right w:w="108" w:type="dxa"/>
          </w:tblCellMar>
        </w:tblPrEx>
        <w:trPr>
          <w:trHeight w:val="495" w:hRule="atLeast"/>
        </w:trPr>
        <w:tc>
          <w:tcPr>
            <w:tcW w:w="660" w:type="dxa"/>
            <w:vMerge w:val="restart"/>
            <w:tcBorders>
              <w:top w:val="nil"/>
              <w:left w:val="single" w:color="000000" w:sz="8" w:space="0"/>
              <w:bottom w:val="single" w:color="000000" w:sz="8" w:space="0"/>
              <w:right w:val="single" w:color="000000" w:sz="8" w:space="0"/>
            </w:tcBorders>
            <w:noWrap w:val="0"/>
            <w:vAlign w:val="center"/>
          </w:tcPr>
          <w:p w14:paraId="6D23263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11</w:t>
            </w:r>
          </w:p>
        </w:tc>
        <w:tc>
          <w:tcPr>
            <w:tcW w:w="1080" w:type="dxa"/>
            <w:vMerge w:val="restart"/>
            <w:tcBorders>
              <w:top w:val="nil"/>
              <w:left w:val="single" w:color="000000" w:sz="8" w:space="0"/>
              <w:bottom w:val="single" w:color="000000" w:sz="8" w:space="0"/>
              <w:right w:val="single" w:color="000000" w:sz="8" w:space="0"/>
            </w:tcBorders>
            <w:noWrap w:val="0"/>
            <w:vAlign w:val="center"/>
          </w:tcPr>
          <w:p w14:paraId="6C9751E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A020619照明设备</w:t>
            </w:r>
          </w:p>
        </w:tc>
        <w:tc>
          <w:tcPr>
            <w:tcW w:w="1320" w:type="dxa"/>
            <w:tcBorders>
              <w:top w:val="nil"/>
              <w:left w:val="nil"/>
              <w:bottom w:val="single" w:color="000000" w:sz="8" w:space="0"/>
              <w:right w:val="single" w:color="000000" w:sz="8" w:space="0"/>
            </w:tcBorders>
            <w:noWrap w:val="0"/>
            <w:vAlign w:val="center"/>
          </w:tcPr>
          <w:p w14:paraId="673A073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★普通照明用双端荧光灯</w:t>
            </w:r>
          </w:p>
        </w:tc>
        <w:tc>
          <w:tcPr>
            <w:tcW w:w="1620" w:type="dxa"/>
            <w:tcBorders>
              <w:top w:val="nil"/>
              <w:left w:val="nil"/>
              <w:bottom w:val="single" w:color="000000" w:sz="8" w:space="0"/>
              <w:right w:val="single" w:color="000000" w:sz="8" w:space="0"/>
            </w:tcBorders>
            <w:noWrap w:val="0"/>
            <w:vAlign w:val="center"/>
          </w:tcPr>
          <w:p w14:paraId="239A301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4540" w:type="dxa"/>
            <w:tcBorders>
              <w:top w:val="nil"/>
              <w:left w:val="nil"/>
              <w:bottom w:val="single" w:color="000000" w:sz="8" w:space="0"/>
              <w:right w:val="single" w:color="000000" w:sz="8" w:space="0"/>
            </w:tcBorders>
            <w:noWrap w:val="0"/>
            <w:vAlign w:val="center"/>
          </w:tcPr>
          <w:p w14:paraId="30C06CA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《普通照明用双端荧光灯能效限定值及能效等级》（GB19043）</w:t>
            </w:r>
          </w:p>
        </w:tc>
      </w:tr>
      <w:tr w14:paraId="0E9029A9">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366D10B0">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16F5CCB4">
            <w:pPr>
              <w:widowControl/>
              <w:jc w:val="left"/>
              <w:rPr>
                <w:rFonts w:ascii="宋体" w:hAnsi="宋体" w:cs="宋体"/>
                <w:color w:val="000000"/>
                <w:kern w:val="0"/>
                <w:sz w:val="20"/>
                <w:szCs w:val="20"/>
              </w:rPr>
            </w:pPr>
          </w:p>
        </w:tc>
        <w:tc>
          <w:tcPr>
            <w:tcW w:w="1320" w:type="dxa"/>
            <w:tcBorders>
              <w:top w:val="nil"/>
              <w:left w:val="nil"/>
              <w:bottom w:val="single" w:color="000000" w:sz="8" w:space="0"/>
              <w:right w:val="single" w:color="000000" w:sz="8" w:space="0"/>
            </w:tcBorders>
            <w:noWrap w:val="0"/>
            <w:vAlign w:val="center"/>
          </w:tcPr>
          <w:p w14:paraId="13D873A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LED道路/隧道照明产品</w:t>
            </w:r>
          </w:p>
        </w:tc>
        <w:tc>
          <w:tcPr>
            <w:tcW w:w="1620" w:type="dxa"/>
            <w:tcBorders>
              <w:top w:val="nil"/>
              <w:left w:val="nil"/>
              <w:bottom w:val="single" w:color="000000" w:sz="8" w:space="0"/>
              <w:right w:val="single" w:color="000000" w:sz="8" w:space="0"/>
            </w:tcBorders>
            <w:noWrap w:val="0"/>
            <w:vAlign w:val="center"/>
          </w:tcPr>
          <w:p w14:paraId="6D99764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4540" w:type="dxa"/>
            <w:tcBorders>
              <w:top w:val="nil"/>
              <w:left w:val="nil"/>
              <w:bottom w:val="single" w:color="000000" w:sz="8" w:space="0"/>
              <w:right w:val="single" w:color="000000" w:sz="8" w:space="0"/>
            </w:tcBorders>
            <w:noWrap w:val="0"/>
            <w:vAlign w:val="center"/>
          </w:tcPr>
          <w:p w14:paraId="6EBC11E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《道路和隧道照明用LED灯具能效限定值及能效等级》（GB37478）</w:t>
            </w:r>
          </w:p>
        </w:tc>
      </w:tr>
      <w:tr w14:paraId="14270568">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7DAEE2EF">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4010F988">
            <w:pPr>
              <w:widowControl/>
              <w:jc w:val="left"/>
              <w:rPr>
                <w:rFonts w:ascii="宋体" w:hAnsi="宋体" w:cs="宋体"/>
                <w:color w:val="000000"/>
                <w:kern w:val="0"/>
                <w:sz w:val="20"/>
                <w:szCs w:val="20"/>
              </w:rPr>
            </w:pPr>
          </w:p>
        </w:tc>
        <w:tc>
          <w:tcPr>
            <w:tcW w:w="1320" w:type="dxa"/>
            <w:tcBorders>
              <w:top w:val="nil"/>
              <w:left w:val="nil"/>
              <w:bottom w:val="single" w:color="000000" w:sz="8" w:space="0"/>
              <w:right w:val="single" w:color="000000" w:sz="8" w:space="0"/>
            </w:tcBorders>
            <w:noWrap w:val="0"/>
            <w:vAlign w:val="center"/>
          </w:tcPr>
          <w:p w14:paraId="506F175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LED筒灯</w:t>
            </w:r>
          </w:p>
        </w:tc>
        <w:tc>
          <w:tcPr>
            <w:tcW w:w="1620" w:type="dxa"/>
            <w:tcBorders>
              <w:top w:val="nil"/>
              <w:left w:val="nil"/>
              <w:bottom w:val="single" w:color="000000" w:sz="8" w:space="0"/>
              <w:right w:val="single" w:color="000000" w:sz="8" w:space="0"/>
            </w:tcBorders>
            <w:noWrap w:val="0"/>
            <w:vAlign w:val="center"/>
          </w:tcPr>
          <w:p w14:paraId="2CFC92D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4540" w:type="dxa"/>
            <w:tcBorders>
              <w:top w:val="nil"/>
              <w:left w:val="nil"/>
              <w:bottom w:val="single" w:color="000000" w:sz="8" w:space="0"/>
              <w:right w:val="single" w:color="000000" w:sz="8" w:space="0"/>
            </w:tcBorders>
            <w:noWrap w:val="0"/>
            <w:vAlign w:val="center"/>
          </w:tcPr>
          <w:p w14:paraId="13AD7F0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《室内照明用LED产品能效限定值及能效等级》（GB30255）</w:t>
            </w:r>
          </w:p>
        </w:tc>
      </w:tr>
      <w:tr w14:paraId="22E3343C">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67AB84E8">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0326F622">
            <w:pPr>
              <w:widowControl/>
              <w:jc w:val="left"/>
              <w:rPr>
                <w:rFonts w:ascii="宋体" w:hAnsi="宋体" w:cs="宋体"/>
                <w:color w:val="000000"/>
                <w:kern w:val="0"/>
                <w:sz w:val="20"/>
                <w:szCs w:val="20"/>
              </w:rPr>
            </w:pPr>
          </w:p>
        </w:tc>
        <w:tc>
          <w:tcPr>
            <w:tcW w:w="1320" w:type="dxa"/>
            <w:tcBorders>
              <w:top w:val="nil"/>
              <w:left w:val="nil"/>
              <w:bottom w:val="single" w:color="000000" w:sz="8" w:space="0"/>
              <w:right w:val="single" w:color="000000" w:sz="8" w:space="0"/>
            </w:tcBorders>
            <w:noWrap w:val="0"/>
            <w:vAlign w:val="center"/>
          </w:tcPr>
          <w:p w14:paraId="729C739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普通照明用非定向自镇流LED灯</w:t>
            </w:r>
          </w:p>
        </w:tc>
        <w:tc>
          <w:tcPr>
            <w:tcW w:w="1620" w:type="dxa"/>
            <w:tcBorders>
              <w:top w:val="nil"/>
              <w:left w:val="nil"/>
              <w:bottom w:val="single" w:color="000000" w:sz="8" w:space="0"/>
              <w:right w:val="single" w:color="000000" w:sz="8" w:space="0"/>
            </w:tcBorders>
            <w:noWrap w:val="0"/>
            <w:vAlign w:val="center"/>
          </w:tcPr>
          <w:p w14:paraId="580EAD5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4540" w:type="dxa"/>
            <w:tcBorders>
              <w:top w:val="nil"/>
              <w:left w:val="nil"/>
              <w:bottom w:val="single" w:color="000000" w:sz="8" w:space="0"/>
              <w:right w:val="single" w:color="000000" w:sz="8" w:space="0"/>
            </w:tcBorders>
            <w:noWrap w:val="0"/>
            <w:vAlign w:val="center"/>
          </w:tcPr>
          <w:p w14:paraId="15BF717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《室内照明用LED产品能效限定值及能效等级》（GB30255）</w:t>
            </w:r>
          </w:p>
        </w:tc>
      </w:tr>
      <w:tr w14:paraId="3792453A">
        <w:tblPrEx>
          <w:tblCellMar>
            <w:top w:w="0" w:type="dxa"/>
            <w:left w:w="108" w:type="dxa"/>
            <w:bottom w:w="0" w:type="dxa"/>
            <w:right w:w="108" w:type="dxa"/>
          </w:tblCellMar>
        </w:tblPrEx>
        <w:trPr>
          <w:trHeight w:val="735" w:hRule="atLeast"/>
        </w:trPr>
        <w:tc>
          <w:tcPr>
            <w:tcW w:w="660" w:type="dxa"/>
            <w:tcBorders>
              <w:top w:val="nil"/>
              <w:left w:val="single" w:color="000000" w:sz="8" w:space="0"/>
              <w:bottom w:val="single" w:color="000000" w:sz="8" w:space="0"/>
              <w:right w:val="single" w:color="000000" w:sz="8" w:space="0"/>
            </w:tcBorders>
            <w:noWrap w:val="0"/>
            <w:vAlign w:val="center"/>
          </w:tcPr>
          <w:p w14:paraId="54541A8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12</w:t>
            </w:r>
          </w:p>
        </w:tc>
        <w:tc>
          <w:tcPr>
            <w:tcW w:w="1080" w:type="dxa"/>
            <w:tcBorders>
              <w:top w:val="nil"/>
              <w:left w:val="nil"/>
              <w:bottom w:val="single" w:color="000000" w:sz="8" w:space="0"/>
              <w:right w:val="single" w:color="000000" w:sz="8" w:space="0"/>
            </w:tcBorders>
            <w:noWrap w:val="0"/>
            <w:vAlign w:val="center"/>
          </w:tcPr>
          <w:p w14:paraId="6B99E73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★A020910电视设备</w:t>
            </w:r>
          </w:p>
        </w:tc>
        <w:tc>
          <w:tcPr>
            <w:tcW w:w="1320" w:type="dxa"/>
            <w:tcBorders>
              <w:top w:val="nil"/>
              <w:left w:val="nil"/>
              <w:bottom w:val="single" w:color="000000" w:sz="8" w:space="0"/>
              <w:right w:val="single" w:color="000000" w:sz="8" w:space="0"/>
            </w:tcBorders>
            <w:noWrap w:val="0"/>
            <w:vAlign w:val="center"/>
          </w:tcPr>
          <w:p w14:paraId="5F9EB8A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A02091001普通电视设备（电视机）</w:t>
            </w:r>
          </w:p>
        </w:tc>
        <w:tc>
          <w:tcPr>
            <w:tcW w:w="1620" w:type="dxa"/>
            <w:tcBorders>
              <w:top w:val="nil"/>
              <w:left w:val="nil"/>
              <w:bottom w:val="single" w:color="000000" w:sz="8" w:space="0"/>
              <w:right w:val="single" w:color="000000" w:sz="8" w:space="0"/>
            </w:tcBorders>
            <w:noWrap w:val="0"/>
            <w:vAlign w:val="center"/>
          </w:tcPr>
          <w:p w14:paraId="2277AB4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4540" w:type="dxa"/>
            <w:tcBorders>
              <w:top w:val="nil"/>
              <w:left w:val="nil"/>
              <w:bottom w:val="single" w:color="000000" w:sz="8" w:space="0"/>
              <w:right w:val="single" w:color="000000" w:sz="8" w:space="0"/>
            </w:tcBorders>
            <w:noWrap w:val="0"/>
            <w:vAlign w:val="center"/>
          </w:tcPr>
          <w:p w14:paraId="07ED057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《平板电视能效限定值及能效等级》（GB24850）</w:t>
            </w:r>
          </w:p>
        </w:tc>
      </w:tr>
      <w:tr w14:paraId="79C8CD98">
        <w:tblPrEx>
          <w:tblCellMar>
            <w:top w:w="0" w:type="dxa"/>
            <w:left w:w="108" w:type="dxa"/>
            <w:bottom w:w="0" w:type="dxa"/>
            <w:right w:w="108" w:type="dxa"/>
          </w:tblCellMar>
        </w:tblPrEx>
        <w:trPr>
          <w:trHeight w:val="975" w:hRule="atLeast"/>
        </w:trPr>
        <w:tc>
          <w:tcPr>
            <w:tcW w:w="660" w:type="dxa"/>
            <w:tcBorders>
              <w:top w:val="nil"/>
              <w:left w:val="single" w:color="000000" w:sz="8" w:space="0"/>
              <w:bottom w:val="single" w:color="000000" w:sz="8" w:space="0"/>
              <w:right w:val="single" w:color="000000" w:sz="8" w:space="0"/>
            </w:tcBorders>
            <w:noWrap w:val="0"/>
            <w:vAlign w:val="center"/>
          </w:tcPr>
          <w:p w14:paraId="774B807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w:t>
            </w:r>
          </w:p>
        </w:tc>
        <w:tc>
          <w:tcPr>
            <w:tcW w:w="1080" w:type="dxa"/>
            <w:tcBorders>
              <w:top w:val="nil"/>
              <w:left w:val="nil"/>
              <w:bottom w:val="single" w:color="000000" w:sz="8" w:space="0"/>
              <w:right w:val="single" w:color="000000" w:sz="8" w:space="0"/>
            </w:tcBorders>
            <w:noWrap w:val="0"/>
            <w:vAlign w:val="center"/>
          </w:tcPr>
          <w:p w14:paraId="2296FE8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★A020911视频设备</w:t>
            </w:r>
          </w:p>
        </w:tc>
        <w:tc>
          <w:tcPr>
            <w:tcW w:w="1320" w:type="dxa"/>
            <w:tcBorders>
              <w:top w:val="nil"/>
              <w:left w:val="nil"/>
              <w:bottom w:val="single" w:color="000000" w:sz="8" w:space="0"/>
              <w:right w:val="single" w:color="000000" w:sz="8" w:space="0"/>
            </w:tcBorders>
            <w:noWrap w:val="0"/>
            <w:vAlign w:val="center"/>
          </w:tcPr>
          <w:p w14:paraId="631545B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A02091107视频监控设备</w:t>
            </w:r>
          </w:p>
        </w:tc>
        <w:tc>
          <w:tcPr>
            <w:tcW w:w="1620" w:type="dxa"/>
            <w:tcBorders>
              <w:top w:val="nil"/>
              <w:left w:val="nil"/>
              <w:bottom w:val="single" w:color="000000" w:sz="8" w:space="0"/>
              <w:right w:val="single" w:color="000000" w:sz="8" w:space="0"/>
            </w:tcBorders>
            <w:noWrap w:val="0"/>
            <w:vAlign w:val="center"/>
          </w:tcPr>
          <w:p w14:paraId="10FE6BC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监视器</w:t>
            </w:r>
          </w:p>
        </w:tc>
        <w:tc>
          <w:tcPr>
            <w:tcW w:w="4540" w:type="dxa"/>
            <w:tcBorders>
              <w:top w:val="nil"/>
              <w:left w:val="nil"/>
              <w:bottom w:val="single" w:color="000000" w:sz="8" w:space="0"/>
              <w:right w:val="single" w:color="000000" w:sz="8" w:space="0"/>
            </w:tcBorders>
            <w:noWrap w:val="0"/>
            <w:vAlign w:val="center"/>
          </w:tcPr>
          <w:p w14:paraId="33A119F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以射频信号为主要信号输入的监视器应符合《平板电视能效限定值及能效等级》（GB24850），以数字信号为主要信号输入的监视器应符合《计算机显示器能效限定值及能效等级》（GB21520）</w:t>
            </w:r>
          </w:p>
        </w:tc>
      </w:tr>
      <w:tr w14:paraId="485942B8">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0"/>
            <w:vAlign w:val="center"/>
          </w:tcPr>
          <w:p w14:paraId="5991BEE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14</w:t>
            </w:r>
          </w:p>
        </w:tc>
        <w:tc>
          <w:tcPr>
            <w:tcW w:w="1080" w:type="dxa"/>
            <w:tcBorders>
              <w:top w:val="nil"/>
              <w:left w:val="nil"/>
              <w:bottom w:val="single" w:color="000000" w:sz="8" w:space="0"/>
              <w:right w:val="single" w:color="000000" w:sz="8" w:space="0"/>
            </w:tcBorders>
            <w:noWrap w:val="0"/>
            <w:vAlign w:val="center"/>
          </w:tcPr>
          <w:p w14:paraId="2688ACA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A031210饮食炊事机械</w:t>
            </w:r>
          </w:p>
        </w:tc>
        <w:tc>
          <w:tcPr>
            <w:tcW w:w="1320" w:type="dxa"/>
            <w:tcBorders>
              <w:top w:val="nil"/>
              <w:left w:val="nil"/>
              <w:bottom w:val="single" w:color="000000" w:sz="8" w:space="0"/>
              <w:right w:val="single" w:color="000000" w:sz="8" w:space="0"/>
            </w:tcBorders>
            <w:noWrap w:val="0"/>
            <w:vAlign w:val="center"/>
          </w:tcPr>
          <w:p w14:paraId="41BD9AF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商用燃气灶具</w:t>
            </w:r>
          </w:p>
        </w:tc>
        <w:tc>
          <w:tcPr>
            <w:tcW w:w="1620" w:type="dxa"/>
            <w:tcBorders>
              <w:top w:val="nil"/>
              <w:left w:val="nil"/>
              <w:bottom w:val="single" w:color="000000" w:sz="8" w:space="0"/>
              <w:right w:val="single" w:color="000000" w:sz="8" w:space="0"/>
            </w:tcBorders>
            <w:noWrap w:val="0"/>
            <w:vAlign w:val="center"/>
          </w:tcPr>
          <w:p w14:paraId="63BE94F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4540" w:type="dxa"/>
            <w:tcBorders>
              <w:top w:val="nil"/>
              <w:left w:val="nil"/>
              <w:bottom w:val="single" w:color="000000" w:sz="8" w:space="0"/>
              <w:right w:val="single" w:color="000000" w:sz="8" w:space="0"/>
            </w:tcBorders>
            <w:noWrap w:val="0"/>
            <w:vAlign w:val="center"/>
          </w:tcPr>
          <w:p w14:paraId="0B605FF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《商用燃气灶具能效限定值及能效等级》（GB30531）</w:t>
            </w:r>
          </w:p>
        </w:tc>
      </w:tr>
      <w:tr w14:paraId="50205ABD">
        <w:tblPrEx>
          <w:tblCellMar>
            <w:top w:w="0" w:type="dxa"/>
            <w:left w:w="108" w:type="dxa"/>
            <w:bottom w:w="0" w:type="dxa"/>
            <w:right w:w="108" w:type="dxa"/>
          </w:tblCellMar>
        </w:tblPrEx>
        <w:trPr>
          <w:trHeight w:val="285" w:hRule="atLeast"/>
        </w:trPr>
        <w:tc>
          <w:tcPr>
            <w:tcW w:w="660" w:type="dxa"/>
            <w:vMerge w:val="restart"/>
            <w:tcBorders>
              <w:top w:val="nil"/>
              <w:left w:val="single" w:color="000000" w:sz="8" w:space="0"/>
              <w:bottom w:val="single" w:color="000000" w:sz="8" w:space="0"/>
              <w:right w:val="single" w:color="000000" w:sz="8" w:space="0"/>
            </w:tcBorders>
            <w:noWrap w:val="0"/>
            <w:vAlign w:val="center"/>
          </w:tcPr>
          <w:p w14:paraId="321E41C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15</w:t>
            </w:r>
          </w:p>
        </w:tc>
        <w:tc>
          <w:tcPr>
            <w:tcW w:w="1080" w:type="dxa"/>
            <w:vMerge w:val="restart"/>
            <w:tcBorders>
              <w:top w:val="nil"/>
              <w:left w:val="single" w:color="000000" w:sz="8" w:space="0"/>
              <w:bottom w:val="single" w:color="000000" w:sz="8" w:space="0"/>
              <w:right w:val="single" w:color="000000" w:sz="8" w:space="0"/>
            </w:tcBorders>
            <w:noWrap w:val="0"/>
            <w:vAlign w:val="center"/>
          </w:tcPr>
          <w:p w14:paraId="26D4DA3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★A060805便器</w:t>
            </w:r>
          </w:p>
        </w:tc>
        <w:tc>
          <w:tcPr>
            <w:tcW w:w="1320" w:type="dxa"/>
            <w:tcBorders>
              <w:top w:val="nil"/>
              <w:left w:val="nil"/>
              <w:bottom w:val="single" w:color="000000" w:sz="8" w:space="0"/>
              <w:right w:val="single" w:color="000000" w:sz="8" w:space="0"/>
            </w:tcBorders>
            <w:noWrap w:val="0"/>
            <w:vAlign w:val="center"/>
          </w:tcPr>
          <w:p w14:paraId="3B28FF4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坐便器</w:t>
            </w:r>
          </w:p>
        </w:tc>
        <w:tc>
          <w:tcPr>
            <w:tcW w:w="1620" w:type="dxa"/>
            <w:tcBorders>
              <w:top w:val="nil"/>
              <w:left w:val="nil"/>
              <w:bottom w:val="single" w:color="000000" w:sz="8" w:space="0"/>
              <w:right w:val="single" w:color="000000" w:sz="8" w:space="0"/>
            </w:tcBorders>
            <w:noWrap w:val="0"/>
            <w:vAlign w:val="center"/>
          </w:tcPr>
          <w:p w14:paraId="174108B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4540" w:type="dxa"/>
            <w:tcBorders>
              <w:top w:val="nil"/>
              <w:left w:val="nil"/>
              <w:bottom w:val="single" w:color="000000" w:sz="8" w:space="0"/>
              <w:right w:val="single" w:color="000000" w:sz="8" w:space="0"/>
            </w:tcBorders>
            <w:noWrap w:val="0"/>
            <w:vAlign w:val="center"/>
          </w:tcPr>
          <w:p w14:paraId="73DFC23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《坐便器水效限定值及水效等级》（GB25502）</w:t>
            </w:r>
          </w:p>
        </w:tc>
      </w:tr>
      <w:tr w14:paraId="2C0E2E5C">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59B6EA01">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2D27129E">
            <w:pPr>
              <w:widowControl/>
              <w:jc w:val="left"/>
              <w:rPr>
                <w:rFonts w:ascii="宋体" w:hAnsi="宋体" w:cs="宋体"/>
                <w:color w:val="000000"/>
                <w:kern w:val="0"/>
                <w:sz w:val="20"/>
                <w:szCs w:val="20"/>
              </w:rPr>
            </w:pPr>
          </w:p>
        </w:tc>
        <w:tc>
          <w:tcPr>
            <w:tcW w:w="1320" w:type="dxa"/>
            <w:tcBorders>
              <w:top w:val="nil"/>
              <w:left w:val="nil"/>
              <w:bottom w:val="single" w:color="000000" w:sz="8" w:space="0"/>
              <w:right w:val="single" w:color="000000" w:sz="8" w:space="0"/>
            </w:tcBorders>
            <w:noWrap w:val="0"/>
            <w:vAlign w:val="center"/>
          </w:tcPr>
          <w:p w14:paraId="3766789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蹲便器</w:t>
            </w:r>
          </w:p>
        </w:tc>
        <w:tc>
          <w:tcPr>
            <w:tcW w:w="1620" w:type="dxa"/>
            <w:tcBorders>
              <w:top w:val="nil"/>
              <w:left w:val="nil"/>
              <w:bottom w:val="single" w:color="000000" w:sz="8" w:space="0"/>
              <w:right w:val="single" w:color="000000" w:sz="8" w:space="0"/>
            </w:tcBorders>
            <w:noWrap w:val="0"/>
            <w:vAlign w:val="center"/>
          </w:tcPr>
          <w:p w14:paraId="49E2C80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4540" w:type="dxa"/>
            <w:tcBorders>
              <w:top w:val="nil"/>
              <w:left w:val="nil"/>
              <w:bottom w:val="single" w:color="000000" w:sz="8" w:space="0"/>
              <w:right w:val="single" w:color="000000" w:sz="8" w:space="0"/>
            </w:tcBorders>
            <w:noWrap w:val="0"/>
            <w:vAlign w:val="center"/>
          </w:tcPr>
          <w:p w14:paraId="084E36F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《蹲便器用水效率限定值及用水效率等级》（GB30717）</w:t>
            </w:r>
          </w:p>
        </w:tc>
      </w:tr>
      <w:tr w14:paraId="0D91B714">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627B4C7A">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7F9C204E">
            <w:pPr>
              <w:widowControl/>
              <w:jc w:val="left"/>
              <w:rPr>
                <w:rFonts w:ascii="宋体" w:hAnsi="宋体" w:cs="宋体"/>
                <w:color w:val="000000"/>
                <w:kern w:val="0"/>
                <w:sz w:val="20"/>
                <w:szCs w:val="20"/>
              </w:rPr>
            </w:pPr>
          </w:p>
        </w:tc>
        <w:tc>
          <w:tcPr>
            <w:tcW w:w="1320" w:type="dxa"/>
            <w:tcBorders>
              <w:top w:val="nil"/>
              <w:left w:val="nil"/>
              <w:bottom w:val="single" w:color="000000" w:sz="8" w:space="0"/>
              <w:right w:val="single" w:color="000000" w:sz="8" w:space="0"/>
            </w:tcBorders>
            <w:noWrap w:val="0"/>
            <w:vAlign w:val="center"/>
          </w:tcPr>
          <w:p w14:paraId="201E662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小便器</w:t>
            </w:r>
          </w:p>
        </w:tc>
        <w:tc>
          <w:tcPr>
            <w:tcW w:w="1620" w:type="dxa"/>
            <w:tcBorders>
              <w:top w:val="nil"/>
              <w:left w:val="nil"/>
              <w:bottom w:val="single" w:color="000000" w:sz="8" w:space="0"/>
              <w:right w:val="single" w:color="000000" w:sz="8" w:space="0"/>
            </w:tcBorders>
            <w:noWrap w:val="0"/>
            <w:vAlign w:val="center"/>
          </w:tcPr>
          <w:p w14:paraId="756B9A2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4540" w:type="dxa"/>
            <w:tcBorders>
              <w:top w:val="nil"/>
              <w:left w:val="nil"/>
              <w:bottom w:val="single" w:color="000000" w:sz="8" w:space="0"/>
              <w:right w:val="single" w:color="000000" w:sz="8" w:space="0"/>
            </w:tcBorders>
            <w:noWrap w:val="0"/>
            <w:vAlign w:val="center"/>
          </w:tcPr>
          <w:p w14:paraId="424CFBA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《小便器用水效率限定值及用水效率等级》（GB28377）</w:t>
            </w:r>
          </w:p>
        </w:tc>
      </w:tr>
      <w:tr w14:paraId="555994F5">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0"/>
            <w:vAlign w:val="center"/>
          </w:tcPr>
          <w:p w14:paraId="10CAEE5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16</w:t>
            </w:r>
          </w:p>
        </w:tc>
        <w:tc>
          <w:tcPr>
            <w:tcW w:w="1080" w:type="dxa"/>
            <w:tcBorders>
              <w:top w:val="nil"/>
              <w:left w:val="nil"/>
              <w:bottom w:val="single" w:color="000000" w:sz="8" w:space="0"/>
              <w:right w:val="single" w:color="000000" w:sz="8" w:space="0"/>
            </w:tcBorders>
            <w:noWrap w:val="0"/>
            <w:vAlign w:val="center"/>
          </w:tcPr>
          <w:p w14:paraId="2B6927E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★A060806水嘴</w:t>
            </w:r>
          </w:p>
        </w:tc>
        <w:tc>
          <w:tcPr>
            <w:tcW w:w="1320" w:type="dxa"/>
            <w:tcBorders>
              <w:top w:val="nil"/>
              <w:left w:val="nil"/>
              <w:bottom w:val="single" w:color="000000" w:sz="8" w:space="0"/>
              <w:right w:val="single" w:color="000000" w:sz="8" w:space="0"/>
            </w:tcBorders>
            <w:noWrap w:val="0"/>
            <w:vAlign w:val="center"/>
          </w:tcPr>
          <w:p w14:paraId="0817FDF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1620" w:type="dxa"/>
            <w:tcBorders>
              <w:top w:val="nil"/>
              <w:left w:val="nil"/>
              <w:bottom w:val="single" w:color="000000" w:sz="8" w:space="0"/>
              <w:right w:val="single" w:color="000000" w:sz="8" w:space="0"/>
            </w:tcBorders>
            <w:noWrap w:val="0"/>
            <w:vAlign w:val="center"/>
          </w:tcPr>
          <w:p w14:paraId="01F1B58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4540" w:type="dxa"/>
            <w:tcBorders>
              <w:top w:val="nil"/>
              <w:left w:val="nil"/>
              <w:bottom w:val="single" w:color="000000" w:sz="8" w:space="0"/>
              <w:right w:val="single" w:color="000000" w:sz="8" w:space="0"/>
            </w:tcBorders>
            <w:noWrap w:val="0"/>
            <w:vAlign w:val="center"/>
          </w:tcPr>
          <w:p w14:paraId="6D0E915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《水嘴用水效率限定值及用水效率等级》（GB 25501）</w:t>
            </w:r>
          </w:p>
        </w:tc>
      </w:tr>
      <w:tr w14:paraId="67E75A9C">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0"/>
            <w:vAlign w:val="center"/>
          </w:tcPr>
          <w:p w14:paraId="04EED21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17</w:t>
            </w:r>
          </w:p>
        </w:tc>
        <w:tc>
          <w:tcPr>
            <w:tcW w:w="1080" w:type="dxa"/>
            <w:tcBorders>
              <w:top w:val="nil"/>
              <w:left w:val="nil"/>
              <w:bottom w:val="single" w:color="000000" w:sz="8" w:space="0"/>
              <w:right w:val="single" w:color="000000" w:sz="8" w:space="0"/>
            </w:tcBorders>
            <w:noWrap w:val="0"/>
            <w:vAlign w:val="center"/>
          </w:tcPr>
          <w:p w14:paraId="1D3E08A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A060807便器冲洗阀</w:t>
            </w:r>
          </w:p>
        </w:tc>
        <w:tc>
          <w:tcPr>
            <w:tcW w:w="1320" w:type="dxa"/>
            <w:tcBorders>
              <w:top w:val="nil"/>
              <w:left w:val="nil"/>
              <w:bottom w:val="single" w:color="000000" w:sz="8" w:space="0"/>
              <w:right w:val="single" w:color="000000" w:sz="8" w:space="0"/>
            </w:tcBorders>
            <w:noWrap w:val="0"/>
            <w:vAlign w:val="center"/>
          </w:tcPr>
          <w:p w14:paraId="6C0CDAD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1620" w:type="dxa"/>
            <w:tcBorders>
              <w:top w:val="nil"/>
              <w:left w:val="nil"/>
              <w:bottom w:val="single" w:color="000000" w:sz="8" w:space="0"/>
              <w:right w:val="single" w:color="000000" w:sz="8" w:space="0"/>
            </w:tcBorders>
            <w:noWrap w:val="0"/>
            <w:vAlign w:val="center"/>
          </w:tcPr>
          <w:p w14:paraId="2FDEEA9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4540" w:type="dxa"/>
            <w:tcBorders>
              <w:top w:val="nil"/>
              <w:left w:val="nil"/>
              <w:bottom w:val="single" w:color="000000" w:sz="8" w:space="0"/>
              <w:right w:val="single" w:color="000000" w:sz="8" w:space="0"/>
            </w:tcBorders>
            <w:noWrap w:val="0"/>
            <w:vAlign w:val="center"/>
          </w:tcPr>
          <w:p w14:paraId="590D826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《便器冲洗阀用水效率限定值及用水效率等级》（GB28379）</w:t>
            </w:r>
          </w:p>
        </w:tc>
      </w:tr>
      <w:tr w14:paraId="4827354D">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0"/>
            <w:vAlign w:val="center"/>
          </w:tcPr>
          <w:p w14:paraId="3B2DAC6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18</w:t>
            </w:r>
          </w:p>
        </w:tc>
        <w:tc>
          <w:tcPr>
            <w:tcW w:w="1080" w:type="dxa"/>
            <w:tcBorders>
              <w:top w:val="nil"/>
              <w:left w:val="nil"/>
              <w:bottom w:val="single" w:color="000000" w:sz="8" w:space="0"/>
              <w:right w:val="single" w:color="000000" w:sz="8" w:space="0"/>
            </w:tcBorders>
            <w:noWrap w:val="0"/>
            <w:vAlign w:val="center"/>
          </w:tcPr>
          <w:p w14:paraId="341441E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A060810淋浴器</w:t>
            </w:r>
          </w:p>
        </w:tc>
        <w:tc>
          <w:tcPr>
            <w:tcW w:w="1320" w:type="dxa"/>
            <w:tcBorders>
              <w:top w:val="nil"/>
              <w:left w:val="nil"/>
              <w:bottom w:val="single" w:color="000000" w:sz="8" w:space="0"/>
              <w:right w:val="single" w:color="000000" w:sz="8" w:space="0"/>
            </w:tcBorders>
            <w:noWrap w:val="0"/>
            <w:vAlign w:val="center"/>
          </w:tcPr>
          <w:p w14:paraId="78ED63A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1620" w:type="dxa"/>
            <w:tcBorders>
              <w:top w:val="nil"/>
              <w:left w:val="nil"/>
              <w:bottom w:val="single" w:color="000000" w:sz="8" w:space="0"/>
              <w:right w:val="single" w:color="000000" w:sz="8" w:space="0"/>
            </w:tcBorders>
            <w:noWrap w:val="0"/>
            <w:vAlign w:val="center"/>
          </w:tcPr>
          <w:p w14:paraId="769491D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　</w:t>
            </w:r>
          </w:p>
        </w:tc>
        <w:tc>
          <w:tcPr>
            <w:tcW w:w="4540" w:type="dxa"/>
            <w:tcBorders>
              <w:top w:val="nil"/>
              <w:left w:val="nil"/>
              <w:bottom w:val="single" w:color="000000" w:sz="8" w:space="0"/>
              <w:right w:val="single" w:color="000000" w:sz="8" w:space="0"/>
            </w:tcBorders>
            <w:noWrap w:val="0"/>
            <w:vAlign w:val="center"/>
          </w:tcPr>
          <w:p w14:paraId="79FF525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《淋浴器用水效率限定值及用水效率等级》（GB28378）</w:t>
            </w:r>
          </w:p>
        </w:tc>
      </w:tr>
    </w:tbl>
    <w:p w14:paraId="7D3E1F11">
      <w:pPr>
        <w:pStyle w:val="8"/>
        <w:spacing w:line="360" w:lineRule="auto"/>
        <w:rPr>
          <w:rFonts w:hint="eastAsia"/>
          <w:spacing w:val="-3"/>
          <w:szCs w:val="21"/>
        </w:rPr>
      </w:pPr>
    </w:p>
    <w:p w14:paraId="3119C302">
      <w:pPr>
        <w:pStyle w:val="8"/>
        <w:spacing w:line="360" w:lineRule="auto"/>
        <w:rPr>
          <w:rFonts w:ascii="宋体" w:hAnsi="宋体"/>
          <w:szCs w:val="21"/>
        </w:rPr>
      </w:pPr>
      <w:r>
        <w:rPr>
          <w:rFonts w:hint="eastAsia"/>
          <w:spacing w:val="-3"/>
          <w:szCs w:val="21"/>
        </w:rPr>
        <w:t>注：</w:t>
      </w:r>
      <w:r>
        <w:rPr>
          <w:spacing w:val="-3"/>
          <w:szCs w:val="21"/>
        </w:rPr>
        <w:t>1.</w:t>
      </w:r>
      <w:r>
        <w:rPr>
          <w:rFonts w:hint="eastAsia"/>
          <w:spacing w:val="-3"/>
          <w:szCs w:val="21"/>
        </w:rPr>
        <w:t>节能产品认证应依据相关国家标准的最新版本，依据国家标准中二级能效（水效）</w:t>
      </w:r>
      <w:r>
        <w:rPr>
          <w:rFonts w:hint="eastAsia"/>
          <w:szCs w:val="21"/>
        </w:rPr>
        <w:t>指标。</w:t>
      </w:r>
    </w:p>
    <w:p w14:paraId="26D23EBB">
      <w:pPr>
        <w:pStyle w:val="8"/>
        <w:spacing w:line="360" w:lineRule="auto"/>
        <w:rPr>
          <w:rFonts w:hint="eastAsia"/>
          <w:b/>
          <w:bCs/>
          <w:szCs w:val="21"/>
        </w:rPr>
      </w:pPr>
      <w:r>
        <w:rPr>
          <w:rFonts w:hint="eastAsia" w:ascii="宋体" w:hAnsi="宋体"/>
          <w:szCs w:val="21"/>
        </w:rPr>
        <w:t xml:space="preserve">    </w:t>
      </w:r>
      <w:r>
        <w:rPr>
          <w:szCs w:val="21"/>
        </w:rPr>
        <w:t>2</w:t>
      </w:r>
      <w:r>
        <w:rPr>
          <w:b/>
          <w:bCs/>
          <w:szCs w:val="21"/>
        </w:rPr>
        <w:t>.</w:t>
      </w:r>
      <w:r>
        <w:rPr>
          <w:rFonts w:hint="eastAsia"/>
          <w:b/>
          <w:bCs/>
          <w:szCs w:val="21"/>
        </w:rPr>
        <w:t>以</w:t>
      </w:r>
      <w:r>
        <w:rPr>
          <w:b/>
          <w:bCs/>
          <w:szCs w:val="21"/>
        </w:rPr>
        <w:t>“</w:t>
      </w:r>
      <w:r>
        <w:rPr>
          <w:rFonts w:hint="eastAsia"/>
          <w:b/>
          <w:bCs/>
          <w:szCs w:val="21"/>
        </w:rPr>
        <w:t>★</w:t>
      </w:r>
      <w:r>
        <w:rPr>
          <w:b/>
          <w:bCs/>
          <w:szCs w:val="21"/>
        </w:rPr>
        <w:t>”</w:t>
      </w:r>
      <w:r>
        <w:rPr>
          <w:rFonts w:hint="eastAsia"/>
          <w:b/>
          <w:bCs/>
          <w:szCs w:val="21"/>
        </w:rPr>
        <w:t>标注的为政府强制采购产品。</w:t>
      </w:r>
    </w:p>
    <w:p w14:paraId="7D65A044">
      <w:pPr>
        <w:pStyle w:val="11"/>
        <w:jc w:val="left"/>
        <w:rPr>
          <w:rFonts w:ascii="Arial Unicode MS" w:hAnsi="Arial Unicode MS" w:eastAsia="Arial Unicode MS" w:cs="Arial Unicode MS"/>
          <w:sz w:val="32"/>
          <w:szCs w:val="32"/>
        </w:rPr>
      </w:pPr>
      <w:r>
        <w:rPr>
          <w:rFonts w:hint="eastAsia" w:hAnsi="宋体"/>
        </w:rPr>
        <w:br w:type="page"/>
      </w:r>
      <w:r>
        <w:rPr>
          <w:rFonts w:hint="eastAsia" w:ascii="微软雅黑" w:hAnsi="微软雅黑" w:eastAsia="微软雅黑" w:cs="微软雅黑"/>
          <w:sz w:val="32"/>
          <w:szCs w:val="32"/>
        </w:rPr>
        <w:t>附件</w:t>
      </w:r>
      <w:r>
        <w:rPr>
          <w:rFonts w:ascii="Arial Unicode MS" w:hAnsi="Arial Unicode MS" w:eastAsia="Arial Unicode MS" w:cs="Arial Unicode MS"/>
          <w:sz w:val="32"/>
          <w:szCs w:val="32"/>
        </w:rPr>
        <w:t>2</w:t>
      </w:r>
      <w:r>
        <w:rPr>
          <w:rFonts w:hint="eastAsia" w:ascii="微软雅黑" w:hAnsi="微软雅黑" w:eastAsia="微软雅黑" w:cs="微软雅黑"/>
          <w:sz w:val="32"/>
          <w:szCs w:val="32"/>
        </w:rPr>
        <w:t>：</w:t>
      </w:r>
    </w:p>
    <w:p w14:paraId="2C164686">
      <w:pPr>
        <w:spacing w:line="528" w:lineRule="exact"/>
        <w:ind w:left="1871"/>
        <w:rPr>
          <w:rFonts w:ascii="Arial Unicode MS" w:hAnsi="Arial Unicode MS" w:eastAsia="Arial Unicode MS" w:cs="Arial Unicode MS"/>
          <w:sz w:val="40"/>
          <w:szCs w:val="40"/>
        </w:rPr>
      </w:pPr>
      <w:r>
        <w:rPr>
          <w:rFonts w:hint="eastAsia" w:ascii="微软雅黑" w:hAnsi="微软雅黑" w:eastAsia="微软雅黑" w:cs="微软雅黑"/>
          <w:sz w:val="40"/>
          <w:szCs w:val="40"/>
        </w:rPr>
        <w:t>中小微企业划型标准</w:t>
      </w:r>
    </w:p>
    <w:tbl>
      <w:tblPr>
        <w:tblStyle w:val="16"/>
        <w:tblW w:w="7980" w:type="dxa"/>
        <w:tblInd w:w="250" w:type="dxa"/>
        <w:tblLayout w:type="fixed"/>
        <w:tblCellMar>
          <w:top w:w="0" w:type="dxa"/>
          <w:left w:w="108" w:type="dxa"/>
          <w:bottom w:w="0" w:type="dxa"/>
          <w:right w:w="108" w:type="dxa"/>
        </w:tblCellMar>
      </w:tblPr>
      <w:tblGrid>
        <w:gridCol w:w="1701"/>
        <w:gridCol w:w="1383"/>
        <w:gridCol w:w="913"/>
        <w:gridCol w:w="1619"/>
        <w:gridCol w:w="1439"/>
        <w:gridCol w:w="925"/>
      </w:tblGrid>
      <w:tr w14:paraId="4591CE68">
        <w:tblPrEx>
          <w:tblCellMar>
            <w:top w:w="0" w:type="dxa"/>
            <w:left w:w="108" w:type="dxa"/>
            <w:bottom w:w="0" w:type="dxa"/>
            <w:right w:w="108" w:type="dxa"/>
          </w:tblCellMar>
        </w:tblPrEx>
        <w:trPr>
          <w:trHeight w:val="285" w:hRule="atLeast"/>
        </w:trPr>
        <w:tc>
          <w:tcPr>
            <w:tcW w:w="1701" w:type="dxa"/>
            <w:tcBorders>
              <w:top w:val="single" w:color="auto" w:sz="4" w:space="0"/>
              <w:left w:val="single" w:color="auto" w:sz="4" w:space="0"/>
              <w:bottom w:val="single" w:color="auto" w:sz="4" w:space="0"/>
              <w:right w:val="single" w:color="auto" w:sz="4" w:space="0"/>
            </w:tcBorders>
            <w:noWrap w:val="0"/>
            <w:vAlign w:val="center"/>
          </w:tcPr>
          <w:p w14:paraId="3579D51C">
            <w:pPr>
              <w:widowControl/>
              <w:jc w:val="left"/>
              <w:rPr>
                <w:rFonts w:ascii="仿宋_GB2312" w:hAnsi="仿宋" w:eastAsia="仿宋_GB2312" w:cs="宋体"/>
                <w:b/>
                <w:kern w:val="0"/>
                <w:sz w:val="24"/>
              </w:rPr>
            </w:pPr>
            <w:r>
              <w:rPr>
                <w:rFonts w:hint="eastAsia" w:ascii="仿宋_GB2312" w:hAnsi="仿宋" w:eastAsia="仿宋_GB2312" w:cs="宋体"/>
                <w:b/>
                <w:kern w:val="0"/>
                <w:sz w:val="24"/>
              </w:rPr>
              <w:t>行业名称</w:t>
            </w:r>
          </w:p>
        </w:tc>
        <w:tc>
          <w:tcPr>
            <w:tcW w:w="1384" w:type="dxa"/>
            <w:tcBorders>
              <w:top w:val="single" w:color="auto" w:sz="4" w:space="0"/>
              <w:left w:val="nil"/>
              <w:bottom w:val="single" w:color="auto" w:sz="4" w:space="0"/>
              <w:right w:val="single" w:color="auto" w:sz="4" w:space="0"/>
            </w:tcBorders>
            <w:noWrap w:val="0"/>
            <w:vAlign w:val="center"/>
          </w:tcPr>
          <w:p w14:paraId="1C33798A">
            <w:pPr>
              <w:widowControl/>
              <w:jc w:val="left"/>
              <w:rPr>
                <w:rFonts w:hint="eastAsia" w:ascii="仿宋_GB2312" w:hAnsi="仿宋" w:eastAsia="仿宋_GB2312" w:cs="宋体"/>
                <w:b/>
                <w:kern w:val="0"/>
                <w:sz w:val="24"/>
              </w:rPr>
            </w:pPr>
            <w:r>
              <w:rPr>
                <w:rFonts w:hint="eastAsia" w:ascii="仿宋_GB2312" w:hAnsi="仿宋" w:eastAsia="仿宋_GB2312" w:cs="宋体"/>
                <w:b/>
                <w:kern w:val="0"/>
                <w:sz w:val="24"/>
              </w:rPr>
              <w:t>指标名称</w:t>
            </w:r>
          </w:p>
        </w:tc>
        <w:tc>
          <w:tcPr>
            <w:tcW w:w="913" w:type="dxa"/>
            <w:tcBorders>
              <w:top w:val="single" w:color="auto" w:sz="4" w:space="0"/>
              <w:left w:val="nil"/>
              <w:bottom w:val="single" w:color="auto" w:sz="4" w:space="0"/>
              <w:right w:val="single" w:color="auto" w:sz="4" w:space="0"/>
            </w:tcBorders>
            <w:noWrap w:val="0"/>
            <w:vAlign w:val="center"/>
          </w:tcPr>
          <w:p w14:paraId="3C025CA0">
            <w:pPr>
              <w:widowControl/>
              <w:jc w:val="left"/>
              <w:rPr>
                <w:rFonts w:hint="eastAsia" w:ascii="仿宋_GB2312" w:hAnsi="仿宋" w:eastAsia="仿宋_GB2312" w:cs="宋体"/>
                <w:b/>
                <w:kern w:val="0"/>
                <w:sz w:val="24"/>
              </w:rPr>
            </w:pPr>
            <w:r>
              <w:rPr>
                <w:rFonts w:hint="eastAsia" w:ascii="仿宋_GB2312" w:hAnsi="仿宋" w:eastAsia="仿宋_GB2312" w:cs="宋体"/>
                <w:b/>
                <w:kern w:val="0"/>
                <w:sz w:val="24"/>
              </w:rPr>
              <w:t>计量单位</w:t>
            </w:r>
          </w:p>
        </w:tc>
        <w:tc>
          <w:tcPr>
            <w:tcW w:w="1620" w:type="dxa"/>
            <w:tcBorders>
              <w:top w:val="single" w:color="auto" w:sz="4" w:space="0"/>
              <w:left w:val="nil"/>
              <w:bottom w:val="single" w:color="auto" w:sz="4" w:space="0"/>
              <w:right w:val="single" w:color="auto" w:sz="4" w:space="0"/>
            </w:tcBorders>
            <w:noWrap w:val="0"/>
            <w:vAlign w:val="center"/>
          </w:tcPr>
          <w:p w14:paraId="506917A0">
            <w:pPr>
              <w:widowControl/>
              <w:jc w:val="left"/>
              <w:rPr>
                <w:rFonts w:hint="eastAsia" w:ascii="仿宋_GB2312" w:hAnsi="仿宋" w:eastAsia="仿宋_GB2312" w:cs="宋体"/>
                <w:b/>
                <w:kern w:val="0"/>
                <w:sz w:val="24"/>
              </w:rPr>
            </w:pPr>
            <w:r>
              <w:rPr>
                <w:rFonts w:hint="eastAsia" w:ascii="仿宋_GB2312" w:hAnsi="仿宋" w:eastAsia="仿宋_GB2312" w:cs="宋体"/>
                <w:b/>
                <w:kern w:val="0"/>
                <w:sz w:val="24"/>
              </w:rPr>
              <w:t>中型</w:t>
            </w:r>
          </w:p>
        </w:tc>
        <w:tc>
          <w:tcPr>
            <w:tcW w:w="1440" w:type="dxa"/>
            <w:tcBorders>
              <w:top w:val="single" w:color="auto" w:sz="4" w:space="0"/>
              <w:left w:val="nil"/>
              <w:bottom w:val="single" w:color="auto" w:sz="4" w:space="0"/>
              <w:right w:val="single" w:color="auto" w:sz="4" w:space="0"/>
            </w:tcBorders>
            <w:noWrap w:val="0"/>
            <w:vAlign w:val="center"/>
          </w:tcPr>
          <w:p w14:paraId="7ED7488A">
            <w:pPr>
              <w:widowControl/>
              <w:jc w:val="left"/>
              <w:rPr>
                <w:rFonts w:hint="eastAsia" w:ascii="仿宋_GB2312" w:hAnsi="仿宋" w:eastAsia="仿宋_GB2312" w:cs="宋体"/>
                <w:b/>
                <w:kern w:val="0"/>
                <w:sz w:val="24"/>
              </w:rPr>
            </w:pPr>
            <w:r>
              <w:rPr>
                <w:rFonts w:hint="eastAsia" w:ascii="仿宋_GB2312" w:hAnsi="仿宋" w:eastAsia="仿宋_GB2312" w:cs="宋体"/>
                <w:b/>
                <w:kern w:val="0"/>
                <w:sz w:val="24"/>
              </w:rPr>
              <w:t>小型</w:t>
            </w:r>
          </w:p>
        </w:tc>
        <w:tc>
          <w:tcPr>
            <w:tcW w:w="925" w:type="dxa"/>
            <w:tcBorders>
              <w:top w:val="single" w:color="auto" w:sz="4" w:space="0"/>
              <w:left w:val="nil"/>
              <w:bottom w:val="single" w:color="auto" w:sz="4" w:space="0"/>
              <w:right w:val="single" w:color="auto" w:sz="4" w:space="0"/>
            </w:tcBorders>
            <w:noWrap w:val="0"/>
            <w:vAlign w:val="center"/>
          </w:tcPr>
          <w:p w14:paraId="18395E53">
            <w:pPr>
              <w:widowControl/>
              <w:jc w:val="left"/>
              <w:rPr>
                <w:rFonts w:hint="eastAsia" w:ascii="仿宋_GB2312" w:hAnsi="仿宋" w:eastAsia="仿宋_GB2312" w:cs="宋体"/>
                <w:b/>
                <w:kern w:val="0"/>
                <w:sz w:val="24"/>
              </w:rPr>
            </w:pPr>
            <w:r>
              <w:rPr>
                <w:rFonts w:hint="eastAsia" w:ascii="仿宋_GB2312" w:hAnsi="仿宋" w:eastAsia="仿宋_GB2312" w:cs="宋体"/>
                <w:b/>
                <w:kern w:val="0"/>
                <w:sz w:val="24"/>
              </w:rPr>
              <w:t>微型</w:t>
            </w:r>
          </w:p>
        </w:tc>
      </w:tr>
      <w:tr w14:paraId="0527B83F">
        <w:tblPrEx>
          <w:tblCellMar>
            <w:top w:w="0" w:type="dxa"/>
            <w:left w:w="108" w:type="dxa"/>
            <w:bottom w:w="0" w:type="dxa"/>
            <w:right w:w="108" w:type="dxa"/>
          </w:tblCellMar>
        </w:tblPrEx>
        <w:trPr>
          <w:trHeight w:val="225" w:hRule="atLeast"/>
        </w:trPr>
        <w:tc>
          <w:tcPr>
            <w:tcW w:w="1701" w:type="dxa"/>
            <w:tcBorders>
              <w:top w:val="nil"/>
              <w:left w:val="single" w:color="auto" w:sz="4" w:space="0"/>
              <w:bottom w:val="single" w:color="auto" w:sz="4" w:space="0"/>
              <w:right w:val="single" w:color="auto" w:sz="4" w:space="0"/>
            </w:tcBorders>
            <w:noWrap w:val="0"/>
            <w:vAlign w:val="bottom"/>
          </w:tcPr>
          <w:p w14:paraId="220553A8">
            <w:pPr>
              <w:widowControl/>
              <w:jc w:val="center"/>
              <w:rPr>
                <w:rFonts w:hint="eastAsia" w:ascii="仿宋_GB2312" w:hAnsi="仿宋" w:eastAsia="仿宋_GB2312" w:cs="宋体"/>
                <w:b/>
                <w:bCs/>
                <w:kern w:val="0"/>
                <w:sz w:val="18"/>
                <w:szCs w:val="18"/>
              </w:rPr>
            </w:pPr>
            <w:r>
              <w:rPr>
                <w:rFonts w:hint="eastAsia" w:ascii="仿宋_GB2312" w:hAnsi="仿宋" w:eastAsia="仿宋_GB2312" w:cs="宋体"/>
                <w:b/>
                <w:bCs/>
                <w:kern w:val="0"/>
                <w:sz w:val="18"/>
                <w:szCs w:val="18"/>
              </w:rPr>
              <w:t>农、林、牧、渔</w:t>
            </w:r>
          </w:p>
        </w:tc>
        <w:tc>
          <w:tcPr>
            <w:tcW w:w="1384" w:type="dxa"/>
            <w:tcBorders>
              <w:top w:val="nil"/>
              <w:left w:val="nil"/>
              <w:bottom w:val="single" w:color="auto" w:sz="4" w:space="0"/>
              <w:right w:val="single" w:color="auto" w:sz="4" w:space="0"/>
            </w:tcBorders>
            <w:noWrap w:val="0"/>
            <w:vAlign w:val="center"/>
          </w:tcPr>
          <w:p w14:paraId="51A1E594">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913" w:type="dxa"/>
            <w:tcBorders>
              <w:top w:val="nil"/>
              <w:left w:val="nil"/>
              <w:bottom w:val="single" w:color="auto" w:sz="4" w:space="0"/>
              <w:right w:val="single" w:color="auto" w:sz="4" w:space="0"/>
            </w:tcBorders>
            <w:noWrap w:val="0"/>
            <w:vAlign w:val="center"/>
          </w:tcPr>
          <w:p w14:paraId="069B34B1">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620" w:type="dxa"/>
            <w:tcBorders>
              <w:top w:val="nil"/>
              <w:left w:val="nil"/>
              <w:bottom w:val="single" w:color="auto" w:sz="4" w:space="0"/>
              <w:right w:val="single" w:color="auto" w:sz="4" w:space="0"/>
            </w:tcBorders>
            <w:noWrap w:val="0"/>
            <w:vAlign w:val="center"/>
          </w:tcPr>
          <w:p w14:paraId="77AA79CC">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500≤Y＜20000</w:t>
            </w:r>
          </w:p>
        </w:tc>
        <w:tc>
          <w:tcPr>
            <w:tcW w:w="1440" w:type="dxa"/>
            <w:tcBorders>
              <w:top w:val="nil"/>
              <w:left w:val="nil"/>
              <w:bottom w:val="single" w:color="auto" w:sz="4" w:space="0"/>
              <w:right w:val="single" w:color="auto" w:sz="4" w:space="0"/>
            </w:tcBorders>
            <w:noWrap w:val="0"/>
            <w:vAlign w:val="center"/>
          </w:tcPr>
          <w:p w14:paraId="10B576A6">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50≤Y＜500</w:t>
            </w:r>
          </w:p>
        </w:tc>
        <w:tc>
          <w:tcPr>
            <w:tcW w:w="925" w:type="dxa"/>
            <w:tcBorders>
              <w:top w:val="nil"/>
              <w:left w:val="nil"/>
              <w:bottom w:val="single" w:color="auto" w:sz="4" w:space="0"/>
              <w:right w:val="single" w:color="auto" w:sz="4" w:space="0"/>
            </w:tcBorders>
            <w:noWrap w:val="0"/>
            <w:vAlign w:val="center"/>
          </w:tcPr>
          <w:p w14:paraId="133E5719">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Y＜50</w:t>
            </w:r>
          </w:p>
        </w:tc>
      </w:tr>
      <w:tr w14:paraId="17FD13A0">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bottom"/>
          </w:tcPr>
          <w:p w14:paraId="108144D6">
            <w:pPr>
              <w:widowControl/>
              <w:jc w:val="center"/>
              <w:rPr>
                <w:rFonts w:hint="eastAsia" w:ascii="仿宋_GB2312" w:hAnsi="仿宋" w:eastAsia="仿宋_GB2312" w:cs="宋体"/>
                <w:b/>
                <w:bCs/>
                <w:kern w:val="0"/>
                <w:sz w:val="18"/>
                <w:szCs w:val="18"/>
              </w:rPr>
            </w:pPr>
            <w:r>
              <w:rPr>
                <w:rFonts w:hint="eastAsia" w:ascii="仿宋_GB2312" w:hAnsi="仿宋" w:eastAsia="仿宋_GB2312" w:cs="宋体"/>
                <w:b/>
                <w:bCs/>
                <w:kern w:val="0"/>
                <w:sz w:val="18"/>
                <w:szCs w:val="18"/>
              </w:rPr>
              <w:t>工业</w:t>
            </w:r>
          </w:p>
        </w:tc>
        <w:tc>
          <w:tcPr>
            <w:tcW w:w="1384" w:type="dxa"/>
            <w:tcBorders>
              <w:top w:val="nil"/>
              <w:left w:val="nil"/>
              <w:bottom w:val="single" w:color="auto" w:sz="4" w:space="0"/>
              <w:right w:val="single" w:color="auto" w:sz="4" w:space="0"/>
            </w:tcBorders>
            <w:noWrap w:val="0"/>
            <w:vAlign w:val="center"/>
          </w:tcPr>
          <w:p w14:paraId="6D1B72B2">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913" w:type="dxa"/>
            <w:tcBorders>
              <w:top w:val="nil"/>
              <w:left w:val="nil"/>
              <w:bottom w:val="single" w:color="auto" w:sz="4" w:space="0"/>
              <w:right w:val="single" w:color="auto" w:sz="4" w:space="0"/>
            </w:tcBorders>
            <w:noWrap w:val="0"/>
            <w:vAlign w:val="center"/>
          </w:tcPr>
          <w:p w14:paraId="0EE53895">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620" w:type="dxa"/>
            <w:tcBorders>
              <w:top w:val="nil"/>
              <w:left w:val="nil"/>
              <w:bottom w:val="single" w:color="auto" w:sz="4" w:space="0"/>
              <w:right w:val="single" w:color="auto" w:sz="4" w:space="0"/>
            </w:tcBorders>
            <w:noWrap w:val="0"/>
            <w:vAlign w:val="center"/>
          </w:tcPr>
          <w:p w14:paraId="2DA726FF">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300≤X＜1000</w:t>
            </w:r>
          </w:p>
        </w:tc>
        <w:tc>
          <w:tcPr>
            <w:tcW w:w="1440" w:type="dxa"/>
            <w:tcBorders>
              <w:top w:val="nil"/>
              <w:left w:val="nil"/>
              <w:bottom w:val="single" w:color="auto" w:sz="4" w:space="0"/>
              <w:right w:val="single" w:color="auto" w:sz="4" w:space="0"/>
            </w:tcBorders>
            <w:noWrap w:val="0"/>
            <w:vAlign w:val="center"/>
          </w:tcPr>
          <w:p w14:paraId="2BD87996">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20≤X＜300</w:t>
            </w:r>
          </w:p>
        </w:tc>
        <w:tc>
          <w:tcPr>
            <w:tcW w:w="925" w:type="dxa"/>
            <w:tcBorders>
              <w:top w:val="nil"/>
              <w:left w:val="nil"/>
              <w:bottom w:val="single" w:color="auto" w:sz="4" w:space="0"/>
              <w:right w:val="single" w:color="auto" w:sz="4" w:space="0"/>
            </w:tcBorders>
            <w:noWrap w:val="0"/>
            <w:vAlign w:val="center"/>
          </w:tcPr>
          <w:p w14:paraId="2B38A051">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X＜20</w:t>
            </w:r>
          </w:p>
        </w:tc>
      </w:tr>
      <w:tr w14:paraId="08D8B7F5">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299C157C">
            <w:pPr>
              <w:widowControl/>
              <w:jc w:val="left"/>
              <w:rPr>
                <w:rFonts w:ascii="仿宋_GB2312" w:hAnsi="仿宋" w:eastAsia="仿宋_GB2312" w:cs="宋体"/>
                <w:b/>
                <w:bCs/>
                <w:kern w:val="0"/>
                <w:sz w:val="18"/>
                <w:szCs w:val="18"/>
              </w:rPr>
            </w:pPr>
          </w:p>
        </w:tc>
        <w:tc>
          <w:tcPr>
            <w:tcW w:w="1384" w:type="dxa"/>
            <w:tcBorders>
              <w:top w:val="nil"/>
              <w:left w:val="nil"/>
              <w:bottom w:val="single" w:color="auto" w:sz="4" w:space="0"/>
              <w:right w:val="single" w:color="auto" w:sz="4" w:space="0"/>
            </w:tcBorders>
            <w:noWrap w:val="0"/>
            <w:vAlign w:val="center"/>
          </w:tcPr>
          <w:p w14:paraId="24EC8B04">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913" w:type="dxa"/>
            <w:tcBorders>
              <w:top w:val="nil"/>
              <w:left w:val="nil"/>
              <w:bottom w:val="single" w:color="auto" w:sz="4" w:space="0"/>
              <w:right w:val="single" w:color="auto" w:sz="4" w:space="0"/>
            </w:tcBorders>
            <w:noWrap w:val="0"/>
            <w:vAlign w:val="center"/>
          </w:tcPr>
          <w:p w14:paraId="3076A5CC">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620" w:type="dxa"/>
            <w:tcBorders>
              <w:top w:val="nil"/>
              <w:left w:val="nil"/>
              <w:bottom w:val="single" w:color="auto" w:sz="4" w:space="0"/>
              <w:right w:val="single" w:color="auto" w:sz="4" w:space="0"/>
            </w:tcBorders>
            <w:noWrap w:val="0"/>
            <w:vAlign w:val="center"/>
          </w:tcPr>
          <w:p w14:paraId="77FCE0EB">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2000≤Y＜40000</w:t>
            </w:r>
          </w:p>
        </w:tc>
        <w:tc>
          <w:tcPr>
            <w:tcW w:w="1440" w:type="dxa"/>
            <w:tcBorders>
              <w:top w:val="nil"/>
              <w:left w:val="nil"/>
              <w:bottom w:val="single" w:color="auto" w:sz="4" w:space="0"/>
              <w:right w:val="single" w:color="auto" w:sz="4" w:space="0"/>
            </w:tcBorders>
            <w:noWrap w:val="0"/>
            <w:vAlign w:val="center"/>
          </w:tcPr>
          <w:p w14:paraId="0F26440B">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300≤Y＜2000</w:t>
            </w:r>
          </w:p>
        </w:tc>
        <w:tc>
          <w:tcPr>
            <w:tcW w:w="925" w:type="dxa"/>
            <w:tcBorders>
              <w:top w:val="nil"/>
              <w:left w:val="nil"/>
              <w:bottom w:val="single" w:color="auto" w:sz="4" w:space="0"/>
              <w:right w:val="single" w:color="auto" w:sz="4" w:space="0"/>
            </w:tcBorders>
            <w:noWrap w:val="0"/>
            <w:vAlign w:val="center"/>
          </w:tcPr>
          <w:p w14:paraId="5528FDF9">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Y＜300</w:t>
            </w:r>
          </w:p>
        </w:tc>
      </w:tr>
      <w:tr w14:paraId="75FFFEEC">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bottom"/>
          </w:tcPr>
          <w:p w14:paraId="180DB266">
            <w:pPr>
              <w:widowControl/>
              <w:jc w:val="center"/>
              <w:rPr>
                <w:rFonts w:hint="eastAsia" w:ascii="仿宋_GB2312" w:hAnsi="仿宋" w:eastAsia="仿宋_GB2312" w:cs="宋体"/>
                <w:b/>
                <w:bCs/>
                <w:kern w:val="0"/>
                <w:sz w:val="18"/>
                <w:szCs w:val="18"/>
              </w:rPr>
            </w:pPr>
            <w:r>
              <w:rPr>
                <w:rFonts w:hint="eastAsia" w:ascii="仿宋_GB2312" w:hAnsi="仿宋" w:eastAsia="仿宋_GB2312" w:cs="宋体"/>
                <w:b/>
                <w:bCs/>
                <w:kern w:val="0"/>
                <w:sz w:val="18"/>
                <w:szCs w:val="18"/>
              </w:rPr>
              <w:t>建筑业</w:t>
            </w:r>
          </w:p>
        </w:tc>
        <w:tc>
          <w:tcPr>
            <w:tcW w:w="1384" w:type="dxa"/>
            <w:tcBorders>
              <w:top w:val="nil"/>
              <w:left w:val="nil"/>
              <w:bottom w:val="single" w:color="auto" w:sz="4" w:space="0"/>
              <w:right w:val="single" w:color="auto" w:sz="4" w:space="0"/>
            </w:tcBorders>
            <w:noWrap w:val="0"/>
            <w:vAlign w:val="center"/>
          </w:tcPr>
          <w:p w14:paraId="13929EEB">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913" w:type="dxa"/>
            <w:tcBorders>
              <w:top w:val="nil"/>
              <w:left w:val="nil"/>
              <w:bottom w:val="single" w:color="auto" w:sz="4" w:space="0"/>
              <w:right w:val="single" w:color="auto" w:sz="4" w:space="0"/>
            </w:tcBorders>
            <w:noWrap w:val="0"/>
            <w:vAlign w:val="center"/>
          </w:tcPr>
          <w:p w14:paraId="5B245252">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620" w:type="dxa"/>
            <w:tcBorders>
              <w:top w:val="nil"/>
              <w:left w:val="nil"/>
              <w:bottom w:val="single" w:color="auto" w:sz="4" w:space="0"/>
              <w:right w:val="single" w:color="auto" w:sz="4" w:space="0"/>
            </w:tcBorders>
            <w:noWrap w:val="0"/>
            <w:vAlign w:val="center"/>
          </w:tcPr>
          <w:p w14:paraId="193BD7A9">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6000≤Y＜80000</w:t>
            </w:r>
          </w:p>
        </w:tc>
        <w:tc>
          <w:tcPr>
            <w:tcW w:w="1440" w:type="dxa"/>
            <w:tcBorders>
              <w:top w:val="nil"/>
              <w:left w:val="nil"/>
              <w:bottom w:val="single" w:color="auto" w:sz="4" w:space="0"/>
              <w:right w:val="single" w:color="auto" w:sz="4" w:space="0"/>
            </w:tcBorders>
            <w:noWrap w:val="0"/>
            <w:vAlign w:val="center"/>
          </w:tcPr>
          <w:p w14:paraId="652581AD">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300≤Y＜6000</w:t>
            </w:r>
          </w:p>
        </w:tc>
        <w:tc>
          <w:tcPr>
            <w:tcW w:w="925" w:type="dxa"/>
            <w:tcBorders>
              <w:top w:val="nil"/>
              <w:left w:val="nil"/>
              <w:bottom w:val="single" w:color="auto" w:sz="4" w:space="0"/>
              <w:right w:val="single" w:color="auto" w:sz="4" w:space="0"/>
            </w:tcBorders>
            <w:noWrap w:val="0"/>
            <w:vAlign w:val="center"/>
          </w:tcPr>
          <w:p w14:paraId="2CCEFC14">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Y＜300</w:t>
            </w:r>
          </w:p>
        </w:tc>
      </w:tr>
      <w:tr w14:paraId="3153D7B2">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60BE26B8">
            <w:pPr>
              <w:widowControl/>
              <w:jc w:val="left"/>
              <w:rPr>
                <w:rFonts w:ascii="仿宋_GB2312" w:hAnsi="仿宋" w:eastAsia="仿宋_GB2312" w:cs="宋体"/>
                <w:b/>
                <w:bCs/>
                <w:kern w:val="0"/>
                <w:sz w:val="18"/>
                <w:szCs w:val="18"/>
              </w:rPr>
            </w:pPr>
          </w:p>
        </w:tc>
        <w:tc>
          <w:tcPr>
            <w:tcW w:w="1384" w:type="dxa"/>
            <w:tcBorders>
              <w:top w:val="nil"/>
              <w:left w:val="nil"/>
              <w:bottom w:val="single" w:color="auto" w:sz="4" w:space="0"/>
              <w:right w:val="single" w:color="auto" w:sz="4" w:space="0"/>
            </w:tcBorders>
            <w:noWrap w:val="0"/>
            <w:vAlign w:val="center"/>
          </w:tcPr>
          <w:p w14:paraId="16A82098">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资产总额（Z）</w:t>
            </w:r>
          </w:p>
        </w:tc>
        <w:tc>
          <w:tcPr>
            <w:tcW w:w="913" w:type="dxa"/>
            <w:tcBorders>
              <w:top w:val="nil"/>
              <w:left w:val="nil"/>
              <w:bottom w:val="single" w:color="auto" w:sz="4" w:space="0"/>
              <w:right w:val="single" w:color="auto" w:sz="4" w:space="0"/>
            </w:tcBorders>
            <w:noWrap w:val="0"/>
            <w:vAlign w:val="center"/>
          </w:tcPr>
          <w:p w14:paraId="7AE1903A">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620" w:type="dxa"/>
            <w:tcBorders>
              <w:top w:val="nil"/>
              <w:left w:val="nil"/>
              <w:bottom w:val="single" w:color="auto" w:sz="4" w:space="0"/>
              <w:right w:val="single" w:color="auto" w:sz="4" w:space="0"/>
            </w:tcBorders>
            <w:noWrap w:val="0"/>
            <w:vAlign w:val="center"/>
          </w:tcPr>
          <w:p w14:paraId="6E8588A7">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5000≤Z＜80000</w:t>
            </w:r>
          </w:p>
        </w:tc>
        <w:tc>
          <w:tcPr>
            <w:tcW w:w="1440" w:type="dxa"/>
            <w:tcBorders>
              <w:top w:val="nil"/>
              <w:left w:val="nil"/>
              <w:bottom w:val="single" w:color="auto" w:sz="4" w:space="0"/>
              <w:right w:val="single" w:color="auto" w:sz="4" w:space="0"/>
            </w:tcBorders>
            <w:noWrap w:val="0"/>
            <w:vAlign w:val="center"/>
          </w:tcPr>
          <w:p w14:paraId="61AAEBC3">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300≤Z＜5000</w:t>
            </w:r>
          </w:p>
        </w:tc>
        <w:tc>
          <w:tcPr>
            <w:tcW w:w="925" w:type="dxa"/>
            <w:tcBorders>
              <w:top w:val="nil"/>
              <w:left w:val="nil"/>
              <w:bottom w:val="single" w:color="auto" w:sz="4" w:space="0"/>
              <w:right w:val="single" w:color="auto" w:sz="4" w:space="0"/>
            </w:tcBorders>
            <w:noWrap w:val="0"/>
            <w:vAlign w:val="center"/>
          </w:tcPr>
          <w:p w14:paraId="690A1593">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Z＜300</w:t>
            </w:r>
          </w:p>
        </w:tc>
      </w:tr>
      <w:tr w14:paraId="234B8040">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bottom"/>
          </w:tcPr>
          <w:p w14:paraId="1D7AAA9A">
            <w:pPr>
              <w:widowControl/>
              <w:jc w:val="center"/>
              <w:rPr>
                <w:rFonts w:hint="eastAsia" w:ascii="仿宋_GB2312" w:hAnsi="仿宋" w:eastAsia="仿宋_GB2312" w:cs="宋体"/>
                <w:b/>
                <w:bCs/>
                <w:kern w:val="0"/>
                <w:sz w:val="18"/>
                <w:szCs w:val="18"/>
              </w:rPr>
            </w:pPr>
            <w:r>
              <w:rPr>
                <w:rFonts w:hint="eastAsia" w:ascii="仿宋_GB2312" w:hAnsi="仿宋" w:eastAsia="仿宋_GB2312" w:cs="宋体"/>
                <w:b/>
                <w:bCs/>
                <w:kern w:val="0"/>
                <w:sz w:val="18"/>
                <w:szCs w:val="18"/>
              </w:rPr>
              <w:t>批发业</w:t>
            </w:r>
          </w:p>
        </w:tc>
        <w:tc>
          <w:tcPr>
            <w:tcW w:w="1384" w:type="dxa"/>
            <w:tcBorders>
              <w:top w:val="nil"/>
              <w:left w:val="nil"/>
              <w:bottom w:val="single" w:color="auto" w:sz="4" w:space="0"/>
              <w:right w:val="single" w:color="auto" w:sz="4" w:space="0"/>
            </w:tcBorders>
            <w:noWrap w:val="0"/>
            <w:vAlign w:val="center"/>
          </w:tcPr>
          <w:p w14:paraId="2ACFEEC1">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913" w:type="dxa"/>
            <w:tcBorders>
              <w:top w:val="nil"/>
              <w:left w:val="nil"/>
              <w:bottom w:val="single" w:color="auto" w:sz="4" w:space="0"/>
              <w:right w:val="single" w:color="auto" w:sz="4" w:space="0"/>
            </w:tcBorders>
            <w:noWrap w:val="0"/>
            <w:vAlign w:val="center"/>
          </w:tcPr>
          <w:p w14:paraId="74207663">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620" w:type="dxa"/>
            <w:tcBorders>
              <w:top w:val="nil"/>
              <w:left w:val="nil"/>
              <w:bottom w:val="single" w:color="auto" w:sz="4" w:space="0"/>
              <w:right w:val="single" w:color="auto" w:sz="4" w:space="0"/>
            </w:tcBorders>
            <w:noWrap w:val="0"/>
            <w:vAlign w:val="center"/>
          </w:tcPr>
          <w:p w14:paraId="53827F41">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20≤X＜200</w:t>
            </w:r>
          </w:p>
        </w:tc>
        <w:tc>
          <w:tcPr>
            <w:tcW w:w="1440" w:type="dxa"/>
            <w:tcBorders>
              <w:top w:val="nil"/>
              <w:left w:val="nil"/>
              <w:bottom w:val="single" w:color="auto" w:sz="4" w:space="0"/>
              <w:right w:val="single" w:color="auto" w:sz="4" w:space="0"/>
            </w:tcBorders>
            <w:noWrap w:val="0"/>
            <w:vAlign w:val="center"/>
          </w:tcPr>
          <w:p w14:paraId="4A00EC0A">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5≤X＜20</w:t>
            </w:r>
          </w:p>
        </w:tc>
        <w:tc>
          <w:tcPr>
            <w:tcW w:w="925" w:type="dxa"/>
            <w:tcBorders>
              <w:top w:val="nil"/>
              <w:left w:val="nil"/>
              <w:bottom w:val="single" w:color="auto" w:sz="4" w:space="0"/>
              <w:right w:val="single" w:color="auto" w:sz="4" w:space="0"/>
            </w:tcBorders>
            <w:noWrap w:val="0"/>
            <w:vAlign w:val="center"/>
          </w:tcPr>
          <w:p w14:paraId="63772852">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X＜5</w:t>
            </w:r>
          </w:p>
        </w:tc>
      </w:tr>
      <w:tr w14:paraId="0905C723">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24D5DA6E">
            <w:pPr>
              <w:widowControl/>
              <w:jc w:val="left"/>
              <w:rPr>
                <w:rFonts w:ascii="仿宋_GB2312" w:hAnsi="仿宋" w:eastAsia="仿宋_GB2312" w:cs="宋体"/>
                <w:b/>
                <w:bCs/>
                <w:kern w:val="0"/>
                <w:sz w:val="18"/>
                <w:szCs w:val="18"/>
              </w:rPr>
            </w:pPr>
          </w:p>
        </w:tc>
        <w:tc>
          <w:tcPr>
            <w:tcW w:w="1384" w:type="dxa"/>
            <w:tcBorders>
              <w:top w:val="nil"/>
              <w:left w:val="nil"/>
              <w:bottom w:val="single" w:color="auto" w:sz="4" w:space="0"/>
              <w:right w:val="single" w:color="auto" w:sz="4" w:space="0"/>
            </w:tcBorders>
            <w:noWrap w:val="0"/>
            <w:vAlign w:val="center"/>
          </w:tcPr>
          <w:p w14:paraId="5620C90F">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913" w:type="dxa"/>
            <w:tcBorders>
              <w:top w:val="nil"/>
              <w:left w:val="nil"/>
              <w:bottom w:val="single" w:color="auto" w:sz="4" w:space="0"/>
              <w:right w:val="single" w:color="auto" w:sz="4" w:space="0"/>
            </w:tcBorders>
            <w:noWrap w:val="0"/>
            <w:vAlign w:val="center"/>
          </w:tcPr>
          <w:p w14:paraId="6BD19809">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620" w:type="dxa"/>
            <w:tcBorders>
              <w:top w:val="nil"/>
              <w:left w:val="nil"/>
              <w:bottom w:val="single" w:color="auto" w:sz="4" w:space="0"/>
              <w:right w:val="single" w:color="auto" w:sz="4" w:space="0"/>
            </w:tcBorders>
            <w:noWrap w:val="0"/>
            <w:vAlign w:val="center"/>
          </w:tcPr>
          <w:p w14:paraId="534DFD7D">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5000≤Y＜40000</w:t>
            </w:r>
          </w:p>
        </w:tc>
        <w:tc>
          <w:tcPr>
            <w:tcW w:w="1440" w:type="dxa"/>
            <w:tcBorders>
              <w:top w:val="nil"/>
              <w:left w:val="nil"/>
              <w:bottom w:val="single" w:color="auto" w:sz="4" w:space="0"/>
              <w:right w:val="single" w:color="auto" w:sz="4" w:space="0"/>
            </w:tcBorders>
            <w:noWrap w:val="0"/>
            <w:vAlign w:val="center"/>
          </w:tcPr>
          <w:p w14:paraId="52FF5719">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1000≤Y＜5000</w:t>
            </w:r>
          </w:p>
        </w:tc>
        <w:tc>
          <w:tcPr>
            <w:tcW w:w="925" w:type="dxa"/>
            <w:tcBorders>
              <w:top w:val="nil"/>
              <w:left w:val="nil"/>
              <w:bottom w:val="single" w:color="auto" w:sz="4" w:space="0"/>
              <w:right w:val="single" w:color="auto" w:sz="4" w:space="0"/>
            </w:tcBorders>
            <w:noWrap w:val="0"/>
            <w:vAlign w:val="center"/>
          </w:tcPr>
          <w:p w14:paraId="31936DCB">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Y＜1000</w:t>
            </w:r>
          </w:p>
        </w:tc>
      </w:tr>
      <w:tr w14:paraId="057D1077">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bottom"/>
          </w:tcPr>
          <w:p w14:paraId="793C3093">
            <w:pPr>
              <w:widowControl/>
              <w:jc w:val="center"/>
              <w:rPr>
                <w:rFonts w:hint="eastAsia" w:ascii="仿宋_GB2312" w:hAnsi="仿宋" w:eastAsia="仿宋_GB2312" w:cs="宋体"/>
                <w:b/>
                <w:bCs/>
                <w:kern w:val="0"/>
                <w:sz w:val="18"/>
                <w:szCs w:val="18"/>
              </w:rPr>
            </w:pPr>
            <w:r>
              <w:rPr>
                <w:rFonts w:hint="eastAsia" w:ascii="仿宋_GB2312" w:hAnsi="仿宋" w:eastAsia="仿宋_GB2312" w:cs="宋体"/>
                <w:b/>
                <w:bCs/>
                <w:kern w:val="0"/>
                <w:sz w:val="18"/>
                <w:szCs w:val="18"/>
              </w:rPr>
              <w:t>零售业</w:t>
            </w:r>
          </w:p>
        </w:tc>
        <w:tc>
          <w:tcPr>
            <w:tcW w:w="1384" w:type="dxa"/>
            <w:tcBorders>
              <w:top w:val="nil"/>
              <w:left w:val="nil"/>
              <w:bottom w:val="single" w:color="auto" w:sz="4" w:space="0"/>
              <w:right w:val="single" w:color="auto" w:sz="4" w:space="0"/>
            </w:tcBorders>
            <w:noWrap w:val="0"/>
            <w:vAlign w:val="center"/>
          </w:tcPr>
          <w:p w14:paraId="6E2DB286">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913" w:type="dxa"/>
            <w:tcBorders>
              <w:top w:val="nil"/>
              <w:left w:val="nil"/>
              <w:bottom w:val="single" w:color="auto" w:sz="4" w:space="0"/>
              <w:right w:val="single" w:color="auto" w:sz="4" w:space="0"/>
            </w:tcBorders>
            <w:noWrap w:val="0"/>
            <w:vAlign w:val="center"/>
          </w:tcPr>
          <w:p w14:paraId="5C6EBBD1">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620" w:type="dxa"/>
            <w:tcBorders>
              <w:top w:val="nil"/>
              <w:left w:val="nil"/>
              <w:bottom w:val="single" w:color="auto" w:sz="4" w:space="0"/>
              <w:right w:val="single" w:color="auto" w:sz="4" w:space="0"/>
            </w:tcBorders>
            <w:noWrap w:val="0"/>
            <w:vAlign w:val="center"/>
          </w:tcPr>
          <w:p w14:paraId="1ED8519F">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50≤X＜300</w:t>
            </w:r>
          </w:p>
        </w:tc>
        <w:tc>
          <w:tcPr>
            <w:tcW w:w="1440" w:type="dxa"/>
            <w:tcBorders>
              <w:top w:val="nil"/>
              <w:left w:val="nil"/>
              <w:bottom w:val="single" w:color="auto" w:sz="4" w:space="0"/>
              <w:right w:val="single" w:color="auto" w:sz="4" w:space="0"/>
            </w:tcBorders>
            <w:noWrap w:val="0"/>
            <w:vAlign w:val="center"/>
          </w:tcPr>
          <w:p w14:paraId="360D08CC">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10≤X＜50</w:t>
            </w:r>
          </w:p>
        </w:tc>
        <w:tc>
          <w:tcPr>
            <w:tcW w:w="925" w:type="dxa"/>
            <w:tcBorders>
              <w:top w:val="nil"/>
              <w:left w:val="nil"/>
              <w:bottom w:val="single" w:color="auto" w:sz="4" w:space="0"/>
              <w:right w:val="single" w:color="auto" w:sz="4" w:space="0"/>
            </w:tcBorders>
            <w:noWrap w:val="0"/>
            <w:vAlign w:val="center"/>
          </w:tcPr>
          <w:p w14:paraId="4564A00C">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X＜10</w:t>
            </w:r>
          </w:p>
        </w:tc>
      </w:tr>
      <w:tr w14:paraId="66B0B2C4">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0ACAC910">
            <w:pPr>
              <w:widowControl/>
              <w:jc w:val="left"/>
              <w:rPr>
                <w:rFonts w:ascii="仿宋_GB2312" w:hAnsi="仿宋" w:eastAsia="仿宋_GB2312" w:cs="宋体"/>
                <w:b/>
                <w:bCs/>
                <w:kern w:val="0"/>
                <w:sz w:val="18"/>
                <w:szCs w:val="18"/>
              </w:rPr>
            </w:pPr>
          </w:p>
        </w:tc>
        <w:tc>
          <w:tcPr>
            <w:tcW w:w="1384" w:type="dxa"/>
            <w:tcBorders>
              <w:top w:val="nil"/>
              <w:left w:val="nil"/>
              <w:bottom w:val="single" w:color="auto" w:sz="4" w:space="0"/>
              <w:right w:val="single" w:color="auto" w:sz="4" w:space="0"/>
            </w:tcBorders>
            <w:noWrap w:val="0"/>
            <w:vAlign w:val="center"/>
          </w:tcPr>
          <w:p w14:paraId="60CA9FA7">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913" w:type="dxa"/>
            <w:tcBorders>
              <w:top w:val="nil"/>
              <w:left w:val="nil"/>
              <w:bottom w:val="single" w:color="auto" w:sz="4" w:space="0"/>
              <w:right w:val="single" w:color="auto" w:sz="4" w:space="0"/>
            </w:tcBorders>
            <w:noWrap w:val="0"/>
            <w:vAlign w:val="center"/>
          </w:tcPr>
          <w:p w14:paraId="30EFF3C7">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620" w:type="dxa"/>
            <w:tcBorders>
              <w:top w:val="nil"/>
              <w:left w:val="nil"/>
              <w:bottom w:val="single" w:color="auto" w:sz="4" w:space="0"/>
              <w:right w:val="single" w:color="auto" w:sz="4" w:space="0"/>
            </w:tcBorders>
            <w:noWrap w:val="0"/>
            <w:vAlign w:val="center"/>
          </w:tcPr>
          <w:p w14:paraId="05399557">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500≤Y＜20000</w:t>
            </w:r>
          </w:p>
        </w:tc>
        <w:tc>
          <w:tcPr>
            <w:tcW w:w="1440" w:type="dxa"/>
            <w:tcBorders>
              <w:top w:val="nil"/>
              <w:left w:val="nil"/>
              <w:bottom w:val="single" w:color="auto" w:sz="4" w:space="0"/>
              <w:right w:val="single" w:color="auto" w:sz="4" w:space="0"/>
            </w:tcBorders>
            <w:noWrap w:val="0"/>
            <w:vAlign w:val="center"/>
          </w:tcPr>
          <w:p w14:paraId="1C4CFA95">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100≤Y＜500</w:t>
            </w:r>
          </w:p>
        </w:tc>
        <w:tc>
          <w:tcPr>
            <w:tcW w:w="925" w:type="dxa"/>
            <w:tcBorders>
              <w:top w:val="nil"/>
              <w:left w:val="nil"/>
              <w:bottom w:val="single" w:color="auto" w:sz="4" w:space="0"/>
              <w:right w:val="single" w:color="auto" w:sz="4" w:space="0"/>
            </w:tcBorders>
            <w:noWrap w:val="0"/>
            <w:vAlign w:val="center"/>
          </w:tcPr>
          <w:p w14:paraId="0D375DC4">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Y＜100</w:t>
            </w:r>
          </w:p>
        </w:tc>
      </w:tr>
      <w:tr w14:paraId="37F355C3">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bottom"/>
          </w:tcPr>
          <w:p w14:paraId="3CF00D4F">
            <w:pPr>
              <w:widowControl/>
              <w:jc w:val="center"/>
              <w:rPr>
                <w:rFonts w:hint="eastAsia" w:ascii="仿宋_GB2312" w:hAnsi="仿宋" w:eastAsia="仿宋_GB2312" w:cs="宋体"/>
                <w:b/>
                <w:bCs/>
                <w:kern w:val="0"/>
                <w:sz w:val="18"/>
                <w:szCs w:val="18"/>
              </w:rPr>
            </w:pPr>
            <w:r>
              <w:rPr>
                <w:rFonts w:hint="eastAsia" w:ascii="仿宋_GB2312" w:hAnsi="仿宋" w:eastAsia="仿宋_GB2312" w:cs="宋体"/>
                <w:b/>
                <w:bCs/>
                <w:kern w:val="0"/>
                <w:sz w:val="18"/>
                <w:szCs w:val="18"/>
              </w:rPr>
              <w:t>交通运输业</w:t>
            </w:r>
          </w:p>
        </w:tc>
        <w:tc>
          <w:tcPr>
            <w:tcW w:w="1384" w:type="dxa"/>
            <w:tcBorders>
              <w:top w:val="nil"/>
              <w:left w:val="nil"/>
              <w:bottom w:val="single" w:color="auto" w:sz="4" w:space="0"/>
              <w:right w:val="single" w:color="auto" w:sz="4" w:space="0"/>
            </w:tcBorders>
            <w:noWrap w:val="0"/>
            <w:vAlign w:val="center"/>
          </w:tcPr>
          <w:p w14:paraId="15B187F7">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913" w:type="dxa"/>
            <w:tcBorders>
              <w:top w:val="nil"/>
              <w:left w:val="nil"/>
              <w:bottom w:val="single" w:color="auto" w:sz="4" w:space="0"/>
              <w:right w:val="single" w:color="auto" w:sz="4" w:space="0"/>
            </w:tcBorders>
            <w:noWrap w:val="0"/>
            <w:vAlign w:val="center"/>
          </w:tcPr>
          <w:p w14:paraId="67F63031">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620" w:type="dxa"/>
            <w:tcBorders>
              <w:top w:val="nil"/>
              <w:left w:val="nil"/>
              <w:bottom w:val="single" w:color="auto" w:sz="4" w:space="0"/>
              <w:right w:val="single" w:color="auto" w:sz="4" w:space="0"/>
            </w:tcBorders>
            <w:noWrap w:val="0"/>
            <w:vAlign w:val="center"/>
          </w:tcPr>
          <w:p w14:paraId="395FB8ED">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300≤X＜1000</w:t>
            </w:r>
          </w:p>
        </w:tc>
        <w:tc>
          <w:tcPr>
            <w:tcW w:w="1440" w:type="dxa"/>
            <w:tcBorders>
              <w:top w:val="nil"/>
              <w:left w:val="nil"/>
              <w:bottom w:val="single" w:color="auto" w:sz="4" w:space="0"/>
              <w:right w:val="single" w:color="auto" w:sz="4" w:space="0"/>
            </w:tcBorders>
            <w:noWrap w:val="0"/>
            <w:vAlign w:val="center"/>
          </w:tcPr>
          <w:p w14:paraId="7351EC5B">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20≤X＜300</w:t>
            </w:r>
          </w:p>
        </w:tc>
        <w:tc>
          <w:tcPr>
            <w:tcW w:w="925" w:type="dxa"/>
            <w:tcBorders>
              <w:top w:val="nil"/>
              <w:left w:val="nil"/>
              <w:bottom w:val="single" w:color="auto" w:sz="4" w:space="0"/>
              <w:right w:val="single" w:color="auto" w:sz="4" w:space="0"/>
            </w:tcBorders>
            <w:noWrap w:val="0"/>
            <w:vAlign w:val="center"/>
          </w:tcPr>
          <w:p w14:paraId="01287C93">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X＜20</w:t>
            </w:r>
          </w:p>
        </w:tc>
      </w:tr>
      <w:tr w14:paraId="4F8987E5">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52697331">
            <w:pPr>
              <w:widowControl/>
              <w:jc w:val="left"/>
              <w:rPr>
                <w:rFonts w:ascii="仿宋_GB2312" w:hAnsi="仿宋" w:eastAsia="仿宋_GB2312" w:cs="宋体"/>
                <w:b/>
                <w:bCs/>
                <w:kern w:val="0"/>
                <w:sz w:val="18"/>
                <w:szCs w:val="18"/>
              </w:rPr>
            </w:pPr>
          </w:p>
        </w:tc>
        <w:tc>
          <w:tcPr>
            <w:tcW w:w="1384" w:type="dxa"/>
            <w:tcBorders>
              <w:top w:val="nil"/>
              <w:left w:val="nil"/>
              <w:bottom w:val="single" w:color="auto" w:sz="4" w:space="0"/>
              <w:right w:val="single" w:color="auto" w:sz="4" w:space="0"/>
            </w:tcBorders>
            <w:noWrap w:val="0"/>
            <w:vAlign w:val="center"/>
          </w:tcPr>
          <w:p w14:paraId="7159FF1C">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913" w:type="dxa"/>
            <w:tcBorders>
              <w:top w:val="nil"/>
              <w:left w:val="nil"/>
              <w:bottom w:val="single" w:color="auto" w:sz="4" w:space="0"/>
              <w:right w:val="single" w:color="auto" w:sz="4" w:space="0"/>
            </w:tcBorders>
            <w:noWrap w:val="0"/>
            <w:vAlign w:val="center"/>
          </w:tcPr>
          <w:p w14:paraId="7C746081">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620" w:type="dxa"/>
            <w:tcBorders>
              <w:top w:val="nil"/>
              <w:left w:val="nil"/>
              <w:bottom w:val="single" w:color="auto" w:sz="4" w:space="0"/>
              <w:right w:val="single" w:color="auto" w:sz="4" w:space="0"/>
            </w:tcBorders>
            <w:noWrap w:val="0"/>
            <w:vAlign w:val="center"/>
          </w:tcPr>
          <w:p w14:paraId="1D428807">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3000≤Y＜30000</w:t>
            </w:r>
          </w:p>
        </w:tc>
        <w:tc>
          <w:tcPr>
            <w:tcW w:w="1440" w:type="dxa"/>
            <w:tcBorders>
              <w:top w:val="nil"/>
              <w:left w:val="nil"/>
              <w:bottom w:val="single" w:color="auto" w:sz="4" w:space="0"/>
              <w:right w:val="single" w:color="auto" w:sz="4" w:space="0"/>
            </w:tcBorders>
            <w:noWrap w:val="0"/>
            <w:vAlign w:val="center"/>
          </w:tcPr>
          <w:p w14:paraId="66FE573E">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200≤Y＜3000</w:t>
            </w:r>
          </w:p>
        </w:tc>
        <w:tc>
          <w:tcPr>
            <w:tcW w:w="925" w:type="dxa"/>
            <w:tcBorders>
              <w:top w:val="nil"/>
              <w:left w:val="nil"/>
              <w:bottom w:val="single" w:color="auto" w:sz="4" w:space="0"/>
              <w:right w:val="single" w:color="auto" w:sz="4" w:space="0"/>
            </w:tcBorders>
            <w:noWrap w:val="0"/>
            <w:vAlign w:val="center"/>
          </w:tcPr>
          <w:p w14:paraId="5842AF21">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Y＜200</w:t>
            </w:r>
          </w:p>
        </w:tc>
      </w:tr>
      <w:tr w14:paraId="0E72F27D">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bottom"/>
          </w:tcPr>
          <w:p w14:paraId="0201D971">
            <w:pPr>
              <w:widowControl/>
              <w:jc w:val="center"/>
              <w:rPr>
                <w:rFonts w:hint="eastAsia" w:ascii="仿宋_GB2312" w:hAnsi="仿宋" w:eastAsia="仿宋_GB2312" w:cs="宋体"/>
                <w:b/>
                <w:bCs/>
                <w:kern w:val="0"/>
                <w:sz w:val="18"/>
                <w:szCs w:val="18"/>
              </w:rPr>
            </w:pPr>
            <w:r>
              <w:rPr>
                <w:rFonts w:hint="eastAsia" w:ascii="仿宋_GB2312" w:hAnsi="仿宋" w:eastAsia="仿宋_GB2312" w:cs="宋体"/>
                <w:b/>
                <w:bCs/>
                <w:kern w:val="0"/>
                <w:sz w:val="18"/>
                <w:szCs w:val="18"/>
              </w:rPr>
              <w:t>仓储业</w:t>
            </w:r>
          </w:p>
        </w:tc>
        <w:tc>
          <w:tcPr>
            <w:tcW w:w="1384" w:type="dxa"/>
            <w:tcBorders>
              <w:top w:val="nil"/>
              <w:left w:val="nil"/>
              <w:bottom w:val="single" w:color="auto" w:sz="4" w:space="0"/>
              <w:right w:val="single" w:color="auto" w:sz="4" w:space="0"/>
            </w:tcBorders>
            <w:noWrap w:val="0"/>
            <w:vAlign w:val="center"/>
          </w:tcPr>
          <w:p w14:paraId="01839498">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913" w:type="dxa"/>
            <w:tcBorders>
              <w:top w:val="nil"/>
              <w:left w:val="nil"/>
              <w:bottom w:val="single" w:color="auto" w:sz="4" w:space="0"/>
              <w:right w:val="single" w:color="auto" w:sz="4" w:space="0"/>
            </w:tcBorders>
            <w:noWrap w:val="0"/>
            <w:vAlign w:val="center"/>
          </w:tcPr>
          <w:p w14:paraId="00500C4E">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620" w:type="dxa"/>
            <w:tcBorders>
              <w:top w:val="nil"/>
              <w:left w:val="nil"/>
              <w:bottom w:val="single" w:color="auto" w:sz="4" w:space="0"/>
              <w:right w:val="single" w:color="auto" w:sz="4" w:space="0"/>
            </w:tcBorders>
            <w:noWrap w:val="0"/>
            <w:vAlign w:val="center"/>
          </w:tcPr>
          <w:p w14:paraId="2F223235">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100≤X＜200</w:t>
            </w:r>
          </w:p>
        </w:tc>
        <w:tc>
          <w:tcPr>
            <w:tcW w:w="1440" w:type="dxa"/>
            <w:tcBorders>
              <w:top w:val="nil"/>
              <w:left w:val="nil"/>
              <w:bottom w:val="single" w:color="auto" w:sz="4" w:space="0"/>
              <w:right w:val="single" w:color="auto" w:sz="4" w:space="0"/>
            </w:tcBorders>
            <w:noWrap w:val="0"/>
            <w:vAlign w:val="center"/>
          </w:tcPr>
          <w:p w14:paraId="72A7A49D">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20≤X＜100</w:t>
            </w:r>
          </w:p>
        </w:tc>
        <w:tc>
          <w:tcPr>
            <w:tcW w:w="925" w:type="dxa"/>
            <w:tcBorders>
              <w:top w:val="nil"/>
              <w:left w:val="nil"/>
              <w:bottom w:val="single" w:color="auto" w:sz="4" w:space="0"/>
              <w:right w:val="single" w:color="auto" w:sz="4" w:space="0"/>
            </w:tcBorders>
            <w:noWrap w:val="0"/>
            <w:vAlign w:val="center"/>
          </w:tcPr>
          <w:p w14:paraId="01527328">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X＜20</w:t>
            </w:r>
          </w:p>
        </w:tc>
      </w:tr>
      <w:tr w14:paraId="5B28C281">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4B2A7715">
            <w:pPr>
              <w:widowControl/>
              <w:jc w:val="left"/>
              <w:rPr>
                <w:rFonts w:ascii="仿宋_GB2312" w:hAnsi="仿宋" w:eastAsia="仿宋_GB2312" w:cs="宋体"/>
                <w:b/>
                <w:bCs/>
                <w:kern w:val="0"/>
                <w:sz w:val="18"/>
                <w:szCs w:val="18"/>
              </w:rPr>
            </w:pPr>
          </w:p>
        </w:tc>
        <w:tc>
          <w:tcPr>
            <w:tcW w:w="1384" w:type="dxa"/>
            <w:tcBorders>
              <w:top w:val="nil"/>
              <w:left w:val="nil"/>
              <w:bottom w:val="single" w:color="auto" w:sz="4" w:space="0"/>
              <w:right w:val="single" w:color="auto" w:sz="4" w:space="0"/>
            </w:tcBorders>
            <w:noWrap w:val="0"/>
            <w:vAlign w:val="center"/>
          </w:tcPr>
          <w:p w14:paraId="1408A8DC">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913" w:type="dxa"/>
            <w:tcBorders>
              <w:top w:val="nil"/>
              <w:left w:val="nil"/>
              <w:bottom w:val="single" w:color="auto" w:sz="4" w:space="0"/>
              <w:right w:val="single" w:color="auto" w:sz="4" w:space="0"/>
            </w:tcBorders>
            <w:noWrap w:val="0"/>
            <w:vAlign w:val="center"/>
          </w:tcPr>
          <w:p w14:paraId="65060BA2">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620" w:type="dxa"/>
            <w:tcBorders>
              <w:top w:val="nil"/>
              <w:left w:val="nil"/>
              <w:bottom w:val="single" w:color="auto" w:sz="4" w:space="0"/>
              <w:right w:val="single" w:color="auto" w:sz="4" w:space="0"/>
            </w:tcBorders>
            <w:noWrap w:val="0"/>
            <w:vAlign w:val="center"/>
          </w:tcPr>
          <w:p w14:paraId="4F8C9C8C">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1000≤Y＜30000</w:t>
            </w:r>
          </w:p>
        </w:tc>
        <w:tc>
          <w:tcPr>
            <w:tcW w:w="1440" w:type="dxa"/>
            <w:tcBorders>
              <w:top w:val="nil"/>
              <w:left w:val="nil"/>
              <w:bottom w:val="single" w:color="auto" w:sz="4" w:space="0"/>
              <w:right w:val="single" w:color="auto" w:sz="4" w:space="0"/>
            </w:tcBorders>
            <w:noWrap w:val="0"/>
            <w:vAlign w:val="center"/>
          </w:tcPr>
          <w:p w14:paraId="77500E08">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100≤Y＜1000</w:t>
            </w:r>
          </w:p>
        </w:tc>
        <w:tc>
          <w:tcPr>
            <w:tcW w:w="925" w:type="dxa"/>
            <w:tcBorders>
              <w:top w:val="nil"/>
              <w:left w:val="nil"/>
              <w:bottom w:val="single" w:color="auto" w:sz="4" w:space="0"/>
              <w:right w:val="single" w:color="auto" w:sz="4" w:space="0"/>
            </w:tcBorders>
            <w:noWrap w:val="0"/>
            <w:vAlign w:val="center"/>
          </w:tcPr>
          <w:p w14:paraId="22525686">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Y＜100</w:t>
            </w:r>
          </w:p>
        </w:tc>
      </w:tr>
      <w:tr w14:paraId="07BA6939">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bottom"/>
          </w:tcPr>
          <w:p w14:paraId="10A8A135">
            <w:pPr>
              <w:widowControl/>
              <w:jc w:val="center"/>
              <w:rPr>
                <w:rFonts w:hint="eastAsia" w:ascii="仿宋_GB2312" w:hAnsi="仿宋" w:eastAsia="仿宋_GB2312" w:cs="宋体"/>
                <w:b/>
                <w:bCs/>
                <w:kern w:val="0"/>
                <w:sz w:val="18"/>
                <w:szCs w:val="18"/>
              </w:rPr>
            </w:pPr>
            <w:r>
              <w:rPr>
                <w:rFonts w:hint="eastAsia" w:ascii="仿宋_GB2312" w:hAnsi="仿宋" w:eastAsia="仿宋_GB2312" w:cs="宋体"/>
                <w:b/>
                <w:bCs/>
                <w:kern w:val="0"/>
                <w:sz w:val="18"/>
                <w:szCs w:val="18"/>
              </w:rPr>
              <w:t>邮政业</w:t>
            </w:r>
          </w:p>
        </w:tc>
        <w:tc>
          <w:tcPr>
            <w:tcW w:w="1384" w:type="dxa"/>
            <w:tcBorders>
              <w:top w:val="nil"/>
              <w:left w:val="nil"/>
              <w:bottom w:val="single" w:color="auto" w:sz="4" w:space="0"/>
              <w:right w:val="single" w:color="auto" w:sz="4" w:space="0"/>
            </w:tcBorders>
            <w:noWrap w:val="0"/>
            <w:vAlign w:val="center"/>
          </w:tcPr>
          <w:p w14:paraId="2281B228">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913" w:type="dxa"/>
            <w:tcBorders>
              <w:top w:val="nil"/>
              <w:left w:val="nil"/>
              <w:bottom w:val="single" w:color="auto" w:sz="4" w:space="0"/>
              <w:right w:val="single" w:color="auto" w:sz="4" w:space="0"/>
            </w:tcBorders>
            <w:noWrap w:val="0"/>
            <w:vAlign w:val="center"/>
          </w:tcPr>
          <w:p w14:paraId="38CF9274">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620" w:type="dxa"/>
            <w:tcBorders>
              <w:top w:val="nil"/>
              <w:left w:val="nil"/>
              <w:bottom w:val="single" w:color="auto" w:sz="4" w:space="0"/>
              <w:right w:val="single" w:color="auto" w:sz="4" w:space="0"/>
            </w:tcBorders>
            <w:noWrap w:val="0"/>
            <w:vAlign w:val="center"/>
          </w:tcPr>
          <w:p w14:paraId="13D86D23">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300≤X＜1000</w:t>
            </w:r>
          </w:p>
        </w:tc>
        <w:tc>
          <w:tcPr>
            <w:tcW w:w="1440" w:type="dxa"/>
            <w:tcBorders>
              <w:top w:val="nil"/>
              <w:left w:val="nil"/>
              <w:bottom w:val="single" w:color="auto" w:sz="4" w:space="0"/>
              <w:right w:val="single" w:color="auto" w:sz="4" w:space="0"/>
            </w:tcBorders>
            <w:noWrap w:val="0"/>
            <w:vAlign w:val="center"/>
          </w:tcPr>
          <w:p w14:paraId="0DAC8690">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20≤X＜300</w:t>
            </w:r>
          </w:p>
        </w:tc>
        <w:tc>
          <w:tcPr>
            <w:tcW w:w="925" w:type="dxa"/>
            <w:tcBorders>
              <w:top w:val="nil"/>
              <w:left w:val="nil"/>
              <w:bottom w:val="single" w:color="auto" w:sz="4" w:space="0"/>
              <w:right w:val="single" w:color="auto" w:sz="4" w:space="0"/>
            </w:tcBorders>
            <w:noWrap w:val="0"/>
            <w:vAlign w:val="center"/>
          </w:tcPr>
          <w:p w14:paraId="18F7DB00">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X＜20</w:t>
            </w:r>
          </w:p>
        </w:tc>
      </w:tr>
      <w:tr w14:paraId="5C704652">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48A36434">
            <w:pPr>
              <w:widowControl/>
              <w:jc w:val="left"/>
              <w:rPr>
                <w:rFonts w:ascii="仿宋_GB2312" w:hAnsi="仿宋" w:eastAsia="仿宋_GB2312" w:cs="宋体"/>
                <w:b/>
                <w:bCs/>
                <w:kern w:val="0"/>
                <w:sz w:val="18"/>
                <w:szCs w:val="18"/>
              </w:rPr>
            </w:pPr>
          </w:p>
        </w:tc>
        <w:tc>
          <w:tcPr>
            <w:tcW w:w="1384" w:type="dxa"/>
            <w:tcBorders>
              <w:top w:val="nil"/>
              <w:left w:val="nil"/>
              <w:bottom w:val="single" w:color="auto" w:sz="4" w:space="0"/>
              <w:right w:val="single" w:color="auto" w:sz="4" w:space="0"/>
            </w:tcBorders>
            <w:noWrap w:val="0"/>
            <w:vAlign w:val="center"/>
          </w:tcPr>
          <w:p w14:paraId="11C43C5D">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913" w:type="dxa"/>
            <w:tcBorders>
              <w:top w:val="nil"/>
              <w:left w:val="nil"/>
              <w:bottom w:val="single" w:color="auto" w:sz="4" w:space="0"/>
              <w:right w:val="single" w:color="auto" w:sz="4" w:space="0"/>
            </w:tcBorders>
            <w:noWrap w:val="0"/>
            <w:vAlign w:val="center"/>
          </w:tcPr>
          <w:p w14:paraId="7BFB3560">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620" w:type="dxa"/>
            <w:tcBorders>
              <w:top w:val="nil"/>
              <w:left w:val="nil"/>
              <w:bottom w:val="single" w:color="auto" w:sz="4" w:space="0"/>
              <w:right w:val="single" w:color="auto" w:sz="4" w:space="0"/>
            </w:tcBorders>
            <w:noWrap w:val="0"/>
            <w:vAlign w:val="center"/>
          </w:tcPr>
          <w:p w14:paraId="379F67CF">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2000≤Y＜30000</w:t>
            </w:r>
          </w:p>
        </w:tc>
        <w:tc>
          <w:tcPr>
            <w:tcW w:w="1440" w:type="dxa"/>
            <w:tcBorders>
              <w:top w:val="nil"/>
              <w:left w:val="nil"/>
              <w:bottom w:val="single" w:color="auto" w:sz="4" w:space="0"/>
              <w:right w:val="single" w:color="auto" w:sz="4" w:space="0"/>
            </w:tcBorders>
            <w:noWrap w:val="0"/>
            <w:vAlign w:val="center"/>
          </w:tcPr>
          <w:p w14:paraId="4504521E">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100≤Y＜2000</w:t>
            </w:r>
          </w:p>
        </w:tc>
        <w:tc>
          <w:tcPr>
            <w:tcW w:w="925" w:type="dxa"/>
            <w:tcBorders>
              <w:top w:val="nil"/>
              <w:left w:val="nil"/>
              <w:bottom w:val="single" w:color="auto" w:sz="4" w:space="0"/>
              <w:right w:val="single" w:color="auto" w:sz="4" w:space="0"/>
            </w:tcBorders>
            <w:noWrap w:val="0"/>
            <w:vAlign w:val="center"/>
          </w:tcPr>
          <w:p w14:paraId="39D47BFD">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Y＜100</w:t>
            </w:r>
          </w:p>
        </w:tc>
      </w:tr>
      <w:tr w14:paraId="33B9C6CA">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bottom"/>
          </w:tcPr>
          <w:p w14:paraId="3A36FE4D">
            <w:pPr>
              <w:widowControl/>
              <w:jc w:val="center"/>
              <w:rPr>
                <w:rFonts w:hint="eastAsia" w:ascii="仿宋_GB2312" w:hAnsi="仿宋" w:eastAsia="仿宋_GB2312" w:cs="宋体"/>
                <w:b/>
                <w:bCs/>
                <w:kern w:val="0"/>
                <w:sz w:val="18"/>
                <w:szCs w:val="18"/>
              </w:rPr>
            </w:pPr>
            <w:r>
              <w:rPr>
                <w:rFonts w:hint="eastAsia" w:ascii="仿宋_GB2312" w:hAnsi="仿宋" w:eastAsia="仿宋_GB2312" w:cs="宋体"/>
                <w:b/>
                <w:bCs/>
                <w:kern w:val="0"/>
                <w:sz w:val="18"/>
                <w:szCs w:val="18"/>
              </w:rPr>
              <w:t>住宿业</w:t>
            </w:r>
          </w:p>
        </w:tc>
        <w:tc>
          <w:tcPr>
            <w:tcW w:w="1384" w:type="dxa"/>
            <w:tcBorders>
              <w:top w:val="nil"/>
              <w:left w:val="nil"/>
              <w:bottom w:val="single" w:color="auto" w:sz="4" w:space="0"/>
              <w:right w:val="single" w:color="auto" w:sz="4" w:space="0"/>
            </w:tcBorders>
            <w:noWrap w:val="0"/>
            <w:vAlign w:val="center"/>
          </w:tcPr>
          <w:p w14:paraId="10959365">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913" w:type="dxa"/>
            <w:tcBorders>
              <w:top w:val="nil"/>
              <w:left w:val="nil"/>
              <w:bottom w:val="single" w:color="auto" w:sz="4" w:space="0"/>
              <w:right w:val="single" w:color="auto" w:sz="4" w:space="0"/>
            </w:tcBorders>
            <w:noWrap w:val="0"/>
            <w:vAlign w:val="center"/>
          </w:tcPr>
          <w:p w14:paraId="40DDB475">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620" w:type="dxa"/>
            <w:tcBorders>
              <w:top w:val="nil"/>
              <w:left w:val="nil"/>
              <w:bottom w:val="single" w:color="auto" w:sz="4" w:space="0"/>
              <w:right w:val="single" w:color="auto" w:sz="4" w:space="0"/>
            </w:tcBorders>
            <w:noWrap w:val="0"/>
            <w:vAlign w:val="center"/>
          </w:tcPr>
          <w:p w14:paraId="0BDBDDFC">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100≤X＜300</w:t>
            </w:r>
          </w:p>
        </w:tc>
        <w:tc>
          <w:tcPr>
            <w:tcW w:w="1440" w:type="dxa"/>
            <w:tcBorders>
              <w:top w:val="nil"/>
              <w:left w:val="nil"/>
              <w:bottom w:val="single" w:color="auto" w:sz="4" w:space="0"/>
              <w:right w:val="single" w:color="auto" w:sz="4" w:space="0"/>
            </w:tcBorders>
            <w:noWrap w:val="0"/>
            <w:vAlign w:val="center"/>
          </w:tcPr>
          <w:p w14:paraId="673E3DCA">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10≤X＜100</w:t>
            </w:r>
          </w:p>
        </w:tc>
        <w:tc>
          <w:tcPr>
            <w:tcW w:w="925" w:type="dxa"/>
            <w:tcBorders>
              <w:top w:val="nil"/>
              <w:left w:val="nil"/>
              <w:bottom w:val="single" w:color="auto" w:sz="4" w:space="0"/>
              <w:right w:val="single" w:color="auto" w:sz="4" w:space="0"/>
            </w:tcBorders>
            <w:noWrap w:val="0"/>
            <w:vAlign w:val="center"/>
          </w:tcPr>
          <w:p w14:paraId="790E1BB8">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X＜10</w:t>
            </w:r>
          </w:p>
        </w:tc>
      </w:tr>
      <w:tr w14:paraId="4356A3E7">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7D3B4827">
            <w:pPr>
              <w:widowControl/>
              <w:jc w:val="left"/>
              <w:rPr>
                <w:rFonts w:ascii="仿宋_GB2312" w:hAnsi="仿宋" w:eastAsia="仿宋_GB2312" w:cs="宋体"/>
                <w:b/>
                <w:bCs/>
                <w:kern w:val="0"/>
                <w:sz w:val="18"/>
                <w:szCs w:val="18"/>
              </w:rPr>
            </w:pPr>
          </w:p>
        </w:tc>
        <w:tc>
          <w:tcPr>
            <w:tcW w:w="1384" w:type="dxa"/>
            <w:tcBorders>
              <w:top w:val="nil"/>
              <w:left w:val="nil"/>
              <w:bottom w:val="single" w:color="auto" w:sz="4" w:space="0"/>
              <w:right w:val="single" w:color="auto" w:sz="4" w:space="0"/>
            </w:tcBorders>
            <w:noWrap w:val="0"/>
            <w:vAlign w:val="center"/>
          </w:tcPr>
          <w:p w14:paraId="7DEE6E89">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913" w:type="dxa"/>
            <w:tcBorders>
              <w:top w:val="nil"/>
              <w:left w:val="nil"/>
              <w:bottom w:val="single" w:color="auto" w:sz="4" w:space="0"/>
              <w:right w:val="single" w:color="auto" w:sz="4" w:space="0"/>
            </w:tcBorders>
            <w:noWrap w:val="0"/>
            <w:vAlign w:val="center"/>
          </w:tcPr>
          <w:p w14:paraId="78BD4F61">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620" w:type="dxa"/>
            <w:tcBorders>
              <w:top w:val="nil"/>
              <w:left w:val="nil"/>
              <w:bottom w:val="single" w:color="auto" w:sz="4" w:space="0"/>
              <w:right w:val="single" w:color="auto" w:sz="4" w:space="0"/>
            </w:tcBorders>
            <w:noWrap w:val="0"/>
            <w:vAlign w:val="center"/>
          </w:tcPr>
          <w:p w14:paraId="0A8A0C5B">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2000≤Y＜10000</w:t>
            </w:r>
          </w:p>
        </w:tc>
        <w:tc>
          <w:tcPr>
            <w:tcW w:w="1440" w:type="dxa"/>
            <w:tcBorders>
              <w:top w:val="nil"/>
              <w:left w:val="nil"/>
              <w:bottom w:val="single" w:color="auto" w:sz="4" w:space="0"/>
              <w:right w:val="single" w:color="auto" w:sz="4" w:space="0"/>
            </w:tcBorders>
            <w:noWrap w:val="0"/>
            <w:vAlign w:val="center"/>
          </w:tcPr>
          <w:p w14:paraId="0170742D">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100≤Y＜2000</w:t>
            </w:r>
          </w:p>
        </w:tc>
        <w:tc>
          <w:tcPr>
            <w:tcW w:w="925" w:type="dxa"/>
            <w:tcBorders>
              <w:top w:val="nil"/>
              <w:left w:val="nil"/>
              <w:bottom w:val="single" w:color="auto" w:sz="4" w:space="0"/>
              <w:right w:val="single" w:color="auto" w:sz="4" w:space="0"/>
            </w:tcBorders>
            <w:noWrap w:val="0"/>
            <w:vAlign w:val="center"/>
          </w:tcPr>
          <w:p w14:paraId="5F59CD07">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Y＜100</w:t>
            </w:r>
          </w:p>
        </w:tc>
      </w:tr>
      <w:tr w14:paraId="175F5704">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bottom"/>
          </w:tcPr>
          <w:p w14:paraId="79731641">
            <w:pPr>
              <w:widowControl/>
              <w:jc w:val="center"/>
              <w:rPr>
                <w:rFonts w:hint="eastAsia" w:ascii="仿宋_GB2312" w:hAnsi="仿宋" w:eastAsia="仿宋_GB2312" w:cs="宋体"/>
                <w:b/>
                <w:bCs/>
                <w:kern w:val="0"/>
                <w:sz w:val="18"/>
                <w:szCs w:val="18"/>
              </w:rPr>
            </w:pPr>
            <w:r>
              <w:rPr>
                <w:rFonts w:hint="eastAsia" w:ascii="仿宋_GB2312" w:hAnsi="仿宋" w:eastAsia="仿宋_GB2312" w:cs="宋体"/>
                <w:b/>
                <w:bCs/>
                <w:kern w:val="0"/>
                <w:sz w:val="18"/>
                <w:szCs w:val="18"/>
              </w:rPr>
              <w:t>餐饮业</w:t>
            </w:r>
          </w:p>
        </w:tc>
        <w:tc>
          <w:tcPr>
            <w:tcW w:w="1384" w:type="dxa"/>
            <w:tcBorders>
              <w:top w:val="nil"/>
              <w:left w:val="nil"/>
              <w:bottom w:val="single" w:color="auto" w:sz="4" w:space="0"/>
              <w:right w:val="single" w:color="auto" w:sz="4" w:space="0"/>
            </w:tcBorders>
            <w:noWrap w:val="0"/>
            <w:vAlign w:val="center"/>
          </w:tcPr>
          <w:p w14:paraId="4B09CB63">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913" w:type="dxa"/>
            <w:tcBorders>
              <w:top w:val="nil"/>
              <w:left w:val="nil"/>
              <w:bottom w:val="single" w:color="auto" w:sz="4" w:space="0"/>
              <w:right w:val="single" w:color="auto" w:sz="4" w:space="0"/>
            </w:tcBorders>
            <w:noWrap w:val="0"/>
            <w:vAlign w:val="center"/>
          </w:tcPr>
          <w:p w14:paraId="17BD7D0B">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620" w:type="dxa"/>
            <w:tcBorders>
              <w:top w:val="nil"/>
              <w:left w:val="nil"/>
              <w:bottom w:val="single" w:color="auto" w:sz="4" w:space="0"/>
              <w:right w:val="single" w:color="auto" w:sz="4" w:space="0"/>
            </w:tcBorders>
            <w:noWrap w:val="0"/>
            <w:vAlign w:val="center"/>
          </w:tcPr>
          <w:p w14:paraId="297123C0">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100≤X＜300</w:t>
            </w:r>
          </w:p>
        </w:tc>
        <w:tc>
          <w:tcPr>
            <w:tcW w:w="1440" w:type="dxa"/>
            <w:tcBorders>
              <w:top w:val="nil"/>
              <w:left w:val="nil"/>
              <w:bottom w:val="single" w:color="auto" w:sz="4" w:space="0"/>
              <w:right w:val="single" w:color="auto" w:sz="4" w:space="0"/>
            </w:tcBorders>
            <w:noWrap w:val="0"/>
            <w:vAlign w:val="center"/>
          </w:tcPr>
          <w:p w14:paraId="33611DC5">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10≤X＜100</w:t>
            </w:r>
          </w:p>
        </w:tc>
        <w:tc>
          <w:tcPr>
            <w:tcW w:w="925" w:type="dxa"/>
            <w:tcBorders>
              <w:top w:val="nil"/>
              <w:left w:val="nil"/>
              <w:bottom w:val="single" w:color="auto" w:sz="4" w:space="0"/>
              <w:right w:val="single" w:color="auto" w:sz="4" w:space="0"/>
            </w:tcBorders>
            <w:noWrap w:val="0"/>
            <w:vAlign w:val="center"/>
          </w:tcPr>
          <w:p w14:paraId="3B430473">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X＜10</w:t>
            </w:r>
          </w:p>
        </w:tc>
      </w:tr>
      <w:tr w14:paraId="139EC6A1">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40E622E0">
            <w:pPr>
              <w:widowControl/>
              <w:jc w:val="left"/>
              <w:rPr>
                <w:rFonts w:ascii="仿宋_GB2312" w:hAnsi="仿宋" w:eastAsia="仿宋_GB2312" w:cs="宋体"/>
                <w:b/>
                <w:bCs/>
                <w:kern w:val="0"/>
                <w:sz w:val="18"/>
                <w:szCs w:val="18"/>
              </w:rPr>
            </w:pPr>
          </w:p>
        </w:tc>
        <w:tc>
          <w:tcPr>
            <w:tcW w:w="1384" w:type="dxa"/>
            <w:tcBorders>
              <w:top w:val="nil"/>
              <w:left w:val="nil"/>
              <w:bottom w:val="single" w:color="auto" w:sz="4" w:space="0"/>
              <w:right w:val="single" w:color="auto" w:sz="4" w:space="0"/>
            </w:tcBorders>
            <w:noWrap w:val="0"/>
            <w:vAlign w:val="center"/>
          </w:tcPr>
          <w:p w14:paraId="1DAE97DD">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913" w:type="dxa"/>
            <w:tcBorders>
              <w:top w:val="nil"/>
              <w:left w:val="nil"/>
              <w:bottom w:val="single" w:color="auto" w:sz="4" w:space="0"/>
              <w:right w:val="single" w:color="auto" w:sz="4" w:space="0"/>
            </w:tcBorders>
            <w:noWrap w:val="0"/>
            <w:vAlign w:val="center"/>
          </w:tcPr>
          <w:p w14:paraId="38E72911">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620" w:type="dxa"/>
            <w:tcBorders>
              <w:top w:val="nil"/>
              <w:left w:val="nil"/>
              <w:bottom w:val="single" w:color="auto" w:sz="4" w:space="0"/>
              <w:right w:val="single" w:color="auto" w:sz="4" w:space="0"/>
            </w:tcBorders>
            <w:noWrap w:val="0"/>
            <w:vAlign w:val="center"/>
          </w:tcPr>
          <w:p w14:paraId="1FAF7EB2">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2000≤Y＜10000</w:t>
            </w:r>
          </w:p>
        </w:tc>
        <w:tc>
          <w:tcPr>
            <w:tcW w:w="1440" w:type="dxa"/>
            <w:tcBorders>
              <w:top w:val="nil"/>
              <w:left w:val="nil"/>
              <w:bottom w:val="single" w:color="auto" w:sz="4" w:space="0"/>
              <w:right w:val="single" w:color="auto" w:sz="4" w:space="0"/>
            </w:tcBorders>
            <w:noWrap w:val="0"/>
            <w:vAlign w:val="center"/>
          </w:tcPr>
          <w:p w14:paraId="5999A39C">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100≤Y＜2000</w:t>
            </w:r>
          </w:p>
        </w:tc>
        <w:tc>
          <w:tcPr>
            <w:tcW w:w="925" w:type="dxa"/>
            <w:tcBorders>
              <w:top w:val="nil"/>
              <w:left w:val="nil"/>
              <w:bottom w:val="single" w:color="auto" w:sz="4" w:space="0"/>
              <w:right w:val="single" w:color="auto" w:sz="4" w:space="0"/>
            </w:tcBorders>
            <w:noWrap w:val="0"/>
            <w:vAlign w:val="center"/>
          </w:tcPr>
          <w:p w14:paraId="7154E63A">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Y＜100</w:t>
            </w:r>
          </w:p>
        </w:tc>
      </w:tr>
      <w:tr w14:paraId="48435710">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bottom"/>
          </w:tcPr>
          <w:p w14:paraId="1A4E8DDE">
            <w:pPr>
              <w:widowControl/>
              <w:jc w:val="center"/>
              <w:rPr>
                <w:rFonts w:hint="eastAsia" w:ascii="仿宋_GB2312" w:hAnsi="仿宋" w:eastAsia="仿宋_GB2312" w:cs="宋体"/>
                <w:b/>
                <w:bCs/>
                <w:kern w:val="0"/>
                <w:sz w:val="18"/>
                <w:szCs w:val="18"/>
              </w:rPr>
            </w:pPr>
            <w:r>
              <w:rPr>
                <w:rFonts w:hint="eastAsia" w:ascii="仿宋_GB2312" w:hAnsi="仿宋" w:eastAsia="仿宋_GB2312" w:cs="宋体"/>
                <w:b/>
                <w:bCs/>
                <w:kern w:val="0"/>
                <w:sz w:val="18"/>
                <w:szCs w:val="18"/>
              </w:rPr>
              <w:t>信息传输业</w:t>
            </w:r>
          </w:p>
        </w:tc>
        <w:tc>
          <w:tcPr>
            <w:tcW w:w="1384" w:type="dxa"/>
            <w:tcBorders>
              <w:top w:val="nil"/>
              <w:left w:val="nil"/>
              <w:bottom w:val="single" w:color="auto" w:sz="4" w:space="0"/>
              <w:right w:val="single" w:color="auto" w:sz="4" w:space="0"/>
            </w:tcBorders>
            <w:noWrap w:val="0"/>
            <w:vAlign w:val="center"/>
          </w:tcPr>
          <w:p w14:paraId="2A183BD0">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913" w:type="dxa"/>
            <w:tcBorders>
              <w:top w:val="nil"/>
              <w:left w:val="nil"/>
              <w:bottom w:val="single" w:color="auto" w:sz="4" w:space="0"/>
              <w:right w:val="single" w:color="auto" w:sz="4" w:space="0"/>
            </w:tcBorders>
            <w:noWrap w:val="0"/>
            <w:vAlign w:val="center"/>
          </w:tcPr>
          <w:p w14:paraId="10F2BA49">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620" w:type="dxa"/>
            <w:tcBorders>
              <w:top w:val="nil"/>
              <w:left w:val="nil"/>
              <w:bottom w:val="single" w:color="auto" w:sz="4" w:space="0"/>
              <w:right w:val="single" w:color="auto" w:sz="4" w:space="0"/>
            </w:tcBorders>
            <w:noWrap w:val="0"/>
            <w:vAlign w:val="center"/>
          </w:tcPr>
          <w:p w14:paraId="1A80BB3E">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100≤X＜2000</w:t>
            </w:r>
          </w:p>
        </w:tc>
        <w:tc>
          <w:tcPr>
            <w:tcW w:w="1440" w:type="dxa"/>
            <w:tcBorders>
              <w:top w:val="nil"/>
              <w:left w:val="nil"/>
              <w:bottom w:val="single" w:color="auto" w:sz="4" w:space="0"/>
              <w:right w:val="single" w:color="auto" w:sz="4" w:space="0"/>
            </w:tcBorders>
            <w:noWrap w:val="0"/>
            <w:vAlign w:val="center"/>
          </w:tcPr>
          <w:p w14:paraId="5F43A97E">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10≤X＜100</w:t>
            </w:r>
          </w:p>
        </w:tc>
        <w:tc>
          <w:tcPr>
            <w:tcW w:w="925" w:type="dxa"/>
            <w:tcBorders>
              <w:top w:val="nil"/>
              <w:left w:val="nil"/>
              <w:bottom w:val="single" w:color="auto" w:sz="4" w:space="0"/>
              <w:right w:val="single" w:color="auto" w:sz="4" w:space="0"/>
            </w:tcBorders>
            <w:noWrap w:val="0"/>
            <w:vAlign w:val="center"/>
          </w:tcPr>
          <w:p w14:paraId="48A09F93">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X＜10</w:t>
            </w:r>
          </w:p>
        </w:tc>
      </w:tr>
      <w:tr w14:paraId="2D694349">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0CD93955">
            <w:pPr>
              <w:widowControl/>
              <w:jc w:val="left"/>
              <w:rPr>
                <w:rFonts w:ascii="仿宋_GB2312" w:hAnsi="仿宋" w:eastAsia="仿宋_GB2312" w:cs="宋体"/>
                <w:b/>
                <w:bCs/>
                <w:kern w:val="0"/>
                <w:sz w:val="18"/>
                <w:szCs w:val="18"/>
              </w:rPr>
            </w:pPr>
          </w:p>
        </w:tc>
        <w:tc>
          <w:tcPr>
            <w:tcW w:w="1384" w:type="dxa"/>
            <w:tcBorders>
              <w:top w:val="nil"/>
              <w:left w:val="nil"/>
              <w:bottom w:val="single" w:color="auto" w:sz="4" w:space="0"/>
              <w:right w:val="single" w:color="auto" w:sz="4" w:space="0"/>
            </w:tcBorders>
            <w:noWrap w:val="0"/>
            <w:vAlign w:val="center"/>
          </w:tcPr>
          <w:p w14:paraId="348223BA">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913" w:type="dxa"/>
            <w:tcBorders>
              <w:top w:val="nil"/>
              <w:left w:val="nil"/>
              <w:bottom w:val="single" w:color="auto" w:sz="4" w:space="0"/>
              <w:right w:val="single" w:color="auto" w:sz="4" w:space="0"/>
            </w:tcBorders>
            <w:noWrap w:val="0"/>
            <w:vAlign w:val="center"/>
          </w:tcPr>
          <w:p w14:paraId="2830D257">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620" w:type="dxa"/>
            <w:tcBorders>
              <w:top w:val="nil"/>
              <w:left w:val="nil"/>
              <w:bottom w:val="single" w:color="auto" w:sz="4" w:space="0"/>
              <w:right w:val="single" w:color="auto" w:sz="4" w:space="0"/>
            </w:tcBorders>
            <w:noWrap w:val="0"/>
            <w:vAlign w:val="center"/>
          </w:tcPr>
          <w:p w14:paraId="1D1EC974">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1000≤Y＜100000</w:t>
            </w:r>
          </w:p>
        </w:tc>
        <w:tc>
          <w:tcPr>
            <w:tcW w:w="1440" w:type="dxa"/>
            <w:tcBorders>
              <w:top w:val="nil"/>
              <w:left w:val="nil"/>
              <w:bottom w:val="single" w:color="auto" w:sz="4" w:space="0"/>
              <w:right w:val="single" w:color="auto" w:sz="4" w:space="0"/>
            </w:tcBorders>
            <w:noWrap w:val="0"/>
            <w:vAlign w:val="center"/>
          </w:tcPr>
          <w:p w14:paraId="4C6AB0F7">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100≤Y＜1000</w:t>
            </w:r>
          </w:p>
        </w:tc>
        <w:tc>
          <w:tcPr>
            <w:tcW w:w="925" w:type="dxa"/>
            <w:tcBorders>
              <w:top w:val="nil"/>
              <w:left w:val="nil"/>
              <w:bottom w:val="single" w:color="auto" w:sz="4" w:space="0"/>
              <w:right w:val="single" w:color="auto" w:sz="4" w:space="0"/>
            </w:tcBorders>
            <w:noWrap w:val="0"/>
            <w:vAlign w:val="center"/>
          </w:tcPr>
          <w:p w14:paraId="32446F78">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Y＜100</w:t>
            </w:r>
          </w:p>
        </w:tc>
      </w:tr>
      <w:tr w14:paraId="231B6580">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bottom"/>
          </w:tcPr>
          <w:p w14:paraId="5C2CD94F">
            <w:pPr>
              <w:widowControl/>
              <w:jc w:val="center"/>
              <w:rPr>
                <w:rFonts w:hint="eastAsia" w:ascii="仿宋_GB2312" w:hAnsi="仿宋" w:eastAsia="仿宋_GB2312" w:cs="宋体"/>
                <w:b/>
                <w:bCs/>
                <w:kern w:val="0"/>
                <w:sz w:val="18"/>
                <w:szCs w:val="18"/>
              </w:rPr>
            </w:pPr>
            <w:r>
              <w:rPr>
                <w:rFonts w:hint="eastAsia" w:ascii="仿宋_GB2312" w:hAnsi="仿宋" w:eastAsia="仿宋_GB2312" w:cs="宋体"/>
                <w:b/>
                <w:bCs/>
                <w:kern w:val="0"/>
                <w:sz w:val="18"/>
                <w:szCs w:val="18"/>
              </w:rPr>
              <w:t>软件和信息技术服务业</w:t>
            </w:r>
          </w:p>
        </w:tc>
        <w:tc>
          <w:tcPr>
            <w:tcW w:w="1384" w:type="dxa"/>
            <w:tcBorders>
              <w:top w:val="nil"/>
              <w:left w:val="nil"/>
              <w:bottom w:val="single" w:color="auto" w:sz="4" w:space="0"/>
              <w:right w:val="single" w:color="auto" w:sz="4" w:space="0"/>
            </w:tcBorders>
            <w:noWrap w:val="0"/>
            <w:vAlign w:val="center"/>
          </w:tcPr>
          <w:p w14:paraId="30F5725A">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913" w:type="dxa"/>
            <w:tcBorders>
              <w:top w:val="nil"/>
              <w:left w:val="nil"/>
              <w:bottom w:val="single" w:color="auto" w:sz="4" w:space="0"/>
              <w:right w:val="single" w:color="auto" w:sz="4" w:space="0"/>
            </w:tcBorders>
            <w:noWrap w:val="0"/>
            <w:vAlign w:val="center"/>
          </w:tcPr>
          <w:p w14:paraId="59D7B002">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620" w:type="dxa"/>
            <w:tcBorders>
              <w:top w:val="nil"/>
              <w:left w:val="nil"/>
              <w:bottom w:val="single" w:color="auto" w:sz="4" w:space="0"/>
              <w:right w:val="single" w:color="auto" w:sz="4" w:space="0"/>
            </w:tcBorders>
            <w:noWrap w:val="0"/>
            <w:vAlign w:val="center"/>
          </w:tcPr>
          <w:p w14:paraId="1258559D">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100≤X＜300</w:t>
            </w:r>
          </w:p>
        </w:tc>
        <w:tc>
          <w:tcPr>
            <w:tcW w:w="1440" w:type="dxa"/>
            <w:tcBorders>
              <w:top w:val="nil"/>
              <w:left w:val="nil"/>
              <w:bottom w:val="single" w:color="auto" w:sz="4" w:space="0"/>
              <w:right w:val="single" w:color="auto" w:sz="4" w:space="0"/>
            </w:tcBorders>
            <w:noWrap w:val="0"/>
            <w:vAlign w:val="center"/>
          </w:tcPr>
          <w:p w14:paraId="54A4EA33">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10≤X＜100</w:t>
            </w:r>
          </w:p>
        </w:tc>
        <w:tc>
          <w:tcPr>
            <w:tcW w:w="925" w:type="dxa"/>
            <w:tcBorders>
              <w:top w:val="nil"/>
              <w:left w:val="nil"/>
              <w:bottom w:val="single" w:color="auto" w:sz="4" w:space="0"/>
              <w:right w:val="single" w:color="auto" w:sz="4" w:space="0"/>
            </w:tcBorders>
            <w:noWrap w:val="0"/>
            <w:vAlign w:val="center"/>
          </w:tcPr>
          <w:p w14:paraId="41B523E1">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X＜10</w:t>
            </w:r>
          </w:p>
        </w:tc>
      </w:tr>
      <w:tr w14:paraId="7FDFB104">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49257090">
            <w:pPr>
              <w:widowControl/>
              <w:jc w:val="left"/>
              <w:rPr>
                <w:rFonts w:ascii="仿宋_GB2312" w:hAnsi="仿宋" w:eastAsia="仿宋_GB2312" w:cs="宋体"/>
                <w:b/>
                <w:bCs/>
                <w:kern w:val="0"/>
                <w:sz w:val="18"/>
                <w:szCs w:val="18"/>
              </w:rPr>
            </w:pPr>
          </w:p>
        </w:tc>
        <w:tc>
          <w:tcPr>
            <w:tcW w:w="1384" w:type="dxa"/>
            <w:tcBorders>
              <w:top w:val="nil"/>
              <w:left w:val="nil"/>
              <w:bottom w:val="single" w:color="auto" w:sz="4" w:space="0"/>
              <w:right w:val="single" w:color="auto" w:sz="4" w:space="0"/>
            </w:tcBorders>
            <w:noWrap w:val="0"/>
            <w:vAlign w:val="center"/>
          </w:tcPr>
          <w:p w14:paraId="50F7067C">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913" w:type="dxa"/>
            <w:tcBorders>
              <w:top w:val="nil"/>
              <w:left w:val="nil"/>
              <w:bottom w:val="single" w:color="auto" w:sz="4" w:space="0"/>
              <w:right w:val="single" w:color="auto" w:sz="4" w:space="0"/>
            </w:tcBorders>
            <w:noWrap w:val="0"/>
            <w:vAlign w:val="center"/>
          </w:tcPr>
          <w:p w14:paraId="22802041">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620" w:type="dxa"/>
            <w:tcBorders>
              <w:top w:val="nil"/>
              <w:left w:val="nil"/>
              <w:bottom w:val="single" w:color="auto" w:sz="4" w:space="0"/>
              <w:right w:val="single" w:color="auto" w:sz="4" w:space="0"/>
            </w:tcBorders>
            <w:noWrap w:val="0"/>
            <w:vAlign w:val="center"/>
          </w:tcPr>
          <w:p w14:paraId="114BDE36">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1000≤Y＜10000</w:t>
            </w:r>
          </w:p>
        </w:tc>
        <w:tc>
          <w:tcPr>
            <w:tcW w:w="1440" w:type="dxa"/>
            <w:tcBorders>
              <w:top w:val="nil"/>
              <w:left w:val="nil"/>
              <w:bottom w:val="single" w:color="auto" w:sz="4" w:space="0"/>
              <w:right w:val="single" w:color="auto" w:sz="4" w:space="0"/>
            </w:tcBorders>
            <w:noWrap w:val="0"/>
            <w:vAlign w:val="center"/>
          </w:tcPr>
          <w:p w14:paraId="3479448D">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50≤Y＜1000</w:t>
            </w:r>
          </w:p>
        </w:tc>
        <w:tc>
          <w:tcPr>
            <w:tcW w:w="925" w:type="dxa"/>
            <w:tcBorders>
              <w:top w:val="nil"/>
              <w:left w:val="nil"/>
              <w:bottom w:val="single" w:color="auto" w:sz="4" w:space="0"/>
              <w:right w:val="single" w:color="auto" w:sz="4" w:space="0"/>
            </w:tcBorders>
            <w:noWrap w:val="0"/>
            <w:vAlign w:val="center"/>
          </w:tcPr>
          <w:p w14:paraId="052A372E">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Y＜50</w:t>
            </w:r>
          </w:p>
        </w:tc>
      </w:tr>
      <w:tr w14:paraId="196EF515">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bottom"/>
          </w:tcPr>
          <w:p w14:paraId="6364A40B">
            <w:pPr>
              <w:widowControl/>
              <w:jc w:val="center"/>
              <w:rPr>
                <w:rFonts w:hint="eastAsia" w:ascii="仿宋_GB2312" w:hAnsi="仿宋" w:eastAsia="仿宋_GB2312" w:cs="宋体"/>
                <w:b/>
                <w:bCs/>
                <w:kern w:val="0"/>
                <w:sz w:val="18"/>
                <w:szCs w:val="18"/>
              </w:rPr>
            </w:pPr>
            <w:r>
              <w:rPr>
                <w:rFonts w:hint="eastAsia" w:ascii="仿宋_GB2312" w:hAnsi="仿宋" w:eastAsia="仿宋_GB2312" w:cs="宋体"/>
                <w:b/>
                <w:bCs/>
                <w:kern w:val="0"/>
                <w:sz w:val="18"/>
                <w:szCs w:val="18"/>
              </w:rPr>
              <w:t>房地产开发经营</w:t>
            </w:r>
          </w:p>
        </w:tc>
        <w:tc>
          <w:tcPr>
            <w:tcW w:w="1384" w:type="dxa"/>
            <w:tcBorders>
              <w:top w:val="nil"/>
              <w:left w:val="nil"/>
              <w:bottom w:val="single" w:color="auto" w:sz="4" w:space="0"/>
              <w:right w:val="single" w:color="auto" w:sz="4" w:space="0"/>
            </w:tcBorders>
            <w:noWrap w:val="0"/>
            <w:vAlign w:val="center"/>
          </w:tcPr>
          <w:p w14:paraId="6BEAAD5B">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913" w:type="dxa"/>
            <w:tcBorders>
              <w:top w:val="nil"/>
              <w:left w:val="nil"/>
              <w:bottom w:val="single" w:color="auto" w:sz="4" w:space="0"/>
              <w:right w:val="single" w:color="auto" w:sz="4" w:space="0"/>
            </w:tcBorders>
            <w:noWrap w:val="0"/>
            <w:vAlign w:val="center"/>
          </w:tcPr>
          <w:p w14:paraId="5E4F5252">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620" w:type="dxa"/>
            <w:tcBorders>
              <w:top w:val="nil"/>
              <w:left w:val="nil"/>
              <w:bottom w:val="single" w:color="auto" w:sz="4" w:space="0"/>
              <w:right w:val="single" w:color="auto" w:sz="4" w:space="0"/>
            </w:tcBorders>
            <w:noWrap w:val="0"/>
            <w:vAlign w:val="center"/>
          </w:tcPr>
          <w:p w14:paraId="39BEF1A4">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1000≤Y＜200000</w:t>
            </w:r>
          </w:p>
        </w:tc>
        <w:tc>
          <w:tcPr>
            <w:tcW w:w="1440" w:type="dxa"/>
            <w:tcBorders>
              <w:top w:val="nil"/>
              <w:left w:val="nil"/>
              <w:bottom w:val="single" w:color="auto" w:sz="4" w:space="0"/>
              <w:right w:val="single" w:color="auto" w:sz="4" w:space="0"/>
            </w:tcBorders>
            <w:noWrap w:val="0"/>
            <w:vAlign w:val="center"/>
          </w:tcPr>
          <w:p w14:paraId="22A078BA">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100≤X＜1000</w:t>
            </w:r>
          </w:p>
        </w:tc>
        <w:tc>
          <w:tcPr>
            <w:tcW w:w="925" w:type="dxa"/>
            <w:tcBorders>
              <w:top w:val="nil"/>
              <w:left w:val="nil"/>
              <w:bottom w:val="single" w:color="auto" w:sz="4" w:space="0"/>
              <w:right w:val="single" w:color="auto" w:sz="4" w:space="0"/>
            </w:tcBorders>
            <w:noWrap w:val="0"/>
            <w:vAlign w:val="center"/>
          </w:tcPr>
          <w:p w14:paraId="676A5619">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X＜100</w:t>
            </w:r>
          </w:p>
        </w:tc>
      </w:tr>
      <w:tr w14:paraId="5EED82B8">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569666BF">
            <w:pPr>
              <w:widowControl/>
              <w:jc w:val="left"/>
              <w:rPr>
                <w:rFonts w:ascii="仿宋_GB2312" w:hAnsi="仿宋" w:eastAsia="仿宋_GB2312" w:cs="宋体"/>
                <w:b/>
                <w:bCs/>
                <w:kern w:val="0"/>
                <w:sz w:val="18"/>
                <w:szCs w:val="18"/>
              </w:rPr>
            </w:pPr>
          </w:p>
        </w:tc>
        <w:tc>
          <w:tcPr>
            <w:tcW w:w="1384" w:type="dxa"/>
            <w:tcBorders>
              <w:top w:val="nil"/>
              <w:left w:val="nil"/>
              <w:bottom w:val="single" w:color="auto" w:sz="4" w:space="0"/>
              <w:right w:val="single" w:color="auto" w:sz="4" w:space="0"/>
            </w:tcBorders>
            <w:noWrap w:val="0"/>
            <w:vAlign w:val="center"/>
          </w:tcPr>
          <w:p w14:paraId="57F641C1">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资产总额（Z）</w:t>
            </w:r>
          </w:p>
        </w:tc>
        <w:tc>
          <w:tcPr>
            <w:tcW w:w="913" w:type="dxa"/>
            <w:tcBorders>
              <w:top w:val="nil"/>
              <w:left w:val="nil"/>
              <w:bottom w:val="single" w:color="auto" w:sz="4" w:space="0"/>
              <w:right w:val="single" w:color="auto" w:sz="4" w:space="0"/>
            </w:tcBorders>
            <w:noWrap w:val="0"/>
            <w:vAlign w:val="center"/>
          </w:tcPr>
          <w:p w14:paraId="377503B6">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620" w:type="dxa"/>
            <w:tcBorders>
              <w:top w:val="nil"/>
              <w:left w:val="nil"/>
              <w:bottom w:val="single" w:color="auto" w:sz="4" w:space="0"/>
              <w:right w:val="single" w:color="auto" w:sz="4" w:space="0"/>
            </w:tcBorders>
            <w:noWrap w:val="0"/>
            <w:vAlign w:val="center"/>
          </w:tcPr>
          <w:p w14:paraId="1B91722D">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5000≤Z＜10000</w:t>
            </w:r>
          </w:p>
        </w:tc>
        <w:tc>
          <w:tcPr>
            <w:tcW w:w="1440" w:type="dxa"/>
            <w:tcBorders>
              <w:top w:val="nil"/>
              <w:left w:val="nil"/>
              <w:bottom w:val="single" w:color="auto" w:sz="4" w:space="0"/>
              <w:right w:val="single" w:color="auto" w:sz="4" w:space="0"/>
            </w:tcBorders>
            <w:noWrap w:val="0"/>
            <w:vAlign w:val="center"/>
          </w:tcPr>
          <w:p w14:paraId="4EFEDD82">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2000≤Y＜5000</w:t>
            </w:r>
          </w:p>
        </w:tc>
        <w:tc>
          <w:tcPr>
            <w:tcW w:w="925" w:type="dxa"/>
            <w:tcBorders>
              <w:top w:val="nil"/>
              <w:left w:val="nil"/>
              <w:bottom w:val="single" w:color="auto" w:sz="4" w:space="0"/>
              <w:right w:val="single" w:color="auto" w:sz="4" w:space="0"/>
            </w:tcBorders>
            <w:noWrap w:val="0"/>
            <w:vAlign w:val="center"/>
          </w:tcPr>
          <w:p w14:paraId="2E52515F">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Y＜2000</w:t>
            </w:r>
          </w:p>
        </w:tc>
      </w:tr>
      <w:tr w14:paraId="427E9096">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bottom"/>
          </w:tcPr>
          <w:p w14:paraId="2CDC22F6">
            <w:pPr>
              <w:widowControl/>
              <w:jc w:val="center"/>
              <w:rPr>
                <w:rFonts w:hint="eastAsia" w:ascii="仿宋_GB2312" w:hAnsi="仿宋" w:eastAsia="仿宋_GB2312" w:cs="宋体"/>
                <w:b/>
                <w:bCs/>
                <w:kern w:val="0"/>
                <w:sz w:val="18"/>
                <w:szCs w:val="18"/>
              </w:rPr>
            </w:pPr>
            <w:r>
              <w:rPr>
                <w:rFonts w:hint="eastAsia" w:ascii="仿宋_GB2312" w:hAnsi="仿宋" w:eastAsia="仿宋_GB2312" w:cs="宋体"/>
                <w:b/>
                <w:bCs/>
                <w:kern w:val="0"/>
                <w:sz w:val="18"/>
                <w:szCs w:val="18"/>
              </w:rPr>
              <w:t>物业管理</w:t>
            </w:r>
          </w:p>
        </w:tc>
        <w:tc>
          <w:tcPr>
            <w:tcW w:w="1384" w:type="dxa"/>
            <w:tcBorders>
              <w:top w:val="nil"/>
              <w:left w:val="nil"/>
              <w:bottom w:val="single" w:color="auto" w:sz="4" w:space="0"/>
              <w:right w:val="single" w:color="auto" w:sz="4" w:space="0"/>
            </w:tcBorders>
            <w:noWrap w:val="0"/>
            <w:vAlign w:val="center"/>
          </w:tcPr>
          <w:p w14:paraId="408ED979">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913" w:type="dxa"/>
            <w:tcBorders>
              <w:top w:val="nil"/>
              <w:left w:val="nil"/>
              <w:bottom w:val="single" w:color="auto" w:sz="4" w:space="0"/>
              <w:right w:val="single" w:color="auto" w:sz="4" w:space="0"/>
            </w:tcBorders>
            <w:noWrap w:val="0"/>
            <w:vAlign w:val="center"/>
          </w:tcPr>
          <w:p w14:paraId="4334DBA1">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620" w:type="dxa"/>
            <w:tcBorders>
              <w:top w:val="nil"/>
              <w:left w:val="nil"/>
              <w:bottom w:val="single" w:color="auto" w:sz="4" w:space="0"/>
              <w:right w:val="single" w:color="auto" w:sz="4" w:space="0"/>
            </w:tcBorders>
            <w:noWrap w:val="0"/>
            <w:vAlign w:val="center"/>
          </w:tcPr>
          <w:p w14:paraId="0F1D30C6">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300≤X＜1000</w:t>
            </w:r>
          </w:p>
        </w:tc>
        <w:tc>
          <w:tcPr>
            <w:tcW w:w="1440" w:type="dxa"/>
            <w:tcBorders>
              <w:top w:val="nil"/>
              <w:left w:val="nil"/>
              <w:bottom w:val="single" w:color="auto" w:sz="4" w:space="0"/>
              <w:right w:val="single" w:color="auto" w:sz="4" w:space="0"/>
            </w:tcBorders>
            <w:noWrap w:val="0"/>
            <w:vAlign w:val="center"/>
          </w:tcPr>
          <w:p w14:paraId="1E861A77">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100≤X＜300</w:t>
            </w:r>
          </w:p>
        </w:tc>
        <w:tc>
          <w:tcPr>
            <w:tcW w:w="925" w:type="dxa"/>
            <w:tcBorders>
              <w:top w:val="nil"/>
              <w:left w:val="nil"/>
              <w:bottom w:val="single" w:color="auto" w:sz="4" w:space="0"/>
              <w:right w:val="single" w:color="auto" w:sz="4" w:space="0"/>
            </w:tcBorders>
            <w:noWrap w:val="0"/>
            <w:vAlign w:val="center"/>
          </w:tcPr>
          <w:p w14:paraId="72CCD58A">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X＜100</w:t>
            </w:r>
          </w:p>
        </w:tc>
      </w:tr>
      <w:tr w14:paraId="2B2EFF83">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715BF435">
            <w:pPr>
              <w:widowControl/>
              <w:jc w:val="left"/>
              <w:rPr>
                <w:rFonts w:ascii="仿宋_GB2312" w:hAnsi="仿宋" w:eastAsia="仿宋_GB2312" w:cs="宋体"/>
                <w:b/>
                <w:bCs/>
                <w:kern w:val="0"/>
                <w:sz w:val="18"/>
                <w:szCs w:val="18"/>
              </w:rPr>
            </w:pPr>
          </w:p>
        </w:tc>
        <w:tc>
          <w:tcPr>
            <w:tcW w:w="1384" w:type="dxa"/>
            <w:tcBorders>
              <w:top w:val="nil"/>
              <w:left w:val="nil"/>
              <w:bottom w:val="single" w:color="auto" w:sz="4" w:space="0"/>
              <w:right w:val="single" w:color="auto" w:sz="4" w:space="0"/>
            </w:tcBorders>
            <w:noWrap w:val="0"/>
            <w:vAlign w:val="center"/>
          </w:tcPr>
          <w:p w14:paraId="66544912">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913" w:type="dxa"/>
            <w:tcBorders>
              <w:top w:val="nil"/>
              <w:left w:val="nil"/>
              <w:bottom w:val="single" w:color="auto" w:sz="4" w:space="0"/>
              <w:right w:val="single" w:color="auto" w:sz="4" w:space="0"/>
            </w:tcBorders>
            <w:noWrap w:val="0"/>
            <w:vAlign w:val="center"/>
          </w:tcPr>
          <w:p w14:paraId="3501A678">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620" w:type="dxa"/>
            <w:tcBorders>
              <w:top w:val="nil"/>
              <w:left w:val="nil"/>
              <w:bottom w:val="single" w:color="auto" w:sz="4" w:space="0"/>
              <w:right w:val="single" w:color="auto" w:sz="4" w:space="0"/>
            </w:tcBorders>
            <w:noWrap w:val="0"/>
            <w:vAlign w:val="center"/>
          </w:tcPr>
          <w:p w14:paraId="1AE4AF0B">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1000≤Y＜5000</w:t>
            </w:r>
          </w:p>
        </w:tc>
        <w:tc>
          <w:tcPr>
            <w:tcW w:w="1440" w:type="dxa"/>
            <w:tcBorders>
              <w:top w:val="nil"/>
              <w:left w:val="nil"/>
              <w:bottom w:val="single" w:color="auto" w:sz="4" w:space="0"/>
              <w:right w:val="single" w:color="auto" w:sz="4" w:space="0"/>
            </w:tcBorders>
            <w:noWrap w:val="0"/>
            <w:vAlign w:val="center"/>
          </w:tcPr>
          <w:p w14:paraId="3899D312">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500≤Y＜1000</w:t>
            </w:r>
          </w:p>
        </w:tc>
        <w:tc>
          <w:tcPr>
            <w:tcW w:w="925" w:type="dxa"/>
            <w:tcBorders>
              <w:top w:val="nil"/>
              <w:left w:val="nil"/>
              <w:bottom w:val="single" w:color="auto" w:sz="4" w:space="0"/>
              <w:right w:val="single" w:color="auto" w:sz="4" w:space="0"/>
            </w:tcBorders>
            <w:noWrap w:val="0"/>
            <w:vAlign w:val="center"/>
          </w:tcPr>
          <w:p w14:paraId="56E1CD84">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Y＜500</w:t>
            </w:r>
          </w:p>
        </w:tc>
      </w:tr>
      <w:tr w14:paraId="1F2A8504">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bottom"/>
          </w:tcPr>
          <w:p w14:paraId="6B0E1CD9">
            <w:pPr>
              <w:widowControl/>
              <w:jc w:val="center"/>
              <w:rPr>
                <w:rFonts w:hint="eastAsia" w:ascii="仿宋_GB2312" w:hAnsi="仿宋" w:eastAsia="仿宋_GB2312" w:cs="宋体"/>
                <w:b/>
                <w:bCs/>
                <w:kern w:val="0"/>
                <w:sz w:val="18"/>
                <w:szCs w:val="18"/>
              </w:rPr>
            </w:pPr>
            <w:r>
              <w:rPr>
                <w:rFonts w:hint="eastAsia" w:ascii="仿宋_GB2312" w:hAnsi="仿宋" w:eastAsia="仿宋_GB2312" w:cs="宋体"/>
                <w:b/>
                <w:bCs/>
                <w:kern w:val="0"/>
                <w:sz w:val="18"/>
                <w:szCs w:val="18"/>
              </w:rPr>
              <w:t>租赁和商务服务业</w:t>
            </w:r>
          </w:p>
        </w:tc>
        <w:tc>
          <w:tcPr>
            <w:tcW w:w="1384" w:type="dxa"/>
            <w:tcBorders>
              <w:top w:val="nil"/>
              <w:left w:val="nil"/>
              <w:bottom w:val="single" w:color="auto" w:sz="4" w:space="0"/>
              <w:right w:val="single" w:color="auto" w:sz="4" w:space="0"/>
            </w:tcBorders>
            <w:noWrap w:val="0"/>
            <w:vAlign w:val="center"/>
          </w:tcPr>
          <w:p w14:paraId="2D458091">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913" w:type="dxa"/>
            <w:tcBorders>
              <w:top w:val="nil"/>
              <w:left w:val="nil"/>
              <w:bottom w:val="single" w:color="auto" w:sz="4" w:space="0"/>
              <w:right w:val="single" w:color="auto" w:sz="4" w:space="0"/>
            </w:tcBorders>
            <w:noWrap w:val="0"/>
            <w:vAlign w:val="center"/>
          </w:tcPr>
          <w:p w14:paraId="4E99B417">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620" w:type="dxa"/>
            <w:tcBorders>
              <w:top w:val="nil"/>
              <w:left w:val="nil"/>
              <w:bottom w:val="single" w:color="auto" w:sz="4" w:space="0"/>
              <w:right w:val="single" w:color="auto" w:sz="4" w:space="0"/>
            </w:tcBorders>
            <w:noWrap w:val="0"/>
            <w:vAlign w:val="center"/>
          </w:tcPr>
          <w:p w14:paraId="10ECCA58">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100≤X＜300</w:t>
            </w:r>
          </w:p>
        </w:tc>
        <w:tc>
          <w:tcPr>
            <w:tcW w:w="1440" w:type="dxa"/>
            <w:tcBorders>
              <w:top w:val="nil"/>
              <w:left w:val="nil"/>
              <w:bottom w:val="single" w:color="auto" w:sz="4" w:space="0"/>
              <w:right w:val="single" w:color="auto" w:sz="4" w:space="0"/>
            </w:tcBorders>
            <w:noWrap w:val="0"/>
            <w:vAlign w:val="center"/>
          </w:tcPr>
          <w:p w14:paraId="7B173E1D">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10≤X＜100</w:t>
            </w:r>
          </w:p>
        </w:tc>
        <w:tc>
          <w:tcPr>
            <w:tcW w:w="925" w:type="dxa"/>
            <w:tcBorders>
              <w:top w:val="nil"/>
              <w:left w:val="nil"/>
              <w:bottom w:val="single" w:color="auto" w:sz="4" w:space="0"/>
              <w:right w:val="single" w:color="auto" w:sz="4" w:space="0"/>
            </w:tcBorders>
            <w:noWrap w:val="0"/>
            <w:vAlign w:val="center"/>
          </w:tcPr>
          <w:p w14:paraId="57501FE9">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X＜10</w:t>
            </w:r>
          </w:p>
        </w:tc>
      </w:tr>
      <w:tr w14:paraId="5F2FB4C4">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7E02A267">
            <w:pPr>
              <w:widowControl/>
              <w:jc w:val="left"/>
              <w:rPr>
                <w:rFonts w:ascii="仿宋_GB2312" w:hAnsi="仿宋" w:eastAsia="仿宋_GB2312" w:cs="宋体"/>
                <w:b/>
                <w:bCs/>
                <w:kern w:val="0"/>
                <w:sz w:val="18"/>
                <w:szCs w:val="18"/>
              </w:rPr>
            </w:pPr>
          </w:p>
        </w:tc>
        <w:tc>
          <w:tcPr>
            <w:tcW w:w="1384" w:type="dxa"/>
            <w:tcBorders>
              <w:top w:val="nil"/>
              <w:left w:val="nil"/>
              <w:bottom w:val="single" w:color="auto" w:sz="4" w:space="0"/>
              <w:right w:val="single" w:color="auto" w:sz="4" w:space="0"/>
            </w:tcBorders>
            <w:noWrap w:val="0"/>
            <w:vAlign w:val="center"/>
          </w:tcPr>
          <w:p w14:paraId="0CB59295">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资产总额（Z）</w:t>
            </w:r>
          </w:p>
        </w:tc>
        <w:tc>
          <w:tcPr>
            <w:tcW w:w="913" w:type="dxa"/>
            <w:tcBorders>
              <w:top w:val="nil"/>
              <w:left w:val="nil"/>
              <w:bottom w:val="single" w:color="auto" w:sz="4" w:space="0"/>
              <w:right w:val="single" w:color="auto" w:sz="4" w:space="0"/>
            </w:tcBorders>
            <w:noWrap w:val="0"/>
            <w:vAlign w:val="center"/>
          </w:tcPr>
          <w:p w14:paraId="47C66BB4">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620" w:type="dxa"/>
            <w:tcBorders>
              <w:top w:val="nil"/>
              <w:left w:val="nil"/>
              <w:bottom w:val="single" w:color="auto" w:sz="4" w:space="0"/>
              <w:right w:val="single" w:color="auto" w:sz="4" w:space="0"/>
            </w:tcBorders>
            <w:noWrap w:val="0"/>
            <w:vAlign w:val="center"/>
          </w:tcPr>
          <w:p w14:paraId="558E757D">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8000≤Z＜120000</w:t>
            </w:r>
          </w:p>
        </w:tc>
        <w:tc>
          <w:tcPr>
            <w:tcW w:w="1440" w:type="dxa"/>
            <w:tcBorders>
              <w:top w:val="nil"/>
              <w:left w:val="nil"/>
              <w:bottom w:val="single" w:color="auto" w:sz="4" w:space="0"/>
              <w:right w:val="single" w:color="auto" w:sz="4" w:space="0"/>
            </w:tcBorders>
            <w:noWrap w:val="0"/>
            <w:vAlign w:val="center"/>
          </w:tcPr>
          <w:p w14:paraId="06943D03">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100≤Z＜8000</w:t>
            </w:r>
          </w:p>
        </w:tc>
        <w:tc>
          <w:tcPr>
            <w:tcW w:w="925" w:type="dxa"/>
            <w:tcBorders>
              <w:top w:val="nil"/>
              <w:left w:val="nil"/>
              <w:bottom w:val="single" w:color="auto" w:sz="4" w:space="0"/>
              <w:right w:val="single" w:color="auto" w:sz="4" w:space="0"/>
            </w:tcBorders>
            <w:noWrap w:val="0"/>
            <w:vAlign w:val="center"/>
          </w:tcPr>
          <w:p w14:paraId="0632C30B">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Y＜100</w:t>
            </w:r>
          </w:p>
        </w:tc>
      </w:tr>
      <w:tr w14:paraId="0C37F198">
        <w:tblPrEx>
          <w:tblCellMar>
            <w:top w:w="0" w:type="dxa"/>
            <w:left w:w="108" w:type="dxa"/>
            <w:bottom w:w="0" w:type="dxa"/>
            <w:right w:w="108" w:type="dxa"/>
          </w:tblCellMar>
        </w:tblPrEx>
        <w:trPr>
          <w:trHeight w:val="225" w:hRule="atLeast"/>
        </w:trPr>
        <w:tc>
          <w:tcPr>
            <w:tcW w:w="1701" w:type="dxa"/>
            <w:tcBorders>
              <w:top w:val="nil"/>
              <w:left w:val="single" w:color="auto" w:sz="4" w:space="0"/>
              <w:bottom w:val="single" w:color="auto" w:sz="4" w:space="0"/>
              <w:right w:val="single" w:color="auto" w:sz="4" w:space="0"/>
            </w:tcBorders>
            <w:noWrap w:val="0"/>
            <w:vAlign w:val="bottom"/>
          </w:tcPr>
          <w:p w14:paraId="4073487B">
            <w:pPr>
              <w:widowControl/>
              <w:jc w:val="center"/>
              <w:rPr>
                <w:rFonts w:hint="eastAsia" w:ascii="仿宋_GB2312" w:hAnsi="仿宋" w:eastAsia="仿宋_GB2312" w:cs="宋体"/>
                <w:b/>
                <w:bCs/>
                <w:kern w:val="0"/>
                <w:sz w:val="18"/>
                <w:szCs w:val="18"/>
              </w:rPr>
            </w:pPr>
            <w:r>
              <w:rPr>
                <w:rFonts w:hint="eastAsia" w:ascii="仿宋_GB2312" w:hAnsi="仿宋" w:eastAsia="仿宋_GB2312" w:cs="宋体"/>
                <w:b/>
                <w:bCs/>
                <w:kern w:val="0"/>
                <w:sz w:val="18"/>
                <w:szCs w:val="18"/>
              </w:rPr>
              <w:t>其他未列明行业</w:t>
            </w:r>
          </w:p>
        </w:tc>
        <w:tc>
          <w:tcPr>
            <w:tcW w:w="1384" w:type="dxa"/>
            <w:tcBorders>
              <w:top w:val="nil"/>
              <w:left w:val="nil"/>
              <w:bottom w:val="single" w:color="auto" w:sz="4" w:space="0"/>
              <w:right w:val="single" w:color="auto" w:sz="4" w:space="0"/>
            </w:tcBorders>
            <w:noWrap w:val="0"/>
            <w:vAlign w:val="center"/>
          </w:tcPr>
          <w:p w14:paraId="1B9A8208">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913" w:type="dxa"/>
            <w:tcBorders>
              <w:top w:val="nil"/>
              <w:left w:val="nil"/>
              <w:bottom w:val="single" w:color="auto" w:sz="4" w:space="0"/>
              <w:right w:val="single" w:color="auto" w:sz="4" w:space="0"/>
            </w:tcBorders>
            <w:noWrap w:val="0"/>
            <w:vAlign w:val="center"/>
          </w:tcPr>
          <w:p w14:paraId="0964F957">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620" w:type="dxa"/>
            <w:tcBorders>
              <w:top w:val="nil"/>
              <w:left w:val="nil"/>
              <w:bottom w:val="single" w:color="auto" w:sz="4" w:space="0"/>
              <w:right w:val="single" w:color="auto" w:sz="4" w:space="0"/>
            </w:tcBorders>
            <w:noWrap w:val="0"/>
            <w:vAlign w:val="center"/>
          </w:tcPr>
          <w:p w14:paraId="79B1E0D5">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100≤X＜300</w:t>
            </w:r>
          </w:p>
        </w:tc>
        <w:tc>
          <w:tcPr>
            <w:tcW w:w="1440" w:type="dxa"/>
            <w:tcBorders>
              <w:top w:val="nil"/>
              <w:left w:val="nil"/>
              <w:bottom w:val="single" w:color="auto" w:sz="4" w:space="0"/>
              <w:right w:val="single" w:color="auto" w:sz="4" w:space="0"/>
            </w:tcBorders>
            <w:noWrap w:val="0"/>
            <w:vAlign w:val="center"/>
          </w:tcPr>
          <w:p w14:paraId="66D41D0F">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10≤X＜100</w:t>
            </w:r>
          </w:p>
        </w:tc>
        <w:tc>
          <w:tcPr>
            <w:tcW w:w="925" w:type="dxa"/>
            <w:tcBorders>
              <w:top w:val="nil"/>
              <w:left w:val="nil"/>
              <w:bottom w:val="single" w:color="auto" w:sz="4" w:space="0"/>
              <w:right w:val="single" w:color="auto" w:sz="4" w:space="0"/>
            </w:tcBorders>
            <w:noWrap w:val="0"/>
            <w:vAlign w:val="center"/>
          </w:tcPr>
          <w:p w14:paraId="1704487A">
            <w:pPr>
              <w:widowControl/>
              <w:jc w:val="left"/>
              <w:rPr>
                <w:rFonts w:hint="eastAsia" w:ascii="仿宋_GB2312" w:hAnsi="仿宋" w:eastAsia="仿宋_GB2312" w:cs="宋体"/>
                <w:kern w:val="0"/>
                <w:sz w:val="18"/>
                <w:szCs w:val="18"/>
              </w:rPr>
            </w:pPr>
            <w:r>
              <w:rPr>
                <w:rFonts w:hint="eastAsia" w:ascii="仿宋_GB2312" w:hAnsi="仿宋" w:eastAsia="仿宋_GB2312" w:cs="宋体"/>
                <w:kern w:val="0"/>
                <w:sz w:val="18"/>
                <w:szCs w:val="18"/>
              </w:rPr>
              <w:t>X＜10</w:t>
            </w:r>
          </w:p>
        </w:tc>
      </w:tr>
    </w:tbl>
    <w:p w14:paraId="63F48025">
      <w:pPr>
        <w:spacing w:line="360" w:lineRule="auto"/>
        <w:ind w:firstLine="525" w:firstLineChars="250"/>
        <w:rPr>
          <w:rFonts w:hint="eastAsia" w:ascii="仿宋_GB2312" w:hAnsi="仿宋" w:eastAsia="仿宋_GB2312"/>
          <w:szCs w:val="21"/>
        </w:rPr>
      </w:pPr>
      <w:r>
        <w:rPr>
          <w:rFonts w:hint="eastAsia" w:ascii="仿宋_GB2312" w:hAnsi="仿宋" w:eastAsia="仿宋_GB2312"/>
          <w:szCs w:val="21"/>
        </w:rPr>
        <w:t>说明：上述标准参照《关于印发中小企业划型标准规定的通知》（工信部联企业〔2011〕300号），大型、中型和小型企业须同时满足所列指标的下限，否则下划一档；微型企业只须满足所列指标中的一项即可。</w:t>
      </w:r>
    </w:p>
    <w:p w14:paraId="7C2A26ED">
      <w:pPr>
        <w:widowControl/>
        <w:jc w:val="left"/>
        <w:rPr>
          <w:rFonts w:ascii="宋体" w:hAnsi="宋体"/>
          <w:szCs w:val="20"/>
        </w:rPr>
        <w:sectPr>
          <w:pgSz w:w="11906" w:h="16838"/>
          <w:pgMar w:top="1134" w:right="1134" w:bottom="1134" w:left="1134" w:header="720" w:footer="720" w:gutter="0"/>
          <w:cols w:space="720" w:num="1"/>
          <w:docGrid w:type="lines" w:linePitch="331" w:charSpace="0"/>
        </w:sectPr>
      </w:pPr>
    </w:p>
    <w:p w14:paraId="0A3C3F64">
      <w:pPr>
        <w:pStyle w:val="11"/>
        <w:jc w:val="center"/>
        <w:outlineLvl w:val="0"/>
        <w:rPr>
          <w:rFonts w:hint="eastAsia" w:hAnsi="宋体"/>
          <w:b/>
          <w:sz w:val="36"/>
          <w:szCs w:val="36"/>
        </w:rPr>
      </w:pPr>
      <w:bookmarkStart w:id="48" w:name="_Toc211960297"/>
      <w:bookmarkStart w:id="49" w:name="_Toc532545044"/>
      <w:r>
        <w:rPr>
          <w:rFonts w:hint="eastAsia" w:ascii="Times New Roman" w:hAnsi="Times New Roman"/>
          <w:b/>
          <w:sz w:val="36"/>
        </w:rPr>
        <w:t>第三章</w:t>
      </w:r>
      <w:r>
        <w:rPr>
          <w:rFonts w:ascii="Times New Roman" w:hAnsi="Times New Roman"/>
          <w:b/>
          <w:sz w:val="36"/>
        </w:rPr>
        <w:t xml:space="preserve">  </w:t>
      </w:r>
      <w:r>
        <w:rPr>
          <w:rFonts w:hint="eastAsia" w:ascii="Times New Roman" w:hAnsi="Times New Roman"/>
          <w:b/>
          <w:sz w:val="36"/>
        </w:rPr>
        <w:t>投标人须知</w:t>
      </w:r>
      <w:bookmarkEnd w:id="48"/>
      <w:bookmarkEnd w:id="49"/>
    </w:p>
    <w:p w14:paraId="6B3B38F1">
      <w:pPr>
        <w:pStyle w:val="11"/>
        <w:spacing w:line="720" w:lineRule="auto"/>
        <w:jc w:val="center"/>
        <w:outlineLvl w:val="1"/>
        <w:rPr>
          <w:rFonts w:hint="eastAsia" w:ascii="Times New Roman" w:hAnsi="Times New Roman"/>
          <w:b/>
          <w:sz w:val="30"/>
          <w:szCs w:val="30"/>
        </w:rPr>
      </w:pPr>
      <w:bookmarkStart w:id="50" w:name="_Toc211960298"/>
      <w:r>
        <w:rPr>
          <w:rFonts w:hint="eastAsia" w:ascii="Times New Roman" w:hAnsi="Times New Roman"/>
          <w:b/>
          <w:sz w:val="30"/>
          <w:szCs w:val="30"/>
        </w:rPr>
        <w:t>第一节</w:t>
      </w:r>
      <w:r>
        <w:rPr>
          <w:rFonts w:ascii="Times New Roman" w:hAnsi="Times New Roman"/>
          <w:b/>
          <w:sz w:val="30"/>
          <w:szCs w:val="30"/>
        </w:rPr>
        <w:t xml:space="preserve"> </w:t>
      </w:r>
      <w:r>
        <w:rPr>
          <w:rFonts w:hint="eastAsia" w:ascii="Times New Roman" w:hAnsi="Times New Roman"/>
          <w:b/>
          <w:sz w:val="30"/>
          <w:szCs w:val="30"/>
        </w:rPr>
        <w:t>投标人须知前附表</w:t>
      </w:r>
      <w:bookmarkEnd w:id="50"/>
    </w:p>
    <w:tbl>
      <w:tblPr>
        <w:tblStyle w:val="16"/>
        <w:tblW w:w="10240" w:type="dxa"/>
        <w:tblInd w:w="113"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75"/>
        <w:gridCol w:w="2268"/>
        <w:gridCol w:w="7297"/>
      </w:tblGrid>
      <w:tr w14:paraId="7892A3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noWrap w:val="0"/>
            <w:vAlign w:val="center"/>
          </w:tcPr>
          <w:p w14:paraId="225A6BAC">
            <w:pPr>
              <w:snapToGrid w:val="0"/>
              <w:spacing w:line="360" w:lineRule="auto"/>
              <w:jc w:val="center"/>
              <w:rPr>
                <w:rFonts w:ascii="宋体" w:hAnsi="宋体"/>
                <w:color w:val="000000"/>
                <w:szCs w:val="21"/>
              </w:rPr>
            </w:pPr>
            <w:r>
              <w:rPr>
                <w:rFonts w:hint="eastAsia" w:ascii="宋体" w:hAnsi="宋体"/>
                <w:color w:val="000000"/>
                <w:szCs w:val="21"/>
              </w:rPr>
              <w:t>条款号</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058A98F9">
            <w:pPr>
              <w:snapToGrid w:val="0"/>
              <w:spacing w:line="360" w:lineRule="auto"/>
              <w:jc w:val="center"/>
              <w:rPr>
                <w:rFonts w:hint="eastAsia" w:ascii="宋体" w:hAnsi="宋体"/>
                <w:color w:val="000000"/>
                <w:szCs w:val="21"/>
              </w:rPr>
            </w:pPr>
            <w:r>
              <w:rPr>
                <w:rFonts w:hint="eastAsia" w:ascii="宋体" w:hAnsi="宋体"/>
                <w:color w:val="000000"/>
                <w:szCs w:val="21"/>
              </w:rPr>
              <w:t>项目内容</w:t>
            </w:r>
          </w:p>
        </w:tc>
        <w:tc>
          <w:tcPr>
            <w:tcW w:w="7297" w:type="dxa"/>
            <w:tcBorders>
              <w:top w:val="single" w:color="auto" w:sz="4" w:space="0"/>
              <w:left w:val="single" w:color="auto" w:sz="4" w:space="0"/>
              <w:bottom w:val="single" w:color="auto" w:sz="4" w:space="0"/>
              <w:right w:val="single" w:color="auto" w:sz="4" w:space="0"/>
            </w:tcBorders>
            <w:noWrap w:val="0"/>
            <w:vAlign w:val="center"/>
          </w:tcPr>
          <w:p w14:paraId="5CC48A29">
            <w:pPr>
              <w:snapToGrid w:val="0"/>
              <w:spacing w:line="360" w:lineRule="auto"/>
              <w:jc w:val="center"/>
              <w:rPr>
                <w:rFonts w:hint="eastAsia" w:ascii="宋体" w:hAnsi="宋体"/>
                <w:color w:val="000000"/>
                <w:szCs w:val="21"/>
              </w:rPr>
            </w:pPr>
            <w:r>
              <w:rPr>
                <w:rFonts w:hint="eastAsia" w:ascii="宋体" w:hAnsi="宋体"/>
                <w:color w:val="000000"/>
                <w:szCs w:val="21"/>
              </w:rPr>
              <w:t>编列内容</w:t>
            </w:r>
          </w:p>
        </w:tc>
      </w:tr>
      <w:tr w14:paraId="352BA9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noWrap w:val="0"/>
            <w:vAlign w:val="center"/>
          </w:tcPr>
          <w:p w14:paraId="4A3C541A">
            <w:pPr>
              <w:snapToGrid w:val="0"/>
              <w:spacing w:line="360" w:lineRule="auto"/>
              <w:jc w:val="center"/>
              <w:rPr>
                <w:rFonts w:hint="eastAsia" w:ascii="宋体" w:hAnsi="宋体"/>
                <w:color w:val="000000"/>
                <w:szCs w:val="21"/>
              </w:rPr>
            </w:pPr>
            <w:r>
              <w:rPr>
                <w:rFonts w:hint="eastAsia" w:ascii="宋体" w:hAnsi="宋体"/>
                <w:szCs w:val="21"/>
              </w:rPr>
              <w:t>3</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66CE263B">
            <w:pPr>
              <w:snapToGrid w:val="0"/>
              <w:spacing w:line="360" w:lineRule="auto"/>
              <w:jc w:val="left"/>
              <w:rPr>
                <w:rFonts w:hint="eastAsia" w:ascii="宋体" w:hAnsi="宋体"/>
                <w:color w:val="000000"/>
                <w:szCs w:val="21"/>
              </w:rPr>
            </w:pPr>
            <w:r>
              <w:rPr>
                <w:rFonts w:hint="eastAsia" w:ascii="宋体" w:hAnsi="宋体"/>
                <w:szCs w:val="21"/>
              </w:rPr>
              <w:t>投标人的资格要求</w:t>
            </w:r>
          </w:p>
        </w:tc>
        <w:tc>
          <w:tcPr>
            <w:tcW w:w="7297" w:type="dxa"/>
            <w:tcBorders>
              <w:top w:val="single" w:color="auto" w:sz="4" w:space="0"/>
              <w:left w:val="single" w:color="auto" w:sz="4" w:space="0"/>
              <w:bottom w:val="single" w:color="auto" w:sz="4" w:space="0"/>
              <w:right w:val="single" w:color="auto" w:sz="4" w:space="0"/>
            </w:tcBorders>
            <w:noWrap w:val="0"/>
            <w:vAlign w:val="center"/>
          </w:tcPr>
          <w:p w14:paraId="264AFE56">
            <w:pPr>
              <w:snapToGrid w:val="0"/>
              <w:spacing w:line="380" w:lineRule="exact"/>
              <w:jc w:val="left"/>
              <w:rPr>
                <w:rFonts w:ascii="宋体" w:hAnsi="宋体"/>
                <w:szCs w:val="21"/>
              </w:rPr>
            </w:pPr>
            <w:r>
              <w:rPr>
                <w:rFonts w:hint="eastAsia" w:ascii="宋体" w:hAnsi="宋体"/>
                <w:szCs w:val="21"/>
              </w:rPr>
              <w:t>1.投标人的资格要求详见招标公告。</w:t>
            </w:r>
          </w:p>
          <w:p w14:paraId="3CEE88E3">
            <w:pPr>
              <w:snapToGrid w:val="0"/>
              <w:spacing w:line="380" w:lineRule="exact"/>
              <w:jc w:val="left"/>
              <w:rPr>
                <w:rFonts w:hint="eastAsia" w:ascii="宋体" w:hAnsi="宋体"/>
                <w:szCs w:val="21"/>
              </w:rPr>
            </w:pPr>
            <w:r>
              <w:rPr>
                <w:rFonts w:hint="eastAsia" w:ascii="宋体" w:hAnsi="宋体"/>
                <w:szCs w:val="21"/>
              </w:rPr>
              <w:t>2.投标人出现下列情形之一的，不得参加政府采购活动：</w:t>
            </w:r>
          </w:p>
          <w:p w14:paraId="744E7D8E">
            <w:pPr>
              <w:snapToGrid w:val="0"/>
              <w:spacing w:line="380" w:lineRule="exact"/>
              <w:jc w:val="left"/>
              <w:rPr>
                <w:rFonts w:hint="eastAsia" w:ascii="宋体" w:hAnsi="宋体"/>
                <w:szCs w:val="21"/>
              </w:rPr>
            </w:pPr>
            <w:r>
              <w:rPr>
                <w:rFonts w:hint="eastAsia" w:ascii="宋体" w:hAnsi="宋体"/>
                <w:szCs w:val="21"/>
              </w:rPr>
              <w:t>2.1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7EDFF2FF">
            <w:pPr>
              <w:snapToGrid w:val="0"/>
              <w:spacing w:line="360" w:lineRule="auto"/>
              <w:jc w:val="left"/>
              <w:rPr>
                <w:rFonts w:hint="eastAsia" w:ascii="宋体" w:hAnsi="宋体"/>
                <w:color w:val="000000"/>
                <w:szCs w:val="21"/>
              </w:rPr>
            </w:pPr>
            <w:r>
              <w:rPr>
                <w:rFonts w:hint="eastAsia" w:ascii="宋体" w:hAnsi="宋体"/>
                <w:szCs w:val="21"/>
              </w:rPr>
              <w:t>2.2对在“信用中国”网站（www.creditchina.gov.cn）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tc>
      </w:tr>
      <w:tr w14:paraId="60DC06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noWrap w:val="0"/>
            <w:vAlign w:val="center"/>
          </w:tcPr>
          <w:p w14:paraId="2764EAFD">
            <w:pPr>
              <w:spacing w:line="380" w:lineRule="exact"/>
              <w:jc w:val="center"/>
              <w:rPr>
                <w:rFonts w:hint="eastAsia" w:ascii="宋体" w:hAnsi="宋体"/>
                <w:color w:val="000000"/>
                <w:szCs w:val="21"/>
              </w:rPr>
            </w:pPr>
            <w:r>
              <w:rPr>
                <w:rFonts w:hint="eastAsia" w:ascii="宋体" w:hAnsi="宋体"/>
                <w:color w:val="000000"/>
                <w:szCs w:val="21"/>
              </w:rPr>
              <w:t>6.1</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74BEB36D">
            <w:pPr>
              <w:spacing w:line="380" w:lineRule="exact"/>
              <w:rPr>
                <w:rFonts w:hint="eastAsia" w:ascii="宋体" w:hAnsi="宋体"/>
                <w:color w:val="000000"/>
                <w:szCs w:val="21"/>
              </w:rPr>
            </w:pPr>
            <w:bookmarkStart w:id="51" w:name="_8.1"/>
            <w:bookmarkEnd w:id="51"/>
            <w:bookmarkStart w:id="52" w:name="_5"/>
            <w:bookmarkEnd w:id="52"/>
            <w:bookmarkStart w:id="53" w:name="_9.2"/>
            <w:bookmarkEnd w:id="53"/>
            <w:r>
              <w:rPr>
                <w:rFonts w:hint="eastAsia" w:ascii="宋体" w:hAnsi="宋体"/>
                <w:color w:val="000000"/>
                <w:szCs w:val="21"/>
              </w:rPr>
              <w:t>是否接受联合体投标</w:t>
            </w:r>
          </w:p>
        </w:tc>
        <w:tc>
          <w:tcPr>
            <w:tcW w:w="7297" w:type="dxa"/>
            <w:tcBorders>
              <w:top w:val="single" w:color="auto" w:sz="4" w:space="0"/>
              <w:left w:val="single" w:color="auto" w:sz="4" w:space="0"/>
              <w:bottom w:val="single" w:color="auto" w:sz="4" w:space="0"/>
              <w:right w:val="single" w:color="auto" w:sz="4" w:space="0"/>
            </w:tcBorders>
            <w:noWrap w:val="0"/>
            <w:vAlign w:val="center"/>
          </w:tcPr>
          <w:p w14:paraId="3E8A4248">
            <w:pPr>
              <w:pStyle w:val="7"/>
              <w:spacing w:line="380" w:lineRule="exact"/>
              <w:rPr>
                <w:rFonts w:hint="eastAsia" w:ascii="宋体" w:hAnsi="宋体"/>
                <w:color w:val="000000"/>
                <w:szCs w:val="21"/>
                <w:lang w:val="en-US" w:eastAsia="zh-CN"/>
              </w:rPr>
            </w:pPr>
            <w:bookmarkStart w:id="54" w:name="PO_3000001866_PM007"/>
            <w:r>
              <w:rPr>
                <w:rFonts w:hint="eastAsia" w:ascii="宋体" w:hAnsi="宋体"/>
                <w:color w:val="000000"/>
                <w:szCs w:val="21"/>
                <w:lang w:val="en-US" w:eastAsia="zh-CN"/>
              </w:rPr>
              <w:t>各分标：不允许联合体投标</w:t>
            </w:r>
            <w:bookmarkEnd w:id="54"/>
            <w:r>
              <w:rPr>
                <w:rFonts w:hint="eastAsia" w:ascii="宋体" w:hAnsi="宋体"/>
                <w:color w:val="000000"/>
                <w:szCs w:val="21"/>
                <w:lang w:val="en-US" w:eastAsia="zh-CN"/>
              </w:rPr>
              <w:t>。</w:t>
            </w:r>
          </w:p>
        </w:tc>
      </w:tr>
      <w:tr w14:paraId="3D7C4A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noWrap w:val="0"/>
            <w:vAlign w:val="center"/>
          </w:tcPr>
          <w:p w14:paraId="712C549C">
            <w:pPr>
              <w:spacing w:line="380" w:lineRule="exact"/>
              <w:jc w:val="center"/>
              <w:rPr>
                <w:rFonts w:hint="eastAsia" w:ascii="宋体" w:hAnsi="宋体"/>
                <w:color w:val="000000"/>
                <w:szCs w:val="21"/>
              </w:rPr>
            </w:pPr>
            <w:r>
              <w:rPr>
                <w:rFonts w:hint="eastAsia" w:ascii="宋体" w:hAnsi="宋体"/>
                <w:color w:val="000000"/>
                <w:szCs w:val="21"/>
              </w:rPr>
              <w:t>6.2</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53F1C02A">
            <w:pPr>
              <w:spacing w:line="380" w:lineRule="exact"/>
              <w:rPr>
                <w:rFonts w:hint="eastAsia" w:ascii="宋体" w:hAnsi="宋体"/>
                <w:szCs w:val="21"/>
              </w:rPr>
            </w:pPr>
            <w:r>
              <w:rPr>
                <w:rFonts w:hint="eastAsia" w:ascii="宋体" w:hAnsi="宋体"/>
                <w:szCs w:val="21"/>
              </w:rPr>
              <w:t>联合体投标要求</w:t>
            </w:r>
          </w:p>
        </w:tc>
        <w:tc>
          <w:tcPr>
            <w:tcW w:w="7297" w:type="dxa"/>
            <w:tcBorders>
              <w:top w:val="single" w:color="auto" w:sz="4" w:space="0"/>
              <w:left w:val="single" w:color="auto" w:sz="4" w:space="0"/>
              <w:bottom w:val="single" w:color="auto" w:sz="4" w:space="0"/>
              <w:right w:val="single" w:color="auto" w:sz="4" w:space="0"/>
            </w:tcBorders>
            <w:noWrap w:val="0"/>
            <w:vAlign w:val="center"/>
          </w:tcPr>
          <w:p w14:paraId="45E076CB">
            <w:pPr>
              <w:pStyle w:val="7"/>
              <w:spacing w:line="380" w:lineRule="exact"/>
              <w:rPr>
                <w:rFonts w:hint="eastAsia" w:ascii="宋体" w:hAnsi="宋体"/>
                <w:szCs w:val="21"/>
                <w:lang w:val="en-US" w:eastAsia="zh-CN"/>
              </w:rPr>
            </w:pPr>
            <w:r>
              <w:rPr>
                <w:rFonts w:hint="eastAsia" w:ascii="宋体" w:hAnsi="宋体" w:cs="宋体"/>
                <w:szCs w:val="21"/>
              </w:rPr>
              <w:t>无</w:t>
            </w:r>
          </w:p>
        </w:tc>
      </w:tr>
      <w:tr w14:paraId="14602A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noWrap w:val="0"/>
            <w:vAlign w:val="center"/>
          </w:tcPr>
          <w:p w14:paraId="390AB40D">
            <w:pPr>
              <w:spacing w:line="380" w:lineRule="exact"/>
              <w:jc w:val="center"/>
              <w:rPr>
                <w:rFonts w:hint="eastAsia" w:ascii="宋体" w:hAnsi="宋体"/>
                <w:color w:val="000000"/>
                <w:szCs w:val="21"/>
              </w:rPr>
            </w:pPr>
            <w:r>
              <w:rPr>
                <w:rFonts w:hint="eastAsia" w:ascii="宋体" w:hAnsi="宋体"/>
                <w:color w:val="000000"/>
                <w:szCs w:val="21"/>
              </w:rPr>
              <w:t>7.1</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4F8BB9D3">
            <w:pPr>
              <w:spacing w:line="380" w:lineRule="exact"/>
              <w:rPr>
                <w:rFonts w:hint="eastAsia" w:ascii="宋体" w:hAnsi="宋体"/>
                <w:color w:val="000000"/>
                <w:szCs w:val="21"/>
              </w:rPr>
            </w:pPr>
            <w:r>
              <w:rPr>
                <w:rFonts w:hint="eastAsia" w:ascii="宋体" w:hAnsi="宋体"/>
                <w:color w:val="000000"/>
                <w:szCs w:val="21"/>
              </w:rPr>
              <w:t>是否允许转包/分包</w:t>
            </w:r>
          </w:p>
        </w:tc>
        <w:tc>
          <w:tcPr>
            <w:tcW w:w="7297" w:type="dxa"/>
            <w:tcBorders>
              <w:top w:val="single" w:color="auto" w:sz="4" w:space="0"/>
              <w:left w:val="single" w:color="auto" w:sz="4" w:space="0"/>
              <w:bottom w:val="single" w:color="auto" w:sz="4" w:space="0"/>
              <w:right w:val="single" w:color="auto" w:sz="4" w:space="0"/>
            </w:tcBorders>
            <w:noWrap w:val="0"/>
            <w:vAlign w:val="center"/>
          </w:tcPr>
          <w:p w14:paraId="28598A6B">
            <w:pPr>
              <w:pStyle w:val="7"/>
              <w:spacing w:line="380" w:lineRule="exact"/>
              <w:rPr>
                <w:rFonts w:hint="eastAsia" w:ascii="宋体" w:hAnsi="宋体"/>
                <w:szCs w:val="21"/>
                <w:lang w:val="en-US" w:eastAsia="zh-CN"/>
              </w:rPr>
            </w:pPr>
            <w:bookmarkStart w:id="55" w:name="PO_3000001867_PM044"/>
            <w:r>
              <w:rPr>
                <w:rFonts w:hint="eastAsia" w:ascii="宋体" w:hAnsi="MS Gothic" w:eastAsia="MS Gothic" w:cs="MS Gothic"/>
                <w:szCs w:val="21"/>
                <w:lang w:val="en-US" w:eastAsia="zh-CN"/>
              </w:rPr>
              <w:t>☑</w:t>
            </w:r>
            <w:r>
              <w:rPr>
                <w:rFonts w:hint="eastAsia" w:ascii="宋体" w:hAnsi="宋体"/>
                <w:szCs w:val="21"/>
                <w:lang w:val="en-US" w:eastAsia="zh-CN"/>
              </w:rPr>
              <w:t>不允许分包</w:t>
            </w:r>
            <w:bookmarkEnd w:id="55"/>
          </w:p>
          <w:p w14:paraId="0ABDBD47">
            <w:pPr>
              <w:pStyle w:val="7"/>
              <w:spacing w:line="380" w:lineRule="exact"/>
              <w:rPr>
                <w:rFonts w:hint="eastAsia" w:ascii="宋体" w:hAnsi="宋体"/>
                <w:szCs w:val="21"/>
                <w:lang w:val="en-US" w:eastAsia="zh-CN"/>
              </w:rPr>
            </w:pPr>
            <w:r>
              <w:rPr>
                <w:rFonts w:hint="eastAsia" w:ascii="宋体" w:hAnsi="宋体"/>
                <w:szCs w:val="21"/>
                <w:lang w:val="en-US" w:eastAsia="zh-CN"/>
              </w:rPr>
              <w:t>□允许转包/分包</w:t>
            </w:r>
          </w:p>
          <w:p w14:paraId="713E58E2">
            <w:pPr>
              <w:pStyle w:val="7"/>
              <w:spacing w:line="380" w:lineRule="exact"/>
              <w:rPr>
                <w:rFonts w:hint="eastAsia" w:ascii="宋体" w:hAnsi="宋体"/>
                <w:color w:val="000000"/>
                <w:szCs w:val="21"/>
                <w:lang w:val="en-US" w:eastAsia="zh-CN"/>
              </w:rPr>
            </w:pPr>
            <w:r>
              <w:rPr>
                <w:rFonts w:hint="eastAsia" w:ascii="宋体" w:hAnsi="宋体"/>
                <w:color w:val="000000"/>
                <w:szCs w:val="21"/>
                <w:lang w:val="en-US" w:eastAsia="zh-CN"/>
              </w:rPr>
              <w:t>转包/分包内容：</w:t>
            </w:r>
            <w:r>
              <w:rPr>
                <w:rFonts w:hint="eastAsia" w:ascii="宋体" w:hAnsi="宋体"/>
                <w:color w:val="000000"/>
                <w:szCs w:val="21"/>
                <w:u w:val="single"/>
                <w:lang w:val="en-US" w:eastAsia="zh-CN"/>
              </w:rPr>
              <w:t xml:space="preserve">                                     。</w:t>
            </w:r>
          </w:p>
          <w:p w14:paraId="72E1E4B5">
            <w:pPr>
              <w:pStyle w:val="7"/>
              <w:spacing w:line="380" w:lineRule="exact"/>
              <w:rPr>
                <w:rFonts w:hint="eastAsia" w:ascii="宋体" w:hAnsi="宋体"/>
                <w:color w:val="000000"/>
                <w:szCs w:val="21"/>
                <w:lang w:val="en-US" w:eastAsia="zh-CN"/>
              </w:rPr>
            </w:pPr>
            <w:r>
              <w:rPr>
                <w:rFonts w:hint="eastAsia" w:ascii="宋体" w:hAnsi="宋体"/>
                <w:color w:val="000000"/>
                <w:szCs w:val="21"/>
                <w:lang w:val="en-US" w:eastAsia="zh-CN"/>
              </w:rPr>
              <w:t>转包/分包金额或者比例：</w:t>
            </w:r>
            <w:r>
              <w:rPr>
                <w:rFonts w:hint="eastAsia" w:ascii="宋体" w:hAnsi="宋体"/>
                <w:color w:val="000000"/>
                <w:szCs w:val="21"/>
                <w:u w:val="single"/>
                <w:lang w:val="en-US" w:eastAsia="zh-CN"/>
              </w:rPr>
              <w:t xml:space="preserve">                                     。</w:t>
            </w:r>
          </w:p>
        </w:tc>
      </w:tr>
      <w:tr w14:paraId="0145D7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noWrap w:val="0"/>
            <w:vAlign w:val="center"/>
          </w:tcPr>
          <w:p w14:paraId="5232D92C">
            <w:pPr>
              <w:spacing w:line="380" w:lineRule="exact"/>
              <w:jc w:val="center"/>
              <w:rPr>
                <w:rFonts w:hint="eastAsia" w:ascii="宋体" w:hAnsi="宋体"/>
                <w:color w:val="000000"/>
                <w:szCs w:val="21"/>
              </w:rPr>
            </w:pPr>
            <w:r>
              <w:rPr>
                <w:rFonts w:hint="eastAsia" w:ascii="宋体" w:hAnsi="宋体"/>
                <w:color w:val="000000"/>
                <w:szCs w:val="21"/>
              </w:rPr>
              <w:t>11.4</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442D9578">
            <w:pPr>
              <w:spacing w:line="380" w:lineRule="exact"/>
              <w:rPr>
                <w:rFonts w:hint="eastAsia" w:ascii="宋体" w:hAnsi="宋体"/>
                <w:color w:val="000000"/>
                <w:szCs w:val="21"/>
              </w:rPr>
            </w:pPr>
            <w:r>
              <w:rPr>
                <w:rFonts w:hint="eastAsia" w:ascii="宋体" w:hAnsi="宋体"/>
                <w:color w:val="000000"/>
                <w:szCs w:val="21"/>
              </w:rPr>
              <w:t>媒体发布渠道</w:t>
            </w:r>
          </w:p>
        </w:tc>
        <w:tc>
          <w:tcPr>
            <w:tcW w:w="7297" w:type="dxa"/>
            <w:tcBorders>
              <w:top w:val="single" w:color="auto" w:sz="4" w:space="0"/>
              <w:left w:val="single" w:color="auto" w:sz="4" w:space="0"/>
              <w:bottom w:val="single" w:color="auto" w:sz="4" w:space="0"/>
              <w:right w:val="single" w:color="auto" w:sz="4" w:space="0"/>
            </w:tcBorders>
            <w:noWrap w:val="0"/>
            <w:vAlign w:val="center"/>
          </w:tcPr>
          <w:p w14:paraId="0ADC4A49">
            <w:pPr>
              <w:rPr>
                <w:rFonts w:hint="eastAsia" w:ascii="宋体" w:hAnsi="宋体"/>
                <w:sz w:val="28"/>
                <w:szCs w:val="18"/>
              </w:rPr>
            </w:pPr>
            <w:r>
              <w:rPr>
                <w:rFonts w:hint="eastAsia" w:ascii="宋体" w:hAnsi="宋体" w:cs="宋体"/>
                <w:color w:val="000000"/>
                <w:szCs w:val="21"/>
              </w:rPr>
              <w:t>与本项目相关的政府采购业务澄清、更正及与之相关的事项将在采购公告中“</w:t>
            </w:r>
            <w:r>
              <w:rPr>
                <w:rFonts w:hint="eastAsia" w:ascii="宋体" w:hAnsi="宋体"/>
                <w:color w:val="000000"/>
                <w:szCs w:val="21"/>
              </w:rPr>
              <w:t>六、其他补充事宜”中网上查询地址</w:t>
            </w:r>
            <w:r>
              <w:rPr>
                <w:rFonts w:hint="eastAsia" w:ascii="宋体" w:hAnsi="宋体" w:cs="宋体"/>
                <w:color w:val="000000"/>
                <w:szCs w:val="21"/>
              </w:rPr>
              <w:t>上发布</w:t>
            </w:r>
            <w:r>
              <w:rPr>
                <w:rFonts w:hint="eastAsia" w:ascii="宋体" w:hAnsi="宋体" w:cs="宋体"/>
                <w:color w:val="000000"/>
                <w:kern w:val="0"/>
                <w:szCs w:val="21"/>
              </w:rPr>
              <w:t>。</w:t>
            </w:r>
          </w:p>
        </w:tc>
      </w:tr>
      <w:tr w14:paraId="099F00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noWrap w:val="0"/>
            <w:vAlign w:val="center"/>
          </w:tcPr>
          <w:p w14:paraId="3C2A2CEC">
            <w:pPr>
              <w:spacing w:line="380" w:lineRule="exact"/>
              <w:jc w:val="center"/>
              <w:rPr>
                <w:rFonts w:ascii="宋体" w:hAnsi="宋体"/>
                <w:color w:val="000000"/>
                <w:szCs w:val="21"/>
              </w:rPr>
            </w:pPr>
            <w:r>
              <w:rPr>
                <w:rFonts w:hint="eastAsia" w:ascii="宋体" w:hAnsi="宋体"/>
                <w:color w:val="000000"/>
                <w:szCs w:val="21"/>
              </w:rPr>
              <w:t>11.6</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29AF6B73">
            <w:pPr>
              <w:spacing w:line="380" w:lineRule="exact"/>
              <w:rPr>
                <w:rFonts w:hint="eastAsia" w:ascii="宋体" w:hAnsi="宋体"/>
                <w:color w:val="000000"/>
                <w:szCs w:val="21"/>
              </w:rPr>
            </w:pPr>
            <w:r>
              <w:rPr>
                <w:rFonts w:hint="eastAsia" w:ascii="宋体" w:hAnsi="宋体"/>
                <w:color w:val="000000"/>
                <w:szCs w:val="21"/>
              </w:rPr>
              <w:t>是否组织标前答疑会</w:t>
            </w:r>
          </w:p>
        </w:tc>
        <w:tc>
          <w:tcPr>
            <w:tcW w:w="7297" w:type="dxa"/>
            <w:tcBorders>
              <w:top w:val="single" w:color="auto" w:sz="4" w:space="0"/>
              <w:left w:val="single" w:color="auto" w:sz="4" w:space="0"/>
              <w:bottom w:val="single" w:color="auto" w:sz="4" w:space="0"/>
              <w:right w:val="single" w:color="auto" w:sz="4" w:space="0"/>
            </w:tcBorders>
            <w:noWrap w:val="0"/>
            <w:vAlign w:val="center"/>
          </w:tcPr>
          <w:p w14:paraId="4FCAA613">
            <w:pPr>
              <w:snapToGrid w:val="0"/>
              <w:spacing w:line="380" w:lineRule="exact"/>
              <w:rPr>
                <w:rFonts w:hint="eastAsia" w:ascii="宋体" w:hAnsi="宋体"/>
                <w:color w:val="000000"/>
                <w:szCs w:val="21"/>
              </w:rPr>
            </w:pPr>
            <w:r>
              <w:rPr>
                <w:rFonts w:hint="eastAsia" w:ascii="宋体" w:hAnsi="MS Gothic" w:eastAsia="MS Gothic" w:cs="MS Gothic"/>
                <w:szCs w:val="21"/>
              </w:rPr>
              <w:t>☑</w:t>
            </w:r>
            <w:r>
              <w:rPr>
                <w:rFonts w:hint="eastAsia" w:ascii="宋体" w:hAnsi="宋体"/>
                <w:color w:val="000000"/>
                <w:szCs w:val="21"/>
              </w:rPr>
              <w:t>不组织召开开标前答疑会</w:t>
            </w:r>
          </w:p>
          <w:p w14:paraId="31E51FD5">
            <w:pPr>
              <w:snapToGrid w:val="0"/>
              <w:spacing w:line="380" w:lineRule="exact"/>
              <w:rPr>
                <w:rFonts w:hint="eastAsia" w:ascii="宋体" w:hAnsi="宋体"/>
                <w:color w:val="000000"/>
                <w:szCs w:val="21"/>
              </w:rPr>
            </w:pPr>
            <w:r>
              <w:rPr>
                <w:rFonts w:hint="eastAsia" w:ascii="宋体" w:hAnsi="宋体"/>
                <w:color w:val="000000"/>
                <w:szCs w:val="21"/>
              </w:rPr>
              <w:t>□组织召开开标前答疑会</w:t>
            </w:r>
          </w:p>
          <w:p w14:paraId="68B8F6C7">
            <w:pPr>
              <w:snapToGrid w:val="0"/>
              <w:spacing w:line="380" w:lineRule="exact"/>
              <w:rPr>
                <w:rFonts w:hint="eastAsia" w:ascii="宋体" w:hAnsi="宋体"/>
                <w:color w:val="000000"/>
                <w:szCs w:val="21"/>
                <w:u w:val="single"/>
              </w:rPr>
            </w:pPr>
            <w:r>
              <w:rPr>
                <w:rFonts w:hint="eastAsia" w:ascii="宋体" w:hAnsi="宋体"/>
                <w:color w:val="000000"/>
                <w:szCs w:val="21"/>
              </w:rPr>
              <w:t>会议开始时间：</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 xml:space="preserve">日 </w:t>
            </w:r>
            <w:r>
              <w:rPr>
                <w:rFonts w:hint="eastAsia" w:ascii="宋体" w:hAnsi="宋体"/>
                <w:color w:val="000000"/>
                <w:szCs w:val="21"/>
                <w:u w:val="single"/>
              </w:rPr>
              <w:t xml:space="preserve">  </w:t>
            </w:r>
            <w:r>
              <w:rPr>
                <w:rFonts w:hint="eastAsia" w:ascii="宋体" w:hAnsi="宋体"/>
                <w:color w:val="000000"/>
                <w:szCs w:val="21"/>
              </w:rPr>
              <w:t>时</w:t>
            </w:r>
            <w:r>
              <w:rPr>
                <w:rFonts w:hint="eastAsia" w:ascii="宋体" w:hAnsi="宋体"/>
                <w:color w:val="000000"/>
                <w:szCs w:val="21"/>
                <w:u w:val="single"/>
              </w:rPr>
              <w:t xml:space="preserve">  分</w:t>
            </w:r>
            <w:r>
              <w:rPr>
                <w:rFonts w:hint="eastAsia" w:ascii="宋体" w:hAnsi="宋体"/>
                <w:color w:val="000000"/>
                <w:szCs w:val="21"/>
              </w:rPr>
              <w:t>，逾期后果自负。会议地点：</w:t>
            </w:r>
            <w:r>
              <w:rPr>
                <w:rFonts w:hint="eastAsia" w:ascii="宋体" w:hAnsi="宋体"/>
                <w:color w:val="000000"/>
                <w:szCs w:val="21"/>
                <w:u w:val="single"/>
              </w:rPr>
              <w:t xml:space="preserve">              </w:t>
            </w:r>
          </w:p>
        </w:tc>
      </w:tr>
      <w:tr w14:paraId="6A6A70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nil"/>
              <w:left w:val="single" w:color="auto" w:sz="4" w:space="0"/>
              <w:bottom w:val="nil"/>
              <w:right w:val="single" w:color="auto" w:sz="4" w:space="0"/>
            </w:tcBorders>
            <w:noWrap w:val="0"/>
            <w:vAlign w:val="center"/>
          </w:tcPr>
          <w:p w14:paraId="458CAC59">
            <w:pPr>
              <w:spacing w:line="380" w:lineRule="exact"/>
              <w:jc w:val="center"/>
              <w:rPr>
                <w:rFonts w:hint="eastAsia" w:ascii="宋体" w:hAnsi="宋体"/>
                <w:color w:val="000000"/>
                <w:szCs w:val="21"/>
              </w:rPr>
            </w:pPr>
            <w:r>
              <w:rPr>
                <w:rFonts w:hint="eastAsia" w:ascii="宋体" w:hAnsi="宋体"/>
                <w:color w:val="000000"/>
                <w:szCs w:val="21"/>
              </w:rPr>
              <w:t>13.1</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6873B9CD">
            <w:pPr>
              <w:snapToGrid w:val="0"/>
              <w:spacing w:line="380" w:lineRule="exact"/>
              <w:jc w:val="left"/>
              <w:rPr>
                <w:rFonts w:hint="eastAsia" w:ascii="宋体" w:hAnsi="宋体" w:cs="Courier New"/>
                <w:color w:val="000000"/>
                <w:szCs w:val="21"/>
              </w:rPr>
            </w:pPr>
            <w:bookmarkStart w:id="56" w:name="_13.2"/>
            <w:bookmarkEnd w:id="56"/>
            <w:r>
              <w:rPr>
                <w:rFonts w:hint="eastAsia" w:ascii="宋体" w:hAnsi="宋体" w:cs="Courier New"/>
                <w:color w:val="000000"/>
                <w:szCs w:val="21"/>
              </w:rPr>
              <w:t>资格证明文件组成</w:t>
            </w:r>
          </w:p>
        </w:tc>
        <w:tc>
          <w:tcPr>
            <w:tcW w:w="7297" w:type="dxa"/>
            <w:tcBorders>
              <w:top w:val="single" w:color="auto" w:sz="4" w:space="0"/>
              <w:left w:val="single" w:color="auto" w:sz="4" w:space="0"/>
              <w:bottom w:val="single" w:color="auto" w:sz="4" w:space="0"/>
              <w:right w:val="single" w:color="auto" w:sz="4" w:space="0"/>
            </w:tcBorders>
            <w:noWrap w:val="0"/>
            <w:vAlign w:val="center"/>
          </w:tcPr>
          <w:p w14:paraId="0F936B4D">
            <w:pPr>
              <w:snapToGrid w:val="0"/>
              <w:spacing w:line="380" w:lineRule="exact"/>
              <w:jc w:val="left"/>
              <w:rPr>
                <w:rFonts w:hint="eastAsia" w:ascii="宋体" w:hAnsi="宋体"/>
                <w:color w:val="000000"/>
                <w:szCs w:val="21"/>
              </w:rPr>
            </w:pPr>
            <w:r>
              <w:rPr>
                <w:rFonts w:hint="eastAsia" w:ascii="宋体" w:hAnsi="宋体"/>
                <w:color w:val="000000"/>
                <w:szCs w:val="21"/>
              </w:rPr>
              <w:t>1、投标人为法人或者其他组织的，提供营业执照等证明文件</w:t>
            </w:r>
            <w:r>
              <w:rPr>
                <w:rFonts w:hint="eastAsia" w:ascii="宋体" w:hAnsi="宋体" w:cs="宋体"/>
                <w:color w:val="000000"/>
                <w:szCs w:val="21"/>
              </w:rPr>
              <w:t>（如营业执照或者事业单位法人证书或者</w:t>
            </w:r>
            <w:r>
              <w:rPr>
                <w:rStyle w:val="22"/>
                <w:szCs w:val="21"/>
              </w:rPr>
              <w:t>执业许可证</w:t>
            </w:r>
            <w:r>
              <w:rPr>
                <w:rFonts w:hint="eastAsia" w:ascii="宋体" w:hAnsi="宋体" w:cs="宋体"/>
                <w:color w:val="000000"/>
                <w:szCs w:val="21"/>
              </w:rPr>
              <w:t>等）</w:t>
            </w:r>
            <w:r>
              <w:rPr>
                <w:rFonts w:hint="eastAsia" w:ascii="宋体" w:hAnsi="宋体"/>
                <w:color w:val="000000"/>
                <w:szCs w:val="21"/>
              </w:rPr>
              <w:t>，投标人为自然人的，提供身份证</w:t>
            </w:r>
            <w:r>
              <w:rPr>
                <w:rFonts w:hint="eastAsia" w:ascii="宋体" w:hAnsi="宋体" w:cs="宋体"/>
                <w:color w:val="000000"/>
                <w:szCs w:val="21"/>
              </w:rPr>
              <w:t>复印件</w:t>
            </w:r>
            <w:r>
              <w:rPr>
                <w:rFonts w:hint="eastAsia" w:ascii="宋体" w:hAnsi="宋体"/>
                <w:color w:val="000000"/>
                <w:szCs w:val="21"/>
              </w:rPr>
              <w:t>。（</w:t>
            </w:r>
            <w:r>
              <w:rPr>
                <w:rFonts w:hint="eastAsia" w:ascii="宋体" w:hAnsi="宋体"/>
                <w:b/>
                <w:color w:val="000000"/>
                <w:szCs w:val="21"/>
              </w:rPr>
              <w:t>必须提供，否则作无效投标处理</w:t>
            </w:r>
            <w:r>
              <w:rPr>
                <w:rFonts w:hint="eastAsia" w:ascii="宋体" w:hAnsi="宋体"/>
                <w:color w:val="000000"/>
                <w:szCs w:val="21"/>
              </w:rPr>
              <w:t>）</w:t>
            </w:r>
          </w:p>
          <w:p w14:paraId="73025206">
            <w:pPr>
              <w:snapToGrid w:val="0"/>
              <w:spacing w:line="380" w:lineRule="exact"/>
              <w:jc w:val="left"/>
              <w:rPr>
                <w:rFonts w:hint="eastAsia" w:ascii="宋体" w:hAnsi="宋体"/>
                <w:color w:val="000000"/>
                <w:szCs w:val="21"/>
                <w:highlight w:val="none"/>
              </w:rPr>
            </w:pPr>
            <w:r>
              <w:rPr>
                <w:rFonts w:hint="eastAsia" w:ascii="宋体" w:hAnsi="宋体" w:cs="宋体"/>
                <w:color w:val="000000"/>
                <w:szCs w:val="21"/>
              </w:rPr>
              <w:t>2、投标人依法缴纳税收的相关</w:t>
            </w:r>
            <w:r>
              <w:rPr>
                <w:rFonts w:hint="eastAsia" w:ascii="宋体" w:hAnsi="宋体" w:cs="宋体"/>
                <w:color w:val="000000"/>
                <w:szCs w:val="21"/>
                <w:highlight w:val="none"/>
              </w:rPr>
              <w:t>材料</w:t>
            </w:r>
            <w:r>
              <w:rPr>
                <w:rFonts w:hint="eastAsia" w:ascii="宋体" w:hAnsi="宋体" w:cs="宋体"/>
                <w:szCs w:val="21"/>
                <w:highlight w:val="none"/>
                <w:u w:val="single"/>
              </w:rPr>
              <w:t>[</w:t>
            </w:r>
            <w:r>
              <w:rPr>
                <w:rFonts w:hint="eastAsia" w:ascii="宋体" w:hAnsi="宋体" w:cs="宋体"/>
                <w:szCs w:val="21"/>
                <w:highlight w:val="none"/>
                <w:u w:val="single"/>
                <w:lang w:val="en-US" w:eastAsia="zh-CN"/>
              </w:rPr>
              <w:t>2026</w:t>
            </w:r>
            <w:r>
              <w:rPr>
                <w:rFonts w:hint="eastAsia" w:ascii="宋体" w:hAnsi="宋体" w:cs="宋体"/>
                <w:szCs w:val="21"/>
                <w:highlight w:val="none"/>
                <w:u w:val="single"/>
              </w:rPr>
              <w:t>年</w:t>
            </w:r>
            <w:r>
              <w:rPr>
                <w:rFonts w:hint="eastAsia" w:ascii="宋体" w:hAnsi="宋体" w:cs="宋体"/>
                <w:szCs w:val="21"/>
                <w:highlight w:val="none"/>
                <w:u w:val="single"/>
                <w:lang w:val="en-US" w:eastAsia="zh-CN"/>
              </w:rPr>
              <w:t>4</w:t>
            </w:r>
            <w:r>
              <w:rPr>
                <w:rFonts w:hint="eastAsia" w:ascii="宋体" w:hAnsi="宋体" w:cs="宋体"/>
                <w:szCs w:val="21"/>
                <w:highlight w:val="none"/>
                <w:u w:val="single"/>
              </w:rPr>
              <w:t>月至</w:t>
            </w:r>
            <w:r>
              <w:rPr>
                <w:rFonts w:hint="eastAsia" w:ascii="宋体" w:hAnsi="宋体" w:cs="宋体"/>
                <w:szCs w:val="21"/>
                <w:highlight w:val="none"/>
                <w:u w:val="single"/>
                <w:lang w:val="en-US" w:eastAsia="zh-CN"/>
              </w:rPr>
              <w:t>2026</w:t>
            </w:r>
            <w:r>
              <w:rPr>
                <w:rFonts w:hint="eastAsia" w:ascii="宋体" w:hAnsi="宋体" w:cs="宋体"/>
                <w:szCs w:val="21"/>
                <w:highlight w:val="none"/>
                <w:u w:val="single"/>
              </w:rPr>
              <w:t>年</w:t>
            </w:r>
            <w:r>
              <w:rPr>
                <w:rFonts w:hint="eastAsia" w:ascii="宋体" w:hAnsi="宋体" w:cs="宋体"/>
                <w:szCs w:val="21"/>
                <w:highlight w:val="none"/>
                <w:u w:val="single"/>
                <w:lang w:val="en-US" w:eastAsia="zh-CN"/>
              </w:rPr>
              <w:t>9</w:t>
            </w:r>
            <w:r>
              <w:rPr>
                <w:rFonts w:hint="eastAsia" w:ascii="宋体" w:hAnsi="宋体" w:cs="宋体"/>
                <w:szCs w:val="21"/>
                <w:highlight w:val="none"/>
                <w:u w:val="single"/>
              </w:rPr>
              <w:t>月]</w:t>
            </w:r>
            <w:r>
              <w:rPr>
                <w:rFonts w:hint="eastAsia" w:ascii="宋体" w:hAnsi="宋体" w:eastAsia="宋体" w:cs="Cambria Math"/>
                <w:szCs w:val="21"/>
                <w:highlight w:val="none"/>
              </w:rPr>
              <w:t>期间任意</w:t>
            </w:r>
            <w:r>
              <w:rPr>
                <w:rFonts w:hint="eastAsia" w:ascii="宋体" w:hAnsi="宋体" w:eastAsia="宋体" w:cs="Cambria Math"/>
                <w:szCs w:val="21"/>
                <w:highlight w:val="none"/>
                <w:u w:val="single"/>
              </w:rPr>
              <w:t xml:space="preserve"> </w:t>
            </w:r>
            <w:r>
              <w:rPr>
                <w:rFonts w:ascii="宋体" w:hAnsi="宋体" w:eastAsia="宋体" w:cs="Cambria Math"/>
                <w:szCs w:val="21"/>
                <w:highlight w:val="none"/>
                <w:u w:val="single"/>
              </w:rPr>
              <w:t>1</w:t>
            </w:r>
            <w:r>
              <w:rPr>
                <w:rFonts w:hint="eastAsia" w:ascii="宋体" w:hAnsi="宋体" w:eastAsia="宋体" w:cs="Cambria Math"/>
                <w:szCs w:val="21"/>
                <w:highlight w:val="none"/>
                <w:u w:val="single"/>
              </w:rPr>
              <w:t xml:space="preserve">  </w:t>
            </w:r>
            <w:r>
              <w:rPr>
                <w:rFonts w:hint="eastAsia" w:ascii="宋体" w:hAnsi="宋体" w:eastAsia="宋体" w:cs="Cambria Math"/>
                <w:szCs w:val="21"/>
                <w:highlight w:val="none"/>
              </w:rPr>
              <w:t>个月</w:t>
            </w:r>
            <w:r>
              <w:rPr>
                <w:rFonts w:hint="eastAsia" w:ascii="宋体" w:hAnsi="宋体" w:cs="宋体"/>
                <w:color w:val="000000"/>
                <w:szCs w:val="21"/>
                <w:highlight w:val="none"/>
              </w:rPr>
              <w:t>的依法缴纳税收的凭据复印件；依</w:t>
            </w:r>
            <w:r>
              <w:rPr>
                <w:rFonts w:hint="eastAsia" w:ascii="宋体" w:hAnsi="宋体"/>
                <w:color w:val="000000"/>
                <w:szCs w:val="21"/>
                <w:highlight w:val="none"/>
              </w:rPr>
              <w:t>法免税的供应商，必须提供相应文件证明其依法免税。</w:t>
            </w:r>
            <w:r>
              <w:rPr>
                <w:rFonts w:hint="eastAsia" w:ascii="宋体" w:hAnsi="宋体" w:cs="宋体"/>
                <w:color w:val="000000"/>
                <w:szCs w:val="21"/>
                <w:highlight w:val="none"/>
              </w:rPr>
              <w:t>从取得营业执照时间起到投标文件提交截止时间为止不足要求月数的，只需提供从取得营业执照起的依法缴纳税收</w:t>
            </w:r>
            <w:r>
              <w:rPr>
                <w:rFonts w:hint="eastAsia" w:ascii="宋体" w:hAnsi="宋体"/>
                <w:color w:val="000000"/>
                <w:szCs w:val="21"/>
                <w:highlight w:val="none"/>
              </w:rPr>
              <w:t>相应证明文件</w:t>
            </w:r>
            <w:r>
              <w:rPr>
                <w:rFonts w:hint="eastAsia" w:ascii="宋体" w:hAnsi="宋体" w:cs="宋体"/>
                <w:color w:val="000000"/>
                <w:szCs w:val="21"/>
                <w:highlight w:val="none"/>
              </w:rPr>
              <w:t>）</w:t>
            </w:r>
            <w:r>
              <w:rPr>
                <w:rFonts w:hint="eastAsia" w:ascii="宋体" w:hAnsi="宋体"/>
                <w:color w:val="000000"/>
                <w:szCs w:val="21"/>
                <w:highlight w:val="none"/>
              </w:rPr>
              <w:t>。（</w:t>
            </w:r>
            <w:r>
              <w:rPr>
                <w:rFonts w:hint="eastAsia" w:ascii="宋体" w:hAnsi="宋体"/>
                <w:b/>
                <w:color w:val="000000"/>
                <w:szCs w:val="21"/>
                <w:highlight w:val="none"/>
              </w:rPr>
              <w:t>必须提供，否则作无效投标处理</w:t>
            </w:r>
            <w:r>
              <w:rPr>
                <w:rFonts w:hint="eastAsia" w:ascii="宋体" w:hAnsi="宋体"/>
                <w:color w:val="000000"/>
                <w:szCs w:val="21"/>
                <w:highlight w:val="none"/>
              </w:rPr>
              <w:t>）</w:t>
            </w:r>
          </w:p>
          <w:p w14:paraId="127EC475">
            <w:pPr>
              <w:snapToGrid w:val="0"/>
              <w:spacing w:line="380" w:lineRule="exact"/>
              <w:jc w:val="left"/>
              <w:rPr>
                <w:rFonts w:hint="eastAsia" w:ascii="宋体" w:hAnsi="宋体"/>
                <w:color w:val="000000"/>
                <w:szCs w:val="21"/>
              </w:rPr>
            </w:pPr>
            <w:r>
              <w:rPr>
                <w:rFonts w:hint="eastAsia" w:ascii="宋体" w:hAnsi="宋体" w:cs="宋体"/>
                <w:color w:val="000000"/>
                <w:szCs w:val="21"/>
                <w:highlight w:val="none"/>
              </w:rPr>
              <w:t>3、投标人依法缴纳社会保障资金的相关材料</w:t>
            </w:r>
            <w:r>
              <w:rPr>
                <w:rFonts w:hint="eastAsia" w:ascii="宋体" w:hAnsi="宋体" w:cs="宋体"/>
                <w:szCs w:val="21"/>
                <w:highlight w:val="none"/>
                <w:u w:val="single"/>
              </w:rPr>
              <w:t>[</w:t>
            </w:r>
            <w:r>
              <w:rPr>
                <w:rFonts w:hint="eastAsia" w:ascii="宋体" w:hAnsi="宋体" w:cs="宋体"/>
                <w:szCs w:val="21"/>
                <w:highlight w:val="none"/>
                <w:u w:val="single"/>
                <w:lang w:val="en-US" w:eastAsia="zh-CN"/>
              </w:rPr>
              <w:t>2026</w:t>
            </w:r>
            <w:r>
              <w:rPr>
                <w:rFonts w:hint="eastAsia" w:ascii="宋体" w:hAnsi="宋体" w:cs="宋体"/>
                <w:szCs w:val="21"/>
                <w:highlight w:val="none"/>
                <w:u w:val="single"/>
              </w:rPr>
              <w:t>年</w:t>
            </w:r>
            <w:r>
              <w:rPr>
                <w:rFonts w:hint="eastAsia" w:ascii="宋体" w:hAnsi="宋体" w:cs="宋体"/>
                <w:szCs w:val="21"/>
                <w:highlight w:val="none"/>
                <w:u w:val="single"/>
                <w:lang w:val="en-US" w:eastAsia="zh-CN"/>
              </w:rPr>
              <w:t>4</w:t>
            </w:r>
            <w:r>
              <w:rPr>
                <w:rFonts w:hint="eastAsia" w:ascii="宋体" w:hAnsi="宋体" w:cs="宋体"/>
                <w:szCs w:val="21"/>
                <w:highlight w:val="none"/>
                <w:u w:val="single"/>
              </w:rPr>
              <w:t>月至</w:t>
            </w:r>
            <w:r>
              <w:rPr>
                <w:rFonts w:hint="eastAsia" w:ascii="宋体" w:hAnsi="宋体" w:cs="宋体"/>
                <w:szCs w:val="21"/>
                <w:highlight w:val="none"/>
                <w:u w:val="single"/>
                <w:lang w:val="en-US" w:eastAsia="zh-CN"/>
              </w:rPr>
              <w:t>2026</w:t>
            </w:r>
            <w:r>
              <w:rPr>
                <w:rFonts w:hint="eastAsia" w:ascii="宋体" w:hAnsi="宋体" w:cs="宋体"/>
                <w:szCs w:val="21"/>
                <w:highlight w:val="none"/>
                <w:u w:val="single"/>
              </w:rPr>
              <w:t>年</w:t>
            </w:r>
            <w:r>
              <w:rPr>
                <w:rFonts w:hint="eastAsia" w:ascii="宋体" w:hAnsi="宋体" w:cs="宋体"/>
                <w:szCs w:val="21"/>
                <w:highlight w:val="none"/>
                <w:u w:val="single"/>
                <w:lang w:val="en-US" w:eastAsia="zh-CN"/>
              </w:rPr>
              <w:t>9</w:t>
            </w:r>
            <w:r>
              <w:rPr>
                <w:rFonts w:hint="eastAsia" w:ascii="宋体" w:hAnsi="宋体" w:cs="宋体"/>
                <w:szCs w:val="21"/>
                <w:highlight w:val="none"/>
                <w:u w:val="single"/>
              </w:rPr>
              <w:t>月]</w:t>
            </w:r>
            <w:r>
              <w:rPr>
                <w:rFonts w:hint="eastAsia" w:ascii="宋体" w:hAnsi="宋体" w:eastAsia="宋体" w:cs="Cambria Math"/>
                <w:szCs w:val="21"/>
                <w:highlight w:val="none"/>
              </w:rPr>
              <w:t>期间任意</w:t>
            </w:r>
            <w:r>
              <w:rPr>
                <w:rFonts w:hint="eastAsia" w:ascii="宋体" w:hAnsi="宋体" w:eastAsia="宋体" w:cs="Cambria Math"/>
                <w:szCs w:val="21"/>
                <w:highlight w:val="none"/>
                <w:u w:val="single"/>
              </w:rPr>
              <w:t xml:space="preserve"> </w:t>
            </w:r>
            <w:r>
              <w:rPr>
                <w:rFonts w:ascii="宋体" w:hAnsi="宋体" w:eastAsia="宋体" w:cs="Cambria Math"/>
                <w:szCs w:val="21"/>
                <w:highlight w:val="none"/>
                <w:u w:val="single"/>
              </w:rPr>
              <w:t>1</w:t>
            </w:r>
            <w:r>
              <w:rPr>
                <w:rFonts w:hint="eastAsia" w:ascii="宋体" w:hAnsi="宋体" w:eastAsia="宋体" w:cs="Cambria Math"/>
                <w:szCs w:val="21"/>
                <w:highlight w:val="none"/>
                <w:u w:val="single"/>
              </w:rPr>
              <w:t xml:space="preserve"> </w:t>
            </w:r>
            <w:r>
              <w:rPr>
                <w:rFonts w:hint="eastAsia" w:ascii="宋体" w:hAnsi="宋体" w:eastAsia="宋体" w:cs="Cambria Math"/>
                <w:szCs w:val="21"/>
                <w:highlight w:val="none"/>
              </w:rPr>
              <w:t>个月</w:t>
            </w:r>
            <w:r>
              <w:rPr>
                <w:rFonts w:hint="eastAsia" w:ascii="宋体" w:hAnsi="宋体" w:cs="宋体"/>
                <w:color w:val="000000"/>
                <w:szCs w:val="21"/>
                <w:highlight w:val="none"/>
              </w:rPr>
              <w:t>的依法缴纳社会保障资金的缴费凭证（专用收据或者社会保</w:t>
            </w:r>
            <w:r>
              <w:rPr>
                <w:rFonts w:hint="eastAsia" w:ascii="宋体" w:hAnsi="宋体" w:cs="宋体"/>
                <w:color w:val="000000"/>
                <w:szCs w:val="21"/>
              </w:rPr>
              <w:t>险缴纳清单）复印件；</w:t>
            </w:r>
            <w:r>
              <w:rPr>
                <w:rFonts w:hint="eastAsia" w:ascii="宋体" w:hAnsi="宋体"/>
                <w:color w:val="000000"/>
                <w:szCs w:val="21"/>
              </w:rPr>
              <w:t>依法不需要缴纳社会保障资金的供应商，必须提供相应文件证明不需要缴纳社会保障资金。</w:t>
            </w:r>
            <w:r>
              <w:rPr>
                <w:rFonts w:hint="eastAsia" w:ascii="宋体" w:hAnsi="宋体" w:cs="宋体"/>
                <w:color w:val="000000"/>
                <w:szCs w:val="21"/>
              </w:rPr>
              <w:t>从取得营业执照时间起到投标文件提交截止时间为止不足要求月数的只需提供从取得营业执照起的依法缴纳社会保障资金的</w:t>
            </w:r>
            <w:r>
              <w:rPr>
                <w:rFonts w:hint="eastAsia" w:ascii="宋体" w:hAnsi="宋体"/>
                <w:color w:val="000000"/>
                <w:szCs w:val="21"/>
              </w:rPr>
              <w:t>相应证明文件。（</w:t>
            </w:r>
            <w:r>
              <w:rPr>
                <w:rFonts w:hint="eastAsia" w:ascii="宋体" w:hAnsi="宋体"/>
                <w:b/>
                <w:color w:val="000000"/>
                <w:szCs w:val="21"/>
              </w:rPr>
              <w:t>必须提供，否则作无效投标处理</w:t>
            </w:r>
            <w:r>
              <w:rPr>
                <w:rFonts w:hint="eastAsia" w:ascii="宋体" w:hAnsi="宋体"/>
                <w:color w:val="000000"/>
                <w:szCs w:val="21"/>
              </w:rPr>
              <w:t>）</w:t>
            </w:r>
          </w:p>
          <w:p w14:paraId="79D02700">
            <w:pPr>
              <w:snapToGrid w:val="0"/>
              <w:spacing w:line="380" w:lineRule="exact"/>
              <w:jc w:val="left"/>
              <w:rPr>
                <w:rFonts w:hint="eastAsia" w:ascii="宋体" w:hAnsi="宋体"/>
                <w:color w:val="000000"/>
                <w:szCs w:val="21"/>
              </w:rPr>
            </w:pPr>
            <w:r>
              <w:rPr>
                <w:rFonts w:hint="eastAsia" w:ascii="宋体" w:hAnsi="宋体" w:cs="宋体"/>
                <w:color w:val="000000"/>
                <w:szCs w:val="21"/>
              </w:rPr>
              <w:t>4、投标人财务状况报告：</w:t>
            </w:r>
            <w:r>
              <w:rPr>
                <w:rFonts w:hint="eastAsia" w:ascii="宋体" w:hAnsi="宋体" w:eastAsia="宋体"/>
                <w:szCs w:val="21"/>
              </w:rPr>
              <w:t>[</w:t>
            </w:r>
            <w:r>
              <w:rPr>
                <w:rFonts w:hint="eastAsia" w:ascii="宋体" w:hAnsi="宋体" w:eastAsia="宋体"/>
                <w:szCs w:val="21"/>
                <w:u w:val="single"/>
                <w:lang w:bidi="ar"/>
              </w:rPr>
              <w:t>2024年或2025年</w:t>
            </w:r>
            <w:r>
              <w:rPr>
                <w:rFonts w:hint="eastAsia" w:ascii="宋体" w:hAnsi="宋体" w:eastAsia="宋体"/>
                <w:szCs w:val="21"/>
              </w:rPr>
              <w:t>]</w:t>
            </w:r>
            <w:r>
              <w:rPr>
                <w:rFonts w:hint="eastAsia" w:ascii="宋体" w:hAnsi="宋体"/>
                <w:color w:val="000000"/>
                <w:szCs w:val="21"/>
              </w:rPr>
              <w:t>财务状况报告复印件；供应商成立不满一年的应按提供截标之日上一个月的财务状况报告复印件。（上述财务状况报告包括：供应商执行《企业会计准则》的，提供资产负债表、利润表、现金流量表、所有者权益变动表及其附注（以下称“四表一注”）；供应商执行《小企业会计准则》的，提供资产负债表、利润表、现金流量表及其附注（以下称“三表一注”）；供应商执行《政府会计制度》的，提供资产负债表、收入费用表和净资产变动表及其附注)。（</w:t>
            </w:r>
            <w:r>
              <w:rPr>
                <w:rFonts w:hint="eastAsia" w:ascii="宋体" w:hAnsi="宋体"/>
                <w:b/>
                <w:color w:val="000000"/>
                <w:szCs w:val="21"/>
              </w:rPr>
              <w:t>必须提供，否则作无效投标处理</w:t>
            </w:r>
            <w:r>
              <w:rPr>
                <w:rFonts w:hint="eastAsia" w:ascii="宋体" w:hAnsi="宋体"/>
                <w:color w:val="000000"/>
                <w:szCs w:val="21"/>
              </w:rPr>
              <w:t>）</w:t>
            </w:r>
          </w:p>
          <w:p w14:paraId="71CCA25E">
            <w:pPr>
              <w:snapToGrid w:val="0"/>
              <w:spacing w:line="380" w:lineRule="exact"/>
              <w:jc w:val="left"/>
              <w:rPr>
                <w:rFonts w:hint="eastAsia" w:ascii="宋体" w:hAnsi="宋体"/>
                <w:color w:val="000000"/>
                <w:szCs w:val="21"/>
              </w:rPr>
            </w:pPr>
            <w:r>
              <w:rPr>
                <w:rFonts w:hint="eastAsia" w:ascii="宋体" w:hAnsi="宋体"/>
                <w:color w:val="000000"/>
                <w:szCs w:val="21"/>
              </w:rPr>
              <w:t>5、投标人直接控股、管理关系信息表。（</w:t>
            </w:r>
            <w:r>
              <w:rPr>
                <w:rFonts w:hint="eastAsia" w:ascii="宋体" w:hAnsi="宋体"/>
                <w:b/>
                <w:color w:val="000000"/>
                <w:szCs w:val="21"/>
              </w:rPr>
              <w:t>必须提供，否则作无效投标处理</w:t>
            </w:r>
            <w:r>
              <w:rPr>
                <w:rFonts w:hint="eastAsia" w:ascii="宋体" w:hAnsi="宋体"/>
                <w:color w:val="000000"/>
                <w:szCs w:val="21"/>
              </w:rPr>
              <w:t>）</w:t>
            </w:r>
          </w:p>
          <w:p w14:paraId="3C903D51">
            <w:pPr>
              <w:numPr>
                <w:ilvl w:val="0"/>
                <w:numId w:val="2"/>
              </w:numPr>
              <w:snapToGrid w:val="0"/>
              <w:spacing w:line="380" w:lineRule="exact"/>
              <w:jc w:val="left"/>
              <w:rPr>
                <w:rFonts w:hint="eastAsia" w:ascii="宋体" w:hAnsi="宋体"/>
                <w:color w:val="000000"/>
                <w:szCs w:val="21"/>
              </w:rPr>
            </w:pPr>
            <w:r>
              <w:rPr>
                <w:rFonts w:hint="eastAsia" w:ascii="宋体" w:hAnsi="宋体"/>
                <w:color w:val="000000"/>
                <w:szCs w:val="21"/>
              </w:rPr>
              <w:t>投标资格声明。（</w:t>
            </w:r>
            <w:r>
              <w:rPr>
                <w:rFonts w:hint="eastAsia" w:ascii="宋体" w:hAnsi="宋体"/>
                <w:b/>
                <w:color w:val="000000"/>
                <w:szCs w:val="21"/>
              </w:rPr>
              <w:t>必须提供，否则作无效投标处理</w:t>
            </w:r>
            <w:r>
              <w:rPr>
                <w:rFonts w:hint="eastAsia" w:ascii="宋体" w:hAnsi="宋体"/>
                <w:color w:val="000000"/>
                <w:szCs w:val="21"/>
              </w:rPr>
              <w:t>）</w:t>
            </w:r>
          </w:p>
          <w:p w14:paraId="726A8F9C">
            <w:pPr>
              <w:snapToGrid w:val="0"/>
              <w:spacing w:line="380" w:lineRule="exact"/>
              <w:jc w:val="left"/>
              <w:rPr>
                <w:rFonts w:hint="eastAsia" w:ascii="宋体" w:hAnsi="宋体"/>
                <w:color w:val="000000"/>
                <w:szCs w:val="21"/>
              </w:rPr>
            </w:pPr>
            <w:r>
              <w:rPr>
                <w:rFonts w:hint="eastAsia" w:ascii="宋体" w:hAnsi="宋体"/>
                <w:color w:val="000000"/>
                <w:szCs w:val="21"/>
              </w:rPr>
              <w:t>7、</w:t>
            </w:r>
            <w:r>
              <w:rPr>
                <w:rFonts w:hint="eastAsia" w:ascii="宋体" w:hAnsi="宋体" w:cs="宋体"/>
                <w:szCs w:val="21"/>
              </w:rPr>
              <w:t>《中小企业声明函》（或残疾人福利性单位声明函、监狱企业证明等材料）</w:t>
            </w:r>
            <w:r>
              <w:rPr>
                <w:rFonts w:hint="eastAsia" w:ascii="宋体" w:hAnsi="宋体"/>
                <w:szCs w:val="21"/>
              </w:rPr>
              <w:t>。</w:t>
            </w:r>
            <w:r>
              <w:rPr>
                <w:rFonts w:hint="eastAsia" w:ascii="宋体" w:hAnsi="宋体" w:cs="宋体"/>
                <w:szCs w:val="21"/>
              </w:rPr>
              <w:t>（</w:t>
            </w:r>
            <w:r>
              <w:rPr>
                <w:rFonts w:hint="eastAsia" w:ascii="宋体" w:hAnsi="宋体" w:eastAsia="宋体"/>
                <w:b/>
                <w:bCs/>
                <w:color w:val="000000"/>
                <w:szCs w:val="21"/>
              </w:rPr>
              <w:t>必须提供，否则作无效投标处理</w:t>
            </w:r>
            <w:r>
              <w:rPr>
                <w:rFonts w:hint="eastAsia" w:ascii="宋体" w:hAnsi="宋体" w:cs="宋体"/>
                <w:szCs w:val="21"/>
              </w:rPr>
              <w:t>）</w:t>
            </w:r>
          </w:p>
          <w:p w14:paraId="7CA76D93">
            <w:pPr>
              <w:snapToGrid w:val="0"/>
              <w:spacing w:line="380" w:lineRule="exact"/>
              <w:jc w:val="left"/>
              <w:rPr>
                <w:rFonts w:hint="eastAsia" w:ascii="宋体" w:hAnsi="宋体"/>
                <w:b w:val="0"/>
                <w:bCs w:val="0"/>
                <w:color w:val="000000"/>
                <w:szCs w:val="21"/>
              </w:rPr>
            </w:pPr>
            <w:r>
              <w:rPr>
                <w:rFonts w:hint="eastAsia" w:ascii="宋体" w:hAnsi="宋体"/>
                <w:color w:val="000000"/>
                <w:szCs w:val="21"/>
              </w:rPr>
              <w:t>8、联合体协议书。</w:t>
            </w:r>
            <w:r>
              <w:rPr>
                <w:rFonts w:hint="eastAsia" w:ascii="宋体" w:hAnsi="宋体"/>
                <w:b w:val="0"/>
                <w:bCs w:val="0"/>
                <w:color w:val="000000"/>
                <w:szCs w:val="21"/>
              </w:rPr>
              <w:t>（联合体投标时必须提供，否则作无效投标处理）</w:t>
            </w:r>
          </w:p>
          <w:p w14:paraId="4275F40A">
            <w:pPr>
              <w:snapToGrid w:val="0"/>
              <w:spacing w:line="380" w:lineRule="exact"/>
              <w:jc w:val="left"/>
              <w:rPr>
                <w:rFonts w:hint="eastAsia" w:ascii="宋体" w:hAnsi="宋体"/>
                <w:color w:val="000000"/>
                <w:szCs w:val="21"/>
              </w:rPr>
            </w:pPr>
            <w:r>
              <w:rPr>
                <w:rFonts w:hint="eastAsia" w:ascii="宋体" w:hAnsi="宋体"/>
                <w:color w:val="000000"/>
                <w:szCs w:val="21"/>
              </w:rPr>
              <w:t>9、除招标文件规定必须提供以外，投标人认为需要提供的其他证明材料；</w:t>
            </w:r>
          </w:p>
          <w:p w14:paraId="2C7CA937">
            <w:pPr>
              <w:snapToGrid w:val="0"/>
              <w:spacing w:line="380" w:lineRule="exact"/>
              <w:jc w:val="left"/>
              <w:rPr>
                <w:rFonts w:hint="eastAsia" w:ascii="宋体" w:hAnsi="宋体" w:cs="Courier New"/>
                <w:b/>
                <w:color w:val="000000"/>
                <w:szCs w:val="21"/>
              </w:rPr>
            </w:pPr>
            <w:r>
              <w:rPr>
                <w:rFonts w:hint="eastAsia" w:ascii="宋体" w:hAnsi="宋体"/>
                <w:b/>
                <w:bCs/>
                <w:color w:val="000000"/>
                <w:szCs w:val="21"/>
              </w:rPr>
              <w:t>注：1.</w:t>
            </w:r>
            <w:r>
              <w:rPr>
                <w:rFonts w:hint="eastAsia" w:ascii="宋体" w:hAnsi="宋体"/>
                <w:color w:val="000000"/>
                <w:szCs w:val="21"/>
              </w:rPr>
              <w:t xml:space="preserve"> </w:t>
            </w:r>
            <w:r>
              <w:rPr>
                <w:rFonts w:hint="eastAsia" w:ascii="宋体" w:hAnsi="宋体"/>
                <w:b/>
                <w:bCs/>
                <w:color w:val="000000"/>
                <w:szCs w:val="21"/>
              </w:rPr>
              <w:t>以上标明“必须提供”的材料</w:t>
            </w:r>
            <w:r>
              <w:rPr>
                <w:rFonts w:hint="eastAsia" w:ascii="宋体" w:hAnsi="宋体" w:cs="宋体"/>
                <w:b/>
                <w:szCs w:val="21"/>
              </w:rPr>
              <w:t>属于复印件的扫描件的</w:t>
            </w:r>
            <w:r>
              <w:rPr>
                <w:rFonts w:hint="eastAsia" w:ascii="宋体" w:hAnsi="宋体"/>
                <w:b/>
                <w:bCs/>
                <w:color w:val="000000"/>
                <w:szCs w:val="21"/>
              </w:rPr>
              <w:t>，必须加盖投标人电子公章，否则</w:t>
            </w:r>
            <w:r>
              <w:rPr>
                <w:rFonts w:hint="eastAsia" w:ascii="宋体" w:hAnsi="宋体" w:cs="Courier New"/>
                <w:b/>
                <w:color w:val="000000"/>
                <w:szCs w:val="21"/>
              </w:rPr>
              <w:t>作无效投标处理。</w:t>
            </w:r>
          </w:p>
          <w:p w14:paraId="38AAE316">
            <w:pPr>
              <w:snapToGrid w:val="0"/>
              <w:spacing w:line="380" w:lineRule="exact"/>
              <w:ind w:firstLine="422" w:firstLineChars="200"/>
              <w:jc w:val="left"/>
              <w:rPr>
                <w:rFonts w:hint="eastAsia" w:ascii="宋体" w:hAnsi="宋体"/>
                <w:b/>
                <w:bCs/>
                <w:color w:val="000000"/>
                <w:szCs w:val="21"/>
              </w:rPr>
            </w:pPr>
            <w:r>
              <w:rPr>
                <w:rFonts w:hint="eastAsia" w:ascii="宋体" w:hAnsi="宋体" w:cs="Courier New"/>
                <w:b/>
                <w:color w:val="000000"/>
                <w:szCs w:val="21"/>
              </w:rPr>
              <w:t>2</w:t>
            </w:r>
            <w:r>
              <w:rPr>
                <w:rFonts w:hint="eastAsia" w:ascii="宋体" w:hAnsi="宋体"/>
                <w:b/>
                <w:bCs/>
                <w:color w:val="000000"/>
                <w:szCs w:val="21"/>
              </w:rPr>
              <w:t>.联合体投标时，第1-5项资格证明文件联合体各方均必须分别提供，联合体各方分别盖章，否则投标文件按无效响应处理。</w:t>
            </w:r>
          </w:p>
        </w:tc>
      </w:tr>
      <w:tr w14:paraId="1F888B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nil"/>
              <w:left w:val="single" w:color="auto" w:sz="4" w:space="0"/>
              <w:bottom w:val="nil"/>
              <w:right w:val="single" w:color="auto" w:sz="4" w:space="0"/>
            </w:tcBorders>
            <w:noWrap w:val="0"/>
            <w:vAlign w:val="center"/>
          </w:tcPr>
          <w:p w14:paraId="036CA3AA">
            <w:pPr>
              <w:spacing w:line="380" w:lineRule="exact"/>
              <w:jc w:val="center"/>
              <w:rPr>
                <w:rFonts w:hint="eastAsia" w:ascii="宋体" w:hAnsi="宋体"/>
                <w:color w:val="000000"/>
                <w:szCs w:val="21"/>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14:paraId="1BC21339">
            <w:pPr>
              <w:snapToGrid w:val="0"/>
              <w:spacing w:line="380" w:lineRule="exact"/>
              <w:jc w:val="left"/>
              <w:rPr>
                <w:rFonts w:hint="eastAsia" w:ascii="宋体" w:hAnsi="宋体" w:cs="Courier New"/>
                <w:color w:val="000000"/>
                <w:szCs w:val="21"/>
              </w:rPr>
            </w:pPr>
            <w:bookmarkStart w:id="57" w:name="_13.3"/>
            <w:bookmarkEnd w:id="57"/>
            <w:r>
              <w:rPr>
                <w:rFonts w:hint="eastAsia" w:ascii="宋体" w:hAnsi="宋体" w:cs="Courier New"/>
                <w:color w:val="000000"/>
                <w:szCs w:val="21"/>
              </w:rPr>
              <w:t>商务文件组成</w:t>
            </w:r>
          </w:p>
          <w:p w14:paraId="21DA39AE">
            <w:pPr>
              <w:spacing w:line="380" w:lineRule="exact"/>
              <w:rPr>
                <w:rFonts w:hint="eastAsia" w:ascii="宋体" w:hAnsi="宋体"/>
                <w:color w:val="000000"/>
                <w:szCs w:val="21"/>
              </w:rPr>
            </w:pPr>
          </w:p>
        </w:tc>
        <w:tc>
          <w:tcPr>
            <w:tcW w:w="7297" w:type="dxa"/>
            <w:tcBorders>
              <w:top w:val="single" w:color="auto" w:sz="4" w:space="0"/>
              <w:left w:val="single" w:color="auto" w:sz="4" w:space="0"/>
              <w:bottom w:val="single" w:color="auto" w:sz="4" w:space="0"/>
              <w:right w:val="single" w:color="auto" w:sz="4" w:space="0"/>
            </w:tcBorders>
            <w:noWrap w:val="0"/>
            <w:vAlign w:val="center"/>
          </w:tcPr>
          <w:p w14:paraId="5DD5698B">
            <w:pPr>
              <w:snapToGrid w:val="0"/>
              <w:spacing w:line="380" w:lineRule="exact"/>
              <w:jc w:val="left"/>
              <w:rPr>
                <w:rFonts w:hint="eastAsia" w:ascii="宋体" w:hAnsi="宋体"/>
                <w:color w:val="000000"/>
                <w:szCs w:val="21"/>
              </w:rPr>
            </w:pPr>
            <w:r>
              <w:rPr>
                <w:rFonts w:hint="eastAsia" w:ascii="宋体" w:hAnsi="宋体"/>
                <w:color w:val="000000"/>
                <w:szCs w:val="21"/>
              </w:rPr>
              <w:t>1、无串通投标行为的承诺函；（</w:t>
            </w:r>
            <w:r>
              <w:rPr>
                <w:rFonts w:hint="eastAsia" w:ascii="宋体" w:hAnsi="宋体"/>
                <w:b/>
                <w:color w:val="000000"/>
                <w:szCs w:val="21"/>
              </w:rPr>
              <w:t>必须提供，否则作无效投标处理</w:t>
            </w:r>
            <w:r>
              <w:rPr>
                <w:rFonts w:hint="eastAsia" w:ascii="宋体" w:hAnsi="宋体"/>
                <w:color w:val="000000"/>
                <w:szCs w:val="21"/>
              </w:rPr>
              <w:t>）</w:t>
            </w:r>
          </w:p>
          <w:p w14:paraId="6073BA45">
            <w:pPr>
              <w:snapToGrid w:val="0"/>
              <w:spacing w:line="380" w:lineRule="exact"/>
              <w:jc w:val="left"/>
              <w:rPr>
                <w:rFonts w:hint="eastAsia" w:ascii="宋体" w:hAnsi="宋体"/>
                <w:color w:val="000000"/>
                <w:szCs w:val="21"/>
              </w:rPr>
            </w:pPr>
            <w:r>
              <w:rPr>
                <w:rFonts w:hint="eastAsia" w:ascii="宋体" w:hAnsi="宋体"/>
                <w:color w:val="000000"/>
                <w:szCs w:val="21"/>
              </w:rPr>
              <w:t>2、法定代表人身份证明及法定代表人有效身份证正反面复印件；（</w:t>
            </w:r>
            <w:r>
              <w:rPr>
                <w:rFonts w:hint="eastAsia" w:ascii="宋体" w:hAnsi="宋体" w:cs="宋体"/>
                <w:b/>
                <w:bCs/>
                <w:color w:val="000000"/>
                <w:szCs w:val="21"/>
              </w:rPr>
              <w:t>除自然人投标外</w:t>
            </w:r>
            <w:r>
              <w:rPr>
                <w:rFonts w:hint="eastAsia" w:ascii="宋体" w:hAnsi="宋体"/>
                <w:b/>
                <w:color w:val="000000"/>
                <w:szCs w:val="21"/>
              </w:rPr>
              <w:t>必须提供，否则作无效投标处理</w:t>
            </w:r>
            <w:r>
              <w:rPr>
                <w:rFonts w:hint="eastAsia" w:ascii="宋体" w:hAnsi="宋体"/>
                <w:color w:val="000000"/>
                <w:szCs w:val="21"/>
              </w:rPr>
              <w:t>）</w:t>
            </w:r>
          </w:p>
          <w:p w14:paraId="16010C2E">
            <w:pPr>
              <w:snapToGrid w:val="0"/>
              <w:spacing w:line="380" w:lineRule="exact"/>
              <w:jc w:val="left"/>
              <w:rPr>
                <w:rFonts w:hint="eastAsia" w:ascii="宋体" w:hAnsi="宋体"/>
                <w:color w:val="000000"/>
                <w:szCs w:val="21"/>
              </w:rPr>
            </w:pPr>
            <w:r>
              <w:rPr>
                <w:rFonts w:hint="eastAsia" w:ascii="宋体" w:hAnsi="宋体"/>
                <w:color w:val="000000"/>
                <w:szCs w:val="21"/>
              </w:rPr>
              <w:t>3、法定代表人授权委托书及委托代理人有效身份证正反面复印件；（</w:t>
            </w:r>
            <w:r>
              <w:rPr>
                <w:rFonts w:hint="eastAsia" w:ascii="宋体" w:hAnsi="宋体"/>
                <w:b/>
                <w:color w:val="000000"/>
                <w:szCs w:val="21"/>
              </w:rPr>
              <w:t>委托时必须提供，否则作无效投标处理</w:t>
            </w:r>
            <w:r>
              <w:rPr>
                <w:rFonts w:hint="eastAsia" w:ascii="宋体" w:hAnsi="宋体"/>
                <w:color w:val="000000"/>
                <w:szCs w:val="21"/>
              </w:rPr>
              <w:t>）</w:t>
            </w:r>
          </w:p>
          <w:p w14:paraId="4141E05C">
            <w:pPr>
              <w:snapToGrid w:val="0"/>
              <w:spacing w:line="380" w:lineRule="exact"/>
              <w:jc w:val="left"/>
              <w:rPr>
                <w:rFonts w:hint="eastAsia" w:ascii="宋体" w:hAnsi="宋体"/>
                <w:color w:val="000000"/>
                <w:szCs w:val="21"/>
              </w:rPr>
            </w:pPr>
            <w:r>
              <w:rPr>
                <w:rFonts w:hint="eastAsia" w:ascii="宋体" w:hAnsi="宋体"/>
                <w:color w:val="000000"/>
                <w:szCs w:val="21"/>
              </w:rPr>
              <w:t>4、商务条款偏离表；（</w:t>
            </w:r>
            <w:r>
              <w:rPr>
                <w:rFonts w:hint="eastAsia" w:ascii="宋体" w:hAnsi="宋体"/>
                <w:b/>
                <w:color w:val="000000"/>
                <w:szCs w:val="21"/>
              </w:rPr>
              <w:t>必须提供，否则作无效投标处理</w:t>
            </w:r>
            <w:r>
              <w:rPr>
                <w:rFonts w:hint="eastAsia" w:ascii="宋体" w:hAnsi="宋体"/>
                <w:color w:val="000000"/>
                <w:szCs w:val="21"/>
              </w:rPr>
              <w:t>）</w:t>
            </w:r>
          </w:p>
          <w:p w14:paraId="07A65485">
            <w:pPr>
              <w:snapToGrid w:val="0"/>
              <w:spacing w:line="380" w:lineRule="exact"/>
              <w:jc w:val="left"/>
              <w:rPr>
                <w:rFonts w:hint="eastAsia" w:ascii="宋体" w:hAnsi="宋体"/>
                <w:color w:val="000000"/>
                <w:szCs w:val="21"/>
              </w:rPr>
            </w:pPr>
            <w:r>
              <w:rPr>
                <w:rFonts w:hint="eastAsia" w:ascii="宋体" w:hAnsi="宋体"/>
                <w:color w:val="000000"/>
                <w:szCs w:val="21"/>
              </w:rPr>
              <w:t>5、投标人情况介绍；</w:t>
            </w:r>
          </w:p>
          <w:p w14:paraId="058BC4B8">
            <w:pPr>
              <w:snapToGrid w:val="0"/>
              <w:spacing w:line="380" w:lineRule="exact"/>
              <w:jc w:val="left"/>
              <w:rPr>
                <w:rFonts w:hint="eastAsia" w:ascii="宋体" w:hAnsi="宋体"/>
                <w:color w:val="000000"/>
                <w:szCs w:val="21"/>
              </w:rPr>
            </w:pPr>
            <w:r>
              <w:rPr>
                <w:rFonts w:hint="eastAsia" w:ascii="宋体" w:hAnsi="宋体"/>
                <w:color w:val="000000"/>
                <w:szCs w:val="21"/>
              </w:rPr>
              <w:t>6、除招标文件规定必须提供以外，投标人认为需要提供的其他证明材料。（投标人根据“第二章 采购需求”及“第四章 评标方法及评标标准”提供有关证明材料）。</w:t>
            </w:r>
          </w:p>
          <w:p w14:paraId="6C82DC38">
            <w:pPr>
              <w:snapToGrid w:val="0"/>
              <w:spacing w:line="380" w:lineRule="exact"/>
              <w:jc w:val="left"/>
              <w:rPr>
                <w:rFonts w:hint="eastAsia" w:ascii="宋体" w:hAnsi="宋体"/>
                <w:b/>
                <w:bCs/>
                <w:color w:val="000000"/>
                <w:szCs w:val="21"/>
              </w:rPr>
            </w:pPr>
            <w:r>
              <w:rPr>
                <w:rFonts w:hint="eastAsia" w:ascii="宋体" w:hAnsi="宋体"/>
                <w:b/>
                <w:bCs/>
                <w:color w:val="000000"/>
                <w:szCs w:val="21"/>
              </w:rPr>
              <w:t>注： 1.法定代表人授权委托书必须由法定代表人及委托代理人签字，并加盖投标人公章，否则作无效投标处理。</w:t>
            </w:r>
          </w:p>
          <w:p w14:paraId="2A9AA838">
            <w:pPr>
              <w:snapToGrid w:val="0"/>
              <w:spacing w:line="380" w:lineRule="exact"/>
              <w:ind w:firstLine="422" w:firstLineChars="200"/>
              <w:jc w:val="left"/>
              <w:rPr>
                <w:rFonts w:hint="eastAsia" w:ascii="宋体" w:hAnsi="宋体" w:cs="Courier New"/>
                <w:b/>
                <w:color w:val="000000"/>
                <w:szCs w:val="21"/>
              </w:rPr>
            </w:pPr>
            <w:r>
              <w:rPr>
                <w:rFonts w:hint="eastAsia" w:ascii="宋体" w:hAnsi="宋体"/>
                <w:b/>
                <w:bCs/>
                <w:color w:val="000000"/>
                <w:szCs w:val="21"/>
              </w:rPr>
              <w:t>2.</w:t>
            </w:r>
            <w:r>
              <w:rPr>
                <w:rFonts w:hint="eastAsia" w:ascii="宋体" w:hAnsi="宋体"/>
                <w:color w:val="000000"/>
                <w:szCs w:val="21"/>
              </w:rPr>
              <w:t xml:space="preserve"> </w:t>
            </w:r>
            <w:r>
              <w:rPr>
                <w:rFonts w:hint="eastAsia" w:ascii="宋体" w:hAnsi="宋体"/>
                <w:b/>
                <w:bCs/>
                <w:color w:val="000000"/>
                <w:szCs w:val="21"/>
              </w:rPr>
              <w:t>以上标明“必须提供”的材料</w:t>
            </w:r>
            <w:r>
              <w:rPr>
                <w:rFonts w:hint="eastAsia" w:ascii="宋体" w:hAnsi="宋体" w:cs="宋体"/>
                <w:b/>
                <w:szCs w:val="21"/>
              </w:rPr>
              <w:t>属于复印件的扫描件的</w:t>
            </w:r>
            <w:r>
              <w:rPr>
                <w:rFonts w:hint="eastAsia" w:ascii="宋体" w:hAnsi="宋体"/>
                <w:b/>
                <w:bCs/>
                <w:color w:val="000000"/>
                <w:szCs w:val="21"/>
              </w:rPr>
              <w:t>，必须加盖投标人电子公章，否则</w:t>
            </w:r>
            <w:r>
              <w:rPr>
                <w:rFonts w:hint="eastAsia" w:ascii="宋体" w:hAnsi="宋体" w:cs="Courier New"/>
                <w:b/>
                <w:color w:val="000000"/>
                <w:szCs w:val="21"/>
              </w:rPr>
              <w:t>作无效投标处理</w:t>
            </w:r>
            <w:r>
              <w:rPr>
                <w:rFonts w:hint="eastAsia" w:ascii="宋体" w:hAnsi="宋体"/>
                <w:b/>
                <w:bCs/>
                <w:color w:val="000000"/>
                <w:szCs w:val="21"/>
              </w:rPr>
              <w:t>。</w:t>
            </w:r>
          </w:p>
        </w:tc>
      </w:tr>
      <w:tr w14:paraId="36B373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vMerge w:val="restart"/>
            <w:tcBorders>
              <w:top w:val="nil"/>
              <w:left w:val="single" w:color="auto" w:sz="4" w:space="0"/>
              <w:bottom w:val="single" w:color="auto" w:sz="4" w:space="0"/>
              <w:right w:val="single" w:color="auto" w:sz="4" w:space="0"/>
            </w:tcBorders>
            <w:noWrap w:val="0"/>
            <w:vAlign w:val="center"/>
          </w:tcPr>
          <w:p w14:paraId="52771F88">
            <w:pPr>
              <w:spacing w:line="380" w:lineRule="exact"/>
              <w:jc w:val="center"/>
              <w:rPr>
                <w:rFonts w:hint="eastAsia" w:ascii="宋体" w:hAnsi="宋体"/>
                <w:color w:val="000000"/>
                <w:szCs w:val="21"/>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14:paraId="14C90C38">
            <w:pPr>
              <w:snapToGrid w:val="0"/>
              <w:spacing w:line="380" w:lineRule="exact"/>
              <w:jc w:val="left"/>
              <w:rPr>
                <w:rFonts w:hint="eastAsia" w:ascii="宋体" w:hAnsi="宋体" w:cs="Courier New"/>
                <w:color w:val="000000"/>
                <w:szCs w:val="21"/>
              </w:rPr>
            </w:pPr>
            <w:bookmarkStart w:id="58" w:name="_13.4"/>
            <w:bookmarkEnd w:id="58"/>
            <w:r>
              <w:rPr>
                <w:rFonts w:hint="eastAsia" w:ascii="宋体" w:hAnsi="宋体" w:cs="Courier New"/>
                <w:color w:val="000000"/>
                <w:szCs w:val="21"/>
              </w:rPr>
              <w:t>技术文件组成</w:t>
            </w:r>
          </w:p>
          <w:p w14:paraId="2D3B3568">
            <w:pPr>
              <w:spacing w:line="380" w:lineRule="exact"/>
              <w:rPr>
                <w:rFonts w:hint="eastAsia" w:ascii="宋体" w:hAnsi="宋体"/>
                <w:color w:val="000000"/>
                <w:szCs w:val="21"/>
              </w:rPr>
            </w:pPr>
          </w:p>
        </w:tc>
        <w:tc>
          <w:tcPr>
            <w:tcW w:w="7297" w:type="dxa"/>
            <w:tcBorders>
              <w:top w:val="single" w:color="auto" w:sz="4" w:space="0"/>
              <w:left w:val="single" w:color="auto" w:sz="4" w:space="0"/>
              <w:bottom w:val="single" w:color="auto" w:sz="4" w:space="0"/>
              <w:right w:val="single" w:color="auto" w:sz="4" w:space="0"/>
            </w:tcBorders>
            <w:noWrap w:val="0"/>
            <w:vAlign w:val="center"/>
          </w:tcPr>
          <w:p w14:paraId="4502D174">
            <w:pPr>
              <w:snapToGrid w:val="0"/>
              <w:spacing w:line="380" w:lineRule="exact"/>
              <w:jc w:val="left"/>
              <w:rPr>
                <w:rFonts w:hint="eastAsia" w:ascii="宋体" w:hAnsi="宋体"/>
                <w:color w:val="000000"/>
                <w:szCs w:val="21"/>
              </w:rPr>
            </w:pPr>
            <w:r>
              <w:rPr>
                <w:rFonts w:hint="eastAsia" w:ascii="宋体" w:hAnsi="宋体"/>
                <w:color w:val="000000"/>
                <w:szCs w:val="21"/>
              </w:rPr>
              <w:t>1、服务需求偏离表</w:t>
            </w:r>
            <w:r>
              <w:rPr>
                <w:rFonts w:hint="eastAsia" w:ascii="宋体" w:hAnsi="宋体"/>
                <w:color w:val="000000"/>
                <w:szCs w:val="21"/>
                <w:highlight w:val="none"/>
              </w:rPr>
              <w:t>；</w:t>
            </w:r>
            <w:r>
              <w:rPr>
                <w:rFonts w:hint="eastAsia" w:ascii="宋体" w:hAnsi="宋体"/>
                <w:color w:val="000000"/>
                <w:szCs w:val="21"/>
              </w:rPr>
              <w:t>（</w:t>
            </w:r>
            <w:r>
              <w:rPr>
                <w:rFonts w:hint="eastAsia" w:ascii="宋体" w:hAnsi="宋体"/>
                <w:b/>
                <w:color w:val="000000"/>
                <w:szCs w:val="21"/>
              </w:rPr>
              <w:t>必须提供，否则作无效投标处理</w:t>
            </w:r>
            <w:r>
              <w:rPr>
                <w:rFonts w:hint="eastAsia" w:ascii="宋体" w:hAnsi="宋体"/>
                <w:color w:val="000000"/>
                <w:szCs w:val="21"/>
              </w:rPr>
              <w:t>）</w:t>
            </w:r>
          </w:p>
          <w:p w14:paraId="3A8A23DD">
            <w:pPr>
              <w:snapToGrid w:val="0"/>
              <w:spacing w:line="380" w:lineRule="exact"/>
              <w:jc w:val="left"/>
              <w:rPr>
                <w:rFonts w:hint="eastAsia" w:ascii="宋体" w:hAnsi="宋体"/>
                <w:color w:val="000000"/>
                <w:szCs w:val="21"/>
              </w:rPr>
            </w:pPr>
            <w:r>
              <w:rPr>
                <w:rFonts w:hint="eastAsia" w:ascii="宋体" w:hAnsi="宋体"/>
                <w:color w:val="000000"/>
                <w:szCs w:val="21"/>
              </w:rPr>
              <w:t>2、</w:t>
            </w:r>
            <w:r>
              <w:rPr>
                <w:rFonts w:hint="eastAsia" w:ascii="宋体" w:hAnsi="宋体"/>
                <w:szCs w:val="21"/>
                <w:lang w:bidi="ar"/>
              </w:rPr>
              <w:t>组织服务方案（格式自拟</w:t>
            </w:r>
            <w:r>
              <w:rPr>
                <w:rFonts w:hint="eastAsia" w:ascii="宋体" w:hAnsi="宋体"/>
                <w:szCs w:val="21"/>
                <w:lang w:eastAsia="zh-CN" w:bidi="ar"/>
              </w:rPr>
              <w:t>，</w:t>
            </w:r>
            <w:r>
              <w:rPr>
                <w:rFonts w:hint="eastAsia" w:ascii="宋体" w:hAnsi="宋体" w:eastAsia="宋体"/>
                <w:color w:val="000000"/>
                <w:szCs w:val="21"/>
              </w:rPr>
              <w:t>如有请提供</w:t>
            </w:r>
            <w:r>
              <w:rPr>
                <w:rFonts w:hint="eastAsia" w:ascii="宋体" w:hAnsi="宋体"/>
                <w:szCs w:val="21"/>
                <w:lang w:bidi="ar"/>
              </w:rPr>
              <w:t>）【实施方案、</w:t>
            </w:r>
            <w:r>
              <w:rPr>
                <w:rFonts w:hint="eastAsia" w:ascii="宋体" w:hAnsi="宋体" w:eastAsia="宋体" w:cs="Times New Roman"/>
                <w:szCs w:val="21"/>
                <w:lang w:bidi="ar"/>
              </w:rPr>
              <w:t>服务承诺、</w:t>
            </w:r>
            <w:r>
              <w:rPr>
                <w:rFonts w:hint="eastAsia" w:ascii="宋体" w:hAnsi="宋体" w:eastAsia="宋体" w:cs="Times New Roman"/>
                <w:szCs w:val="21"/>
                <w:lang w:eastAsia="zh-CN" w:bidi="ar"/>
              </w:rPr>
              <w:t>实施专家队伍</w:t>
            </w:r>
            <w:r>
              <w:rPr>
                <w:rFonts w:hint="eastAsia" w:ascii="宋体" w:hAnsi="宋体"/>
                <w:szCs w:val="21"/>
                <w:lang w:bidi="ar"/>
              </w:rPr>
              <w:t>】；</w:t>
            </w:r>
          </w:p>
          <w:p w14:paraId="2D0D5381">
            <w:pPr>
              <w:snapToGrid w:val="0"/>
              <w:spacing w:line="380" w:lineRule="exact"/>
              <w:jc w:val="left"/>
              <w:rPr>
                <w:rFonts w:hint="eastAsia" w:ascii="宋体" w:hAnsi="宋体"/>
                <w:color w:val="000000"/>
                <w:szCs w:val="21"/>
              </w:rPr>
            </w:pPr>
            <w:r>
              <w:rPr>
                <w:rFonts w:hint="eastAsia" w:ascii="宋体" w:hAnsi="宋体"/>
                <w:color w:val="000000"/>
                <w:szCs w:val="21"/>
              </w:rPr>
              <w:t>3、售后服务方案；</w:t>
            </w:r>
            <w:r>
              <w:rPr>
                <w:rFonts w:hint="eastAsia" w:ascii="宋体" w:hAnsi="宋体" w:eastAsia="宋体"/>
                <w:color w:val="000000"/>
                <w:szCs w:val="21"/>
              </w:rPr>
              <w:t>（如有请提供）</w:t>
            </w:r>
          </w:p>
          <w:p w14:paraId="1C008829">
            <w:pPr>
              <w:snapToGrid w:val="0"/>
              <w:spacing w:line="380" w:lineRule="exact"/>
              <w:jc w:val="left"/>
              <w:rPr>
                <w:rFonts w:hint="eastAsia" w:ascii="宋体" w:hAnsi="宋体"/>
                <w:color w:val="000000"/>
                <w:szCs w:val="21"/>
              </w:rPr>
            </w:pPr>
            <w:r>
              <w:rPr>
                <w:rFonts w:hint="eastAsia" w:ascii="宋体" w:hAnsi="宋体"/>
                <w:color w:val="000000"/>
                <w:szCs w:val="21"/>
              </w:rPr>
              <w:t>4、项目实施人员一览表；</w:t>
            </w:r>
            <w:r>
              <w:rPr>
                <w:rFonts w:hint="eastAsia" w:ascii="宋体" w:hAnsi="宋体" w:eastAsia="宋体"/>
                <w:color w:val="000000"/>
                <w:szCs w:val="21"/>
              </w:rPr>
              <w:t>（如有请提供）</w:t>
            </w:r>
          </w:p>
          <w:p w14:paraId="2BFE7DDA">
            <w:pPr>
              <w:snapToGrid w:val="0"/>
              <w:spacing w:line="380" w:lineRule="exact"/>
              <w:jc w:val="left"/>
              <w:rPr>
                <w:rFonts w:hint="eastAsia" w:ascii="宋体" w:hAnsi="宋体"/>
                <w:color w:val="000000"/>
                <w:szCs w:val="21"/>
              </w:rPr>
            </w:pPr>
            <w:r>
              <w:rPr>
                <w:rFonts w:hint="eastAsia" w:ascii="宋体" w:hAnsi="宋体"/>
                <w:color w:val="000000"/>
                <w:szCs w:val="21"/>
              </w:rPr>
              <w:t>5、投标人对本项目的合理化建议和改进措施；</w:t>
            </w:r>
          </w:p>
          <w:p w14:paraId="00529720">
            <w:pPr>
              <w:snapToGrid w:val="0"/>
              <w:spacing w:line="380" w:lineRule="exact"/>
              <w:jc w:val="left"/>
              <w:rPr>
                <w:rFonts w:hint="eastAsia" w:ascii="宋体" w:hAnsi="宋体"/>
                <w:bCs/>
                <w:color w:val="000000"/>
                <w:szCs w:val="21"/>
              </w:rPr>
            </w:pPr>
            <w:r>
              <w:rPr>
                <w:rFonts w:hint="eastAsia" w:ascii="宋体" w:hAnsi="宋体"/>
                <w:color w:val="000000"/>
                <w:szCs w:val="21"/>
              </w:rPr>
              <w:t>6、除招标文件规定必须提供以外，投标人需要说明的其他文件和说明。</w:t>
            </w:r>
          </w:p>
          <w:p w14:paraId="4FA56944">
            <w:pPr>
              <w:snapToGrid w:val="0"/>
              <w:spacing w:line="380" w:lineRule="exact"/>
              <w:jc w:val="left"/>
              <w:rPr>
                <w:rFonts w:hint="eastAsia" w:ascii="宋体" w:hAnsi="宋体"/>
                <w:b/>
                <w:bCs/>
                <w:color w:val="000000"/>
                <w:szCs w:val="21"/>
              </w:rPr>
            </w:pPr>
            <w:r>
              <w:rPr>
                <w:rFonts w:hint="eastAsia" w:ascii="宋体" w:hAnsi="宋体"/>
                <w:b/>
                <w:bCs/>
                <w:color w:val="000000"/>
                <w:szCs w:val="21"/>
              </w:rPr>
              <w:t>注：以上标明“必须提供”的材料</w:t>
            </w:r>
            <w:r>
              <w:rPr>
                <w:rFonts w:hint="eastAsia" w:ascii="宋体" w:hAnsi="宋体" w:cs="宋体"/>
                <w:b/>
                <w:szCs w:val="21"/>
              </w:rPr>
              <w:t>属于复印件的扫描件的</w:t>
            </w:r>
            <w:r>
              <w:rPr>
                <w:rFonts w:hint="eastAsia" w:ascii="宋体" w:hAnsi="宋体"/>
                <w:b/>
                <w:bCs/>
                <w:color w:val="000000"/>
                <w:szCs w:val="21"/>
              </w:rPr>
              <w:t>，必须加盖投标人电子公章，否则</w:t>
            </w:r>
            <w:r>
              <w:rPr>
                <w:rFonts w:hint="eastAsia" w:ascii="宋体" w:hAnsi="宋体" w:cs="Courier New"/>
                <w:b/>
                <w:color w:val="000000"/>
                <w:szCs w:val="21"/>
              </w:rPr>
              <w:t>作无效投标处理</w:t>
            </w:r>
            <w:r>
              <w:rPr>
                <w:rFonts w:hint="eastAsia" w:ascii="宋体" w:hAnsi="宋体"/>
                <w:b/>
                <w:bCs/>
                <w:color w:val="000000"/>
                <w:szCs w:val="21"/>
              </w:rPr>
              <w:t>。</w:t>
            </w:r>
          </w:p>
        </w:tc>
      </w:tr>
      <w:tr w14:paraId="0976C3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vMerge w:val="continue"/>
            <w:tcBorders>
              <w:top w:val="nil"/>
              <w:left w:val="single" w:color="auto" w:sz="4" w:space="0"/>
              <w:bottom w:val="single" w:color="auto" w:sz="4" w:space="0"/>
              <w:right w:val="single" w:color="auto" w:sz="4" w:space="0"/>
            </w:tcBorders>
            <w:noWrap w:val="0"/>
            <w:vAlign w:val="center"/>
          </w:tcPr>
          <w:p w14:paraId="15B40CE8">
            <w:pPr>
              <w:widowControl/>
              <w:jc w:val="center"/>
              <w:rPr>
                <w:rFonts w:ascii="宋体" w:hAnsi="宋体"/>
                <w:color w:val="000000"/>
                <w:szCs w:val="21"/>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14:paraId="40EAC6C1">
            <w:pPr>
              <w:snapToGrid w:val="0"/>
              <w:spacing w:line="380" w:lineRule="exact"/>
              <w:jc w:val="left"/>
              <w:rPr>
                <w:rFonts w:hint="eastAsia" w:ascii="宋体" w:hAnsi="宋体" w:cs="Courier New"/>
                <w:color w:val="000000"/>
                <w:szCs w:val="21"/>
              </w:rPr>
            </w:pPr>
            <w:r>
              <w:rPr>
                <w:rFonts w:hint="eastAsia" w:ascii="宋体" w:hAnsi="宋体" w:cs="Courier New"/>
                <w:color w:val="000000"/>
                <w:szCs w:val="21"/>
              </w:rPr>
              <w:t>报价文件</w:t>
            </w:r>
            <w:r>
              <w:rPr>
                <w:rFonts w:hint="eastAsia" w:ascii="宋体" w:hAnsi="宋体"/>
                <w:color w:val="000000"/>
                <w:szCs w:val="21"/>
              </w:rPr>
              <w:t>组成</w:t>
            </w:r>
          </w:p>
        </w:tc>
        <w:tc>
          <w:tcPr>
            <w:tcW w:w="7297" w:type="dxa"/>
            <w:tcBorders>
              <w:top w:val="single" w:color="auto" w:sz="4" w:space="0"/>
              <w:left w:val="single" w:color="auto" w:sz="4" w:space="0"/>
              <w:bottom w:val="single" w:color="auto" w:sz="4" w:space="0"/>
              <w:right w:val="single" w:color="auto" w:sz="4" w:space="0"/>
            </w:tcBorders>
            <w:noWrap w:val="0"/>
            <w:vAlign w:val="center"/>
          </w:tcPr>
          <w:p w14:paraId="7A027A80">
            <w:pPr>
              <w:tabs>
                <w:tab w:val="left" w:pos="459"/>
              </w:tabs>
              <w:snapToGrid w:val="0"/>
              <w:spacing w:line="380" w:lineRule="exact"/>
              <w:jc w:val="left"/>
              <w:rPr>
                <w:rFonts w:hint="eastAsia" w:ascii="宋体" w:hAnsi="宋体"/>
                <w:color w:val="000000"/>
                <w:szCs w:val="21"/>
              </w:rPr>
            </w:pPr>
            <w:r>
              <w:rPr>
                <w:rFonts w:hint="eastAsia" w:ascii="宋体" w:hAnsi="宋体"/>
                <w:color w:val="000000"/>
                <w:szCs w:val="21"/>
              </w:rPr>
              <w:t>1、投标函；</w:t>
            </w:r>
            <w:r>
              <w:rPr>
                <w:rFonts w:hint="eastAsia" w:ascii="宋体" w:hAnsi="宋体"/>
                <w:b/>
                <w:color w:val="000000"/>
                <w:szCs w:val="21"/>
              </w:rPr>
              <w:t>（必须提供，否则作无效投标处理）</w:t>
            </w:r>
          </w:p>
          <w:p w14:paraId="6D90D9AA">
            <w:pPr>
              <w:tabs>
                <w:tab w:val="left" w:pos="459"/>
              </w:tabs>
              <w:snapToGrid w:val="0"/>
              <w:spacing w:line="380" w:lineRule="exact"/>
              <w:jc w:val="left"/>
              <w:rPr>
                <w:rFonts w:hint="eastAsia" w:ascii="宋体" w:hAnsi="宋体"/>
                <w:color w:val="000000"/>
                <w:szCs w:val="21"/>
              </w:rPr>
            </w:pPr>
            <w:r>
              <w:rPr>
                <w:rFonts w:hint="eastAsia" w:ascii="宋体" w:hAnsi="宋体"/>
                <w:color w:val="000000"/>
                <w:szCs w:val="21"/>
              </w:rPr>
              <w:t>2、开标一览表；（</w:t>
            </w:r>
            <w:r>
              <w:rPr>
                <w:rFonts w:hint="eastAsia" w:ascii="宋体" w:hAnsi="宋体"/>
                <w:b/>
                <w:color w:val="000000"/>
                <w:szCs w:val="21"/>
              </w:rPr>
              <w:t>必须提供，否则作无效投标处理</w:t>
            </w:r>
            <w:r>
              <w:rPr>
                <w:rFonts w:hint="eastAsia" w:ascii="宋体" w:hAnsi="宋体"/>
                <w:color w:val="000000"/>
                <w:szCs w:val="21"/>
              </w:rPr>
              <w:t>）</w:t>
            </w:r>
          </w:p>
          <w:p w14:paraId="5DEAC623">
            <w:pPr>
              <w:tabs>
                <w:tab w:val="left" w:pos="459"/>
              </w:tabs>
              <w:snapToGrid w:val="0"/>
              <w:spacing w:line="380" w:lineRule="exact"/>
              <w:jc w:val="left"/>
              <w:rPr>
                <w:rFonts w:hint="eastAsia" w:ascii="宋体" w:hAnsi="宋体"/>
                <w:color w:val="000000"/>
                <w:szCs w:val="21"/>
              </w:rPr>
            </w:pPr>
            <w:r>
              <w:rPr>
                <w:rFonts w:hint="eastAsia" w:ascii="宋体" w:hAnsi="宋体"/>
                <w:color w:val="000000"/>
                <w:szCs w:val="21"/>
              </w:rPr>
              <w:t>3、投标人针对报价需要说明的其他文件和说明。</w:t>
            </w:r>
          </w:p>
        </w:tc>
      </w:tr>
      <w:tr w14:paraId="16E3C4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noWrap w:val="0"/>
            <w:vAlign w:val="center"/>
          </w:tcPr>
          <w:p w14:paraId="2A1DB338">
            <w:pPr>
              <w:spacing w:line="380" w:lineRule="exact"/>
              <w:jc w:val="center"/>
              <w:rPr>
                <w:rFonts w:hint="eastAsia" w:ascii="宋体" w:hAnsi="宋体"/>
                <w:color w:val="000000"/>
                <w:szCs w:val="21"/>
              </w:rPr>
            </w:pPr>
            <w:r>
              <w:rPr>
                <w:rFonts w:hint="eastAsia" w:ascii="宋体" w:hAnsi="宋体"/>
                <w:color w:val="000000"/>
                <w:szCs w:val="21"/>
              </w:rPr>
              <w:t>16.2</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467CB555">
            <w:pPr>
              <w:spacing w:line="380" w:lineRule="exact"/>
              <w:rPr>
                <w:rFonts w:hint="eastAsia" w:ascii="宋体" w:hAnsi="宋体"/>
                <w:color w:val="000000"/>
                <w:szCs w:val="21"/>
              </w:rPr>
            </w:pPr>
            <w:bookmarkStart w:id="59" w:name="_16.2"/>
            <w:bookmarkEnd w:id="59"/>
            <w:r>
              <w:rPr>
                <w:rFonts w:hint="eastAsia" w:ascii="宋体" w:hAnsi="宋体"/>
                <w:color w:val="000000"/>
                <w:szCs w:val="21"/>
              </w:rPr>
              <w:t>投标报价要求</w:t>
            </w:r>
          </w:p>
        </w:tc>
        <w:tc>
          <w:tcPr>
            <w:tcW w:w="7297" w:type="dxa"/>
            <w:tcBorders>
              <w:top w:val="single" w:color="auto" w:sz="4" w:space="0"/>
              <w:left w:val="single" w:color="auto" w:sz="4" w:space="0"/>
              <w:bottom w:val="single" w:color="auto" w:sz="4" w:space="0"/>
              <w:right w:val="single" w:color="auto" w:sz="4" w:space="0"/>
            </w:tcBorders>
            <w:noWrap w:val="0"/>
            <w:vAlign w:val="center"/>
          </w:tcPr>
          <w:p w14:paraId="017B920D">
            <w:pPr>
              <w:snapToGrid w:val="0"/>
              <w:spacing w:line="380" w:lineRule="exact"/>
              <w:rPr>
                <w:rFonts w:hint="eastAsia" w:ascii="宋体" w:hAnsi="宋体"/>
                <w:b/>
                <w:color w:val="000000"/>
                <w:szCs w:val="21"/>
              </w:rPr>
            </w:pPr>
            <w:r>
              <w:rPr>
                <w:rFonts w:hint="eastAsia" w:ascii="宋体" w:hAnsi="宋体"/>
                <w:color w:val="000000"/>
                <w:szCs w:val="21"/>
              </w:rPr>
              <w:t>投标报价是履行合同的最终价格，</w:t>
            </w:r>
            <w:r>
              <w:rPr>
                <w:rFonts w:hint="eastAsia" w:ascii="宋体" w:hAnsi="宋体" w:cs="宋体"/>
                <w:color w:val="000000"/>
                <w:szCs w:val="21"/>
              </w:rPr>
              <w:t>必须包含满足本次投标全部采购需求所应提供的服务，以及伴随的货物和工程（如有）的价格；包含投标服务、货物、工程的成本、运输（含保险）、安装（如有）、调试、检验、技术服务、培训、税费等所有费用。（采购需求另有约定的，从其约定）</w:t>
            </w:r>
          </w:p>
        </w:tc>
      </w:tr>
      <w:tr w14:paraId="7064F9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noWrap w:val="0"/>
            <w:vAlign w:val="center"/>
          </w:tcPr>
          <w:p w14:paraId="2543FD5C">
            <w:pPr>
              <w:spacing w:line="380" w:lineRule="exact"/>
              <w:jc w:val="center"/>
              <w:rPr>
                <w:rFonts w:hint="eastAsia" w:ascii="宋体" w:hAnsi="宋体"/>
                <w:color w:val="000000"/>
                <w:szCs w:val="21"/>
              </w:rPr>
            </w:pPr>
            <w:r>
              <w:rPr>
                <w:rFonts w:hint="eastAsia" w:ascii="宋体" w:hAnsi="宋体"/>
                <w:color w:val="000000"/>
                <w:szCs w:val="21"/>
              </w:rPr>
              <w:t>17.2</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6FD97C57">
            <w:pPr>
              <w:spacing w:line="380" w:lineRule="exact"/>
              <w:rPr>
                <w:rFonts w:hint="eastAsia" w:ascii="宋体" w:hAnsi="宋体"/>
                <w:color w:val="000000"/>
                <w:szCs w:val="21"/>
              </w:rPr>
            </w:pPr>
            <w:bookmarkStart w:id="60" w:name="_17.1"/>
            <w:bookmarkEnd w:id="60"/>
            <w:r>
              <w:rPr>
                <w:rFonts w:hint="eastAsia" w:ascii="宋体" w:hAnsi="宋体"/>
                <w:color w:val="000000"/>
                <w:szCs w:val="21"/>
              </w:rPr>
              <w:t>投标有效期</w:t>
            </w:r>
          </w:p>
        </w:tc>
        <w:tc>
          <w:tcPr>
            <w:tcW w:w="7297" w:type="dxa"/>
            <w:tcBorders>
              <w:top w:val="single" w:color="auto" w:sz="4" w:space="0"/>
              <w:left w:val="single" w:color="auto" w:sz="4" w:space="0"/>
              <w:bottom w:val="single" w:color="auto" w:sz="4" w:space="0"/>
              <w:right w:val="single" w:color="auto" w:sz="4" w:space="0"/>
            </w:tcBorders>
            <w:noWrap w:val="0"/>
            <w:vAlign w:val="center"/>
          </w:tcPr>
          <w:p w14:paraId="3A65EFD2">
            <w:pPr>
              <w:snapToGrid w:val="0"/>
              <w:spacing w:line="380" w:lineRule="exact"/>
              <w:rPr>
                <w:rFonts w:hint="eastAsia" w:ascii="宋体" w:hAnsi="宋体"/>
                <w:color w:val="000000"/>
                <w:szCs w:val="21"/>
              </w:rPr>
            </w:pPr>
            <w:r>
              <w:rPr>
                <w:rFonts w:hint="eastAsia" w:ascii="宋体" w:hAnsi="宋体"/>
                <w:color w:val="000000"/>
                <w:szCs w:val="21"/>
              </w:rPr>
              <w:t>自投标截止之日起</w:t>
            </w:r>
            <w:r>
              <w:rPr>
                <w:rFonts w:hint="eastAsia" w:ascii="宋体" w:hAnsi="宋体"/>
                <w:color w:val="000000"/>
                <w:szCs w:val="21"/>
                <w:u w:val="single"/>
              </w:rPr>
              <w:t xml:space="preserve"> </w:t>
            </w:r>
            <w:bookmarkStart w:id="61" w:name="PO_3000001866_PM046"/>
            <w:r>
              <w:rPr>
                <w:rFonts w:hint="eastAsia" w:ascii="宋体" w:hAnsi="宋体"/>
                <w:color w:val="000000"/>
                <w:szCs w:val="21"/>
                <w:u w:val="single"/>
              </w:rPr>
              <w:t>90日历天</w:t>
            </w:r>
            <w:bookmarkEnd w:id="61"/>
            <w:r>
              <w:rPr>
                <w:rFonts w:hint="eastAsia" w:ascii="宋体" w:hAnsi="宋体"/>
                <w:color w:val="000000"/>
                <w:szCs w:val="21"/>
              </w:rPr>
              <w:t>日。</w:t>
            </w:r>
          </w:p>
        </w:tc>
      </w:tr>
      <w:tr w14:paraId="28013C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noWrap w:val="0"/>
            <w:vAlign w:val="center"/>
          </w:tcPr>
          <w:p w14:paraId="51DD6D74">
            <w:pPr>
              <w:spacing w:line="380" w:lineRule="exact"/>
              <w:jc w:val="center"/>
              <w:rPr>
                <w:rFonts w:hint="eastAsia" w:ascii="宋体" w:hAnsi="宋体"/>
                <w:color w:val="000000"/>
                <w:szCs w:val="21"/>
              </w:rPr>
            </w:pPr>
            <w:r>
              <w:rPr>
                <w:rFonts w:hint="eastAsia" w:ascii="宋体" w:hAnsi="宋体"/>
                <w:color w:val="000000"/>
                <w:szCs w:val="21"/>
              </w:rPr>
              <w:t>18</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4DA55155">
            <w:pPr>
              <w:spacing w:line="380" w:lineRule="exact"/>
              <w:rPr>
                <w:rFonts w:hint="eastAsia" w:ascii="宋体" w:hAnsi="宋体"/>
                <w:color w:val="000000"/>
                <w:szCs w:val="21"/>
              </w:rPr>
            </w:pPr>
            <w:bookmarkStart w:id="62" w:name="_18"/>
            <w:bookmarkEnd w:id="62"/>
            <w:r>
              <w:rPr>
                <w:rFonts w:hint="eastAsia" w:ascii="宋体" w:hAnsi="宋体"/>
                <w:color w:val="000000"/>
                <w:szCs w:val="21"/>
              </w:rPr>
              <w:t>投标保证金金额</w:t>
            </w:r>
          </w:p>
        </w:tc>
        <w:tc>
          <w:tcPr>
            <w:tcW w:w="7297" w:type="dxa"/>
            <w:tcBorders>
              <w:top w:val="single" w:color="auto" w:sz="4" w:space="0"/>
              <w:left w:val="single" w:color="auto" w:sz="4" w:space="0"/>
              <w:bottom w:val="single" w:color="auto" w:sz="4" w:space="0"/>
              <w:right w:val="single" w:color="auto" w:sz="4" w:space="0"/>
            </w:tcBorders>
            <w:noWrap w:val="0"/>
            <w:vAlign w:val="center"/>
          </w:tcPr>
          <w:p w14:paraId="6034BCF7">
            <w:pPr>
              <w:autoSpaceDE w:val="0"/>
              <w:autoSpaceDN w:val="0"/>
              <w:snapToGrid w:val="0"/>
              <w:spacing w:line="380" w:lineRule="exact"/>
              <w:textAlignment w:val="bottom"/>
              <w:rPr>
                <w:rFonts w:hint="eastAsia" w:ascii="宋体" w:hAnsi="宋体"/>
                <w:color w:val="000000"/>
                <w:szCs w:val="21"/>
              </w:rPr>
            </w:pPr>
            <w:r>
              <w:rPr>
                <w:rFonts w:hint="eastAsia" w:ascii="宋体" w:hAnsi="宋体"/>
                <w:color w:val="000000"/>
                <w:szCs w:val="21"/>
              </w:rPr>
              <w:t>本项目不收取投标保证金。</w:t>
            </w:r>
          </w:p>
        </w:tc>
      </w:tr>
      <w:tr w14:paraId="78B0C1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noWrap w:val="0"/>
            <w:vAlign w:val="center"/>
          </w:tcPr>
          <w:p w14:paraId="2ABF098A">
            <w:pPr>
              <w:spacing w:line="380" w:lineRule="exact"/>
              <w:jc w:val="center"/>
              <w:rPr>
                <w:rFonts w:hint="eastAsia" w:ascii="宋体" w:hAnsi="宋体"/>
                <w:color w:val="000000"/>
                <w:szCs w:val="21"/>
              </w:rPr>
            </w:pPr>
            <w:r>
              <w:rPr>
                <w:rFonts w:hint="eastAsia" w:ascii="宋体" w:hAnsi="宋体"/>
                <w:color w:val="000000"/>
                <w:szCs w:val="21"/>
              </w:rPr>
              <w:t>19.1</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59F66F6D">
            <w:pPr>
              <w:spacing w:line="380" w:lineRule="exact"/>
              <w:rPr>
                <w:rFonts w:hint="eastAsia" w:ascii="宋体" w:hAnsi="宋体"/>
                <w:color w:val="000000"/>
                <w:szCs w:val="21"/>
              </w:rPr>
            </w:pPr>
            <w:r>
              <w:rPr>
                <w:rFonts w:hint="eastAsia" w:ascii="宋体" w:hAnsi="宋体"/>
                <w:color w:val="000000"/>
                <w:szCs w:val="21"/>
              </w:rPr>
              <w:t>投标文件编制要求</w:t>
            </w:r>
          </w:p>
        </w:tc>
        <w:tc>
          <w:tcPr>
            <w:tcW w:w="7297" w:type="dxa"/>
            <w:tcBorders>
              <w:top w:val="single" w:color="auto" w:sz="4" w:space="0"/>
              <w:left w:val="single" w:color="auto" w:sz="4" w:space="0"/>
              <w:bottom w:val="single" w:color="auto" w:sz="4" w:space="0"/>
              <w:right w:val="single" w:color="auto" w:sz="4" w:space="0"/>
            </w:tcBorders>
            <w:noWrap w:val="0"/>
            <w:vAlign w:val="center"/>
          </w:tcPr>
          <w:p w14:paraId="0A304C3F">
            <w:pPr>
              <w:spacing w:line="360" w:lineRule="auto"/>
              <w:rPr>
                <w:rFonts w:hint="eastAsia" w:ascii="宋体" w:hAnsi="宋体"/>
                <w:b/>
                <w:color w:val="000000"/>
                <w:szCs w:val="21"/>
                <w:u w:val="single"/>
              </w:rPr>
            </w:pPr>
            <w:r>
              <w:rPr>
                <w:rFonts w:hint="eastAsia" w:ascii="宋体" w:hAnsi="宋体"/>
                <w:color w:val="000000"/>
                <w:szCs w:val="21"/>
              </w:rPr>
              <w:t>投标文件应按报价文件、资格证明文件、商务文件、技术文件分别编制，报价文件、资格证明文件分别生产电子文件，商务文件和技术文件按顺序合并生成电子文件。</w:t>
            </w:r>
            <w:r>
              <w:rPr>
                <w:rFonts w:hint="eastAsia" w:ascii="宋体" w:hAnsi="宋体"/>
                <w:b/>
                <w:color w:val="000000"/>
                <w:szCs w:val="21"/>
                <w:u w:val="single"/>
              </w:rPr>
              <w:t>电子版投标文件制作方式见招标公告附件。</w:t>
            </w:r>
          </w:p>
        </w:tc>
      </w:tr>
      <w:tr w14:paraId="652009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noWrap w:val="0"/>
            <w:vAlign w:val="center"/>
          </w:tcPr>
          <w:p w14:paraId="2F380230">
            <w:pPr>
              <w:spacing w:line="380" w:lineRule="exact"/>
              <w:jc w:val="center"/>
              <w:rPr>
                <w:rFonts w:hint="eastAsia" w:ascii="宋体" w:hAnsi="宋体"/>
                <w:color w:val="000000"/>
                <w:szCs w:val="21"/>
              </w:rPr>
            </w:pPr>
            <w:r>
              <w:rPr>
                <w:rFonts w:hint="eastAsia" w:ascii="宋体" w:hAnsi="宋体"/>
                <w:color w:val="000000"/>
                <w:szCs w:val="21"/>
              </w:rPr>
              <w:t>20</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6895DF1A">
            <w:pPr>
              <w:spacing w:line="380" w:lineRule="exact"/>
              <w:rPr>
                <w:rFonts w:hint="eastAsia" w:ascii="宋体" w:hAnsi="宋体"/>
                <w:color w:val="000000"/>
                <w:szCs w:val="21"/>
              </w:rPr>
            </w:pPr>
            <w:r>
              <w:rPr>
                <w:rFonts w:hint="eastAsia" w:ascii="宋体" w:hAnsi="宋体"/>
                <w:color w:val="000000"/>
                <w:szCs w:val="21"/>
              </w:rPr>
              <w:t>备份投标文件</w:t>
            </w:r>
          </w:p>
        </w:tc>
        <w:tc>
          <w:tcPr>
            <w:tcW w:w="7297" w:type="dxa"/>
            <w:tcBorders>
              <w:top w:val="single" w:color="auto" w:sz="4" w:space="0"/>
              <w:left w:val="single" w:color="auto" w:sz="4" w:space="0"/>
              <w:bottom w:val="single" w:color="auto" w:sz="4" w:space="0"/>
              <w:right w:val="single" w:color="auto" w:sz="4" w:space="0"/>
            </w:tcBorders>
            <w:noWrap w:val="0"/>
            <w:vAlign w:val="center"/>
          </w:tcPr>
          <w:p w14:paraId="5CC326ED">
            <w:pPr>
              <w:autoSpaceDE w:val="0"/>
              <w:autoSpaceDN w:val="0"/>
              <w:snapToGrid w:val="0"/>
              <w:spacing w:line="380" w:lineRule="exact"/>
              <w:textAlignment w:val="bottom"/>
              <w:rPr>
                <w:rFonts w:hint="eastAsia" w:ascii="宋体" w:hAnsi="宋体"/>
                <w:color w:val="000000"/>
                <w:szCs w:val="21"/>
              </w:rPr>
            </w:pPr>
            <w:r>
              <w:rPr>
                <w:rFonts w:hint="eastAsia" w:ascii="宋体" w:hAnsi="宋体"/>
                <w:color w:val="000000"/>
                <w:szCs w:val="21"/>
              </w:rPr>
              <w:t>本项目不接受备份投标文件。</w:t>
            </w:r>
          </w:p>
        </w:tc>
      </w:tr>
      <w:tr w14:paraId="332151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675" w:type="dxa"/>
            <w:vMerge w:val="restart"/>
            <w:tcBorders>
              <w:top w:val="single" w:color="auto" w:sz="4" w:space="0"/>
              <w:left w:val="single" w:color="auto" w:sz="4" w:space="0"/>
              <w:bottom w:val="nil"/>
              <w:right w:val="single" w:color="auto" w:sz="4" w:space="0"/>
            </w:tcBorders>
            <w:noWrap w:val="0"/>
            <w:vAlign w:val="center"/>
          </w:tcPr>
          <w:p w14:paraId="429A5717">
            <w:pPr>
              <w:spacing w:line="380" w:lineRule="exact"/>
              <w:jc w:val="center"/>
              <w:rPr>
                <w:rFonts w:hint="eastAsia" w:ascii="宋体" w:hAnsi="宋体"/>
                <w:color w:val="000000"/>
                <w:szCs w:val="21"/>
              </w:rPr>
            </w:pPr>
            <w:r>
              <w:rPr>
                <w:rFonts w:hint="eastAsia" w:ascii="宋体" w:hAnsi="宋体"/>
                <w:color w:val="000000"/>
                <w:szCs w:val="21"/>
              </w:rPr>
              <w:t>21.1</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4ADCFD95">
            <w:pPr>
              <w:spacing w:line="380" w:lineRule="exact"/>
              <w:rPr>
                <w:rFonts w:hint="eastAsia" w:ascii="宋体" w:hAnsi="宋体"/>
                <w:color w:val="000000"/>
                <w:szCs w:val="21"/>
              </w:rPr>
            </w:pPr>
            <w:bookmarkStart w:id="63" w:name="_21.1"/>
            <w:bookmarkEnd w:id="63"/>
            <w:r>
              <w:rPr>
                <w:rFonts w:hint="eastAsia" w:ascii="宋体" w:hAnsi="宋体"/>
                <w:color w:val="000000"/>
                <w:szCs w:val="21"/>
              </w:rPr>
              <w:t>投标截止时间</w:t>
            </w:r>
          </w:p>
        </w:tc>
        <w:tc>
          <w:tcPr>
            <w:tcW w:w="7297" w:type="dxa"/>
            <w:tcBorders>
              <w:top w:val="single" w:color="auto" w:sz="4" w:space="0"/>
              <w:left w:val="single" w:color="auto" w:sz="4" w:space="0"/>
              <w:bottom w:val="single" w:color="auto" w:sz="4" w:space="0"/>
              <w:right w:val="single" w:color="auto" w:sz="4" w:space="0"/>
            </w:tcBorders>
            <w:noWrap w:val="0"/>
            <w:vAlign w:val="center"/>
          </w:tcPr>
          <w:p w14:paraId="3F23846F">
            <w:pPr>
              <w:snapToGrid w:val="0"/>
              <w:spacing w:line="380" w:lineRule="exact"/>
              <w:rPr>
                <w:rFonts w:hint="eastAsia" w:ascii="宋体" w:hAnsi="宋体"/>
                <w:color w:val="000000"/>
                <w:szCs w:val="21"/>
                <w:u w:val="single"/>
              </w:rPr>
            </w:pPr>
            <w:r>
              <w:rPr>
                <w:rFonts w:hint="eastAsia" w:ascii="宋体" w:hAnsi="宋体"/>
                <w:color w:val="000000"/>
                <w:szCs w:val="21"/>
              </w:rPr>
              <w:t>详见招标公告</w:t>
            </w:r>
          </w:p>
        </w:tc>
      </w:tr>
      <w:tr w14:paraId="5B578A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675" w:type="dxa"/>
            <w:vMerge w:val="continue"/>
            <w:tcBorders>
              <w:top w:val="single" w:color="auto" w:sz="4" w:space="0"/>
              <w:left w:val="single" w:color="auto" w:sz="4" w:space="0"/>
              <w:bottom w:val="nil"/>
              <w:right w:val="single" w:color="auto" w:sz="4" w:space="0"/>
            </w:tcBorders>
            <w:noWrap w:val="0"/>
            <w:vAlign w:val="center"/>
          </w:tcPr>
          <w:p w14:paraId="0D53146D">
            <w:pPr>
              <w:widowControl/>
              <w:jc w:val="center"/>
              <w:rPr>
                <w:rFonts w:ascii="宋体" w:hAnsi="宋体"/>
                <w:color w:val="000000"/>
                <w:szCs w:val="21"/>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14:paraId="6B852CFD">
            <w:pPr>
              <w:spacing w:line="380" w:lineRule="exact"/>
              <w:rPr>
                <w:rFonts w:hint="eastAsia" w:ascii="宋体" w:hAnsi="宋体"/>
                <w:color w:val="000000"/>
                <w:szCs w:val="21"/>
              </w:rPr>
            </w:pPr>
            <w:r>
              <w:rPr>
                <w:rFonts w:hint="eastAsia" w:ascii="宋体" w:hAnsi="宋体"/>
                <w:color w:val="000000"/>
                <w:szCs w:val="21"/>
              </w:rPr>
              <w:t>投标文件提交起止时间</w:t>
            </w:r>
          </w:p>
        </w:tc>
        <w:tc>
          <w:tcPr>
            <w:tcW w:w="7297" w:type="dxa"/>
            <w:tcBorders>
              <w:top w:val="single" w:color="auto" w:sz="4" w:space="0"/>
              <w:left w:val="single" w:color="auto" w:sz="4" w:space="0"/>
              <w:bottom w:val="single" w:color="auto" w:sz="4" w:space="0"/>
              <w:right w:val="single" w:color="auto" w:sz="4" w:space="0"/>
            </w:tcBorders>
            <w:noWrap w:val="0"/>
            <w:vAlign w:val="center"/>
          </w:tcPr>
          <w:p w14:paraId="1E072BA6">
            <w:pPr>
              <w:snapToGrid w:val="0"/>
              <w:spacing w:line="380" w:lineRule="exact"/>
              <w:rPr>
                <w:rFonts w:hint="eastAsia" w:ascii="宋体" w:hAnsi="宋体"/>
                <w:color w:val="000000"/>
                <w:szCs w:val="21"/>
              </w:rPr>
            </w:pPr>
            <w:r>
              <w:rPr>
                <w:rFonts w:hint="eastAsia" w:ascii="宋体" w:hAnsi="宋体"/>
                <w:color w:val="000000"/>
                <w:szCs w:val="21"/>
              </w:rPr>
              <w:t>详见招标公告</w:t>
            </w:r>
          </w:p>
        </w:tc>
      </w:tr>
      <w:tr w14:paraId="2E2E1C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675" w:type="dxa"/>
            <w:vMerge w:val="continue"/>
            <w:tcBorders>
              <w:top w:val="single" w:color="auto" w:sz="4" w:space="0"/>
              <w:left w:val="single" w:color="auto" w:sz="4" w:space="0"/>
              <w:bottom w:val="nil"/>
              <w:right w:val="single" w:color="auto" w:sz="4" w:space="0"/>
            </w:tcBorders>
            <w:noWrap w:val="0"/>
            <w:vAlign w:val="center"/>
          </w:tcPr>
          <w:p w14:paraId="7127E3A7">
            <w:pPr>
              <w:widowControl/>
              <w:jc w:val="center"/>
              <w:rPr>
                <w:rFonts w:ascii="宋体" w:hAnsi="宋体"/>
                <w:color w:val="000000"/>
                <w:szCs w:val="21"/>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14:paraId="07714EAE">
            <w:pPr>
              <w:spacing w:line="380" w:lineRule="exact"/>
              <w:rPr>
                <w:rFonts w:hint="eastAsia" w:ascii="宋体" w:hAnsi="宋体"/>
                <w:color w:val="000000"/>
                <w:szCs w:val="21"/>
              </w:rPr>
            </w:pPr>
            <w:r>
              <w:rPr>
                <w:rFonts w:hint="eastAsia" w:ascii="宋体" w:hAnsi="宋体"/>
                <w:color w:val="000000"/>
                <w:szCs w:val="21"/>
              </w:rPr>
              <w:t>投标地点</w:t>
            </w:r>
          </w:p>
        </w:tc>
        <w:tc>
          <w:tcPr>
            <w:tcW w:w="7297" w:type="dxa"/>
            <w:tcBorders>
              <w:top w:val="single" w:color="auto" w:sz="4" w:space="0"/>
              <w:left w:val="single" w:color="auto" w:sz="4" w:space="0"/>
              <w:bottom w:val="single" w:color="auto" w:sz="4" w:space="0"/>
              <w:right w:val="single" w:color="auto" w:sz="4" w:space="0"/>
            </w:tcBorders>
            <w:noWrap w:val="0"/>
            <w:vAlign w:val="center"/>
          </w:tcPr>
          <w:p w14:paraId="6DBEA08B">
            <w:pPr>
              <w:snapToGrid w:val="0"/>
              <w:spacing w:line="380" w:lineRule="exact"/>
              <w:rPr>
                <w:rFonts w:hint="eastAsia" w:ascii="宋体" w:hAnsi="宋体"/>
                <w:color w:val="000000"/>
                <w:szCs w:val="21"/>
              </w:rPr>
            </w:pPr>
            <w:r>
              <w:rPr>
                <w:rFonts w:hint="eastAsia" w:ascii="宋体" w:hAnsi="宋体"/>
                <w:color w:val="000000"/>
                <w:szCs w:val="21"/>
              </w:rPr>
              <w:t>详见招标公告</w:t>
            </w:r>
          </w:p>
        </w:tc>
      </w:tr>
      <w:tr w14:paraId="690C0D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675" w:type="dxa"/>
            <w:vMerge w:val="continue"/>
            <w:tcBorders>
              <w:top w:val="single" w:color="auto" w:sz="4" w:space="0"/>
              <w:left w:val="single" w:color="auto" w:sz="4" w:space="0"/>
              <w:bottom w:val="nil"/>
              <w:right w:val="single" w:color="auto" w:sz="4" w:space="0"/>
            </w:tcBorders>
            <w:noWrap w:val="0"/>
            <w:vAlign w:val="center"/>
          </w:tcPr>
          <w:p w14:paraId="0EA1B00E">
            <w:pPr>
              <w:widowControl/>
              <w:jc w:val="center"/>
              <w:rPr>
                <w:rFonts w:ascii="宋体" w:hAnsi="宋体"/>
                <w:color w:val="000000"/>
                <w:szCs w:val="21"/>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14:paraId="05FBA597">
            <w:pPr>
              <w:spacing w:line="380" w:lineRule="exact"/>
              <w:rPr>
                <w:rFonts w:hint="eastAsia" w:ascii="宋体" w:hAnsi="宋体"/>
                <w:color w:val="000000"/>
                <w:szCs w:val="21"/>
              </w:rPr>
            </w:pPr>
            <w:r>
              <w:rPr>
                <w:rFonts w:hint="eastAsia" w:ascii="宋体" w:hAnsi="宋体"/>
                <w:color w:val="000000"/>
                <w:szCs w:val="21"/>
              </w:rPr>
              <w:t>投标人递交投标样品截止时间及地点</w:t>
            </w:r>
          </w:p>
        </w:tc>
        <w:tc>
          <w:tcPr>
            <w:tcW w:w="7297" w:type="dxa"/>
            <w:tcBorders>
              <w:top w:val="single" w:color="auto" w:sz="4" w:space="0"/>
              <w:left w:val="single" w:color="auto" w:sz="4" w:space="0"/>
              <w:bottom w:val="single" w:color="auto" w:sz="4" w:space="0"/>
              <w:right w:val="single" w:color="auto" w:sz="4" w:space="0"/>
            </w:tcBorders>
            <w:noWrap w:val="0"/>
            <w:vAlign w:val="center"/>
          </w:tcPr>
          <w:p w14:paraId="6148C32E">
            <w:pPr>
              <w:snapToGrid w:val="0"/>
              <w:spacing w:line="380" w:lineRule="exact"/>
              <w:rPr>
                <w:rFonts w:hint="eastAsia" w:ascii="宋体" w:hAnsi="宋体"/>
                <w:color w:val="000000"/>
                <w:szCs w:val="21"/>
              </w:rPr>
            </w:pPr>
            <w:r>
              <w:rPr>
                <w:rFonts w:hint="eastAsia" w:ascii="宋体" w:hAnsi="宋体"/>
                <w:bCs/>
                <w:color w:val="000000"/>
                <w:szCs w:val="21"/>
              </w:rPr>
              <w:t>无</w:t>
            </w:r>
          </w:p>
        </w:tc>
      </w:tr>
      <w:tr w14:paraId="24727D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noWrap w:val="0"/>
            <w:vAlign w:val="center"/>
          </w:tcPr>
          <w:p w14:paraId="18AA1823">
            <w:pPr>
              <w:spacing w:line="380" w:lineRule="exact"/>
              <w:jc w:val="center"/>
              <w:rPr>
                <w:rFonts w:hint="eastAsia" w:ascii="宋体" w:hAnsi="宋体"/>
                <w:color w:val="000000"/>
                <w:szCs w:val="21"/>
              </w:rPr>
            </w:pPr>
            <w:r>
              <w:rPr>
                <w:rFonts w:hint="eastAsia" w:ascii="宋体" w:hAnsi="宋体"/>
                <w:color w:val="000000"/>
                <w:szCs w:val="21"/>
              </w:rPr>
              <w:t>23</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6287442B">
            <w:pPr>
              <w:spacing w:line="380" w:lineRule="exact"/>
              <w:rPr>
                <w:rFonts w:hint="eastAsia" w:ascii="宋体" w:hAnsi="宋体"/>
                <w:color w:val="000000"/>
                <w:szCs w:val="21"/>
              </w:rPr>
            </w:pPr>
            <w:bookmarkStart w:id="64" w:name="_23"/>
            <w:bookmarkEnd w:id="64"/>
            <w:r>
              <w:rPr>
                <w:rFonts w:hint="eastAsia" w:ascii="宋体" w:hAnsi="宋体"/>
                <w:color w:val="000000"/>
                <w:szCs w:val="21"/>
              </w:rPr>
              <w:t>开标时间、地点</w:t>
            </w:r>
          </w:p>
        </w:tc>
        <w:tc>
          <w:tcPr>
            <w:tcW w:w="7297" w:type="dxa"/>
            <w:tcBorders>
              <w:top w:val="single" w:color="auto" w:sz="4" w:space="0"/>
              <w:left w:val="single" w:color="auto" w:sz="4" w:space="0"/>
              <w:bottom w:val="single" w:color="auto" w:sz="4" w:space="0"/>
              <w:right w:val="single" w:color="auto" w:sz="4" w:space="0"/>
            </w:tcBorders>
            <w:noWrap w:val="0"/>
            <w:vAlign w:val="center"/>
          </w:tcPr>
          <w:p w14:paraId="5114B3A8">
            <w:pPr>
              <w:snapToGrid w:val="0"/>
              <w:spacing w:line="380" w:lineRule="exact"/>
              <w:rPr>
                <w:rFonts w:hint="eastAsia" w:ascii="宋体" w:hAnsi="宋体"/>
                <w:color w:val="000000"/>
                <w:szCs w:val="21"/>
              </w:rPr>
            </w:pPr>
            <w:r>
              <w:rPr>
                <w:rFonts w:hint="eastAsia" w:ascii="宋体" w:hAnsi="宋体"/>
                <w:color w:val="000000"/>
                <w:szCs w:val="21"/>
              </w:rPr>
              <w:t xml:space="preserve">详见招标公告 </w:t>
            </w:r>
          </w:p>
        </w:tc>
      </w:tr>
      <w:tr w14:paraId="2AB956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87" w:hRule="atLeast"/>
        </w:trPr>
        <w:tc>
          <w:tcPr>
            <w:tcW w:w="675" w:type="dxa"/>
            <w:vMerge w:val="restart"/>
            <w:tcBorders>
              <w:top w:val="single" w:color="auto" w:sz="4" w:space="0"/>
              <w:left w:val="single" w:color="auto" w:sz="4" w:space="0"/>
              <w:bottom w:val="single" w:color="auto" w:sz="4" w:space="0"/>
              <w:right w:val="single" w:color="auto" w:sz="4" w:space="0"/>
            </w:tcBorders>
            <w:noWrap w:val="0"/>
            <w:vAlign w:val="center"/>
          </w:tcPr>
          <w:p w14:paraId="0D5F5BA6">
            <w:pPr>
              <w:spacing w:line="380" w:lineRule="exact"/>
              <w:jc w:val="center"/>
              <w:rPr>
                <w:rFonts w:hint="eastAsia" w:ascii="宋体" w:hAnsi="宋体"/>
                <w:color w:val="000000"/>
                <w:szCs w:val="21"/>
              </w:rPr>
            </w:pPr>
            <w:r>
              <w:rPr>
                <w:rFonts w:hint="eastAsia" w:ascii="宋体" w:hAnsi="宋体"/>
                <w:color w:val="000000"/>
                <w:szCs w:val="21"/>
              </w:rPr>
              <w:t>25.3（2）</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75B50DF4">
            <w:pPr>
              <w:spacing w:line="380" w:lineRule="exact"/>
              <w:rPr>
                <w:rFonts w:hint="eastAsia" w:ascii="宋体" w:hAnsi="宋体"/>
                <w:color w:val="000000"/>
                <w:szCs w:val="21"/>
              </w:rPr>
            </w:pPr>
            <w:bookmarkStart w:id="65" w:name="_25.3"/>
            <w:bookmarkEnd w:id="65"/>
            <w:r>
              <w:rPr>
                <w:rFonts w:hint="eastAsia" w:ascii="宋体" w:hAnsi="宋体"/>
                <w:color w:val="000000"/>
                <w:szCs w:val="21"/>
              </w:rPr>
              <w:t>投标人信用查询渠道</w:t>
            </w:r>
          </w:p>
        </w:tc>
        <w:tc>
          <w:tcPr>
            <w:tcW w:w="7297" w:type="dxa"/>
            <w:tcBorders>
              <w:top w:val="single" w:color="auto" w:sz="4" w:space="0"/>
              <w:left w:val="single" w:color="auto" w:sz="4" w:space="0"/>
              <w:bottom w:val="single" w:color="auto" w:sz="4" w:space="0"/>
              <w:right w:val="single" w:color="auto" w:sz="4" w:space="0"/>
            </w:tcBorders>
            <w:noWrap w:val="0"/>
            <w:vAlign w:val="center"/>
          </w:tcPr>
          <w:p w14:paraId="1628E6AC">
            <w:pPr>
              <w:snapToGrid w:val="0"/>
              <w:spacing w:line="380" w:lineRule="exact"/>
              <w:rPr>
                <w:rFonts w:hint="eastAsia" w:ascii="宋体" w:hAnsi="宋体"/>
                <w:color w:val="000000"/>
                <w:szCs w:val="21"/>
              </w:rPr>
            </w:pPr>
            <w:r>
              <w:rPr>
                <w:rFonts w:hint="eastAsia" w:ascii="宋体" w:hAnsi="宋体"/>
                <w:color w:val="000000"/>
                <w:szCs w:val="21"/>
              </w:rPr>
              <w:t>采购人或者采购代理机构在资格审查结束前，对投标人进行信用查询。</w:t>
            </w:r>
          </w:p>
          <w:p w14:paraId="22455E2C">
            <w:pPr>
              <w:snapToGrid w:val="0"/>
              <w:spacing w:line="380" w:lineRule="exact"/>
              <w:rPr>
                <w:rFonts w:hint="eastAsia" w:ascii="宋体" w:hAnsi="宋体"/>
                <w:color w:val="000000"/>
                <w:szCs w:val="21"/>
              </w:rPr>
            </w:pPr>
            <w:r>
              <w:rPr>
                <w:rFonts w:hint="eastAsia" w:ascii="宋体" w:hAnsi="宋体"/>
                <w:color w:val="000000"/>
                <w:szCs w:val="21"/>
              </w:rPr>
              <w:t>查询渠道：“信用中国”网站(www.creditchina.gov.cn) 、中国政府采购网(www.ccgp.gov.cn)。</w:t>
            </w:r>
          </w:p>
        </w:tc>
      </w:tr>
      <w:tr w14:paraId="564D10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3" w:hRule="atLeast"/>
        </w:trPr>
        <w:tc>
          <w:tcPr>
            <w:tcW w:w="675" w:type="dxa"/>
            <w:vMerge w:val="continue"/>
            <w:tcBorders>
              <w:top w:val="single" w:color="auto" w:sz="4" w:space="0"/>
              <w:left w:val="single" w:color="auto" w:sz="4" w:space="0"/>
              <w:bottom w:val="single" w:color="auto" w:sz="4" w:space="0"/>
              <w:right w:val="single" w:color="auto" w:sz="4" w:space="0"/>
            </w:tcBorders>
            <w:noWrap w:val="0"/>
            <w:vAlign w:val="center"/>
          </w:tcPr>
          <w:p w14:paraId="2A6804E8">
            <w:pPr>
              <w:widowControl/>
              <w:jc w:val="center"/>
              <w:rPr>
                <w:rFonts w:ascii="宋体" w:hAnsi="宋体"/>
                <w:color w:val="000000"/>
                <w:szCs w:val="21"/>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14:paraId="3F06D529">
            <w:pPr>
              <w:spacing w:line="380" w:lineRule="exact"/>
              <w:rPr>
                <w:rFonts w:hint="eastAsia" w:ascii="宋体" w:hAnsi="宋体"/>
                <w:color w:val="000000"/>
                <w:szCs w:val="21"/>
              </w:rPr>
            </w:pPr>
            <w:r>
              <w:rPr>
                <w:rFonts w:hint="eastAsia" w:ascii="宋体" w:hAnsi="宋体"/>
                <w:color w:val="000000"/>
                <w:szCs w:val="21"/>
              </w:rPr>
              <w:t>信用查询截止时点</w:t>
            </w:r>
          </w:p>
        </w:tc>
        <w:tc>
          <w:tcPr>
            <w:tcW w:w="7297" w:type="dxa"/>
            <w:tcBorders>
              <w:top w:val="single" w:color="auto" w:sz="4" w:space="0"/>
              <w:left w:val="single" w:color="auto" w:sz="4" w:space="0"/>
              <w:bottom w:val="single" w:color="auto" w:sz="4" w:space="0"/>
              <w:right w:val="single" w:color="auto" w:sz="4" w:space="0"/>
            </w:tcBorders>
            <w:noWrap w:val="0"/>
            <w:vAlign w:val="center"/>
          </w:tcPr>
          <w:p w14:paraId="119D313D">
            <w:pPr>
              <w:snapToGrid w:val="0"/>
              <w:spacing w:line="380" w:lineRule="exact"/>
              <w:rPr>
                <w:rFonts w:hint="eastAsia" w:ascii="宋体" w:hAnsi="宋体"/>
                <w:color w:val="000000"/>
                <w:szCs w:val="21"/>
              </w:rPr>
            </w:pPr>
            <w:r>
              <w:rPr>
                <w:rFonts w:hint="eastAsia" w:ascii="宋体" w:hAnsi="宋体"/>
                <w:color w:val="000000"/>
                <w:szCs w:val="21"/>
              </w:rPr>
              <w:t>资格审查结束前</w:t>
            </w:r>
          </w:p>
        </w:tc>
      </w:tr>
      <w:tr w14:paraId="307EC2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75" w:type="dxa"/>
            <w:vMerge w:val="continue"/>
            <w:tcBorders>
              <w:top w:val="single" w:color="auto" w:sz="4" w:space="0"/>
              <w:left w:val="single" w:color="auto" w:sz="4" w:space="0"/>
              <w:bottom w:val="single" w:color="auto" w:sz="4" w:space="0"/>
              <w:right w:val="single" w:color="auto" w:sz="4" w:space="0"/>
            </w:tcBorders>
            <w:noWrap w:val="0"/>
            <w:vAlign w:val="center"/>
          </w:tcPr>
          <w:p w14:paraId="3B1408EF">
            <w:pPr>
              <w:widowControl/>
              <w:jc w:val="center"/>
              <w:rPr>
                <w:rFonts w:ascii="宋体" w:hAnsi="宋体"/>
                <w:color w:val="000000"/>
                <w:szCs w:val="21"/>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14:paraId="56985D61">
            <w:pPr>
              <w:spacing w:line="380" w:lineRule="exact"/>
              <w:rPr>
                <w:rFonts w:hint="eastAsia" w:ascii="宋体" w:hAnsi="宋体"/>
                <w:color w:val="000000"/>
                <w:szCs w:val="21"/>
              </w:rPr>
            </w:pPr>
            <w:r>
              <w:rPr>
                <w:rFonts w:hint="eastAsia" w:ascii="宋体" w:hAnsi="宋体"/>
                <w:color w:val="000000"/>
                <w:szCs w:val="21"/>
              </w:rPr>
              <w:t>查询记录和证据留存方式</w:t>
            </w:r>
          </w:p>
        </w:tc>
        <w:tc>
          <w:tcPr>
            <w:tcW w:w="7297" w:type="dxa"/>
            <w:tcBorders>
              <w:top w:val="single" w:color="auto" w:sz="4" w:space="0"/>
              <w:left w:val="single" w:color="auto" w:sz="4" w:space="0"/>
              <w:bottom w:val="single" w:color="auto" w:sz="4" w:space="0"/>
              <w:right w:val="single" w:color="auto" w:sz="4" w:space="0"/>
            </w:tcBorders>
            <w:noWrap w:val="0"/>
            <w:vAlign w:val="center"/>
          </w:tcPr>
          <w:p w14:paraId="15D2A080">
            <w:pPr>
              <w:snapToGrid w:val="0"/>
              <w:spacing w:line="380" w:lineRule="exact"/>
              <w:rPr>
                <w:rFonts w:hint="eastAsia" w:ascii="宋体" w:hAnsi="宋体"/>
                <w:color w:val="000000"/>
                <w:szCs w:val="21"/>
              </w:rPr>
            </w:pPr>
            <w:r>
              <w:rPr>
                <w:rFonts w:hint="eastAsia" w:ascii="宋体" w:hAnsi="宋体"/>
                <w:color w:val="000000"/>
                <w:szCs w:val="21"/>
              </w:rPr>
              <w:t>在查询网站中直接截图查询记录，截图作为在“广西政府采购云平台”作为附件上传保存。</w:t>
            </w:r>
          </w:p>
        </w:tc>
      </w:tr>
      <w:tr w14:paraId="565DD0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675" w:type="dxa"/>
            <w:vMerge w:val="continue"/>
            <w:tcBorders>
              <w:top w:val="single" w:color="auto" w:sz="4" w:space="0"/>
              <w:left w:val="single" w:color="auto" w:sz="4" w:space="0"/>
              <w:bottom w:val="single" w:color="auto" w:sz="4" w:space="0"/>
              <w:right w:val="single" w:color="auto" w:sz="4" w:space="0"/>
            </w:tcBorders>
            <w:noWrap w:val="0"/>
            <w:vAlign w:val="center"/>
          </w:tcPr>
          <w:p w14:paraId="31B5C8D6">
            <w:pPr>
              <w:widowControl/>
              <w:jc w:val="center"/>
              <w:rPr>
                <w:rFonts w:ascii="宋体" w:hAnsi="宋体"/>
                <w:color w:val="000000"/>
                <w:szCs w:val="21"/>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14:paraId="25BA6A75">
            <w:pPr>
              <w:spacing w:line="380" w:lineRule="exact"/>
              <w:rPr>
                <w:rFonts w:hint="eastAsia" w:ascii="宋体" w:hAnsi="宋体"/>
                <w:color w:val="000000"/>
                <w:szCs w:val="21"/>
              </w:rPr>
            </w:pPr>
            <w:r>
              <w:rPr>
                <w:rFonts w:hint="eastAsia" w:ascii="宋体" w:hAnsi="宋体"/>
                <w:color w:val="000000"/>
                <w:szCs w:val="21"/>
              </w:rPr>
              <w:t>信用信息使用规则</w:t>
            </w:r>
          </w:p>
        </w:tc>
        <w:tc>
          <w:tcPr>
            <w:tcW w:w="7297" w:type="dxa"/>
            <w:tcBorders>
              <w:top w:val="single" w:color="auto" w:sz="4" w:space="0"/>
              <w:left w:val="single" w:color="auto" w:sz="4" w:space="0"/>
              <w:bottom w:val="single" w:color="auto" w:sz="4" w:space="0"/>
              <w:right w:val="single" w:color="auto" w:sz="4" w:space="0"/>
            </w:tcBorders>
            <w:noWrap w:val="0"/>
            <w:vAlign w:val="center"/>
          </w:tcPr>
          <w:p w14:paraId="02C5D417">
            <w:pPr>
              <w:snapToGrid w:val="0"/>
              <w:spacing w:line="380" w:lineRule="exact"/>
              <w:rPr>
                <w:rFonts w:hint="eastAsia" w:ascii="宋体" w:hAnsi="宋体"/>
                <w:color w:val="000000"/>
                <w:szCs w:val="21"/>
              </w:rPr>
            </w:pPr>
            <w:r>
              <w:rPr>
                <w:rFonts w:hint="eastAsia" w:ascii="宋体" w:hAnsi="宋体"/>
                <w:color w:val="000000"/>
                <w:szCs w:val="21"/>
              </w:rPr>
              <w:t>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采购人或者采购代理机构</w:t>
            </w:r>
            <w:r>
              <w:rPr>
                <w:rFonts w:hint="eastAsia" w:ascii="宋体" w:hAnsi="宋体"/>
                <w:color w:val="000000"/>
                <w:sz w:val="22"/>
                <w:szCs w:val="22"/>
              </w:rPr>
              <w:t>应当拒绝其参与政府采购活动</w:t>
            </w:r>
            <w:r>
              <w:rPr>
                <w:rFonts w:hint="eastAsia" w:ascii="宋体" w:hAnsi="宋体"/>
                <w:color w:val="000000"/>
                <w:szCs w:val="21"/>
              </w:rPr>
              <w:t>。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14:paraId="47ADD9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noWrap w:val="0"/>
            <w:vAlign w:val="center"/>
          </w:tcPr>
          <w:p w14:paraId="5134A02C">
            <w:pPr>
              <w:spacing w:line="380" w:lineRule="exact"/>
              <w:jc w:val="center"/>
              <w:rPr>
                <w:rFonts w:hint="eastAsia" w:ascii="宋体" w:hAnsi="宋体"/>
                <w:color w:val="000000"/>
                <w:szCs w:val="21"/>
              </w:rPr>
            </w:pPr>
            <w:r>
              <w:rPr>
                <w:rFonts w:hint="eastAsia" w:ascii="宋体" w:hAnsi="宋体"/>
                <w:color w:val="000000"/>
                <w:szCs w:val="21"/>
              </w:rPr>
              <w:t>29.1</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09303231">
            <w:pPr>
              <w:spacing w:line="380" w:lineRule="exact"/>
              <w:rPr>
                <w:rFonts w:hint="eastAsia" w:ascii="宋体" w:hAnsi="宋体"/>
                <w:color w:val="000000"/>
                <w:szCs w:val="21"/>
              </w:rPr>
            </w:pPr>
            <w:bookmarkStart w:id="66" w:name="_26"/>
            <w:bookmarkEnd w:id="66"/>
            <w:bookmarkStart w:id="67" w:name="_28.3"/>
            <w:bookmarkEnd w:id="67"/>
            <w:r>
              <w:rPr>
                <w:rFonts w:hint="eastAsia" w:ascii="宋体" w:hAnsi="宋体"/>
                <w:color w:val="000000"/>
                <w:szCs w:val="21"/>
              </w:rPr>
              <w:t>评标方法</w:t>
            </w:r>
          </w:p>
        </w:tc>
        <w:tc>
          <w:tcPr>
            <w:tcW w:w="7297" w:type="dxa"/>
            <w:tcBorders>
              <w:top w:val="single" w:color="auto" w:sz="4" w:space="0"/>
              <w:left w:val="single" w:color="auto" w:sz="4" w:space="0"/>
              <w:bottom w:val="single" w:color="auto" w:sz="4" w:space="0"/>
              <w:right w:val="single" w:color="auto" w:sz="4" w:space="0"/>
            </w:tcBorders>
            <w:noWrap w:val="0"/>
            <w:vAlign w:val="center"/>
          </w:tcPr>
          <w:p w14:paraId="1CC2FDB6">
            <w:pPr>
              <w:autoSpaceDE w:val="0"/>
              <w:autoSpaceDN w:val="0"/>
              <w:snapToGrid w:val="0"/>
              <w:spacing w:line="380" w:lineRule="exact"/>
              <w:textAlignment w:val="bottom"/>
              <w:rPr>
                <w:rFonts w:hint="eastAsia" w:ascii="宋体" w:hAnsi="宋体"/>
                <w:color w:val="000000"/>
                <w:szCs w:val="21"/>
              </w:rPr>
            </w:pPr>
            <w:r>
              <w:rPr>
                <w:rFonts w:hint="eastAsia" w:ascii="宋体" w:hAnsi="宋体"/>
                <w:color w:val="000000"/>
                <w:szCs w:val="21"/>
              </w:rPr>
              <w:sym w:font="Wingdings 2" w:char="0052"/>
            </w:r>
            <w:r>
              <w:rPr>
                <w:rFonts w:hint="eastAsia" w:ascii="宋体" w:hAnsi="宋体"/>
                <w:color w:val="000000"/>
                <w:szCs w:val="21"/>
              </w:rPr>
              <w:t>综合评分法</w:t>
            </w:r>
          </w:p>
          <w:p w14:paraId="31498B70">
            <w:pPr>
              <w:autoSpaceDE w:val="0"/>
              <w:autoSpaceDN w:val="0"/>
              <w:snapToGrid w:val="0"/>
              <w:spacing w:line="380" w:lineRule="exact"/>
              <w:textAlignment w:val="bottom"/>
              <w:rPr>
                <w:rFonts w:hint="eastAsia" w:ascii="宋体" w:hAnsi="宋体"/>
                <w:color w:val="000000"/>
                <w:szCs w:val="21"/>
              </w:rPr>
            </w:pPr>
            <w:r>
              <w:rPr>
                <w:rFonts w:hint="eastAsia" w:ascii="宋体" w:hAnsi="宋体"/>
                <w:color w:val="000000"/>
                <w:szCs w:val="21"/>
              </w:rPr>
              <w:t>□最低评标价法</w:t>
            </w:r>
          </w:p>
        </w:tc>
      </w:tr>
      <w:tr w14:paraId="3BDF8A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675" w:type="dxa"/>
            <w:tcBorders>
              <w:top w:val="single" w:color="auto" w:sz="4" w:space="0"/>
              <w:left w:val="single" w:color="auto" w:sz="4" w:space="0"/>
              <w:bottom w:val="nil"/>
              <w:right w:val="single" w:color="auto" w:sz="4" w:space="0"/>
            </w:tcBorders>
            <w:noWrap w:val="0"/>
            <w:vAlign w:val="center"/>
          </w:tcPr>
          <w:p w14:paraId="210BD2A6">
            <w:pPr>
              <w:spacing w:line="380" w:lineRule="exact"/>
              <w:jc w:val="center"/>
              <w:rPr>
                <w:rFonts w:hint="eastAsia" w:ascii="宋体" w:hAnsi="宋体"/>
                <w:color w:val="000000"/>
                <w:szCs w:val="21"/>
              </w:rPr>
            </w:pPr>
            <w:r>
              <w:rPr>
                <w:rFonts w:hint="eastAsia" w:ascii="宋体" w:hAnsi="宋体"/>
                <w:color w:val="000000"/>
                <w:szCs w:val="21"/>
              </w:rPr>
              <w:t>29.2</w:t>
            </w:r>
          </w:p>
        </w:tc>
        <w:tc>
          <w:tcPr>
            <w:tcW w:w="2268" w:type="dxa"/>
            <w:tcBorders>
              <w:top w:val="single" w:color="auto" w:sz="4" w:space="0"/>
              <w:left w:val="single" w:color="auto" w:sz="4" w:space="0"/>
              <w:bottom w:val="nil"/>
              <w:right w:val="single" w:color="auto" w:sz="4" w:space="0"/>
            </w:tcBorders>
            <w:noWrap w:val="0"/>
            <w:vAlign w:val="center"/>
          </w:tcPr>
          <w:p w14:paraId="3EA340A8">
            <w:pPr>
              <w:spacing w:line="380" w:lineRule="exact"/>
              <w:rPr>
                <w:rFonts w:hint="eastAsia" w:ascii="宋体" w:hAnsi="宋体"/>
                <w:color w:val="000000"/>
                <w:szCs w:val="21"/>
              </w:rPr>
            </w:pPr>
            <w:bookmarkStart w:id="68" w:name="_29.2.2（2）"/>
            <w:bookmarkEnd w:id="68"/>
            <w:r>
              <w:rPr>
                <w:rFonts w:hint="eastAsia" w:ascii="宋体" w:hAnsi="宋体"/>
                <w:color w:val="000000"/>
                <w:szCs w:val="21"/>
              </w:rPr>
              <w:t>允许负偏离项</w:t>
            </w:r>
          </w:p>
        </w:tc>
        <w:tc>
          <w:tcPr>
            <w:tcW w:w="7297" w:type="dxa"/>
            <w:tcBorders>
              <w:top w:val="single" w:color="auto" w:sz="4" w:space="0"/>
              <w:left w:val="single" w:color="auto" w:sz="4" w:space="0"/>
              <w:bottom w:val="nil"/>
              <w:right w:val="single" w:color="auto" w:sz="4" w:space="0"/>
            </w:tcBorders>
            <w:noWrap w:val="0"/>
            <w:vAlign w:val="center"/>
          </w:tcPr>
          <w:p w14:paraId="0642BF51">
            <w:pPr>
              <w:snapToGrid w:val="0"/>
              <w:spacing w:line="380" w:lineRule="exact"/>
              <w:rPr>
                <w:rFonts w:hint="eastAsia" w:ascii="宋体" w:hAnsi="宋体"/>
                <w:szCs w:val="21"/>
              </w:rPr>
            </w:pPr>
            <w:r>
              <w:rPr>
                <w:rFonts w:hint="eastAsia" w:ascii="宋体" w:hAnsi="宋体" w:cs="宋体"/>
                <w:szCs w:val="21"/>
              </w:rPr>
              <w:t>商务条款</w:t>
            </w:r>
            <w:r>
              <w:rPr>
                <w:rFonts w:hint="eastAsia" w:ascii="宋体" w:hAnsi="宋体"/>
                <w:szCs w:val="21"/>
              </w:rPr>
              <w:t>评审中允许负偏离的条款数为</w:t>
            </w:r>
            <w:r>
              <w:rPr>
                <w:rFonts w:hint="eastAsia" w:ascii="宋体" w:hAnsi="宋体"/>
                <w:szCs w:val="21"/>
                <w:u w:val="single"/>
                <w:lang w:val="en-US" w:eastAsia="zh-CN"/>
              </w:rPr>
              <w:t>0</w:t>
            </w:r>
            <w:r>
              <w:rPr>
                <w:rFonts w:hint="eastAsia" w:ascii="宋体" w:hAnsi="宋体"/>
                <w:szCs w:val="21"/>
              </w:rPr>
              <w:t>项。</w:t>
            </w:r>
          </w:p>
          <w:p w14:paraId="704F5B53">
            <w:pPr>
              <w:snapToGrid w:val="0"/>
              <w:spacing w:line="380" w:lineRule="exact"/>
              <w:rPr>
                <w:rFonts w:hint="eastAsia" w:ascii="宋体" w:hAnsi="宋体"/>
                <w:color w:val="000000"/>
                <w:szCs w:val="21"/>
              </w:rPr>
            </w:pPr>
            <w:r>
              <w:rPr>
                <w:rFonts w:hint="eastAsia" w:ascii="宋体" w:hAnsi="宋体" w:cs="宋体"/>
                <w:szCs w:val="21"/>
              </w:rPr>
              <w:t>服务需求</w:t>
            </w:r>
            <w:r>
              <w:rPr>
                <w:rFonts w:hint="eastAsia" w:ascii="宋体" w:hAnsi="宋体"/>
                <w:szCs w:val="21"/>
              </w:rPr>
              <w:t>评审中允许负偏离的条款数为</w:t>
            </w:r>
            <w:r>
              <w:rPr>
                <w:rFonts w:hint="eastAsia" w:ascii="宋体" w:hAnsi="宋体"/>
                <w:szCs w:val="21"/>
                <w:u w:val="single"/>
                <w:lang w:val="en-US" w:eastAsia="zh-CN"/>
              </w:rPr>
              <w:t>0</w:t>
            </w:r>
            <w:r>
              <w:rPr>
                <w:rFonts w:hint="eastAsia" w:ascii="宋体" w:hAnsi="宋体"/>
                <w:szCs w:val="21"/>
              </w:rPr>
              <w:t>项。</w:t>
            </w:r>
          </w:p>
        </w:tc>
      </w:tr>
      <w:tr w14:paraId="545F61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noWrap w:val="0"/>
            <w:vAlign w:val="center"/>
          </w:tcPr>
          <w:p w14:paraId="242BBCC2">
            <w:pPr>
              <w:spacing w:line="380" w:lineRule="exact"/>
              <w:jc w:val="center"/>
              <w:rPr>
                <w:rFonts w:hint="eastAsia" w:ascii="宋体" w:hAnsi="宋体"/>
                <w:color w:val="000000"/>
                <w:szCs w:val="21"/>
              </w:rPr>
            </w:pPr>
            <w:r>
              <w:rPr>
                <w:rFonts w:hint="eastAsia" w:ascii="宋体" w:hAnsi="宋体"/>
                <w:color w:val="000000"/>
                <w:szCs w:val="21"/>
              </w:rPr>
              <w:t>30.1</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16F037D8">
            <w:pPr>
              <w:autoSpaceDE w:val="0"/>
              <w:autoSpaceDN w:val="0"/>
              <w:snapToGrid w:val="0"/>
              <w:spacing w:line="380" w:lineRule="exact"/>
              <w:textAlignment w:val="bottom"/>
              <w:rPr>
                <w:rFonts w:hint="eastAsia" w:ascii="宋体" w:hAnsi="宋体"/>
                <w:color w:val="000000"/>
                <w:szCs w:val="21"/>
              </w:rPr>
            </w:pPr>
            <w:r>
              <w:rPr>
                <w:rFonts w:hint="eastAsia" w:ascii="宋体" w:hAnsi="宋体"/>
                <w:color w:val="000000"/>
                <w:szCs w:val="21"/>
              </w:rPr>
              <w:t xml:space="preserve">确定中标人时，出现中标候选人分数并列的情形，确定中标人方式 </w:t>
            </w:r>
          </w:p>
        </w:tc>
        <w:tc>
          <w:tcPr>
            <w:tcW w:w="7297" w:type="dxa"/>
            <w:tcBorders>
              <w:top w:val="single" w:color="auto" w:sz="4" w:space="0"/>
              <w:left w:val="single" w:color="auto" w:sz="4" w:space="0"/>
              <w:bottom w:val="single" w:color="auto" w:sz="4" w:space="0"/>
              <w:right w:val="single" w:color="auto" w:sz="4" w:space="0"/>
            </w:tcBorders>
            <w:noWrap w:val="0"/>
            <w:vAlign w:val="center"/>
          </w:tcPr>
          <w:p w14:paraId="79D4A83D">
            <w:pPr>
              <w:autoSpaceDE w:val="0"/>
              <w:autoSpaceDN w:val="0"/>
              <w:snapToGrid w:val="0"/>
              <w:spacing w:line="380" w:lineRule="exact"/>
              <w:textAlignment w:val="bottom"/>
              <w:rPr>
                <w:rFonts w:hint="eastAsia" w:ascii="宋体" w:hAnsi="宋体"/>
                <w:color w:val="000000"/>
                <w:szCs w:val="21"/>
              </w:rPr>
            </w:pPr>
            <w:r>
              <w:rPr>
                <w:rFonts w:hint="eastAsia" w:ascii="宋体" w:hAnsi="宋体"/>
                <w:color w:val="000000"/>
                <w:szCs w:val="21"/>
              </w:rPr>
              <w:t xml:space="preserve">□采用最低评标价法的，投标文件满足招标文件全部实质性要求且投标报价最低的投标人为排名第一的中标候选人； </w:t>
            </w:r>
          </w:p>
          <w:p w14:paraId="0EF912B1">
            <w:pPr>
              <w:autoSpaceDE w:val="0"/>
              <w:autoSpaceDN w:val="0"/>
              <w:snapToGrid w:val="0"/>
              <w:spacing w:line="380" w:lineRule="exact"/>
              <w:textAlignment w:val="bottom"/>
              <w:rPr>
                <w:rFonts w:hint="eastAsia" w:ascii="宋体" w:hAnsi="宋体"/>
                <w:b/>
                <w:color w:val="000000"/>
                <w:szCs w:val="21"/>
              </w:rPr>
            </w:pPr>
            <w:r>
              <w:rPr>
                <w:rFonts w:hint="eastAsia" w:ascii="宋体" w:hAnsi="MS Gothic" w:eastAsia="MS Gothic" w:cs="MS Gothic"/>
                <w:szCs w:val="21"/>
              </w:rPr>
              <w:t>☑</w:t>
            </w:r>
            <w:r>
              <w:rPr>
                <w:rFonts w:hint="eastAsia" w:ascii="宋体" w:hAnsi="宋体"/>
                <w:color w:val="000000"/>
                <w:szCs w:val="21"/>
              </w:rPr>
              <w:t>采用综合评分法的，按投标报价由低到高顺序排列。得分且投标报价相同的并列。投标文件满足招标文件全部实质性要求，且按照评审因素的量化指标评审得分最高的投标人为排名第一的中标候选人。</w:t>
            </w:r>
          </w:p>
        </w:tc>
      </w:tr>
      <w:tr w14:paraId="0F61E5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05BC9BFF">
            <w:pPr>
              <w:spacing w:line="380" w:lineRule="exact"/>
              <w:jc w:val="center"/>
              <w:rPr>
                <w:rFonts w:hint="eastAsia" w:ascii="宋体" w:hAnsi="宋体"/>
                <w:color w:val="000000"/>
                <w:szCs w:val="21"/>
              </w:rPr>
            </w:pPr>
            <w:r>
              <w:rPr>
                <w:rFonts w:hint="eastAsia" w:ascii="宋体" w:hAnsi="宋体"/>
                <w:color w:val="000000"/>
                <w:szCs w:val="21"/>
              </w:rPr>
              <w:t>35</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27342763">
            <w:pPr>
              <w:spacing w:line="380" w:lineRule="exact"/>
              <w:rPr>
                <w:rFonts w:hint="eastAsia" w:ascii="宋体" w:hAnsi="宋体"/>
                <w:color w:val="000000"/>
                <w:szCs w:val="21"/>
              </w:rPr>
            </w:pPr>
            <w:bookmarkStart w:id="69" w:name="_39.1"/>
            <w:bookmarkEnd w:id="69"/>
            <w:r>
              <w:rPr>
                <w:rFonts w:hint="eastAsia" w:ascii="宋体" w:hAnsi="宋体"/>
                <w:color w:val="000000"/>
                <w:szCs w:val="21"/>
              </w:rPr>
              <w:t>履约保证金金额</w:t>
            </w:r>
          </w:p>
        </w:tc>
        <w:tc>
          <w:tcPr>
            <w:tcW w:w="7297" w:type="dxa"/>
            <w:tcBorders>
              <w:top w:val="single" w:color="auto" w:sz="4" w:space="0"/>
              <w:left w:val="single" w:color="auto" w:sz="4" w:space="0"/>
              <w:bottom w:val="single" w:color="auto" w:sz="4" w:space="0"/>
              <w:right w:val="single" w:color="auto" w:sz="4" w:space="0"/>
            </w:tcBorders>
            <w:noWrap w:val="0"/>
            <w:vAlign w:val="bottom"/>
          </w:tcPr>
          <w:p w14:paraId="562D27E9">
            <w:pPr>
              <w:autoSpaceDE w:val="0"/>
              <w:autoSpaceDN w:val="0"/>
              <w:snapToGrid w:val="0"/>
              <w:spacing w:line="380" w:lineRule="exact"/>
              <w:jc w:val="left"/>
              <w:textAlignment w:val="bottom"/>
              <w:rPr>
                <w:rFonts w:hint="eastAsia" w:ascii="宋体" w:hAnsi="宋体"/>
                <w:color w:val="000000"/>
                <w:szCs w:val="21"/>
              </w:rPr>
            </w:pPr>
            <w:r>
              <w:rPr>
                <w:rFonts w:hint="eastAsia" w:ascii="宋体" w:hAnsi="宋体"/>
                <w:color w:val="000000"/>
                <w:szCs w:val="21"/>
              </w:rPr>
              <w:t>本项目不收取履约保证金。</w:t>
            </w:r>
          </w:p>
        </w:tc>
      </w:tr>
      <w:tr w14:paraId="73033E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noWrap w:val="0"/>
            <w:vAlign w:val="center"/>
          </w:tcPr>
          <w:p w14:paraId="252CBB56">
            <w:pPr>
              <w:spacing w:line="380" w:lineRule="exact"/>
              <w:jc w:val="center"/>
              <w:rPr>
                <w:rFonts w:hint="eastAsia" w:ascii="宋体" w:hAnsi="宋体"/>
                <w:szCs w:val="21"/>
              </w:rPr>
            </w:pPr>
            <w:r>
              <w:rPr>
                <w:rFonts w:hint="eastAsia" w:ascii="宋体" w:hAnsi="宋体"/>
                <w:szCs w:val="21"/>
              </w:rPr>
              <w:t>36.1</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586EAE7F">
            <w:pPr>
              <w:spacing w:line="380" w:lineRule="exact"/>
              <w:rPr>
                <w:rFonts w:hint="eastAsia" w:ascii="宋体" w:hAnsi="宋体"/>
                <w:szCs w:val="21"/>
              </w:rPr>
            </w:pPr>
            <w:bookmarkStart w:id="70" w:name="_40.1"/>
            <w:bookmarkEnd w:id="70"/>
            <w:r>
              <w:rPr>
                <w:rFonts w:hint="eastAsia" w:ascii="宋体" w:hAnsi="宋体"/>
                <w:szCs w:val="21"/>
              </w:rPr>
              <w:t>签订电子合同携带的材料</w:t>
            </w:r>
          </w:p>
        </w:tc>
        <w:tc>
          <w:tcPr>
            <w:tcW w:w="7297" w:type="dxa"/>
            <w:tcBorders>
              <w:top w:val="single" w:color="auto" w:sz="4" w:space="0"/>
              <w:left w:val="single" w:color="auto" w:sz="4" w:space="0"/>
              <w:bottom w:val="single" w:color="auto" w:sz="4" w:space="0"/>
              <w:right w:val="single" w:color="auto" w:sz="4" w:space="0"/>
            </w:tcBorders>
            <w:noWrap w:val="0"/>
            <w:vAlign w:val="center"/>
          </w:tcPr>
          <w:p w14:paraId="0758261F">
            <w:pPr>
              <w:autoSpaceDE w:val="0"/>
              <w:autoSpaceDN w:val="0"/>
              <w:snapToGrid w:val="0"/>
              <w:spacing w:line="380" w:lineRule="exact"/>
              <w:textAlignment w:val="bottom"/>
              <w:rPr>
                <w:rFonts w:hint="eastAsia" w:ascii="宋体" w:hAnsi="宋体"/>
                <w:szCs w:val="21"/>
              </w:rPr>
            </w:pPr>
            <w:r>
              <w:rPr>
                <w:rFonts w:hint="eastAsia" w:ascii="宋体" w:hAnsi="宋体"/>
                <w:szCs w:val="21"/>
              </w:rPr>
              <w:t>电子采购合同需要供应商通过有效CA证书进行电子签名与签章</w:t>
            </w:r>
          </w:p>
        </w:tc>
      </w:tr>
      <w:tr w14:paraId="33AA94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1" w:hRule="atLeast"/>
        </w:trPr>
        <w:tc>
          <w:tcPr>
            <w:tcW w:w="675" w:type="dxa"/>
            <w:vMerge w:val="restart"/>
            <w:tcBorders>
              <w:top w:val="single" w:color="auto" w:sz="4" w:space="0"/>
              <w:left w:val="single" w:color="auto" w:sz="4" w:space="0"/>
              <w:bottom w:val="single" w:color="auto" w:sz="4" w:space="0"/>
              <w:right w:val="single" w:color="auto" w:sz="4" w:space="0"/>
            </w:tcBorders>
            <w:noWrap w:val="0"/>
            <w:vAlign w:val="center"/>
          </w:tcPr>
          <w:p w14:paraId="7C507A95">
            <w:pPr>
              <w:spacing w:line="380" w:lineRule="exact"/>
              <w:jc w:val="center"/>
              <w:rPr>
                <w:rFonts w:hint="eastAsia" w:ascii="宋体" w:hAnsi="宋体"/>
                <w:color w:val="000000"/>
                <w:szCs w:val="21"/>
              </w:rPr>
            </w:pPr>
            <w:r>
              <w:rPr>
                <w:rFonts w:hint="eastAsia" w:ascii="宋体" w:hAnsi="宋体"/>
                <w:color w:val="000000"/>
                <w:szCs w:val="21"/>
              </w:rPr>
              <w:t>38.2.1</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432CBE78">
            <w:pPr>
              <w:spacing w:line="380" w:lineRule="exact"/>
              <w:rPr>
                <w:rFonts w:hint="eastAsia" w:ascii="宋体" w:hAnsi="宋体"/>
                <w:color w:val="000000"/>
                <w:szCs w:val="21"/>
              </w:rPr>
            </w:pPr>
            <w:r>
              <w:rPr>
                <w:rFonts w:hint="eastAsia" w:ascii="宋体" w:hAnsi="宋体"/>
                <w:color w:val="000000"/>
                <w:szCs w:val="21"/>
              </w:rPr>
              <w:t>接收质疑函方式</w:t>
            </w:r>
          </w:p>
        </w:tc>
        <w:tc>
          <w:tcPr>
            <w:tcW w:w="7297" w:type="dxa"/>
            <w:tcBorders>
              <w:top w:val="single" w:color="auto" w:sz="4" w:space="0"/>
              <w:left w:val="single" w:color="auto" w:sz="4" w:space="0"/>
              <w:bottom w:val="single" w:color="auto" w:sz="4" w:space="0"/>
              <w:right w:val="single" w:color="auto" w:sz="4" w:space="0"/>
            </w:tcBorders>
            <w:noWrap w:val="0"/>
            <w:vAlign w:val="center"/>
          </w:tcPr>
          <w:p w14:paraId="1A6841FB">
            <w:pPr>
              <w:snapToGrid w:val="0"/>
              <w:spacing w:line="380" w:lineRule="exact"/>
              <w:rPr>
                <w:rFonts w:hint="eastAsia" w:ascii="宋体" w:hAnsi="宋体"/>
                <w:color w:val="000000"/>
                <w:szCs w:val="21"/>
              </w:rPr>
            </w:pPr>
            <w:r>
              <w:rPr>
                <w:rFonts w:hint="eastAsia" w:ascii="宋体" w:hAnsi="宋体"/>
                <w:color w:val="000000"/>
                <w:szCs w:val="21"/>
              </w:rPr>
              <w:t>以书面形式</w:t>
            </w:r>
          </w:p>
        </w:tc>
      </w:tr>
      <w:tr w14:paraId="0C6CA1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675" w:type="dxa"/>
            <w:vMerge w:val="continue"/>
            <w:tcBorders>
              <w:top w:val="single" w:color="auto" w:sz="4" w:space="0"/>
              <w:left w:val="single" w:color="auto" w:sz="4" w:space="0"/>
              <w:bottom w:val="single" w:color="auto" w:sz="4" w:space="0"/>
              <w:right w:val="single" w:color="auto" w:sz="4" w:space="0"/>
            </w:tcBorders>
            <w:noWrap w:val="0"/>
            <w:vAlign w:val="center"/>
          </w:tcPr>
          <w:p w14:paraId="66554CF7">
            <w:pPr>
              <w:widowControl/>
              <w:jc w:val="center"/>
              <w:rPr>
                <w:rFonts w:ascii="宋体" w:hAnsi="宋体"/>
                <w:color w:val="000000"/>
                <w:szCs w:val="21"/>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14:paraId="3F6C6CFA">
            <w:pPr>
              <w:spacing w:line="380" w:lineRule="exact"/>
              <w:rPr>
                <w:rFonts w:hint="eastAsia" w:ascii="宋体" w:hAnsi="宋体"/>
                <w:color w:val="000000"/>
                <w:szCs w:val="21"/>
              </w:rPr>
            </w:pPr>
            <w:r>
              <w:rPr>
                <w:rFonts w:hint="eastAsia" w:ascii="宋体" w:hAnsi="宋体"/>
                <w:color w:val="000000"/>
                <w:szCs w:val="21"/>
              </w:rPr>
              <w:t>质疑联系部门及联系方式</w:t>
            </w:r>
          </w:p>
        </w:tc>
        <w:tc>
          <w:tcPr>
            <w:tcW w:w="7297" w:type="dxa"/>
            <w:tcBorders>
              <w:top w:val="single" w:color="auto" w:sz="4" w:space="0"/>
              <w:left w:val="single" w:color="auto" w:sz="4" w:space="0"/>
              <w:bottom w:val="single" w:color="auto" w:sz="4" w:space="0"/>
              <w:right w:val="single" w:color="auto" w:sz="4" w:space="0"/>
            </w:tcBorders>
            <w:noWrap w:val="0"/>
            <w:vAlign w:val="center"/>
          </w:tcPr>
          <w:p w14:paraId="19C4F276">
            <w:pPr>
              <w:snapToGrid w:val="0"/>
              <w:spacing w:line="380" w:lineRule="exact"/>
              <w:rPr>
                <w:rFonts w:hint="eastAsia" w:ascii="宋体" w:hAnsi="宋体"/>
                <w:color w:val="000000"/>
                <w:szCs w:val="21"/>
              </w:rPr>
            </w:pPr>
            <w:r>
              <w:rPr>
                <w:rFonts w:hint="eastAsia" w:ascii="宋体" w:hAnsi="宋体"/>
                <w:color w:val="000000"/>
                <w:szCs w:val="21"/>
                <w:u w:val="none"/>
              </w:rPr>
              <w:t>（1）</w:t>
            </w:r>
            <w:bookmarkStart w:id="71" w:name="PO_3000001866_PM031_3"/>
            <w:r>
              <w:rPr>
                <w:rFonts w:hint="eastAsia" w:ascii="宋体" w:hAnsi="宋体"/>
                <w:color w:val="000000"/>
                <w:szCs w:val="21"/>
                <w:u w:val="single"/>
              </w:rPr>
              <w:t>广西国建项目管理有限公司</w:t>
            </w:r>
            <w:bookmarkEnd w:id="71"/>
            <w:r>
              <w:rPr>
                <w:rFonts w:hint="eastAsia" w:ascii="宋体" w:hAnsi="宋体"/>
                <w:color w:val="000000"/>
                <w:szCs w:val="21"/>
              </w:rPr>
              <w:t>部门；</w:t>
            </w:r>
          </w:p>
          <w:p w14:paraId="3C0DBA95">
            <w:pPr>
              <w:snapToGrid w:val="0"/>
              <w:spacing w:line="380" w:lineRule="exact"/>
              <w:rPr>
                <w:rFonts w:hint="eastAsia" w:ascii="宋体" w:hAnsi="宋体"/>
                <w:color w:val="000000"/>
                <w:szCs w:val="21"/>
              </w:rPr>
            </w:pPr>
            <w:r>
              <w:rPr>
                <w:rFonts w:hint="eastAsia" w:ascii="宋体" w:hAnsi="宋体"/>
                <w:color w:val="000000"/>
                <w:szCs w:val="21"/>
              </w:rPr>
              <w:t>联系电话：</w:t>
            </w:r>
            <w:bookmarkStart w:id="72" w:name="PO_3000001866_PM033_1"/>
            <w:r>
              <w:rPr>
                <w:rFonts w:hint="eastAsia" w:ascii="宋体" w:hAnsi="宋体"/>
                <w:color w:val="000000"/>
                <w:szCs w:val="21"/>
              </w:rPr>
              <w:t>0771-4915533</w:t>
            </w:r>
            <w:bookmarkEnd w:id="72"/>
            <w:r>
              <w:rPr>
                <w:rFonts w:hint="eastAsia" w:ascii="宋体" w:hAnsi="宋体"/>
                <w:color w:val="000000"/>
                <w:szCs w:val="21"/>
              </w:rPr>
              <w:t>，</w:t>
            </w:r>
          </w:p>
          <w:p w14:paraId="4E1714ED">
            <w:pPr>
              <w:snapToGrid w:val="0"/>
              <w:spacing w:line="380" w:lineRule="exact"/>
              <w:rPr>
                <w:rFonts w:hint="eastAsia" w:ascii="宋体" w:hAnsi="宋体"/>
                <w:color w:val="000000"/>
                <w:szCs w:val="21"/>
                <w:u w:val="none"/>
              </w:rPr>
            </w:pPr>
            <w:r>
              <w:rPr>
                <w:rFonts w:hint="eastAsia" w:ascii="宋体" w:hAnsi="宋体"/>
                <w:color w:val="000000"/>
                <w:szCs w:val="21"/>
              </w:rPr>
              <w:t>通讯地址</w:t>
            </w:r>
            <w:r>
              <w:rPr>
                <w:rFonts w:hint="eastAsia" w:ascii="宋体" w:hAnsi="宋体" w:cs="Helvetica"/>
                <w:color w:val="000000"/>
                <w:szCs w:val="21"/>
                <w:u w:val="none"/>
              </w:rPr>
              <w:t>：</w:t>
            </w:r>
            <w:bookmarkStart w:id="73" w:name="PO_3000001866_PM035"/>
            <w:r>
              <w:rPr>
                <w:rFonts w:hint="eastAsia" w:ascii="宋体" w:hAnsi="宋体"/>
                <w:color w:val="000000"/>
                <w:szCs w:val="21"/>
                <w:u w:val="none"/>
              </w:rPr>
              <w:t>南宁市江南区白沙大道松宇时代17楼</w:t>
            </w:r>
            <w:bookmarkEnd w:id="73"/>
            <w:r>
              <w:rPr>
                <w:rFonts w:hint="eastAsia" w:ascii="宋体" w:hAnsi="宋体"/>
                <w:color w:val="000000"/>
                <w:szCs w:val="21"/>
                <w:u w:val="none"/>
              </w:rPr>
              <w:t xml:space="preserve"> </w:t>
            </w:r>
          </w:p>
          <w:p w14:paraId="287DD9D5">
            <w:pPr>
              <w:snapToGrid w:val="0"/>
              <w:spacing w:line="380" w:lineRule="exact"/>
              <w:rPr>
                <w:rFonts w:hint="eastAsia" w:ascii="宋体" w:hAnsi="宋体"/>
                <w:color w:val="000000"/>
                <w:szCs w:val="21"/>
              </w:rPr>
            </w:pPr>
            <w:r>
              <w:rPr>
                <w:rFonts w:hint="eastAsia" w:ascii="宋体" w:hAnsi="宋体"/>
                <w:color w:val="000000"/>
                <w:szCs w:val="21"/>
                <w:u w:val="none"/>
              </w:rPr>
              <w:t>（2）</w:t>
            </w:r>
            <w:r>
              <w:rPr>
                <w:rFonts w:hint="eastAsia" w:ascii="宋体" w:hAnsi="宋体"/>
                <w:color w:val="000000"/>
                <w:szCs w:val="21"/>
                <w:u w:val="single"/>
              </w:rPr>
              <w:t>南宁市第三职业技术学校</w:t>
            </w:r>
            <w:r>
              <w:rPr>
                <w:rFonts w:hint="eastAsia" w:ascii="宋体" w:hAnsi="宋体"/>
                <w:color w:val="000000"/>
                <w:szCs w:val="21"/>
              </w:rPr>
              <w:t>部门；</w:t>
            </w:r>
          </w:p>
          <w:p w14:paraId="06A2D807">
            <w:pPr>
              <w:snapToGrid w:val="0"/>
              <w:spacing w:line="380" w:lineRule="exact"/>
              <w:rPr>
                <w:rFonts w:hint="eastAsia" w:ascii="宋体" w:hAnsi="宋体"/>
                <w:color w:val="000000"/>
                <w:szCs w:val="21"/>
              </w:rPr>
            </w:pPr>
            <w:r>
              <w:rPr>
                <w:rFonts w:hint="eastAsia" w:ascii="宋体" w:hAnsi="宋体"/>
                <w:color w:val="000000"/>
                <w:szCs w:val="21"/>
              </w:rPr>
              <w:t>联系电话：</w:t>
            </w:r>
            <w:bookmarkStart w:id="74" w:name="PO_3000001871_PM028_2"/>
            <w:r>
              <w:rPr>
                <w:rFonts w:hint="eastAsia" w:ascii="宋体" w:hAnsi="宋体"/>
                <w:color w:val="000000"/>
                <w:szCs w:val="21"/>
                <w:lang w:eastAsia="zh-CN"/>
              </w:rPr>
              <w:t>0771-</w:t>
            </w:r>
            <w:bookmarkEnd w:id="74"/>
            <w:r>
              <w:rPr>
                <w:rFonts w:hint="eastAsia" w:ascii="宋体" w:hAnsi="宋体"/>
                <w:color w:val="000000"/>
                <w:szCs w:val="21"/>
                <w:lang w:val="en-US" w:eastAsia="zh-CN"/>
              </w:rPr>
              <w:t>5602382</w:t>
            </w:r>
            <w:r>
              <w:rPr>
                <w:rFonts w:hint="eastAsia" w:ascii="宋体" w:hAnsi="宋体"/>
                <w:color w:val="000000"/>
                <w:szCs w:val="21"/>
              </w:rPr>
              <w:t>，</w:t>
            </w:r>
          </w:p>
          <w:p w14:paraId="456CE189">
            <w:pPr>
              <w:snapToGrid w:val="0"/>
              <w:spacing w:line="380" w:lineRule="exact"/>
              <w:rPr>
                <w:rFonts w:hint="eastAsia" w:ascii="宋体" w:hAnsi="宋体"/>
                <w:color w:val="000000"/>
                <w:szCs w:val="21"/>
              </w:rPr>
            </w:pPr>
            <w:r>
              <w:rPr>
                <w:rFonts w:hint="eastAsia" w:ascii="宋体" w:hAnsi="宋体"/>
                <w:color w:val="000000"/>
                <w:szCs w:val="21"/>
              </w:rPr>
              <w:t>通讯地址</w:t>
            </w:r>
            <w:r>
              <w:rPr>
                <w:rFonts w:hint="eastAsia" w:ascii="宋体" w:hAnsi="宋体" w:cs="Helvetica"/>
                <w:color w:val="000000"/>
                <w:szCs w:val="21"/>
                <w:u w:val="none"/>
              </w:rPr>
              <w:t>：</w:t>
            </w:r>
            <w:r>
              <w:rPr>
                <w:rFonts w:hint="eastAsia" w:ascii="宋体" w:hAnsi="宋体" w:cs="Helvetica"/>
                <w:color w:val="000000"/>
                <w:szCs w:val="21"/>
                <w:u w:val="none"/>
                <w:lang w:val="en-US" w:eastAsia="zh-CN"/>
              </w:rPr>
              <w:t>南宁市望州路北二里14号</w:t>
            </w:r>
            <w:r>
              <w:rPr>
                <w:rFonts w:hint="eastAsia" w:ascii="宋体" w:hAnsi="宋体"/>
                <w:color w:val="000000"/>
                <w:szCs w:val="21"/>
                <w:u w:val="none"/>
              </w:rPr>
              <w:t xml:space="preserve"> </w:t>
            </w:r>
          </w:p>
        </w:tc>
      </w:tr>
      <w:tr w14:paraId="78F0F4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675" w:type="dxa"/>
            <w:vMerge w:val="continue"/>
            <w:tcBorders>
              <w:top w:val="single" w:color="auto" w:sz="4" w:space="0"/>
              <w:left w:val="single" w:color="auto" w:sz="4" w:space="0"/>
              <w:bottom w:val="single" w:color="auto" w:sz="4" w:space="0"/>
              <w:right w:val="single" w:color="auto" w:sz="4" w:space="0"/>
            </w:tcBorders>
            <w:noWrap w:val="0"/>
            <w:vAlign w:val="center"/>
          </w:tcPr>
          <w:p w14:paraId="4B74A37E">
            <w:pPr>
              <w:widowControl/>
              <w:jc w:val="center"/>
              <w:rPr>
                <w:rFonts w:ascii="宋体" w:hAnsi="宋体"/>
                <w:color w:val="000000"/>
                <w:szCs w:val="21"/>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14:paraId="15A57896">
            <w:pPr>
              <w:spacing w:line="380" w:lineRule="exact"/>
              <w:rPr>
                <w:rFonts w:hint="eastAsia" w:ascii="宋体" w:hAnsi="宋体"/>
                <w:color w:val="000000"/>
                <w:szCs w:val="21"/>
              </w:rPr>
            </w:pPr>
            <w:r>
              <w:rPr>
                <w:rFonts w:hint="eastAsia" w:ascii="宋体" w:hAnsi="宋体"/>
                <w:color w:val="000000"/>
              </w:rPr>
              <w:t>现场提交质疑办理业务时间</w:t>
            </w:r>
          </w:p>
        </w:tc>
        <w:tc>
          <w:tcPr>
            <w:tcW w:w="7297" w:type="dxa"/>
            <w:tcBorders>
              <w:top w:val="single" w:color="auto" w:sz="4" w:space="0"/>
              <w:left w:val="single" w:color="auto" w:sz="4" w:space="0"/>
              <w:bottom w:val="single" w:color="auto" w:sz="4" w:space="0"/>
              <w:right w:val="single" w:color="auto" w:sz="4" w:space="0"/>
            </w:tcBorders>
            <w:noWrap w:val="0"/>
            <w:vAlign w:val="center"/>
          </w:tcPr>
          <w:p w14:paraId="3B3DBB90">
            <w:pPr>
              <w:snapToGrid w:val="0"/>
              <w:spacing w:line="380" w:lineRule="exact"/>
              <w:rPr>
                <w:rFonts w:hint="eastAsia" w:ascii="宋体" w:hAnsi="宋体"/>
                <w:color w:val="000000"/>
                <w:szCs w:val="21"/>
              </w:rPr>
            </w:pPr>
            <w:r>
              <w:rPr>
                <w:rFonts w:hint="eastAsia" w:ascii="宋体" w:hAnsi="宋体"/>
                <w:color w:val="000000"/>
              </w:rPr>
              <w:t>质疑期内每个工作日</w:t>
            </w:r>
            <w:r>
              <w:rPr>
                <w:rFonts w:ascii="宋体" w:hAnsi="宋体"/>
                <w:color w:val="000000"/>
                <w:u w:val="single"/>
              </w:rPr>
              <w:t xml:space="preserve"> </w:t>
            </w:r>
            <w:r>
              <w:rPr>
                <w:rFonts w:hint="eastAsia" w:ascii="宋体" w:hAnsi="宋体"/>
                <w:color w:val="000000"/>
                <w:u w:val="single"/>
              </w:rPr>
              <w:t>08</w:t>
            </w:r>
            <w:r>
              <w:rPr>
                <w:rFonts w:ascii="宋体" w:hAnsi="宋体"/>
                <w:color w:val="000000"/>
                <w:u w:val="single"/>
              </w:rPr>
              <w:t xml:space="preserve">  </w:t>
            </w:r>
            <w:r>
              <w:rPr>
                <w:rFonts w:hint="eastAsia" w:ascii="宋体" w:hAnsi="宋体"/>
                <w:color w:val="000000"/>
              </w:rPr>
              <w:t>时</w:t>
            </w:r>
            <w:r>
              <w:rPr>
                <w:rFonts w:ascii="宋体" w:hAnsi="宋体"/>
                <w:color w:val="000000"/>
                <w:u w:val="single"/>
              </w:rPr>
              <w:t xml:space="preserve"> </w:t>
            </w:r>
            <w:r>
              <w:rPr>
                <w:rFonts w:hint="eastAsia" w:ascii="宋体" w:hAnsi="宋体"/>
                <w:color w:val="000000"/>
                <w:u w:val="single"/>
              </w:rPr>
              <w:t>30</w:t>
            </w:r>
            <w:r>
              <w:rPr>
                <w:rFonts w:ascii="宋体" w:hAnsi="宋体"/>
                <w:color w:val="000000"/>
                <w:u w:val="single"/>
              </w:rPr>
              <w:t xml:space="preserve"> </w:t>
            </w:r>
            <w:r>
              <w:rPr>
                <w:rFonts w:hint="eastAsia" w:ascii="宋体" w:hAnsi="宋体"/>
                <w:color w:val="000000"/>
              </w:rPr>
              <w:t>分到</w:t>
            </w:r>
            <w:r>
              <w:rPr>
                <w:rFonts w:ascii="宋体" w:hAnsi="宋体"/>
                <w:color w:val="000000"/>
                <w:u w:val="single"/>
              </w:rPr>
              <w:t xml:space="preserve"> </w:t>
            </w:r>
            <w:r>
              <w:rPr>
                <w:rFonts w:hint="eastAsia" w:ascii="宋体" w:hAnsi="宋体"/>
                <w:color w:val="000000"/>
                <w:u w:val="single"/>
              </w:rPr>
              <w:t>12</w:t>
            </w:r>
            <w:r>
              <w:rPr>
                <w:rFonts w:ascii="宋体" w:hAnsi="宋体"/>
                <w:color w:val="000000"/>
                <w:u w:val="single"/>
              </w:rPr>
              <w:t xml:space="preserve">  </w:t>
            </w:r>
            <w:r>
              <w:rPr>
                <w:rFonts w:hint="eastAsia" w:ascii="宋体" w:hAnsi="宋体"/>
                <w:color w:val="000000"/>
              </w:rPr>
              <w:t>时</w:t>
            </w:r>
            <w:r>
              <w:rPr>
                <w:rFonts w:ascii="宋体" w:hAnsi="宋体"/>
                <w:color w:val="000000"/>
                <w:u w:val="single"/>
              </w:rPr>
              <w:t xml:space="preserve"> </w:t>
            </w:r>
            <w:r>
              <w:rPr>
                <w:rFonts w:hint="eastAsia" w:ascii="宋体" w:hAnsi="宋体"/>
                <w:color w:val="000000"/>
                <w:u w:val="single"/>
              </w:rPr>
              <w:t>00</w:t>
            </w:r>
            <w:r>
              <w:rPr>
                <w:rFonts w:ascii="宋体" w:hAnsi="宋体"/>
                <w:color w:val="000000"/>
                <w:u w:val="single"/>
              </w:rPr>
              <w:t xml:space="preserve">  </w:t>
            </w:r>
            <w:r>
              <w:rPr>
                <w:rFonts w:hint="eastAsia" w:ascii="宋体" w:hAnsi="宋体"/>
                <w:color w:val="000000"/>
              </w:rPr>
              <w:t>分，</w:t>
            </w:r>
            <w:r>
              <w:rPr>
                <w:rFonts w:ascii="宋体" w:hAnsi="宋体"/>
                <w:color w:val="000000"/>
                <w:u w:val="single"/>
              </w:rPr>
              <w:t xml:space="preserve">  </w:t>
            </w:r>
            <w:r>
              <w:rPr>
                <w:rFonts w:hint="eastAsia" w:ascii="宋体" w:hAnsi="宋体"/>
                <w:color w:val="000000"/>
                <w:u w:val="single"/>
              </w:rPr>
              <w:t>15</w:t>
            </w:r>
            <w:r>
              <w:rPr>
                <w:rFonts w:ascii="宋体" w:hAnsi="宋体"/>
                <w:color w:val="000000"/>
                <w:u w:val="single"/>
              </w:rPr>
              <w:t xml:space="preserve">  </w:t>
            </w:r>
            <w:r>
              <w:rPr>
                <w:rFonts w:hint="eastAsia" w:ascii="宋体" w:hAnsi="宋体"/>
                <w:color w:val="000000"/>
              </w:rPr>
              <w:t>时</w:t>
            </w:r>
            <w:r>
              <w:rPr>
                <w:rFonts w:ascii="宋体" w:hAnsi="宋体"/>
                <w:color w:val="000000"/>
                <w:u w:val="single"/>
              </w:rPr>
              <w:t xml:space="preserve"> </w:t>
            </w:r>
            <w:r>
              <w:rPr>
                <w:rFonts w:hint="eastAsia" w:ascii="宋体" w:hAnsi="宋体"/>
                <w:color w:val="000000"/>
                <w:u w:val="single"/>
              </w:rPr>
              <w:t>00</w:t>
            </w:r>
            <w:r>
              <w:rPr>
                <w:rFonts w:ascii="宋体" w:hAnsi="宋体"/>
                <w:color w:val="000000"/>
                <w:u w:val="single"/>
              </w:rPr>
              <w:t xml:space="preserve"> </w:t>
            </w:r>
            <w:r>
              <w:rPr>
                <w:rFonts w:hint="eastAsia" w:ascii="宋体" w:hAnsi="宋体"/>
                <w:color w:val="000000"/>
              </w:rPr>
              <w:t>分到</w:t>
            </w:r>
            <w:r>
              <w:rPr>
                <w:rFonts w:ascii="宋体" w:hAnsi="宋体"/>
                <w:color w:val="000000"/>
                <w:u w:val="single"/>
              </w:rPr>
              <w:t xml:space="preserve">   </w:t>
            </w:r>
            <w:r>
              <w:rPr>
                <w:rFonts w:hint="eastAsia" w:ascii="宋体" w:hAnsi="宋体"/>
                <w:color w:val="000000"/>
                <w:u w:val="single"/>
              </w:rPr>
              <w:t>18</w:t>
            </w:r>
            <w:r>
              <w:rPr>
                <w:rFonts w:hint="eastAsia" w:ascii="宋体" w:hAnsi="宋体"/>
                <w:color w:val="000000"/>
              </w:rPr>
              <w:t>时</w:t>
            </w:r>
            <w:r>
              <w:rPr>
                <w:rFonts w:ascii="宋体" w:hAnsi="宋体"/>
                <w:color w:val="000000"/>
                <w:u w:val="single"/>
              </w:rPr>
              <w:t xml:space="preserve"> </w:t>
            </w:r>
            <w:r>
              <w:rPr>
                <w:rFonts w:hint="eastAsia" w:ascii="宋体" w:hAnsi="宋体"/>
                <w:color w:val="000000"/>
                <w:u w:val="single"/>
              </w:rPr>
              <w:t>00</w:t>
            </w:r>
            <w:r>
              <w:rPr>
                <w:rFonts w:ascii="宋体" w:hAnsi="宋体"/>
                <w:color w:val="000000"/>
                <w:u w:val="single"/>
              </w:rPr>
              <w:t xml:space="preserve">  </w:t>
            </w:r>
            <w:r>
              <w:rPr>
                <w:rFonts w:hint="eastAsia" w:ascii="宋体" w:hAnsi="宋体"/>
                <w:color w:val="000000"/>
              </w:rPr>
              <w:t>分</w:t>
            </w:r>
          </w:p>
        </w:tc>
      </w:tr>
      <w:tr w14:paraId="07C29D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675" w:type="dxa"/>
            <w:tcBorders>
              <w:top w:val="nil"/>
              <w:left w:val="single" w:color="auto" w:sz="4" w:space="0"/>
              <w:bottom w:val="single" w:color="auto" w:sz="4" w:space="0"/>
              <w:right w:val="single" w:color="auto" w:sz="4" w:space="0"/>
            </w:tcBorders>
            <w:noWrap w:val="0"/>
            <w:vAlign w:val="center"/>
          </w:tcPr>
          <w:p w14:paraId="1DF0719C">
            <w:pPr>
              <w:spacing w:line="380" w:lineRule="exact"/>
              <w:jc w:val="center"/>
              <w:rPr>
                <w:rFonts w:hint="eastAsia" w:ascii="宋体" w:hAnsi="宋体"/>
                <w:color w:val="000000"/>
                <w:szCs w:val="21"/>
              </w:rPr>
            </w:pPr>
            <w:r>
              <w:rPr>
                <w:rFonts w:hint="eastAsia" w:ascii="宋体" w:hAnsi="宋体"/>
                <w:color w:val="000000"/>
                <w:szCs w:val="21"/>
              </w:rPr>
              <w:t>38.3.1</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199E25E5">
            <w:pPr>
              <w:spacing w:line="380" w:lineRule="exact"/>
              <w:rPr>
                <w:rFonts w:hint="eastAsia" w:ascii="宋体" w:hAnsi="宋体"/>
                <w:color w:val="000000"/>
                <w:highlight w:val="none"/>
              </w:rPr>
            </w:pPr>
            <w:r>
              <w:rPr>
                <w:rFonts w:hint="eastAsia" w:ascii="宋体" w:hAnsi="宋体"/>
                <w:color w:val="000000"/>
                <w:highlight w:val="none"/>
              </w:rPr>
              <w:t>投诉受理方式</w:t>
            </w:r>
          </w:p>
        </w:tc>
        <w:tc>
          <w:tcPr>
            <w:tcW w:w="7297" w:type="dxa"/>
            <w:tcBorders>
              <w:top w:val="single" w:color="auto" w:sz="4" w:space="0"/>
              <w:left w:val="single" w:color="auto" w:sz="4" w:space="0"/>
              <w:bottom w:val="single" w:color="auto" w:sz="4" w:space="0"/>
              <w:right w:val="single" w:color="auto" w:sz="4" w:space="0"/>
            </w:tcBorders>
            <w:noWrap w:val="0"/>
            <w:vAlign w:val="center"/>
          </w:tcPr>
          <w:p w14:paraId="5CA8AF2D">
            <w:pPr>
              <w:snapToGrid w:val="0"/>
              <w:spacing w:line="380" w:lineRule="exact"/>
              <w:rPr>
                <w:rFonts w:hint="eastAsia" w:ascii="宋体" w:hAnsi="宋体"/>
                <w:highlight w:val="none"/>
              </w:rPr>
            </w:pPr>
            <w:bookmarkStart w:id="75" w:name="PO_3000001867_PM038"/>
            <w:r>
              <w:rPr>
                <w:rFonts w:hint="eastAsia" w:ascii="宋体" w:hAnsi="宋体"/>
                <w:highlight w:val="none"/>
              </w:rPr>
              <w:t>1、受理方式：纸质方式受理，投诉书正、副本（经过质疑的事项才可投诉）。</w:t>
            </w:r>
          </w:p>
          <w:p w14:paraId="6E79BD9B">
            <w:pPr>
              <w:snapToGrid w:val="0"/>
              <w:spacing w:line="380" w:lineRule="exact"/>
              <w:rPr>
                <w:rFonts w:hint="eastAsia" w:ascii="宋体" w:hAnsi="宋体"/>
                <w:highlight w:val="none"/>
              </w:rPr>
            </w:pPr>
            <w:r>
              <w:rPr>
                <w:rFonts w:hint="eastAsia" w:ascii="宋体" w:hAnsi="宋体"/>
                <w:highlight w:val="none"/>
              </w:rPr>
              <w:t>2、邮寄地址：</w:t>
            </w:r>
          </w:p>
          <w:p w14:paraId="4B47F5BA">
            <w:pPr>
              <w:snapToGrid w:val="0"/>
              <w:spacing w:line="380" w:lineRule="exact"/>
              <w:rPr>
                <w:rFonts w:hint="eastAsia" w:ascii="宋体" w:hAnsi="宋体"/>
                <w:highlight w:val="none"/>
              </w:rPr>
            </w:pPr>
            <w:r>
              <w:rPr>
                <w:rFonts w:hint="eastAsia" w:ascii="宋体" w:hAnsi="宋体"/>
                <w:highlight w:val="none"/>
              </w:rPr>
              <w:t xml:space="preserve">名称：南宁市财政局政府采购监督管理科 </w:t>
            </w:r>
          </w:p>
          <w:p w14:paraId="006D171C">
            <w:pPr>
              <w:snapToGrid w:val="0"/>
              <w:spacing w:line="380" w:lineRule="exact"/>
              <w:rPr>
                <w:rFonts w:hint="eastAsia" w:ascii="宋体" w:hAnsi="宋体"/>
                <w:highlight w:val="none"/>
              </w:rPr>
            </w:pPr>
            <w:r>
              <w:rPr>
                <w:rFonts w:hint="eastAsia" w:ascii="宋体" w:hAnsi="宋体"/>
                <w:highlight w:val="none"/>
              </w:rPr>
              <w:t xml:space="preserve">地址：南宁市东葛路129号  </w:t>
            </w:r>
          </w:p>
          <w:p w14:paraId="26A7BFC6">
            <w:pPr>
              <w:snapToGrid w:val="0"/>
              <w:spacing w:line="380" w:lineRule="exact"/>
              <w:rPr>
                <w:rFonts w:hint="eastAsia" w:ascii="宋体" w:hAnsi="宋体"/>
                <w:highlight w:val="none"/>
              </w:rPr>
            </w:pPr>
            <w:r>
              <w:rPr>
                <w:rFonts w:hint="eastAsia" w:ascii="宋体" w:hAnsi="宋体"/>
                <w:highlight w:val="none"/>
              </w:rPr>
              <w:t>联系电话：0771-2189091</w:t>
            </w:r>
            <w:bookmarkEnd w:id="75"/>
          </w:p>
        </w:tc>
      </w:tr>
      <w:tr w14:paraId="3AA029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80" w:hRule="atLeast"/>
        </w:trPr>
        <w:tc>
          <w:tcPr>
            <w:tcW w:w="675" w:type="dxa"/>
            <w:vMerge w:val="restart"/>
            <w:tcBorders>
              <w:top w:val="single" w:color="auto" w:sz="4" w:space="0"/>
              <w:left w:val="single" w:color="auto" w:sz="4" w:space="0"/>
              <w:bottom w:val="single" w:color="auto" w:sz="4" w:space="0"/>
              <w:right w:val="single" w:color="auto" w:sz="4" w:space="0"/>
            </w:tcBorders>
            <w:noWrap w:val="0"/>
            <w:vAlign w:val="center"/>
          </w:tcPr>
          <w:p w14:paraId="5DCACEC1">
            <w:pPr>
              <w:spacing w:line="380" w:lineRule="exact"/>
              <w:jc w:val="center"/>
              <w:rPr>
                <w:rFonts w:ascii="宋体" w:hAnsi="宋体"/>
                <w:color w:val="000000"/>
                <w:szCs w:val="21"/>
              </w:rPr>
            </w:pPr>
            <w:r>
              <w:rPr>
                <w:rFonts w:hint="eastAsia" w:ascii="宋体" w:hAnsi="宋体"/>
                <w:color w:val="000000"/>
                <w:szCs w:val="21"/>
              </w:rPr>
              <w:t>40</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70CA1C1E">
            <w:pPr>
              <w:spacing w:line="380" w:lineRule="exact"/>
              <w:rPr>
                <w:rFonts w:hint="eastAsia" w:ascii="宋体" w:hAnsi="宋体"/>
                <w:color w:val="000000"/>
                <w:szCs w:val="21"/>
              </w:rPr>
            </w:pPr>
            <w:bookmarkStart w:id="76" w:name="_42"/>
            <w:bookmarkEnd w:id="76"/>
            <w:bookmarkStart w:id="77" w:name="_41"/>
            <w:bookmarkEnd w:id="77"/>
            <w:r>
              <w:rPr>
                <w:rFonts w:hint="eastAsia" w:ascii="宋体" w:hAnsi="宋体" w:cs="宋体"/>
                <w:color w:val="000000"/>
              </w:rPr>
              <w:t>采购代理费支付方式</w:t>
            </w:r>
          </w:p>
        </w:tc>
        <w:tc>
          <w:tcPr>
            <w:tcW w:w="7297" w:type="dxa"/>
            <w:tcBorders>
              <w:top w:val="single" w:color="auto" w:sz="4" w:space="0"/>
              <w:left w:val="single" w:color="auto" w:sz="4" w:space="0"/>
              <w:bottom w:val="single" w:color="auto" w:sz="4" w:space="0"/>
              <w:right w:val="single" w:color="auto" w:sz="4" w:space="0"/>
            </w:tcBorders>
            <w:noWrap w:val="0"/>
            <w:vAlign w:val="center"/>
          </w:tcPr>
          <w:p w14:paraId="65572136">
            <w:pPr>
              <w:pStyle w:val="11"/>
              <w:snapToGrid w:val="0"/>
              <w:spacing w:line="380" w:lineRule="exact"/>
              <w:rPr>
                <w:rFonts w:hint="eastAsia" w:hAnsi="宋体" w:cs="宋体"/>
                <w:color w:val="000000"/>
              </w:rPr>
            </w:pPr>
            <w:r>
              <w:rPr>
                <w:rFonts w:hint="eastAsia" w:hAnsi="MS Gothic" w:eastAsia="MS Gothic" w:cs="MS Gothic"/>
                <w:szCs w:val="21"/>
              </w:rPr>
              <w:t>☑</w:t>
            </w:r>
            <w:r>
              <w:rPr>
                <w:rFonts w:hint="eastAsia" w:hAnsi="宋体" w:cs="宋体"/>
                <w:color w:val="000000"/>
              </w:rPr>
              <w:t>本项目代理服务费由</w:t>
            </w:r>
            <w:r>
              <w:rPr>
                <w:rFonts w:hint="eastAsia" w:hAnsi="宋体" w:cs="宋体"/>
                <w:color w:val="000000"/>
                <w:u w:val="single"/>
              </w:rPr>
              <w:t>中标人</w:t>
            </w:r>
            <w:r>
              <w:rPr>
                <w:rFonts w:hint="eastAsia" w:hAnsi="宋体" w:cs="宋体"/>
                <w:color w:val="000000"/>
              </w:rPr>
              <w:t>在签订合同前，一次性向采购代理机构支付。</w:t>
            </w:r>
          </w:p>
          <w:p w14:paraId="58028549">
            <w:pPr>
              <w:pStyle w:val="11"/>
              <w:snapToGrid w:val="0"/>
              <w:spacing w:line="380" w:lineRule="exact"/>
              <w:rPr>
                <w:rFonts w:hint="eastAsia" w:hAnsi="宋体" w:cs="宋体"/>
                <w:color w:val="000000"/>
              </w:rPr>
            </w:pPr>
            <w:r>
              <w:rPr>
                <w:rFonts w:hint="eastAsia" w:hAnsi="宋体" w:cs="宋体"/>
                <w:color w:val="000000"/>
              </w:rPr>
              <w:t>□采购人支付。</w:t>
            </w:r>
          </w:p>
          <w:p w14:paraId="53C54917">
            <w:pPr>
              <w:pStyle w:val="11"/>
              <w:snapToGrid w:val="0"/>
              <w:spacing w:line="380" w:lineRule="exact"/>
              <w:rPr>
                <w:rFonts w:hint="eastAsia" w:hAnsi="宋体" w:cs="宋体"/>
                <w:color w:val="000000"/>
              </w:rPr>
            </w:pPr>
            <w:r>
              <w:rPr>
                <w:rFonts w:hint="eastAsia" w:hAnsi="宋体" w:cs="宋体"/>
                <w:color w:val="000000"/>
              </w:rPr>
              <w:t>□本项目不收取代理服务费。</w:t>
            </w:r>
          </w:p>
        </w:tc>
      </w:tr>
      <w:tr w14:paraId="21FD8B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675" w:type="dxa"/>
            <w:vMerge w:val="continue"/>
            <w:tcBorders>
              <w:top w:val="single" w:color="auto" w:sz="4" w:space="0"/>
              <w:left w:val="single" w:color="auto" w:sz="4" w:space="0"/>
              <w:bottom w:val="single" w:color="auto" w:sz="4" w:space="0"/>
              <w:right w:val="single" w:color="auto" w:sz="4" w:space="0"/>
            </w:tcBorders>
            <w:noWrap w:val="0"/>
            <w:vAlign w:val="center"/>
          </w:tcPr>
          <w:p w14:paraId="599A10B0">
            <w:pPr>
              <w:widowControl/>
              <w:jc w:val="center"/>
              <w:rPr>
                <w:rFonts w:ascii="宋体" w:hAnsi="宋体"/>
                <w:color w:val="000000"/>
                <w:szCs w:val="21"/>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14:paraId="4F09D1D1">
            <w:pPr>
              <w:spacing w:line="380" w:lineRule="exact"/>
              <w:rPr>
                <w:rFonts w:hint="eastAsia" w:ascii="宋体" w:hAnsi="宋体"/>
                <w:color w:val="000000"/>
                <w:szCs w:val="21"/>
              </w:rPr>
            </w:pPr>
            <w:r>
              <w:rPr>
                <w:rFonts w:hint="eastAsia" w:ascii="宋体" w:hAnsi="宋体" w:cs="宋体"/>
                <w:color w:val="000000"/>
              </w:rPr>
              <w:t>采购代理费收取标准</w:t>
            </w:r>
          </w:p>
        </w:tc>
        <w:tc>
          <w:tcPr>
            <w:tcW w:w="7297" w:type="dxa"/>
            <w:tcBorders>
              <w:top w:val="single" w:color="auto" w:sz="4" w:space="0"/>
              <w:left w:val="single" w:color="auto" w:sz="4" w:space="0"/>
              <w:bottom w:val="single" w:color="auto" w:sz="4" w:space="0"/>
              <w:right w:val="single" w:color="auto" w:sz="4" w:space="0"/>
            </w:tcBorders>
            <w:noWrap w:val="0"/>
            <w:vAlign w:val="center"/>
          </w:tcPr>
          <w:p w14:paraId="7A9F214E">
            <w:pPr>
              <w:pStyle w:val="15"/>
              <w:snapToGrid w:val="0"/>
              <w:spacing w:line="360" w:lineRule="auto"/>
              <w:rPr>
                <w:rFonts w:ascii="宋体" w:hAnsi="宋体" w:cs="宋体"/>
              </w:rPr>
            </w:pPr>
            <w:r>
              <w:rPr>
                <w:rFonts w:hint="eastAsia" w:ascii="宋体" w:hAnsi="MS Gothic" w:eastAsia="MS Gothic" w:cs="MS Gothic"/>
                <w:szCs w:val="21"/>
              </w:rPr>
              <w:t>☑</w:t>
            </w:r>
            <w:r>
              <w:rPr>
                <w:rFonts w:hint="eastAsia" w:ascii="宋体" w:hAnsi="宋体" w:cs="宋体"/>
                <w:sz w:val="21"/>
                <w:szCs w:val="20"/>
                <w:lang w:bidi="ar"/>
              </w:rPr>
              <w:t>以分标（</w:t>
            </w:r>
            <w:r>
              <w:rPr>
                <w:rFonts w:hint="eastAsia" w:ascii="宋体" w:hAnsi="MS Gothic" w:eastAsia="MS Gothic" w:cs="MS Gothic"/>
                <w:szCs w:val="21"/>
              </w:rPr>
              <w:t>☑</w:t>
            </w:r>
            <w:r>
              <w:rPr>
                <w:rFonts w:hint="eastAsia" w:ascii="宋体" w:hAnsi="宋体" w:cs="宋体"/>
                <w:sz w:val="21"/>
                <w:szCs w:val="20"/>
                <w:lang w:bidi="ar"/>
              </w:rPr>
              <w:t>中标金额/□采购预算/□暂定中标金额/□其他</w:t>
            </w:r>
            <w:r>
              <w:rPr>
                <w:rFonts w:hint="eastAsia" w:ascii="宋体" w:hAnsi="宋体" w:cs="宋体"/>
                <w:sz w:val="21"/>
                <w:szCs w:val="20"/>
                <w:u w:val="single"/>
                <w:lang w:bidi="ar"/>
              </w:rPr>
              <w:t xml:space="preserve">   </w:t>
            </w:r>
            <w:r>
              <w:rPr>
                <w:rFonts w:hint="eastAsia" w:ascii="宋体" w:hAnsi="宋体" w:cs="宋体"/>
                <w:sz w:val="21"/>
                <w:szCs w:val="20"/>
                <w:lang w:bidi="ar"/>
              </w:rPr>
              <w:t>）为计费额，按服务</w:t>
            </w:r>
            <w:r>
              <w:rPr>
                <w:rFonts w:hint="eastAsia" w:ascii="宋体" w:hAnsi="宋体" w:cs="宋体"/>
                <w:sz w:val="21"/>
                <w:szCs w:val="20"/>
                <w:u w:val="none"/>
                <w:lang w:bidi="ar"/>
              </w:rPr>
              <w:t>类</w:t>
            </w:r>
            <w:r>
              <w:rPr>
                <w:rFonts w:hint="eastAsia" w:ascii="宋体" w:hAnsi="宋体" w:cs="宋体"/>
                <w:sz w:val="21"/>
                <w:szCs w:val="20"/>
                <w:lang w:bidi="ar"/>
              </w:rPr>
              <w:t>采用差额定率累进法计算出收费基准价格，采购代理收费以（</w:t>
            </w:r>
            <w:r>
              <w:rPr>
                <w:rFonts w:hint="eastAsia" w:ascii="宋体" w:hAnsi="MS Gothic" w:eastAsia="宋体" w:cs="MS Gothic"/>
                <w:szCs w:val="21"/>
                <w:lang w:eastAsia="zh-CN"/>
              </w:rPr>
              <w:t>□</w:t>
            </w:r>
            <w:r>
              <w:rPr>
                <w:rFonts w:hint="eastAsia" w:ascii="宋体" w:hAnsi="宋体" w:cs="宋体"/>
                <w:sz w:val="21"/>
                <w:szCs w:val="20"/>
                <w:lang w:bidi="ar"/>
              </w:rPr>
              <w:t>收费基准价格/</w:t>
            </w:r>
            <w:r>
              <w:rPr>
                <w:rFonts w:hint="eastAsia" w:ascii="宋体" w:hAnsi="宋体" w:cs="宋体"/>
                <w:sz w:val="21"/>
                <w:szCs w:val="20"/>
                <w:lang w:eastAsia="zh-CN" w:bidi="ar"/>
              </w:rPr>
              <w:t>☑</w:t>
            </w:r>
            <w:r>
              <w:rPr>
                <w:rFonts w:hint="eastAsia" w:ascii="宋体" w:hAnsi="宋体" w:cs="宋体"/>
                <w:sz w:val="21"/>
                <w:szCs w:val="20"/>
                <w:lang w:bidi="ar"/>
              </w:rPr>
              <w:t>收费基准价格下浮</w:t>
            </w:r>
            <w:r>
              <w:rPr>
                <w:rFonts w:hint="eastAsia" w:ascii="宋体" w:hAnsi="宋体" w:cs="宋体"/>
                <w:sz w:val="21"/>
                <w:szCs w:val="20"/>
                <w:u w:val="single"/>
                <w:lang w:bidi="ar"/>
              </w:rPr>
              <w:t xml:space="preserve">  </w:t>
            </w:r>
            <w:r>
              <w:rPr>
                <w:rFonts w:hint="eastAsia" w:ascii="宋体" w:hAnsi="宋体" w:cs="宋体"/>
                <w:sz w:val="21"/>
                <w:szCs w:val="20"/>
                <w:u w:val="single"/>
                <w:lang w:val="en-US" w:eastAsia="zh-CN" w:bidi="ar"/>
              </w:rPr>
              <w:t>5</w:t>
            </w:r>
            <w:r>
              <w:rPr>
                <w:rFonts w:hint="eastAsia" w:ascii="宋体" w:hAnsi="宋体" w:cs="宋体"/>
                <w:sz w:val="21"/>
                <w:szCs w:val="20"/>
                <w:u w:val="single"/>
                <w:lang w:bidi="ar"/>
              </w:rPr>
              <w:t xml:space="preserve">  %</w:t>
            </w:r>
            <w:r>
              <w:rPr>
                <w:rFonts w:hint="eastAsia" w:ascii="宋体" w:hAnsi="宋体" w:cs="宋体"/>
                <w:sz w:val="21"/>
                <w:szCs w:val="20"/>
                <w:lang w:bidi="ar"/>
              </w:rPr>
              <w:t>/□收费基准价格上浮</w:t>
            </w:r>
            <w:r>
              <w:rPr>
                <w:rFonts w:hint="eastAsia" w:ascii="宋体" w:hAnsi="宋体" w:cs="宋体"/>
                <w:sz w:val="21"/>
                <w:szCs w:val="20"/>
                <w:u w:val="single"/>
                <w:lang w:bidi="ar"/>
              </w:rPr>
              <w:t xml:space="preserve">   %</w:t>
            </w:r>
            <w:r>
              <w:rPr>
                <w:rFonts w:hint="eastAsia" w:ascii="宋体" w:hAnsi="宋体" w:cs="宋体"/>
                <w:sz w:val="21"/>
                <w:szCs w:val="20"/>
                <w:lang w:bidi="ar"/>
              </w:rPr>
              <w:t>）计算收取。</w:t>
            </w:r>
          </w:p>
          <w:p w14:paraId="4B5CBA78">
            <w:pPr>
              <w:pStyle w:val="15"/>
              <w:snapToGrid w:val="0"/>
              <w:spacing w:line="360" w:lineRule="auto"/>
              <w:rPr>
                <w:rFonts w:ascii="宋体" w:hAnsi="宋体" w:cs="宋体"/>
                <w:u w:val="single"/>
              </w:rPr>
            </w:pPr>
            <w:r>
              <w:rPr>
                <w:rFonts w:hint="eastAsia" w:ascii="宋体" w:hAnsi="宋体" w:cs="宋体"/>
                <w:sz w:val="21"/>
                <w:szCs w:val="20"/>
                <w:lang w:bidi="ar"/>
              </w:rPr>
              <w:t>□固定采购代理收费</w:t>
            </w:r>
            <w:r>
              <w:rPr>
                <w:rFonts w:hint="eastAsia" w:ascii="宋体" w:hAnsi="宋体" w:cs="宋体"/>
                <w:sz w:val="21"/>
                <w:szCs w:val="20"/>
                <w:u w:val="single"/>
                <w:lang w:bidi="ar"/>
              </w:rPr>
              <w:t xml:space="preserve">              。</w:t>
            </w:r>
          </w:p>
          <w:p w14:paraId="65716267">
            <w:pPr>
              <w:pStyle w:val="15"/>
              <w:snapToGrid w:val="0"/>
              <w:spacing w:line="360" w:lineRule="auto"/>
              <w:rPr>
                <w:rFonts w:ascii="宋体" w:hAnsi="宋体"/>
                <w:b/>
              </w:rPr>
            </w:pPr>
            <w:r>
              <w:rPr>
                <w:rFonts w:hint="eastAsia" w:ascii="宋体" w:hAnsi="宋体"/>
                <w:b/>
                <w:sz w:val="21"/>
                <w:szCs w:val="20"/>
                <w:lang w:bidi="ar"/>
              </w:rPr>
              <w:t>采购代理费收取标准：</w:t>
            </w:r>
          </w:p>
          <w:p w14:paraId="64E27C07">
            <w:pPr>
              <w:pStyle w:val="15"/>
              <w:snapToGrid w:val="0"/>
              <w:spacing w:line="360" w:lineRule="auto"/>
              <w:rPr>
                <w:rFonts w:ascii="宋体" w:hAnsi="宋体"/>
              </w:rPr>
            </w:pPr>
            <w:r>
              <w:rPr>
                <w:rFonts w:hint="eastAsia" w:ascii="宋体" w:hAnsi="宋体"/>
                <w:sz w:val="21"/>
                <w:szCs w:val="20"/>
                <w:lang w:bidi="ar"/>
              </w:rPr>
              <w:t>（1）</w:t>
            </w:r>
            <w:r>
              <w:rPr>
                <w:rFonts w:hint="eastAsia" w:ascii="宋体" w:hAnsi="宋体"/>
                <w:sz w:val="21"/>
                <w:szCs w:val="21"/>
                <w:lang w:bidi="ar"/>
              </w:rPr>
              <w:t>采购代理机构按（桂价费〔2011〕55号）收费标准，按差额定率累进法</w:t>
            </w:r>
            <w:r>
              <w:rPr>
                <w:rFonts w:hint="eastAsia" w:ascii="宋体" w:hAnsi="宋体"/>
                <w:sz w:val="21"/>
                <w:szCs w:val="21"/>
                <w:lang w:val="en-US" w:eastAsia="zh-CN" w:bidi="ar"/>
              </w:rPr>
              <w:t>下浮5%</w:t>
            </w:r>
            <w:r>
              <w:rPr>
                <w:rFonts w:hint="eastAsia" w:ascii="宋体" w:hAnsi="宋体"/>
                <w:sz w:val="21"/>
                <w:szCs w:val="21"/>
                <w:lang w:bidi="ar"/>
              </w:rPr>
              <w:t>计取中标服务费。</w:t>
            </w:r>
            <w:bookmarkStart w:id="78" w:name="_Toc254970548"/>
            <w:bookmarkEnd w:id="78"/>
            <w:bookmarkStart w:id="79" w:name="_Toc254970689"/>
            <w:bookmarkEnd w:id="79"/>
          </w:p>
          <w:p w14:paraId="6356EE39">
            <w:pPr>
              <w:pStyle w:val="15"/>
              <w:snapToGrid w:val="0"/>
              <w:spacing w:line="360" w:lineRule="auto"/>
              <w:rPr>
                <w:rFonts w:ascii="宋体" w:hAnsi="宋体"/>
              </w:rPr>
            </w:pPr>
            <w:r>
              <w:rPr>
                <w:rFonts w:hint="eastAsia" w:ascii="宋体" w:hAnsi="宋体"/>
                <w:sz w:val="21"/>
                <w:szCs w:val="21"/>
                <w:lang w:bidi="ar"/>
              </w:rPr>
              <w:t>（2）代理服务收费标准</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11"/>
              <w:gridCol w:w="1220"/>
              <w:gridCol w:w="1062"/>
              <w:gridCol w:w="1045"/>
            </w:tblGrid>
            <w:tr w14:paraId="707C4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trPr>
              <w:tc>
                <w:tcPr>
                  <w:tcW w:w="2211" w:type="dxa"/>
                  <w:tcBorders>
                    <w:tl2br w:val="single" w:color="auto" w:sz="4" w:space="0"/>
                  </w:tcBorders>
                  <w:noWrap w:val="0"/>
                  <w:vAlign w:val="top"/>
                </w:tcPr>
                <w:p w14:paraId="195461BE">
                  <w:pPr>
                    <w:rPr>
                      <w:rFonts w:ascii="宋体" w:hAnsi="宋体"/>
                      <w:color w:val="000000"/>
                      <w:szCs w:val="21"/>
                    </w:rPr>
                  </w:pPr>
                  <w:r>
                    <w:rPr>
                      <w:rFonts w:hint="eastAsia" w:ascii="宋体" w:hAnsi="宋体"/>
                      <w:color w:val="000000"/>
                      <w:szCs w:val="21"/>
                    </w:rPr>
                    <w:t xml:space="preserve">               费率</w:t>
                  </w:r>
                </w:p>
                <w:p w14:paraId="73838B90">
                  <w:pPr>
                    <w:rPr>
                      <w:rFonts w:ascii="宋体" w:hAnsi="宋体"/>
                      <w:color w:val="000000"/>
                      <w:szCs w:val="21"/>
                    </w:rPr>
                  </w:pPr>
                  <w:r>
                    <w:rPr>
                      <w:rFonts w:hint="eastAsia" w:ascii="宋体" w:hAnsi="宋体"/>
                      <w:color w:val="000000"/>
                      <w:szCs w:val="21"/>
                    </w:rPr>
                    <w:t>中标金额</w:t>
                  </w:r>
                </w:p>
              </w:tc>
              <w:tc>
                <w:tcPr>
                  <w:tcW w:w="1220" w:type="dxa"/>
                  <w:noWrap w:val="0"/>
                  <w:vAlign w:val="center"/>
                </w:tcPr>
                <w:p w14:paraId="27B6D835">
                  <w:pPr>
                    <w:ind w:firstLine="105" w:firstLineChars="50"/>
                    <w:jc w:val="center"/>
                    <w:rPr>
                      <w:rFonts w:ascii="宋体" w:hAnsi="宋体"/>
                      <w:color w:val="000000"/>
                      <w:szCs w:val="21"/>
                    </w:rPr>
                  </w:pPr>
                  <w:r>
                    <w:rPr>
                      <w:rFonts w:hint="eastAsia" w:ascii="宋体" w:hAnsi="宋体"/>
                      <w:color w:val="000000"/>
                      <w:szCs w:val="21"/>
                    </w:rPr>
                    <w:t>货物招标</w:t>
                  </w:r>
                </w:p>
              </w:tc>
              <w:tc>
                <w:tcPr>
                  <w:tcW w:w="1062" w:type="dxa"/>
                  <w:noWrap w:val="0"/>
                  <w:vAlign w:val="center"/>
                </w:tcPr>
                <w:p w14:paraId="64F34EFE">
                  <w:pPr>
                    <w:jc w:val="center"/>
                    <w:rPr>
                      <w:rFonts w:ascii="宋体" w:hAnsi="宋体"/>
                      <w:color w:val="000000"/>
                      <w:szCs w:val="21"/>
                    </w:rPr>
                  </w:pPr>
                  <w:r>
                    <w:rPr>
                      <w:rFonts w:hint="eastAsia" w:ascii="宋体" w:hAnsi="宋体"/>
                      <w:color w:val="000000"/>
                      <w:szCs w:val="21"/>
                    </w:rPr>
                    <w:t>服务招标</w:t>
                  </w:r>
                </w:p>
              </w:tc>
              <w:tc>
                <w:tcPr>
                  <w:tcW w:w="1045" w:type="dxa"/>
                  <w:noWrap w:val="0"/>
                  <w:vAlign w:val="center"/>
                </w:tcPr>
                <w:p w14:paraId="65564494">
                  <w:pPr>
                    <w:jc w:val="center"/>
                    <w:rPr>
                      <w:rFonts w:ascii="宋体" w:hAnsi="宋体"/>
                      <w:color w:val="000000"/>
                      <w:szCs w:val="21"/>
                    </w:rPr>
                  </w:pPr>
                  <w:r>
                    <w:rPr>
                      <w:rFonts w:hint="eastAsia" w:ascii="宋体" w:hAnsi="宋体"/>
                      <w:color w:val="000000"/>
                      <w:szCs w:val="21"/>
                    </w:rPr>
                    <w:t>工程招标</w:t>
                  </w:r>
                </w:p>
              </w:tc>
            </w:tr>
            <w:tr w14:paraId="120E8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211" w:type="dxa"/>
                  <w:noWrap w:val="0"/>
                  <w:vAlign w:val="top"/>
                </w:tcPr>
                <w:p w14:paraId="29CBD824">
                  <w:pPr>
                    <w:rPr>
                      <w:rFonts w:ascii="宋体" w:hAnsi="宋体"/>
                      <w:color w:val="000000"/>
                      <w:szCs w:val="21"/>
                    </w:rPr>
                  </w:pPr>
                  <w:r>
                    <w:rPr>
                      <w:rFonts w:hint="eastAsia" w:ascii="宋体" w:hAnsi="宋体"/>
                      <w:color w:val="000000"/>
                      <w:szCs w:val="21"/>
                    </w:rPr>
                    <w:t>100万元以下</w:t>
                  </w:r>
                </w:p>
              </w:tc>
              <w:tc>
                <w:tcPr>
                  <w:tcW w:w="1220" w:type="dxa"/>
                  <w:noWrap w:val="0"/>
                  <w:vAlign w:val="top"/>
                </w:tcPr>
                <w:p w14:paraId="5EF25391">
                  <w:pPr>
                    <w:rPr>
                      <w:rFonts w:ascii="宋体" w:hAnsi="宋体"/>
                      <w:color w:val="000000"/>
                      <w:szCs w:val="21"/>
                    </w:rPr>
                  </w:pPr>
                  <w:r>
                    <w:rPr>
                      <w:rFonts w:hint="eastAsia" w:ascii="宋体" w:hAnsi="宋体"/>
                      <w:color w:val="000000"/>
                      <w:szCs w:val="21"/>
                    </w:rPr>
                    <w:t xml:space="preserve">  1.5%                </w:t>
                  </w:r>
                </w:p>
              </w:tc>
              <w:tc>
                <w:tcPr>
                  <w:tcW w:w="1062" w:type="dxa"/>
                  <w:noWrap w:val="0"/>
                  <w:vAlign w:val="top"/>
                </w:tcPr>
                <w:p w14:paraId="7737869A">
                  <w:pPr>
                    <w:ind w:firstLine="210" w:firstLineChars="100"/>
                    <w:rPr>
                      <w:rFonts w:ascii="宋体" w:hAnsi="宋体"/>
                      <w:color w:val="000000"/>
                      <w:szCs w:val="21"/>
                    </w:rPr>
                  </w:pPr>
                  <w:r>
                    <w:rPr>
                      <w:rFonts w:hint="eastAsia" w:ascii="宋体" w:hAnsi="宋体"/>
                      <w:color w:val="000000"/>
                      <w:szCs w:val="21"/>
                    </w:rPr>
                    <w:t>1.5%</w:t>
                  </w:r>
                </w:p>
              </w:tc>
              <w:tc>
                <w:tcPr>
                  <w:tcW w:w="1045" w:type="dxa"/>
                  <w:noWrap w:val="0"/>
                  <w:vAlign w:val="top"/>
                </w:tcPr>
                <w:p w14:paraId="7840DE69">
                  <w:pPr>
                    <w:ind w:firstLine="210" w:firstLineChars="100"/>
                    <w:rPr>
                      <w:rFonts w:ascii="宋体" w:hAnsi="宋体"/>
                      <w:color w:val="000000"/>
                      <w:szCs w:val="21"/>
                    </w:rPr>
                  </w:pPr>
                  <w:r>
                    <w:rPr>
                      <w:rFonts w:hint="eastAsia" w:ascii="宋体" w:hAnsi="宋体"/>
                      <w:color w:val="000000"/>
                      <w:szCs w:val="21"/>
                    </w:rPr>
                    <w:t xml:space="preserve">1.0% </w:t>
                  </w:r>
                </w:p>
              </w:tc>
            </w:tr>
            <w:tr w14:paraId="31600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2211" w:type="dxa"/>
                  <w:noWrap w:val="0"/>
                  <w:vAlign w:val="top"/>
                </w:tcPr>
                <w:p w14:paraId="5DB92C82">
                  <w:pPr>
                    <w:rPr>
                      <w:rFonts w:ascii="宋体" w:hAnsi="宋体"/>
                      <w:color w:val="000000"/>
                      <w:szCs w:val="21"/>
                    </w:rPr>
                  </w:pPr>
                  <w:r>
                    <w:rPr>
                      <w:rFonts w:hint="eastAsia" w:ascii="宋体" w:hAnsi="宋体"/>
                      <w:color w:val="000000"/>
                      <w:szCs w:val="21"/>
                    </w:rPr>
                    <w:t>100～500万元</w:t>
                  </w:r>
                </w:p>
              </w:tc>
              <w:tc>
                <w:tcPr>
                  <w:tcW w:w="1220" w:type="dxa"/>
                  <w:noWrap w:val="0"/>
                  <w:vAlign w:val="top"/>
                </w:tcPr>
                <w:p w14:paraId="771FF8D7">
                  <w:pPr>
                    <w:ind w:firstLine="210" w:firstLineChars="100"/>
                    <w:rPr>
                      <w:rFonts w:ascii="宋体" w:hAnsi="宋体"/>
                      <w:color w:val="000000"/>
                      <w:szCs w:val="21"/>
                    </w:rPr>
                  </w:pPr>
                  <w:r>
                    <w:rPr>
                      <w:rFonts w:hint="eastAsia" w:ascii="宋体" w:hAnsi="宋体"/>
                      <w:color w:val="000000"/>
                      <w:szCs w:val="21"/>
                    </w:rPr>
                    <w:t xml:space="preserve">1.1%                 </w:t>
                  </w:r>
                </w:p>
              </w:tc>
              <w:tc>
                <w:tcPr>
                  <w:tcW w:w="1062" w:type="dxa"/>
                  <w:noWrap w:val="0"/>
                  <w:vAlign w:val="top"/>
                </w:tcPr>
                <w:p w14:paraId="1C416279">
                  <w:pPr>
                    <w:ind w:firstLine="210" w:firstLineChars="100"/>
                    <w:rPr>
                      <w:rFonts w:ascii="宋体" w:hAnsi="宋体"/>
                      <w:color w:val="000000"/>
                      <w:szCs w:val="21"/>
                    </w:rPr>
                  </w:pPr>
                  <w:r>
                    <w:rPr>
                      <w:rFonts w:hint="eastAsia" w:ascii="宋体" w:hAnsi="宋体"/>
                      <w:color w:val="000000"/>
                      <w:szCs w:val="21"/>
                    </w:rPr>
                    <w:t>0.8%</w:t>
                  </w:r>
                </w:p>
              </w:tc>
              <w:tc>
                <w:tcPr>
                  <w:tcW w:w="1045" w:type="dxa"/>
                  <w:noWrap w:val="0"/>
                  <w:vAlign w:val="top"/>
                </w:tcPr>
                <w:p w14:paraId="60DC974F">
                  <w:pPr>
                    <w:ind w:firstLine="210" w:firstLineChars="100"/>
                    <w:rPr>
                      <w:rFonts w:ascii="宋体" w:hAnsi="宋体"/>
                      <w:color w:val="000000"/>
                      <w:szCs w:val="21"/>
                    </w:rPr>
                  </w:pPr>
                  <w:r>
                    <w:rPr>
                      <w:rFonts w:hint="eastAsia" w:ascii="宋体" w:hAnsi="宋体"/>
                      <w:color w:val="000000"/>
                      <w:szCs w:val="21"/>
                    </w:rPr>
                    <w:t xml:space="preserve">0.7% </w:t>
                  </w:r>
                </w:p>
              </w:tc>
            </w:tr>
            <w:tr w14:paraId="1BE52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2211" w:type="dxa"/>
                  <w:noWrap w:val="0"/>
                  <w:vAlign w:val="top"/>
                </w:tcPr>
                <w:p w14:paraId="4960D740">
                  <w:pPr>
                    <w:rPr>
                      <w:rFonts w:ascii="宋体" w:hAnsi="宋体"/>
                      <w:color w:val="000000"/>
                      <w:szCs w:val="21"/>
                    </w:rPr>
                  </w:pPr>
                  <w:r>
                    <w:rPr>
                      <w:rFonts w:hint="eastAsia" w:ascii="宋体" w:hAnsi="宋体"/>
                      <w:color w:val="000000"/>
                      <w:szCs w:val="21"/>
                    </w:rPr>
                    <w:t>500～1000万元</w:t>
                  </w:r>
                </w:p>
              </w:tc>
              <w:tc>
                <w:tcPr>
                  <w:tcW w:w="1220" w:type="dxa"/>
                  <w:noWrap w:val="0"/>
                  <w:vAlign w:val="top"/>
                </w:tcPr>
                <w:p w14:paraId="008072ED">
                  <w:pPr>
                    <w:rPr>
                      <w:rFonts w:ascii="宋体" w:hAnsi="宋体"/>
                      <w:color w:val="000000"/>
                      <w:szCs w:val="21"/>
                    </w:rPr>
                  </w:pPr>
                  <w:r>
                    <w:rPr>
                      <w:rFonts w:hint="eastAsia" w:ascii="宋体" w:hAnsi="宋体"/>
                      <w:color w:val="000000"/>
                      <w:szCs w:val="21"/>
                    </w:rPr>
                    <w:t xml:space="preserve">  0.8%                </w:t>
                  </w:r>
                </w:p>
              </w:tc>
              <w:tc>
                <w:tcPr>
                  <w:tcW w:w="1062" w:type="dxa"/>
                  <w:noWrap w:val="0"/>
                  <w:vAlign w:val="top"/>
                </w:tcPr>
                <w:p w14:paraId="3608B4E6">
                  <w:pPr>
                    <w:ind w:firstLine="210" w:firstLineChars="100"/>
                    <w:rPr>
                      <w:rFonts w:ascii="宋体" w:hAnsi="宋体"/>
                      <w:color w:val="000000"/>
                      <w:szCs w:val="21"/>
                    </w:rPr>
                  </w:pPr>
                  <w:r>
                    <w:rPr>
                      <w:rFonts w:hint="eastAsia" w:ascii="宋体" w:hAnsi="宋体"/>
                      <w:color w:val="000000"/>
                      <w:szCs w:val="21"/>
                    </w:rPr>
                    <w:t>0.45%</w:t>
                  </w:r>
                </w:p>
              </w:tc>
              <w:tc>
                <w:tcPr>
                  <w:tcW w:w="1045" w:type="dxa"/>
                  <w:noWrap w:val="0"/>
                  <w:vAlign w:val="top"/>
                </w:tcPr>
                <w:p w14:paraId="0DEAEF62">
                  <w:pPr>
                    <w:ind w:firstLine="210" w:firstLineChars="100"/>
                    <w:rPr>
                      <w:rFonts w:ascii="宋体" w:hAnsi="宋体"/>
                      <w:color w:val="000000"/>
                      <w:szCs w:val="21"/>
                    </w:rPr>
                  </w:pPr>
                  <w:r>
                    <w:rPr>
                      <w:rFonts w:hint="eastAsia" w:ascii="宋体" w:hAnsi="宋体"/>
                      <w:color w:val="000000"/>
                      <w:szCs w:val="21"/>
                    </w:rPr>
                    <w:t>0.55%</w:t>
                  </w:r>
                </w:p>
              </w:tc>
            </w:tr>
            <w:tr w14:paraId="2D967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2211" w:type="dxa"/>
                  <w:noWrap w:val="0"/>
                  <w:vAlign w:val="top"/>
                </w:tcPr>
                <w:p w14:paraId="74454915">
                  <w:pPr>
                    <w:rPr>
                      <w:rFonts w:ascii="宋体" w:hAnsi="宋体"/>
                      <w:color w:val="000000"/>
                      <w:szCs w:val="21"/>
                    </w:rPr>
                  </w:pPr>
                  <w:r>
                    <w:rPr>
                      <w:rFonts w:hint="eastAsia" w:ascii="宋体" w:hAnsi="宋体"/>
                      <w:color w:val="000000"/>
                      <w:szCs w:val="21"/>
                    </w:rPr>
                    <w:t>1000～5000万元</w:t>
                  </w:r>
                </w:p>
              </w:tc>
              <w:tc>
                <w:tcPr>
                  <w:tcW w:w="1220" w:type="dxa"/>
                  <w:noWrap w:val="0"/>
                  <w:vAlign w:val="top"/>
                </w:tcPr>
                <w:p w14:paraId="5D2F3BF2">
                  <w:pPr>
                    <w:ind w:firstLine="210" w:firstLineChars="100"/>
                    <w:rPr>
                      <w:rFonts w:ascii="宋体" w:hAnsi="宋体"/>
                      <w:color w:val="000000"/>
                      <w:szCs w:val="21"/>
                    </w:rPr>
                  </w:pPr>
                  <w:r>
                    <w:rPr>
                      <w:rFonts w:hint="eastAsia" w:ascii="宋体" w:hAnsi="宋体"/>
                      <w:color w:val="000000"/>
                      <w:szCs w:val="21"/>
                    </w:rPr>
                    <w:t xml:space="preserve">0.5%                </w:t>
                  </w:r>
                </w:p>
              </w:tc>
              <w:tc>
                <w:tcPr>
                  <w:tcW w:w="1062" w:type="dxa"/>
                  <w:noWrap w:val="0"/>
                  <w:vAlign w:val="top"/>
                </w:tcPr>
                <w:p w14:paraId="17D09287">
                  <w:pPr>
                    <w:ind w:firstLine="210" w:firstLineChars="100"/>
                    <w:rPr>
                      <w:rFonts w:ascii="宋体" w:hAnsi="宋体"/>
                      <w:color w:val="000000"/>
                      <w:szCs w:val="21"/>
                    </w:rPr>
                  </w:pPr>
                  <w:r>
                    <w:rPr>
                      <w:rFonts w:hint="eastAsia" w:ascii="宋体" w:hAnsi="宋体"/>
                      <w:color w:val="000000"/>
                      <w:szCs w:val="21"/>
                    </w:rPr>
                    <w:t>0.25%</w:t>
                  </w:r>
                </w:p>
              </w:tc>
              <w:tc>
                <w:tcPr>
                  <w:tcW w:w="1045" w:type="dxa"/>
                  <w:noWrap w:val="0"/>
                  <w:vAlign w:val="top"/>
                </w:tcPr>
                <w:p w14:paraId="0436F66B">
                  <w:pPr>
                    <w:ind w:firstLine="210" w:firstLineChars="100"/>
                    <w:rPr>
                      <w:rFonts w:ascii="宋体" w:hAnsi="宋体"/>
                      <w:color w:val="000000"/>
                      <w:szCs w:val="21"/>
                    </w:rPr>
                  </w:pPr>
                  <w:r>
                    <w:rPr>
                      <w:rFonts w:hint="eastAsia" w:ascii="宋体" w:hAnsi="宋体"/>
                      <w:color w:val="000000"/>
                      <w:szCs w:val="21"/>
                    </w:rPr>
                    <w:t xml:space="preserve">0.35% </w:t>
                  </w:r>
                </w:p>
              </w:tc>
            </w:tr>
            <w:tr w14:paraId="1A57F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2211" w:type="dxa"/>
                  <w:noWrap w:val="0"/>
                  <w:vAlign w:val="top"/>
                </w:tcPr>
                <w:p w14:paraId="43BF79A0">
                  <w:pPr>
                    <w:rPr>
                      <w:rFonts w:ascii="宋体" w:hAnsi="宋体"/>
                      <w:color w:val="000000"/>
                      <w:szCs w:val="21"/>
                    </w:rPr>
                  </w:pPr>
                  <w:r>
                    <w:rPr>
                      <w:rFonts w:hint="eastAsia" w:ascii="宋体" w:hAnsi="宋体"/>
                      <w:color w:val="000000"/>
                      <w:szCs w:val="21"/>
                    </w:rPr>
                    <w:t>5000万元～1亿元</w:t>
                  </w:r>
                </w:p>
              </w:tc>
              <w:tc>
                <w:tcPr>
                  <w:tcW w:w="1220" w:type="dxa"/>
                  <w:noWrap w:val="0"/>
                  <w:vAlign w:val="top"/>
                </w:tcPr>
                <w:p w14:paraId="74D53A5A">
                  <w:pPr>
                    <w:ind w:firstLine="210" w:firstLineChars="100"/>
                    <w:rPr>
                      <w:rFonts w:ascii="宋体" w:hAnsi="宋体"/>
                      <w:color w:val="000000"/>
                      <w:szCs w:val="21"/>
                    </w:rPr>
                  </w:pPr>
                  <w:r>
                    <w:rPr>
                      <w:rFonts w:hint="eastAsia" w:ascii="宋体" w:hAnsi="宋体"/>
                      <w:color w:val="000000"/>
                      <w:szCs w:val="21"/>
                    </w:rPr>
                    <w:t xml:space="preserve">0.25%                 </w:t>
                  </w:r>
                </w:p>
              </w:tc>
              <w:tc>
                <w:tcPr>
                  <w:tcW w:w="1062" w:type="dxa"/>
                  <w:noWrap w:val="0"/>
                  <w:vAlign w:val="top"/>
                </w:tcPr>
                <w:p w14:paraId="0AD8AC1B">
                  <w:pPr>
                    <w:ind w:firstLine="210" w:firstLineChars="100"/>
                    <w:rPr>
                      <w:rFonts w:ascii="宋体" w:hAnsi="宋体"/>
                      <w:color w:val="000000"/>
                      <w:szCs w:val="21"/>
                    </w:rPr>
                  </w:pPr>
                  <w:r>
                    <w:rPr>
                      <w:rFonts w:hint="eastAsia" w:ascii="宋体" w:hAnsi="宋体"/>
                      <w:color w:val="000000"/>
                      <w:szCs w:val="21"/>
                    </w:rPr>
                    <w:t>0.1%</w:t>
                  </w:r>
                </w:p>
              </w:tc>
              <w:tc>
                <w:tcPr>
                  <w:tcW w:w="1045" w:type="dxa"/>
                  <w:noWrap w:val="0"/>
                  <w:vAlign w:val="top"/>
                </w:tcPr>
                <w:p w14:paraId="02A3D661">
                  <w:pPr>
                    <w:ind w:firstLine="210" w:firstLineChars="100"/>
                    <w:rPr>
                      <w:rFonts w:ascii="宋体" w:hAnsi="宋体"/>
                      <w:color w:val="000000"/>
                      <w:szCs w:val="21"/>
                    </w:rPr>
                  </w:pPr>
                  <w:r>
                    <w:rPr>
                      <w:rFonts w:hint="eastAsia" w:ascii="宋体" w:hAnsi="宋体"/>
                      <w:color w:val="000000"/>
                      <w:szCs w:val="21"/>
                    </w:rPr>
                    <w:t>0.2%</w:t>
                  </w:r>
                </w:p>
              </w:tc>
            </w:tr>
          </w:tbl>
          <w:p w14:paraId="30A8CF23">
            <w:pPr>
              <w:widowControl/>
              <w:jc w:val="left"/>
              <w:rPr>
                <w:rFonts w:hint="eastAsia" w:ascii="宋体" w:hAnsi="宋体" w:cs="宋体"/>
                <w:color w:val="000000"/>
                <w:u w:val="single"/>
              </w:rPr>
            </w:pPr>
          </w:p>
        </w:tc>
      </w:tr>
      <w:tr w14:paraId="1FE3AC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49" w:hRule="atLeast"/>
        </w:trPr>
        <w:tc>
          <w:tcPr>
            <w:tcW w:w="675" w:type="dxa"/>
            <w:vMerge w:val="continue"/>
            <w:tcBorders>
              <w:top w:val="single" w:color="auto" w:sz="4" w:space="0"/>
              <w:left w:val="single" w:color="auto" w:sz="4" w:space="0"/>
              <w:bottom w:val="single" w:color="auto" w:sz="4" w:space="0"/>
              <w:right w:val="single" w:color="auto" w:sz="4" w:space="0"/>
            </w:tcBorders>
            <w:noWrap w:val="0"/>
            <w:vAlign w:val="center"/>
          </w:tcPr>
          <w:p w14:paraId="67991A46">
            <w:pPr>
              <w:widowControl/>
              <w:jc w:val="center"/>
              <w:rPr>
                <w:rFonts w:ascii="宋体" w:hAnsi="宋体"/>
                <w:color w:val="000000"/>
                <w:szCs w:val="21"/>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14:paraId="6BDCAA1B">
            <w:pPr>
              <w:spacing w:line="380" w:lineRule="exact"/>
              <w:rPr>
                <w:rFonts w:hint="eastAsia" w:ascii="宋体" w:hAnsi="宋体"/>
                <w:color w:val="000000"/>
                <w:szCs w:val="21"/>
              </w:rPr>
            </w:pPr>
            <w:r>
              <w:rPr>
                <w:rFonts w:hint="eastAsia" w:ascii="宋体" w:hAnsi="宋体" w:cs="宋体"/>
                <w:color w:val="000000"/>
              </w:rPr>
              <w:t>代理服务费收款账户信息</w:t>
            </w:r>
          </w:p>
        </w:tc>
        <w:tc>
          <w:tcPr>
            <w:tcW w:w="7297" w:type="dxa"/>
            <w:tcBorders>
              <w:top w:val="single" w:color="auto" w:sz="4" w:space="0"/>
              <w:left w:val="single" w:color="auto" w:sz="4" w:space="0"/>
              <w:bottom w:val="single" w:color="auto" w:sz="4" w:space="0"/>
              <w:right w:val="single" w:color="auto" w:sz="4" w:space="0"/>
            </w:tcBorders>
            <w:noWrap w:val="0"/>
            <w:vAlign w:val="center"/>
          </w:tcPr>
          <w:p w14:paraId="22ADEE2D">
            <w:pPr>
              <w:pStyle w:val="11"/>
              <w:snapToGrid w:val="0"/>
              <w:spacing w:line="380" w:lineRule="exact"/>
              <w:rPr>
                <w:rFonts w:hint="eastAsia" w:hAnsi="宋体" w:cs="宋体"/>
                <w:color w:val="000000"/>
              </w:rPr>
            </w:pPr>
            <w:r>
              <w:rPr>
                <w:rFonts w:hint="eastAsia" w:hAnsi="宋体" w:cs="宋体"/>
                <w:color w:val="000000"/>
              </w:rPr>
              <w:t>开户名称：广西国建项目管理有限公司</w:t>
            </w:r>
          </w:p>
          <w:p w14:paraId="6FFA5B8C">
            <w:pPr>
              <w:pStyle w:val="11"/>
              <w:snapToGrid w:val="0"/>
              <w:spacing w:line="380" w:lineRule="exact"/>
              <w:rPr>
                <w:rFonts w:hint="eastAsia" w:hAnsi="宋体" w:cs="宋体"/>
                <w:color w:val="000000"/>
              </w:rPr>
            </w:pPr>
            <w:r>
              <w:rPr>
                <w:rFonts w:hint="eastAsia" w:hAnsi="宋体" w:cs="宋体"/>
                <w:color w:val="000000"/>
              </w:rPr>
              <w:t>开户银行：广西北部湾银行股份有限公司南宁市江南支行</w:t>
            </w:r>
          </w:p>
          <w:p w14:paraId="587D1607">
            <w:pPr>
              <w:snapToGrid w:val="0"/>
              <w:spacing w:line="380" w:lineRule="exact"/>
              <w:rPr>
                <w:rFonts w:hint="eastAsia" w:ascii="宋体" w:hAnsi="宋体" w:cs="宋体"/>
                <w:szCs w:val="20"/>
              </w:rPr>
            </w:pPr>
            <w:r>
              <w:rPr>
                <w:rFonts w:hint="eastAsia" w:ascii="宋体" w:hAnsi="宋体" w:cs="宋体"/>
                <w:color w:val="000000"/>
              </w:rPr>
              <w:t>银行账号：8001 1543 5100 037</w:t>
            </w:r>
            <w:r>
              <w:rPr>
                <w:rFonts w:hint="eastAsia" w:ascii="宋体" w:hAnsi="宋体" w:cs="宋体"/>
                <w:szCs w:val="20"/>
              </w:rPr>
              <w:t xml:space="preserve"> </w:t>
            </w:r>
          </w:p>
        </w:tc>
      </w:tr>
      <w:tr w14:paraId="0155C8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noWrap w:val="0"/>
            <w:vAlign w:val="center"/>
          </w:tcPr>
          <w:p w14:paraId="4ED2FEA0">
            <w:pPr>
              <w:snapToGrid w:val="0"/>
              <w:spacing w:line="380" w:lineRule="exact"/>
              <w:jc w:val="center"/>
              <w:rPr>
                <w:rFonts w:hint="eastAsia" w:ascii="宋体" w:hAnsi="宋体"/>
                <w:color w:val="000000"/>
                <w:szCs w:val="21"/>
              </w:rPr>
            </w:pPr>
            <w:r>
              <w:rPr>
                <w:rFonts w:hint="eastAsia" w:ascii="宋体" w:hAnsi="宋体"/>
                <w:color w:val="000000"/>
                <w:szCs w:val="21"/>
              </w:rPr>
              <w:t>41.1</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52E01EAD">
            <w:pPr>
              <w:snapToGrid w:val="0"/>
              <w:spacing w:line="380" w:lineRule="exact"/>
              <w:rPr>
                <w:rFonts w:hint="eastAsia" w:ascii="宋体" w:hAnsi="宋体"/>
                <w:color w:val="000000"/>
                <w:szCs w:val="21"/>
              </w:rPr>
            </w:pPr>
            <w:r>
              <w:rPr>
                <w:rFonts w:hint="eastAsia" w:ascii="宋体" w:hAnsi="宋体"/>
                <w:color w:val="000000"/>
                <w:szCs w:val="21"/>
              </w:rPr>
              <w:t>解释</w:t>
            </w:r>
          </w:p>
        </w:tc>
        <w:tc>
          <w:tcPr>
            <w:tcW w:w="7297" w:type="dxa"/>
            <w:tcBorders>
              <w:top w:val="single" w:color="auto" w:sz="4" w:space="0"/>
              <w:left w:val="single" w:color="auto" w:sz="4" w:space="0"/>
              <w:bottom w:val="single" w:color="auto" w:sz="4" w:space="0"/>
              <w:right w:val="single" w:color="auto" w:sz="4" w:space="0"/>
            </w:tcBorders>
            <w:noWrap w:val="0"/>
            <w:vAlign w:val="center"/>
          </w:tcPr>
          <w:p w14:paraId="5F77C559">
            <w:pPr>
              <w:snapToGrid w:val="0"/>
              <w:spacing w:line="380" w:lineRule="exact"/>
              <w:rPr>
                <w:rFonts w:hint="eastAsia" w:ascii="宋体" w:hAnsi="宋体"/>
                <w:b/>
                <w:color w:val="000000"/>
                <w:szCs w:val="21"/>
              </w:rPr>
            </w:pPr>
            <w:r>
              <w:rPr>
                <w:rFonts w:hint="eastAsia" w:ascii="宋体" w:hAnsi="宋体"/>
                <w:b/>
                <w:color w:val="000000"/>
                <w:szCs w:val="21"/>
              </w:rPr>
              <w:t>解释权：</w:t>
            </w:r>
            <w:r>
              <w:rPr>
                <w:rFonts w:hint="eastAsia" w:ascii="宋体" w:hAnsi="宋体"/>
                <w:color w:val="000000"/>
                <w:szCs w:val="21"/>
              </w:rPr>
              <w:t>构成本招标文件的各个组成文件应互为解释，互为说明；除招标文件中有特别规定外，仅适用于招标投标阶段的规定，按更正公告（澄清公告）、招标公告、采购需求、投标人须知、评标方法及评标标准、拟签订的合同文本、投标文件格式的先后顺序解释；同一组成文件中就同一事项的规定或者约定不一致的，以编排顺序在后者为准；同一组成文件不同版本之间有不一致的，以形成时间在后者为准；更正公告（澄清公告）与同步更新的招标文件不一致时以更正公告（澄清公告）为准。按本款前述规定仍不能形成结论的</w:t>
            </w:r>
            <w:r>
              <w:rPr>
                <w:rFonts w:hint="eastAsia" w:ascii="宋体" w:hAnsi="宋体"/>
                <w:b/>
                <w:color w:val="000000"/>
                <w:szCs w:val="21"/>
              </w:rPr>
              <w:t>，由采购人或者采购代理机构负责解释。</w:t>
            </w:r>
          </w:p>
          <w:p w14:paraId="2C1B2332">
            <w:pPr>
              <w:snapToGrid w:val="0"/>
              <w:spacing w:line="380" w:lineRule="exact"/>
              <w:rPr>
                <w:rFonts w:hint="eastAsia" w:ascii="宋体" w:hAnsi="宋体"/>
                <w:b/>
                <w:color w:val="000000"/>
                <w:szCs w:val="21"/>
              </w:rPr>
            </w:pPr>
            <w:r>
              <w:rPr>
                <w:rFonts w:hint="eastAsia" w:ascii="宋体" w:hAnsi="宋体"/>
                <w:b/>
                <w:color w:val="000000"/>
                <w:szCs w:val="21"/>
              </w:rPr>
              <w:t>法律责任：</w:t>
            </w:r>
          </w:p>
          <w:p w14:paraId="20932082">
            <w:pPr>
              <w:snapToGrid w:val="0"/>
              <w:spacing w:line="380" w:lineRule="exact"/>
              <w:rPr>
                <w:rFonts w:hint="eastAsia" w:ascii="宋体" w:hAnsi="宋体"/>
                <w:color w:val="000000"/>
                <w:szCs w:val="21"/>
              </w:rPr>
            </w:pPr>
            <w:r>
              <w:rPr>
                <w:rFonts w:hint="eastAsia" w:ascii="宋体" w:hAnsi="宋体"/>
                <w:color w:val="000000"/>
                <w:szCs w:val="21"/>
              </w:rPr>
              <w:t>1.本采购文件根据《中华人民共和国政府采购法》、《中华人民共和国民法典》；《中华人民共和国政府采购法实施条例》、《政府采购货物和服务招标投标管理办法》等有关法律、法规编制，参与本项目的各政府采购当事人依法享有上述法律法规所赋予的权利与义务。</w:t>
            </w:r>
          </w:p>
          <w:p w14:paraId="144AF275">
            <w:pPr>
              <w:spacing w:line="380" w:lineRule="exact"/>
              <w:rPr>
                <w:rFonts w:hint="eastAsia" w:ascii="宋体" w:hAnsi="宋体"/>
              </w:rPr>
            </w:pPr>
            <w:r>
              <w:rPr>
                <w:rFonts w:hint="eastAsia" w:ascii="宋体" w:hAnsi="宋体"/>
                <w:b/>
                <w:szCs w:val="21"/>
              </w:rPr>
              <w:t>2.本项目采购代理机构应严格按照“广西政府采购云平台”项目采购全流程电子化电子开评标规程执行项目采购活动，代理机构在“广西政府采购云平台”的“项目管理”—“采购文件管理”内开评标规则设置作为本采购文件的组成部分，截标之后不可更改，因代理机构开评标规则设置错误导致采购活动无法开展下去的情况，由代理机构负责解释并承担其后果。</w:t>
            </w:r>
          </w:p>
        </w:tc>
      </w:tr>
      <w:tr w14:paraId="09DD0F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noWrap w:val="0"/>
            <w:vAlign w:val="center"/>
          </w:tcPr>
          <w:p w14:paraId="114A69EB">
            <w:pPr>
              <w:snapToGrid w:val="0"/>
              <w:spacing w:line="380" w:lineRule="exact"/>
              <w:jc w:val="center"/>
              <w:rPr>
                <w:rFonts w:ascii="宋体" w:hAnsi="宋体"/>
                <w:color w:val="000000"/>
                <w:szCs w:val="21"/>
              </w:rPr>
            </w:pPr>
            <w:r>
              <w:rPr>
                <w:rFonts w:hint="eastAsia" w:ascii="宋体" w:hAnsi="宋体"/>
                <w:color w:val="000000"/>
                <w:szCs w:val="21"/>
              </w:rPr>
              <w:t>41.2</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50EE8715">
            <w:pPr>
              <w:snapToGrid w:val="0"/>
              <w:spacing w:line="380" w:lineRule="exact"/>
              <w:rPr>
                <w:rFonts w:hint="eastAsia" w:ascii="宋体" w:hAnsi="宋体"/>
                <w:color w:val="000000"/>
                <w:szCs w:val="21"/>
              </w:rPr>
            </w:pPr>
            <w:r>
              <w:rPr>
                <w:rFonts w:hint="eastAsia" w:ascii="宋体" w:hAnsi="宋体"/>
                <w:color w:val="000000"/>
                <w:szCs w:val="21"/>
              </w:rPr>
              <w:t>其他释义</w:t>
            </w:r>
          </w:p>
        </w:tc>
        <w:tc>
          <w:tcPr>
            <w:tcW w:w="7297" w:type="dxa"/>
            <w:tcBorders>
              <w:top w:val="single" w:color="auto" w:sz="4" w:space="0"/>
              <w:left w:val="single" w:color="auto" w:sz="4" w:space="0"/>
              <w:bottom w:val="single" w:color="auto" w:sz="4" w:space="0"/>
              <w:right w:val="single" w:color="auto" w:sz="4" w:space="0"/>
            </w:tcBorders>
            <w:noWrap w:val="0"/>
            <w:vAlign w:val="center"/>
          </w:tcPr>
          <w:p w14:paraId="04B02B4E">
            <w:pPr>
              <w:pStyle w:val="11"/>
              <w:snapToGrid w:val="0"/>
              <w:spacing w:line="380" w:lineRule="exact"/>
              <w:rPr>
                <w:rFonts w:hint="eastAsia" w:hAnsi="宋体" w:cs="宋体"/>
                <w:b/>
                <w:bCs/>
                <w:color w:val="000000"/>
              </w:rPr>
            </w:pPr>
            <w:r>
              <w:rPr>
                <w:rFonts w:hint="eastAsia" w:hAnsi="宋体" w:cs="宋体"/>
                <w:b/>
                <w:bCs/>
                <w:color w:val="000000"/>
              </w:rPr>
              <w:t>1.本招标文件中描述投标人的“公章”是指根据我国对公章的管理规定，用投标人法定主体行为名称制作的印章</w:t>
            </w:r>
            <w:r>
              <w:rPr>
                <w:rFonts w:hint="eastAsia" w:hAnsi="宋体" w:cs="宋体"/>
                <w:b/>
                <w:bCs/>
              </w:rPr>
              <w:t>（含投标人通过指定电子化政府采购平台办理数字证书（CA认证）获得的以法定主体行为名称制作的电子印章）</w:t>
            </w:r>
            <w:r>
              <w:rPr>
                <w:rFonts w:hint="eastAsia" w:hAnsi="宋体" w:cs="宋体"/>
                <w:b/>
                <w:bCs/>
                <w:color w:val="000000"/>
              </w:rPr>
              <w:t>，除本招标文件有特殊规定外，投标人的财务章、部门章、分公司章、工会章、合同章、投标专用章、业务专用章及银行的转账章、现金收讫章、现金付讫章等其他形式印章均不能代替公章。</w:t>
            </w:r>
          </w:p>
          <w:p w14:paraId="6FF9A171">
            <w:pPr>
              <w:pStyle w:val="11"/>
              <w:snapToGrid w:val="0"/>
              <w:spacing w:line="380" w:lineRule="exact"/>
              <w:rPr>
                <w:rFonts w:hint="eastAsia" w:hAnsi="宋体" w:cs="宋体"/>
                <w:b/>
                <w:bCs/>
                <w:color w:val="000000"/>
              </w:rPr>
            </w:pPr>
            <w:r>
              <w:rPr>
                <w:rFonts w:hint="eastAsia" w:hAnsi="宋体" w:cs="宋体"/>
                <w:b/>
                <w:bCs/>
                <w:color w:val="000000"/>
              </w:rPr>
              <w:t>2.投标人为其他组织或者自然人时，本招标文件规定的法定代表人指负责人或者自然人。本招标文件所称负责人是指参加投标的其他组织营业执照上的负责人，本招标文件所称自然人指参与投标的自然人本人。</w:t>
            </w:r>
          </w:p>
          <w:p w14:paraId="21BEB46C">
            <w:pPr>
              <w:pStyle w:val="11"/>
              <w:snapToGrid w:val="0"/>
              <w:spacing w:line="380" w:lineRule="exact"/>
              <w:rPr>
                <w:rFonts w:hint="eastAsia" w:hAnsi="宋体" w:cs="宋体"/>
                <w:b/>
                <w:bCs/>
                <w:color w:val="000000"/>
              </w:rPr>
            </w:pPr>
            <w:r>
              <w:rPr>
                <w:rFonts w:hint="eastAsia" w:hAnsi="宋体" w:cs="宋体"/>
                <w:b/>
                <w:bCs/>
                <w:color w:val="000000"/>
              </w:rPr>
              <w:t>3.本招标文件中描述投标人的“签字”是指投标人的法定代表人或者委托代理人亲自在文件规定签署处亲笔写上个人的名字的行为</w:t>
            </w:r>
            <w:r>
              <w:rPr>
                <w:rFonts w:hint="eastAsia" w:hAnsi="宋体" w:cs="宋体"/>
                <w:b/>
                <w:bCs/>
              </w:rPr>
              <w:t>（含投标人通过指定电子化政府采购平台办理数字证书（CA认证）获得的以投标人法定代表人或者委托代理人姓名制作的电子印章或手写签字）</w:t>
            </w:r>
            <w:r>
              <w:rPr>
                <w:rFonts w:hint="eastAsia" w:hAnsi="宋体" w:cs="宋体"/>
                <w:b/>
                <w:bCs/>
                <w:color w:val="000000"/>
              </w:rPr>
              <w:t>，私章、签字章、印鉴、影印等其他形式均不能代替亲笔签字。</w:t>
            </w:r>
          </w:p>
          <w:p w14:paraId="3EAE6D47">
            <w:pPr>
              <w:pStyle w:val="11"/>
              <w:snapToGrid w:val="0"/>
              <w:spacing w:line="380" w:lineRule="exact"/>
              <w:rPr>
                <w:rFonts w:hint="eastAsia" w:hAnsi="宋体" w:cs="宋体"/>
                <w:b/>
                <w:bCs/>
                <w:color w:val="000000"/>
              </w:rPr>
            </w:pPr>
            <w:r>
              <w:rPr>
                <w:rFonts w:hint="eastAsia" w:hAnsi="宋体" w:cs="宋体"/>
                <w:b/>
                <w:bCs/>
                <w:color w:val="000000"/>
              </w:rPr>
              <w:t>4.自然人投标的，招标文件规定盖公章处由自然人摁手指指印。</w:t>
            </w:r>
          </w:p>
          <w:p w14:paraId="074813B6">
            <w:pPr>
              <w:spacing w:line="380" w:lineRule="exact"/>
              <w:jc w:val="left"/>
              <w:rPr>
                <w:rFonts w:hint="eastAsia" w:ascii="宋体" w:hAnsi="宋体"/>
                <w:color w:val="000000"/>
                <w:szCs w:val="21"/>
              </w:rPr>
            </w:pPr>
            <w:r>
              <w:rPr>
                <w:rFonts w:hint="eastAsia" w:ascii="宋体" w:hAnsi="宋体" w:cs="宋体"/>
                <w:b/>
                <w:bCs/>
                <w:color w:val="000000"/>
                <w:szCs w:val="21"/>
              </w:rPr>
              <w:t>5.本招标文件所称的“以上”“以下”“以内”“届满”，包括本数；所称的“不满”“超过”“以外”，不包括本数。</w:t>
            </w:r>
          </w:p>
        </w:tc>
      </w:tr>
    </w:tbl>
    <w:p w14:paraId="023F2A8E">
      <w:pPr>
        <w:widowControl/>
        <w:spacing w:line="412" w:lineRule="auto"/>
        <w:jc w:val="left"/>
        <w:rPr>
          <w:rFonts w:ascii="Arial" w:hAnsi="Arial" w:eastAsia="黑体"/>
          <w:b/>
          <w:bCs/>
          <w:color w:val="000000"/>
          <w:sz w:val="32"/>
          <w:szCs w:val="32"/>
        </w:rPr>
        <w:sectPr>
          <w:pgSz w:w="11906" w:h="16838"/>
          <w:pgMar w:top="1134" w:right="1134" w:bottom="1134" w:left="1134" w:header="720" w:footer="720" w:gutter="0"/>
          <w:cols w:space="720" w:num="1"/>
          <w:docGrid w:type="lines" w:linePitch="331" w:charSpace="0"/>
        </w:sectPr>
      </w:pPr>
    </w:p>
    <w:p w14:paraId="1BE35BF3">
      <w:pPr>
        <w:rPr>
          <w:rFonts w:hint="eastAsia"/>
          <w:color w:val="000000"/>
        </w:rPr>
      </w:pPr>
    </w:p>
    <w:p w14:paraId="461708A8">
      <w:pPr>
        <w:pStyle w:val="3"/>
        <w:jc w:val="center"/>
        <w:rPr>
          <w:color w:val="000000"/>
        </w:rPr>
      </w:pPr>
      <w:bookmarkStart w:id="80" w:name="_Toc211960299"/>
      <w:r>
        <w:rPr>
          <w:rFonts w:hint="eastAsia"/>
          <w:color w:val="000000"/>
        </w:rPr>
        <w:t>第二节</w:t>
      </w:r>
      <w:r>
        <w:rPr>
          <w:color w:val="000000"/>
        </w:rPr>
        <w:t xml:space="preserve"> </w:t>
      </w:r>
      <w:r>
        <w:rPr>
          <w:rFonts w:hint="eastAsia"/>
          <w:color w:val="000000"/>
        </w:rPr>
        <w:t>投标人须知正文</w:t>
      </w:r>
      <w:bookmarkEnd w:id="80"/>
    </w:p>
    <w:p w14:paraId="6EB40497">
      <w:pPr>
        <w:pStyle w:val="4"/>
        <w:keepNext w:val="0"/>
        <w:keepLines w:val="0"/>
        <w:spacing w:line="400" w:lineRule="exact"/>
        <w:jc w:val="center"/>
        <w:rPr>
          <w:color w:val="000000"/>
        </w:rPr>
      </w:pPr>
      <w:bookmarkStart w:id="81" w:name="_Toc211960300"/>
      <w:r>
        <w:rPr>
          <w:rFonts w:hint="eastAsia"/>
          <w:color w:val="000000"/>
        </w:rPr>
        <w:t>一、总</w:t>
      </w:r>
      <w:r>
        <w:rPr>
          <w:color w:val="000000"/>
        </w:rPr>
        <w:t xml:space="preserve">  </w:t>
      </w:r>
      <w:r>
        <w:rPr>
          <w:rFonts w:hint="eastAsia"/>
          <w:color w:val="000000"/>
        </w:rPr>
        <w:t>则</w:t>
      </w:r>
      <w:bookmarkEnd w:id="81"/>
    </w:p>
    <w:p w14:paraId="735E3930">
      <w:pPr>
        <w:spacing w:line="360" w:lineRule="auto"/>
        <w:ind w:firstLine="480" w:firstLineChars="200"/>
        <w:rPr>
          <w:rFonts w:ascii="黑体" w:hAnsi="黑体" w:eastAsia="黑体"/>
          <w:color w:val="000000"/>
          <w:sz w:val="24"/>
        </w:rPr>
      </w:pPr>
      <w:bookmarkStart w:id="82" w:name="_Toc254970527"/>
      <w:bookmarkStart w:id="83" w:name="_Toc254970668"/>
      <w:r>
        <w:rPr>
          <w:rFonts w:hint="eastAsia" w:ascii="黑体" w:hAnsi="黑体" w:eastAsia="黑体"/>
          <w:color w:val="000000"/>
          <w:sz w:val="24"/>
        </w:rPr>
        <w:t>1.适用范围</w:t>
      </w:r>
      <w:bookmarkEnd w:id="82"/>
      <w:bookmarkEnd w:id="83"/>
    </w:p>
    <w:p w14:paraId="10DD32AD">
      <w:pPr>
        <w:spacing w:line="360" w:lineRule="auto"/>
        <w:ind w:firstLine="420" w:firstLineChars="200"/>
        <w:rPr>
          <w:rFonts w:hint="eastAsia" w:ascii="宋体" w:hAnsi="宋体"/>
          <w:color w:val="000000"/>
          <w:szCs w:val="21"/>
        </w:rPr>
      </w:pPr>
      <w:r>
        <w:rPr>
          <w:rFonts w:hint="eastAsia" w:ascii="宋体" w:hAnsi="宋体"/>
          <w:color w:val="000000"/>
          <w:szCs w:val="21"/>
        </w:rPr>
        <w:t>1.1适用法律：本项目采购人、采购代理机构、投标人、评标委员会的相关行为均受《中华人民共和国政府采购法》、《中华人民共和国政府采购法实施条例》、《政府采购货物和服务招标投标管理办法》及本项目本级和上级财政部门政府采购有关规定的约束和保护。</w:t>
      </w:r>
    </w:p>
    <w:p w14:paraId="52B54114">
      <w:pPr>
        <w:spacing w:line="360" w:lineRule="auto"/>
        <w:ind w:firstLine="420" w:firstLineChars="200"/>
        <w:rPr>
          <w:rFonts w:hint="eastAsia" w:ascii="宋体" w:hAnsi="宋体"/>
          <w:color w:val="000000"/>
          <w:szCs w:val="21"/>
        </w:rPr>
      </w:pPr>
      <w:r>
        <w:rPr>
          <w:rFonts w:hint="eastAsia" w:ascii="宋体" w:hAnsi="宋体"/>
          <w:color w:val="000000"/>
          <w:szCs w:val="21"/>
        </w:rPr>
        <w:t>1.2本招标文件</w:t>
      </w:r>
      <w:r>
        <w:rPr>
          <w:rFonts w:hint="eastAsia" w:ascii="宋体" w:hAnsi="宋体" w:cs="宋体"/>
          <w:color w:val="000000"/>
          <w:spacing w:val="-6"/>
          <w:szCs w:val="21"/>
        </w:rPr>
        <w:t>适用于本项目的所有采购程序和环节（法律、法规另有规定的，从其规定）。</w:t>
      </w:r>
    </w:p>
    <w:p w14:paraId="64F072B4">
      <w:pPr>
        <w:spacing w:line="360" w:lineRule="auto"/>
        <w:ind w:firstLine="480" w:firstLineChars="200"/>
        <w:rPr>
          <w:rFonts w:hint="eastAsia" w:ascii="黑体" w:hAnsi="黑体" w:eastAsia="黑体"/>
          <w:color w:val="000000"/>
          <w:sz w:val="24"/>
        </w:rPr>
      </w:pPr>
      <w:bookmarkStart w:id="84" w:name="_Toc254970669"/>
      <w:bookmarkStart w:id="85" w:name="_Toc254970528"/>
      <w:r>
        <w:rPr>
          <w:rFonts w:hint="eastAsia" w:ascii="黑体" w:hAnsi="黑体" w:eastAsia="黑体"/>
          <w:color w:val="000000"/>
          <w:sz w:val="24"/>
        </w:rPr>
        <w:t>2.定义</w:t>
      </w:r>
      <w:bookmarkEnd w:id="84"/>
      <w:bookmarkEnd w:id="85"/>
    </w:p>
    <w:p w14:paraId="0A472D3A">
      <w:pPr>
        <w:spacing w:line="360" w:lineRule="auto"/>
        <w:ind w:firstLine="422" w:firstLineChars="200"/>
        <w:rPr>
          <w:rFonts w:hint="eastAsia" w:ascii="宋体" w:hAnsi="宋体"/>
          <w:b/>
          <w:color w:val="000000"/>
          <w:szCs w:val="21"/>
        </w:rPr>
      </w:pPr>
      <w:r>
        <w:rPr>
          <w:rFonts w:hint="eastAsia" w:ascii="宋体" w:hAnsi="宋体"/>
          <w:b/>
          <w:color w:val="000000"/>
          <w:szCs w:val="21"/>
        </w:rPr>
        <w:t>2.1“采购人”是指依法进行政府采购的国家机关、事业单位、团体组织。</w:t>
      </w:r>
    </w:p>
    <w:p w14:paraId="4DDD0467">
      <w:pPr>
        <w:spacing w:line="360" w:lineRule="auto"/>
        <w:ind w:firstLine="422" w:firstLineChars="200"/>
        <w:rPr>
          <w:rFonts w:hint="eastAsia" w:ascii="宋体" w:hAnsi="宋体"/>
          <w:b/>
          <w:color w:val="000000"/>
          <w:szCs w:val="21"/>
        </w:rPr>
      </w:pPr>
      <w:r>
        <w:rPr>
          <w:rFonts w:hint="eastAsia" w:ascii="宋体" w:hAnsi="宋体"/>
          <w:b/>
          <w:color w:val="000000"/>
          <w:szCs w:val="21"/>
        </w:rPr>
        <w:t>2.2“采购代理机构” 指政府采购集中采购机构和集中采购机构以外的采购代理机构。</w:t>
      </w:r>
    </w:p>
    <w:p w14:paraId="786BC3CD">
      <w:pPr>
        <w:spacing w:line="360" w:lineRule="auto"/>
        <w:ind w:firstLine="422" w:firstLineChars="200"/>
        <w:rPr>
          <w:rFonts w:hint="eastAsia" w:ascii="宋体" w:hAnsi="宋体"/>
          <w:b/>
          <w:color w:val="000000"/>
          <w:szCs w:val="21"/>
        </w:rPr>
      </w:pPr>
      <w:r>
        <w:rPr>
          <w:rFonts w:hint="eastAsia" w:ascii="宋体" w:hAnsi="宋体"/>
          <w:b/>
          <w:color w:val="000000"/>
          <w:szCs w:val="21"/>
        </w:rPr>
        <w:t>2.3“供应商”是指向采购人提供货物、工程或者服务的法人、其他组织或者自然人。</w:t>
      </w:r>
    </w:p>
    <w:p w14:paraId="5978FF99">
      <w:pPr>
        <w:spacing w:line="360" w:lineRule="auto"/>
        <w:ind w:firstLine="420" w:firstLineChars="200"/>
        <w:rPr>
          <w:rFonts w:hint="eastAsia" w:ascii="宋体" w:hAnsi="宋体"/>
          <w:color w:val="000000"/>
          <w:szCs w:val="21"/>
        </w:rPr>
      </w:pPr>
      <w:r>
        <w:rPr>
          <w:rFonts w:hint="eastAsia" w:ascii="宋体" w:hAnsi="宋体"/>
          <w:color w:val="000000"/>
          <w:szCs w:val="21"/>
        </w:rPr>
        <w:t>2.4“投标人”是指响应招标、参加投标竞争的法人、非法人组织或者自然人。</w:t>
      </w:r>
    </w:p>
    <w:p w14:paraId="00F6317D">
      <w:pPr>
        <w:spacing w:line="360" w:lineRule="auto"/>
        <w:ind w:firstLine="422" w:firstLineChars="200"/>
        <w:rPr>
          <w:rFonts w:hint="eastAsia" w:ascii="宋体" w:hAnsi="宋体"/>
          <w:b/>
          <w:color w:val="000000"/>
          <w:szCs w:val="21"/>
        </w:rPr>
      </w:pPr>
      <w:r>
        <w:rPr>
          <w:rFonts w:hint="eastAsia" w:ascii="宋体" w:hAnsi="宋体"/>
          <w:b/>
          <w:color w:val="000000"/>
          <w:szCs w:val="21"/>
        </w:rPr>
        <w:t>2.5“服务”是指除货物和工程以外的其他政府采购对象。</w:t>
      </w:r>
    </w:p>
    <w:p w14:paraId="7F2AF0BF">
      <w:pPr>
        <w:spacing w:line="360" w:lineRule="auto"/>
        <w:ind w:firstLine="422" w:firstLineChars="200"/>
        <w:rPr>
          <w:rFonts w:hint="eastAsia" w:ascii="宋体" w:hAnsi="宋体"/>
          <w:b/>
          <w:color w:val="000000"/>
          <w:szCs w:val="21"/>
        </w:rPr>
      </w:pPr>
      <w:r>
        <w:rPr>
          <w:rFonts w:hint="eastAsia" w:ascii="宋体" w:hAnsi="宋体"/>
          <w:b/>
          <w:color w:val="000000"/>
          <w:szCs w:val="21"/>
        </w:rPr>
        <w:t>2.6“书面形式”是指合同书、信件和数据电文（包括电报、电传、传真、电子数据交换和电子邮件）等可以有形地表现所载内容的形式。</w:t>
      </w:r>
    </w:p>
    <w:p w14:paraId="66BDD00C">
      <w:pPr>
        <w:spacing w:line="360" w:lineRule="auto"/>
        <w:ind w:firstLine="422" w:firstLineChars="200"/>
        <w:rPr>
          <w:rFonts w:hint="eastAsia" w:ascii="宋体" w:hAnsi="宋体"/>
          <w:b/>
          <w:color w:val="000000"/>
          <w:szCs w:val="21"/>
        </w:rPr>
      </w:pPr>
      <w:r>
        <w:rPr>
          <w:rFonts w:hint="eastAsia" w:ascii="宋体" w:hAnsi="宋体"/>
          <w:b/>
          <w:color w:val="000000"/>
          <w:szCs w:val="21"/>
        </w:rPr>
        <w:t>2.7“实质性要求”是指招标文件中已经指明不满足则投标无效的条款，或者不能负偏离的条款，或者采购需求中带“</w:t>
      </w:r>
      <w:r>
        <w:rPr>
          <w:rFonts w:hint="eastAsia" w:ascii="宋体" w:hAnsi="宋体"/>
          <w:b/>
          <w:bCs/>
          <w:szCs w:val="21"/>
        </w:rPr>
        <w:t>▲</w:t>
      </w:r>
      <w:r>
        <w:rPr>
          <w:rFonts w:hint="eastAsia" w:ascii="宋体" w:hAnsi="宋体"/>
          <w:b/>
          <w:color w:val="000000"/>
          <w:szCs w:val="21"/>
        </w:rPr>
        <w:t>”的条款。</w:t>
      </w:r>
    </w:p>
    <w:p w14:paraId="34384085">
      <w:pPr>
        <w:spacing w:line="360" w:lineRule="auto"/>
        <w:ind w:firstLine="420" w:firstLineChars="200"/>
        <w:rPr>
          <w:rFonts w:hint="eastAsia" w:ascii="宋体" w:hAnsi="宋体" w:cs="宋体"/>
          <w:color w:val="000000"/>
          <w:szCs w:val="21"/>
        </w:rPr>
      </w:pPr>
      <w:r>
        <w:rPr>
          <w:rFonts w:hint="eastAsia" w:ascii="宋体" w:hAnsi="宋体"/>
          <w:color w:val="000000"/>
          <w:szCs w:val="21"/>
        </w:rPr>
        <w:t>2.8</w:t>
      </w:r>
      <w:r>
        <w:rPr>
          <w:rFonts w:hint="eastAsia" w:ascii="宋体" w:hAnsi="宋体" w:cs="宋体"/>
          <w:color w:val="000000"/>
          <w:szCs w:val="21"/>
        </w:rPr>
        <w:t>“正偏离”，是指投标文件对招标文件“采购需求”中有关条款作出的响应优于条款要求并有利于采购人的情形。</w:t>
      </w:r>
    </w:p>
    <w:p w14:paraId="4813EC0E">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2.9“负偏离”，是指投标文件对招标文件“采购需求”中有关条款作出的响应不满足条款要求，导致采购人要求不能得到满足的情形。</w:t>
      </w:r>
    </w:p>
    <w:p w14:paraId="5FFB6D8F">
      <w:pPr>
        <w:spacing w:line="360" w:lineRule="auto"/>
        <w:ind w:firstLine="420" w:firstLineChars="200"/>
        <w:rPr>
          <w:rFonts w:hint="eastAsia" w:ascii="宋体" w:hAnsi="宋体"/>
          <w:color w:val="000000"/>
          <w:szCs w:val="21"/>
        </w:rPr>
      </w:pPr>
      <w:r>
        <w:rPr>
          <w:rFonts w:hint="eastAsia" w:ascii="宋体" w:hAnsi="宋体"/>
          <w:color w:val="000000"/>
          <w:szCs w:val="21"/>
        </w:rPr>
        <w:t>2.10</w:t>
      </w:r>
      <w:r>
        <w:rPr>
          <w:rFonts w:hint="eastAsia" w:ascii="宋体" w:hAnsi="宋体" w:cs="宋体"/>
          <w:color w:val="000000"/>
          <w:szCs w:val="21"/>
        </w:rPr>
        <w:t>“允许负偏离的条款”是指采购需求中的不属于“实质性要求”的条款。</w:t>
      </w:r>
      <w:bookmarkStart w:id="86" w:name="_Toc254970529"/>
      <w:bookmarkStart w:id="87" w:name="_Toc254970670"/>
    </w:p>
    <w:p w14:paraId="656B1AAD">
      <w:pPr>
        <w:spacing w:line="360" w:lineRule="auto"/>
        <w:ind w:firstLine="480" w:firstLineChars="200"/>
        <w:rPr>
          <w:rFonts w:hint="eastAsia" w:ascii="黑体" w:hAnsi="黑体" w:eastAsia="黑体"/>
          <w:color w:val="000000"/>
          <w:sz w:val="24"/>
        </w:rPr>
      </w:pPr>
      <w:r>
        <w:rPr>
          <w:rFonts w:hint="eastAsia" w:ascii="黑体" w:hAnsi="黑体" w:eastAsia="黑体"/>
          <w:color w:val="000000"/>
          <w:sz w:val="24"/>
        </w:rPr>
        <w:t>3.</w:t>
      </w:r>
      <w:bookmarkEnd w:id="86"/>
      <w:bookmarkEnd w:id="87"/>
      <w:r>
        <w:rPr>
          <w:rFonts w:hint="eastAsia" w:ascii="黑体" w:hAnsi="黑体" w:eastAsia="黑体"/>
          <w:color w:val="000000"/>
          <w:sz w:val="24"/>
        </w:rPr>
        <w:t>投标人的资格要求</w:t>
      </w:r>
    </w:p>
    <w:p w14:paraId="5BA4DAE4">
      <w:pPr>
        <w:spacing w:line="360" w:lineRule="auto"/>
        <w:ind w:firstLine="420" w:firstLineChars="200"/>
        <w:rPr>
          <w:rFonts w:hint="eastAsia" w:ascii="宋体" w:hAnsi="宋体"/>
          <w:color w:val="000000"/>
          <w:szCs w:val="21"/>
        </w:rPr>
      </w:pPr>
      <w:r>
        <w:rPr>
          <w:rFonts w:hint="eastAsia" w:ascii="宋体" w:hAnsi="宋体"/>
          <w:color w:val="000000"/>
          <w:szCs w:val="21"/>
        </w:rPr>
        <w:t>投标人的资格要求详见“招标公告”。</w:t>
      </w:r>
    </w:p>
    <w:p w14:paraId="330F0CBC">
      <w:pPr>
        <w:spacing w:line="360" w:lineRule="auto"/>
        <w:ind w:firstLine="480" w:firstLineChars="200"/>
        <w:rPr>
          <w:rFonts w:hint="eastAsia" w:ascii="黑体" w:hAnsi="黑体" w:eastAsia="黑体"/>
          <w:color w:val="000000"/>
          <w:sz w:val="24"/>
        </w:rPr>
      </w:pPr>
      <w:bookmarkStart w:id="88" w:name="_Toc254970530"/>
      <w:bookmarkStart w:id="89" w:name="_Toc254970671"/>
      <w:r>
        <w:rPr>
          <w:rFonts w:hint="eastAsia" w:ascii="黑体" w:hAnsi="黑体" w:eastAsia="黑体"/>
          <w:color w:val="000000"/>
          <w:sz w:val="24"/>
        </w:rPr>
        <w:t>4.投标委托</w:t>
      </w:r>
      <w:bookmarkEnd w:id="88"/>
      <w:bookmarkEnd w:id="89"/>
    </w:p>
    <w:p w14:paraId="4F194F74">
      <w:pPr>
        <w:spacing w:line="360" w:lineRule="auto"/>
        <w:ind w:firstLine="420" w:firstLineChars="200"/>
        <w:rPr>
          <w:rFonts w:hint="eastAsia" w:ascii="宋体" w:hAnsi="宋体"/>
          <w:szCs w:val="21"/>
        </w:rPr>
      </w:pPr>
      <w:r>
        <w:rPr>
          <w:rFonts w:hint="eastAsia" w:ascii="宋体" w:hAnsi="宋体"/>
          <w:szCs w:val="21"/>
        </w:rPr>
        <w:t>投标人代表参加投标活动过程中必须携带个人有效身份证件。如投标人代表不是法定代表人，须持有法定代表人授权委托书（正本用原件，副本用复印件，按第六章要求格式填写）。</w:t>
      </w:r>
    </w:p>
    <w:p w14:paraId="135588DB">
      <w:pPr>
        <w:spacing w:line="360" w:lineRule="auto"/>
        <w:ind w:firstLine="480" w:firstLineChars="200"/>
        <w:rPr>
          <w:rFonts w:hint="eastAsia" w:ascii="黑体" w:hAnsi="黑体" w:eastAsia="黑体"/>
          <w:color w:val="000000"/>
          <w:sz w:val="24"/>
        </w:rPr>
      </w:pPr>
      <w:bookmarkStart w:id="90" w:name="_5.投标费用"/>
      <w:bookmarkEnd w:id="90"/>
      <w:bookmarkStart w:id="91" w:name="_Toc254970672"/>
      <w:bookmarkStart w:id="92" w:name="_Toc254970531"/>
      <w:r>
        <w:rPr>
          <w:rFonts w:hint="eastAsia" w:ascii="黑体" w:hAnsi="黑体" w:eastAsia="黑体"/>
          <w:color w:val="000000"/>
          <w:sz w:val="24"/>
        </w:rPr>
        <w:t>5.投标费用</w:t>
      </w:r>
      <w:bookmarkEnd w:id="91"/>
      <w:bookmarkEnd w:id="92"/>
    </w:p>
    <w:p w14:paraId="3EB794FB">
      <w:pPr>
        <w:spacing w:line="360" w:lineRule="auto"/>
        <w:ind w:firstLine="420" w:firstLineChars="200"/>
        <w:rPr>
          <w:rFonts w:hint="eastAsia" w:ascii="宋体" w:hAnsi="宋体"/>
          <w:color w:val="000000"/>
          <w:szCs w:val="21"/>
        </w:rPr>
      </w:pPr>
      <w:r>
        <w:rPr>
          <w:rFonts w:hint="eastAsia" w:ascii="宋体" w:hAnsi="宋体" w:cs="宋体"/>
          <w:color w:val="000000"/>
          <w:szCs w:val="21"/>
        </w:rPr>
        <w:t>投标费用：投标人应承担参与本次采购活动有关的所有费用，包括但不限于勘查现场、编制投标文件、参加澄清说明、签订合同等，不论投标结果如何，均应自行承担。</w:t>
      </w:r>
    </w:p>
    <w:p w14:paraId="3652FD72">
      <w:pPr>
        <w:spacing w:line="360" w:lineRule="auto"/>
        <w:ind w:firstLine="480" w:firstLineChars="200"/>
        <w:rPr>
          <w:rFonts w:hint="eastAsia" w:ascii="黑体" w:hAnsi="黑体" w:eastAsia="黑体"/>
          <w:color w:val="000000"/>
          <w:sz w:val="24"/>
        </w:rPr>
      </w:pPr>
      <w:r>
        <w:rPr>
          <w:rFonts w:hint="eastAsia" w:ascii="黑体" w:hAnsi="黑体" w:eastAsia="黑体"/>
          <w:color w:val="000000"/>
          <w:sz w:val="24"/>
        </w:rPr>
        <w:t>6.联合体投标</w:t>
      </w:r>
    </w:p>
    <w:p w14:paraId="626615E6">
      <w:pPr>
        <w:spacing w:line="360" w:lineRule="auto"/>
        <w:ind w:firstLine="420" w:firstLineChars="200"/>
        <w:rPr>
          <w:rFonts w:hint="eastAsia" w:ascii="宋体" w:hAnsi="宋体"/>
          <w:color w:val="000000"/>
          <w:szCs w:val="21"/>
        </w:rPr>
      </w:pPr>
      <w:r>
        <w:rPr>
          <w:rFonts w:hint="eastAsia" w:ascii="宋体" w:hAnsi="宋体"/>
          <w:color w:val="000000"/>
          <w:szCs w:val="21"/>
        </w:rPr>
        <w:t>6.1本项目是否接受联合体投标，详见“投标人须知前附表”。</w:t>
      </w:r>
    </w:p>
    <w:p w14:paraId="3B800FF1">
      <w:pPr>
        <w:spacing w:line="360" w:lineRule="auto"/>
        <w:ind w:firstLine="420" w:firstLineChars="200"/>
        <w:rPr>
          <w:rFonts w:hint="eastAsia" w:ascii="宋体" w:hAnsi="宋体"/>
          <w:bCs/>
          <w:color w:val="000000"/>
          <w:szCs w:val="21"/>
        </w:rPr>
      </w:pPr>
      <w:r>
        <w:rPr>
          <w:rFonts w:hint="eastAsia" w:ascii="宋体" w:hAnsi="宋体"/>
          <w:bCs/>
          <w:color w:val="000000"/>
          <w:szCs w:val="21"/>
        </w:rPr>
        <w:t>6.2如接受联合体投标，联合体投标要求详见“投标人须知前附表”。</w:t>
      </w:r>
    </w:p>
    <w:p w14:paraId="4161FB21">
      <w:pPr>
        <w:spacing w:line="360" w:lineRule="auto"/>
        <w:ind w:firstLine="420" w:firstLineChars="200"/>
        <w:rPr>
          <w:rFonts w:hint="eastAsia" w:ascii="宋体" w:hAnsi="宋体"/>
          <w:bCs/>
          <w:color w:val="000000"/>
          <w:szCs w:val="21"/>
        </w:rPr>
      </w:pPr>
      <w:r>
        <w:rPr>
          <w:rFonts w:hint="eastAsia" w:ascii="宋体" w:hAnsi="宋体"/>
          <w:bCs/>
          <w:color w:val="000000"/>
          <w:szCs w:val="21"/>
        </w:rPr>
        <w:t>6.3根据《政府采购促进中小企业发展管理办法》（财库</w:t>
      </w:r>
      <w:r>
        <w:rPr>
          <w:rFonts w:ascii="宋体" w:hAnsi="宋体"/>
          <w:bCs/>
          <w:color w:val="000000"/>
          <w:szCs w:val="21"/>
        </w:rPr>
        <w:t>〔</w:t>
      </w:r>
      <w:r>
        <w:rPr>
          <w:rFonts w:hint="eastAsia" w:ascii="宋体" w:hAnsi="宋体"/>
          <w:bCs/>
          <w:color w:val="000000"/>
          <w:szCs w:val="21"/>
        </w:rPr>
        <w:t>2020</w:t>
      </w:r>
      <w:r>
        <w:rPr>
          <w:rFonts w:ascii="宋体" w:hAnsi="宋体"/>
          <w:bCs/>
          <w:color w:val="000000"/>
          <w:szCs w:val="21"/>
        </w:rPr>
        <w:t>〕</w:t>
      </w:r>
      <w:r>
        <w:rPr>
          <w:rFonts w:hint="eastAsia" w:ascii="宋体" w:hAnsi="宋体"/>
          <w:bCs/>
          <w:color w:val="000000"/>
          <w:szCs w:val="21"/>
        </w:rPr>
        <w:t>46号）第九条</w:t>
      </w:r>
      <w:r>
        <w:rPr>
          <w:rFonts w:hint="eastAsia" w:ascii="宋体" w:hAnsi="宋体" w:cs="宋体"/>
          <w:szCs w:val="21"/>
        </w:rPr>
        <w:t>及《关于进一步加大政府采购支持中小企业力度的通知》（财库〔2022〕19号）第二条</w:t>
      </w:r>
      <w:r>
        <w:rPr>
          <w:rFonts w:hint="eastAsia" w:ascii="宋体" w:hAnsi="宋体"/>
          <w:bCs/>
          <w:color w:val="000000"/>
          <w:szCs w:val="21"/>
        </w:rPr>
        <w:t>规定，接受大中型企业与小微企业组成联合体的采购项目，对于联合协议约定小微企业的合同份额占到合同总金额 30%以上的，采购人、采购代理机构应当对联合体的报价给予4%-6%（工程项目为 1%—2%）的扣除，用扣除后的价格参加评审。组成联合体的小微企业与联合体内其他企业、分包企业之间存在直接控股、管理关系的，不享受价格扣除优惠政策。</w:t>
      </w:r>
    </w:p>
    <w:p w14:paraId="74DB9AE6">
      <w:pPr>
        <w:spacing w:line="360" w:lineRule="auto"/>
        <w:ind w:firstLine="480" w:firstLineChars="200"/>
        <w:rPr>
          <w:rFonts w:hint="eastAsia" w:ascii="黑体" w:hAnsi="黑体" w:eastAsia="黑体"/>
          <w:color w:val="000000"/>
          <w:sz w:val="24"/>
        </w:rPr>
      </w:pPr>
      <w:r>
        <w:rPr>
          <w:rFonts w:hint="eastAsia" w:ascii="黑体" w:hAnsi="黑体" w:eastAsia="黑体"/>
          <w:color w:val="000000"/>
          <w:sz w:val="24"/>
        </w:rPr>
        <w:t xml:space="preserve">7.转包与分包             </w:t>
      </w:r>
    </w:p>
    <w:p w14:paraId="40C7778D">
      <w:pPr>
        <w:spacing w:line="360" w:lineRule="auto"/>
        <w:ind w:firstLine="422" w:firstLineChars="200"/>
        <w:rPr>
          <w:rFonts w:hint="eastAsia" w:ascii="宋体" w:hAnsi="宋体"/>
          <w:b/>
          <w:color w:val="000000"/>
          <w:szCs w:val="21"/>
        </w:rPr>
      </w:pPr>
      <w:r>
        <w:rPr>
          <w:rFonts w:hint="eastAsia" w:ascii="宋体" w:hAnsi="宋体"/>
          <w:b/>
          <w:color w:val="000000"/>
          <w:szCs w:val="21"/>
        </w:rPr>
        <w:t>7.1本项目是否允许分包详见“投标人须知前附表”，本项目不允许违法分包。投标人根据招标文件的规定和采购项目的实际情况，拟在中标后将中标项目的非主体、非关键性工作分包的，应当在投标文件中载明分包承担主体，分包承担主体应当具备相应资质条件且不得再次分包。</w:t>
      </w:r>
    </w:p>
    <w:p w14:paraId="438C94D7">
      <w:pPr>
        <w:spacing w:line="360" w:lineRule="auto"/>
        <w:ind w:firstLine="420" w:firstLineChars="200"/>
        <w:rPr>
          <w:rFonts w:hint="eastAsia" w:ascii="宋体" w:hAnsi="宋体"/>
          <w:bCs/>
          <w:color w:val="000000"/>
          <w:szCs w:val="21"/>
        </w:rPr>
      </w:pPr>
      <w:bookmarkStart w:id="93" w:name="_Toc254970532"/>
      <w:bookmarkStart w:id="94" w:name="_Toc254970673"/>
      <w:r>
        <w:rPr>
          <w:rFonts w:hint="eastAsia" w:ascii="宋体" w:hAnsi="宋体"/>
          <w:bCs/>
          <w:color w:val="000000"/>
          <w:szCs w:val="21"/>
        </w:rPr>
        <w:t>7.2根据《政府采购促进中小企业发展管理办法》（财库</w:t>
      </w:r>
      <w:r>
        <w:rPr>
          <w:rFonts w:ascii="宋体" w:hAnsi="宋体"/>
          <w:bCs/>
          <w:color w:val="000000"/>
          <w:szCs w:val="21"/>
        </w:rPr>
        <w:t>〔</w:t>
      </w:r>
      <w:r>
        <w:rPr>
          <w:rFonts w:hint="eastAsia" w:ascii="宋体" w:hAnsi="宋体"/>
          <w:bCs/>
          <w:color w:val="000000"/>
          <w:szCs w:val="21"/>
        </w:rPr>
        <w:t>2020</w:t>
      </w:r>
      <w:r>
        <w:rPr>
          <w:rFonts w:ascii="宋体" w:hAnsi="宋体"/>
          <w:bCs/>
          <w:color w:val="000000"/>
          <w:szCs w:val="21"/>
        </w:rPr>
        <w:t>〕</w:t>
      </w:r>
      <w:r>
        <w:rPr>
          <w:rFonts w:hint="eastAsia" w:ascii="宋体" w:hAnsi="宋体"/>
          <w:bCs/>
          <w:color w:val="000000"/>
          <w:szCs w:val="21"/>
        </w:rPr>
        <w:t>46号）第九条</w:t>
      </w:r>
      <w:r>
        <w:rPr>
          <w:rFonts w:hint="eastAsia" w:ascii="宋体" w:hAnsi="宋体" w:cs="宋体"/>
          <w:szCs w:val="21"/>
        </w:rPr>
        <w:t>及《关于进一步加大政府采购支持中小企业力度的通知》（财库〔2022〕19号）第二条</w:t>
      </w:r>
      <w:r>
        <w:rPr>
          <w:rFonts w:hint="eastAsia" w:ascii="宋体" w:hAnsi="宋体"/>
          <w:bCs/>
          <w:color w:val="000000"/>
          <w:szCs w:val="21"/>
        </w:rPr>
        <w:t>规定，允许大中型企业向一家或者多家小微企业分包的采购项目，对于分包意向协议约定小微企业的合同份额占到合同总金额 30%以上的，采购人、采购代理机构应当对大中型企业的报价给予 4%-6%的扣除，用扣除后的价格参加评审。接受分包的小微企业与分包企业之间存在直接控股、管理关系的，不享受价格扣除优惠政策。</w:t>
      </w:r>
    </w:p>
    <w:p w14:paraId="4064E4E6">
      <w:pPr>
        <w:spacing w:line="360" w:lineRule="auto"/>
        <w:ind w:firstLine="480" w:firstLineChars="200"/>
        <w:rPr>
          <w:rFonts w:hint="eastAsia" w:ascii="黑体" w:hAnsi="黑体" w:eastAsia="黑体"/>
          <w:color w:val="000000"/>
          <w:sz w:val="24"/>
        </w:rPr>
      </w:pPr>
      <w:r>
        <w:rPr>
          <w:rFonts w:hint="eastAsia" w:ascii="黑体" w:hAnsi="黑体" w:eastAsia="黑体"/>
          <w:color w:val="000000"/>
          <w:sz w:val="24"/>
        </w:rPr>
        <w:t>8.特别说明：</w:t>
      </w:r>
      <w:bookmarkEnd w:id="93"/>
      <w:bookmarkEnd w:id="94"/>
      <w:bookmarkStart w:id="95" w:name="_8.1提供相同品牌产品且通过资格审查、符合性审查的不同投标人参加同一合"/>
      <w:bookmarkEnd w:id="95"/>
    </w:p>
    <w:p w14:paraId="2DE26902">
      <w:pPr>
        <w:spacing w:line="360" w:lineRule="auto"/>
        <w:ind w:firstLine="422" w:firstLineChars="200"/>
        <w:rPr>
          <w:rFonts w:hint="eastAsia" w:ascii="宋体" w:hAnsi="宋体"/>
          <w:b/>
          <w:color w:val="000000"/>
          <w:szCs w:val="21"/>
        </w:rPr>
      </w:pPr>
      <w:r>
        <w:rPr>
          <w:rFonts w:hint="eastAsia" w:ascii="宋体" w:hAnsi="宋体"/>
          <w:b/>
          <w:color w:val="000000"/>
          <w:szCs w:val="21"/>
        </w:rPr>
        <w:t>8.1如果本招标文件要求投标人提供资格、信誉、荣誉、业绩与企业认证等材料的，则投标人所提供的以上材料必须为投标人所拥有。</w:t>
      </w:r>
    </w:p>
    <w:p w14:paraId="1A63CBA8">
      <w:pPr>
        <w:spacing w:line="360" w:lineRule="auto"/>
        <w:ind w:firstLine="422" w:firstLineChars="200"/>
        <w:rPr>
          <w:rFonts w:hint="eastAsia" w:ascii="宋体" w:hAnsi="宋体"/>
          <w:b/>
          <w:color w:val="000000"/>
          <w:szCs w:val="21"/>
        </w:rPr>
      </w:pPr>
      <w:r>
        <w:rPr>
          <w:rFonts w:hint="eastAsia" w:ascii="宋体" w:hAnsi="宋体"/>
          <w:b/>
          <w:color w:val="000000"/>
          <w:szCs w:val="21"/>
        </w:rPr>
        <w:t>8.2投标人应仔细阅读招标文件的所有内容，按照招标文件的要求提交投标文件，并对所提供的全部资料的真实性承担法律责任。</w:t>
      </w:r>
    </w:p>
    <w:p w14:paraId="482ACFC7">
      <w:pPr>
        <w:spacing w:line="360" w:lineRule="auto"/>
        <w:ind w:firstLine="422" w:firstLineChars="200"/>
        <w:rPr>
          <w:rFonts w:hint="eastAsia" w:ascii="宋体" w:hAnsi="宋体"/>
          <w:b/>
          <w:color w:val="000000"/>
          <w:szCs w:val="21"/>
        </w:rPr>
      </w:pPr>
      <w:r>
        <w:rPr>
          <w:rFonts w:hint="eastAsia" w:ascii="宋体" w:hAnsi="宋体"/>
          <w:b/>
          <w:color w:val="000000"/>
          <w:szCs w:val="21"/>
        </w:rPr>
        <w:t>8.3投标人在投标活动中提供任何虚假材料，将报监管部门查处；中标后发现的，中标人须依照《中华人民共和国消费者权益保护法》规定赔偿采购人，且民事赔偿并不免除违法投标人的行政与刑事责任。</w:t>
      </w:r>
    </w:p>
    <w:p w14:paraId="2B81327B">
      <w:pPr>
        <w:spacing w:line="360" w:lineRule="auto"/>
        <w:ind w:firstLine="480" w:firstLineChars="200"/>
        <w:rPr>
          <w:rFonts w:hint="eastAsia" w:ascii="黑体" w:hAnsi="黑体" w:eastAsia="黑体"/>
          <w:color w:val="000000"/>
          <w:sz w:val="24"/>
        </w:rPr>
      </w:pPr>
      <w:r>
        <w:rPr>
          <w:rFonts w:hint="eastAsia" w:ascii="黑体" w:hAnsi="黑体" w:eastAsia="黑体"/>
          <w:color w:val="000000"/>
          <w:sz w:val="24"/>
        </w:rPr>
        <w:t>9.回避与串通投标</w:t>
      </w:r>
    </w:p>
    <w:p w14:paraId="69679F14">
      <w:pPr>
        <w:spacing w:line="360" w:lineRule="auto"/>
        <w:ind w:firstLine="422" w:firstLineChars="200"/>
        <w:rPr>
          <w:rFonts w:hint="eastAsia" w:ascii="宋体" w:hAnsi="宋体"/>
          <w:b/>
          <w:color w:val="000000"/>
          <w:szCs w:val="21"/>
        </w:rPr>
      </w:pPr>
      <w:r>
        <w:rPr>
          <w:rFonts w:hint="eastAsia" w:ascii="宋体" w:hAnsi="宋体"/>
          <w:b/>
          <w:color w:val="000000"/>
          <w:szCs w:val="21"/>
        </w:rPr>
        <w:t>9.1在政府采购活动中，采购人员及相关人员与供应商有下列利害关系之一的，应当回避：</w:t>
      </w:r>
    </w:p>
    <w:p w14:paraId="5185DA97">
      <w:pPr>
        <w:spacing w:line="360" w:lineRule="auto"/>
        <w:ind w:firstLine="420" w:firstLineChars="200"/>
        <w:rPr>
          <w:rFonts w:hint="eastAsia" w:hAnsi="宋体"/>
          <w:color w:val="000000"/>
        </w:rPr>
      </w:pPr>
      <w:r>
        <w:rPr>
          <w:rFonts w:hint="eastAsia" w:hAnsi="宋体"/>
          <w:color w:val="000000"/>
        </w:rPr>
        <w:t>（</w:t>
      </w:r>
      <w:r>
        <w:rPr>
          <w:rFonts w:hAnsi="宋体"/>
          <w:color w:val="000000"/>
        </w:rPr>
        <w:t>1</w:t>
      </w:r>
      <w:r>
        <w:rPr>
          <w:rFonts w:hint="eastAsia" w:hAnsi="宋体"/>
          <w:color w:val="000000"/>
        </w:rPr>
        <w:t>）参加采购活动前</w:t>
      </w:r>
      <w:r>
        <w:rPr>
          <w:rFonts w:hAnsi="宋体"/>
          <w:color w:val="000000"/>
        </w:rPr>
        <w:t>3</w:t>
      </w:r>
      <w:r>
        <w:rPr>
          <w:rFonts w:hint="eastAsia" w:hAnsi="宋体"/>
          <w:color w:val="000000"/>
        </w:rPr>
        <w:t>年内与供应商存在劳动关系；</w:t>
      </w:r>
    </w:p>
    <w:p w14:paraId="3CF24EFA">
      <w:pPr>
        <w:spacing w:line="360" w:lineRule="auto"/>
        <w:ind w:firstLine="420" w:firstLineChars="200"/>
        <w:rPr>
          <w:rFonts w:hAnsi="宋体"/>
          <w:color w:val="000000"/>
        </w:rPr>
      </w:pPr>
      <w:r>
        <w:rPr>
          <w:rFonts w:hint="eastAsia" w:hAnsi="宋体"/>
          <w:color w:val="000000"/>
        </w:rPr>
        <w:t>（</w:t>
      </w:r>
      <w:r>
        <w:rPr>
          <w:rFonts w:hAnsi="宋体"/>
          <w:color w:val="000000"/>
        </w:rPr>
        <w:t>2</w:t>
      </w:r>
      <w:r>
        <w:rPr>
          <w:rFonts w:hint="eastAsia" w:hAnsi="宋体"/>
          <w:color w:val="000000"/>
        </w:rPr>
        <w:t>）参加采购活动前</w:t>
      </w:r>
      <w:r>
        <w:rPr>
          <w:rFonts w:hAnsi="宋体"/>
          <w:color w:val="000000"/>
        </w:rPr>
        <w:t>3</w:t>
      </w:r>
      <w:r>
        <w:rPr>
          <w:rFonts w:hint="eastAsia" w:hAnsi="宋体"/>
          <w:color w:val="000000"/>
        </w:rPr>
        <w:t>年内担任供应商的董事、监事；</w:t>
      </w:r>
    </w:p>
    <w:p w14:paraId="5FF370E5">
      <w:pPr>
        <w:spacing w:line="360" w:lineRule="auto"/>
        <w:ind w:firstLine="420" w:firstLineChars="200"/>
        <w:rPr>
          <w:rFonts w:hAnsi="宋体"/>
          <w:color w:val="000000"/>
        </w:rPr>
      </w:pPr>
      <w:r>
        <w:rPr>
          <w:rFonts w:hint="eastAsia" w:hAnsi="宋体"/>
          <w:color w:val="000000"/>
        </w:rPr>
        <w:t>（</w:t>
      </w:r>
      <w:r>
        <w:rPr>
          <w:rFonts w:hAnsi="宋体"/>
          <w:color w:val="000000"/>
        </w:rPr>
        <w:t>3</w:t>
      </w:r>
      <w:r>
        <w:rPr>
          <w:rFonts w:hint="eastAsia" w:hAnsi="宋体"/>
          <w:color w:val="000000"/>
        </w:rPr>
        <w:t>）参加采购活动前</w:t>
      </w:r>
      <w:r>
        <w:rPr>
          <w:rFonts w:hAnsi="宋体"/>
          <w:color w:val="000000"/>
        </w:rPr>
        <w:t>3</w:t>
      </w:r>
      <w:r>
        <w:rPr>
          <w:rFonts w:hint="eastAsia" w:hAnsi="宋体"/>
          <w:color w:val="000000"/>
        </w:rPr>
        <w:t>年内是供应商的控股股东或者实际控制人；</w:t>
      </w:r>
    </w:p>
    <w:p w14:paraId="1BAFE196">
      <w:pPr>
        <w:spacing w:line="360" w:lineRule="auto"/>
        <w:ind w:firstLine="420" w:firstLineChars="200"/>
        <w:rPr>
          <w:rFonts w:hAnsi="宋体"/>
          <w:color w:val="000000"/>
        </w:rPr>
      </w:pPr>
      <w:r>
        <w:rPr>
          <w:rFonts w:hint="eastAsia" w:hAnsi="宋体"/>
          <w:color w:val="000000"/>
        </w:rPr>
        <w:t>（</w:t>
      </w:r>
      <w:r>
        <w:rPr>
          <w:rFonts w:hAnsi="宋体"/>
          <w:color w:val="000000"/>
        </w:rPr>
        <w:t>4</w:t>
      </w:r>
      <w:r>
        <w:rPr>
          <w:rFonts w:hint="eastAsia" w:hAnsi="宋体"/>
          <w:color w:val="000000"/>
        </w:rPr>
        <w:t>）与供应商的法定代表人或者负责人有夫妻、直系血亲、三代以内旁系血亲或者近姻亲关系；</w:t>
      </w:r>
    </w:p>
    <w:p w14:paraId="2200B889">
      <w:pPr>
        <w:spacing w:line="360" w:lineRule="auto"/>
        <w:ind w:firstLine="420" w:firstLineChars="200"/>
        <w:rPr>
          <w:rFonts w:hAnsi="宋体"/>
          <w:color w:val="000000"/>
        </w:rPr>
      </w:pPr>
      <w:r>
        <w:rPr>
          <w:rFonts w:hint="eastAsia" w:hAnsi="宋体"/>
          <w:color w:val="000000"/>
        </w:rPr>
        <w:t>（</w:t>
      </w:r>
      <w:r>
        <w:rPr>
          <w:rFonts w:hAnsi="宋体"/>
          <w:color w:val="000000"/>
        </w:rPr>
        <w:t>5</w:t>
      </w:r>
      <w:r>
        <w:rPr>
          <w:rFonts w:hint="eastAsia" w:hAnsi="宋体"/>
          <w:color w:val="000000"/>
        </w:rPr>
        <w:t>）与供应商有其他可能影响政府采购活动公平、公正进行的关系。</w:t>
      </w:r>
    </w:p>
    <w:p w14:paraId="4E1FEB8D">
      <w:pPr>
        <w:spacing w:line="360" w:lineRule="auto"/>
        <w:ind w:firstLine="420" w:firstLineChars="200"/>
        <w:rPr>
          <w:rFonts w:hAnsi="宋体"/>
          <w:color w:val="000000"/>
        </w:rPr>
      </w:pPr>
      <w:r>
        <w:rPr>
          <w:rFonts w:hint="eastAsia" w:hAnsi="宋体"/>
          <w:color w:val="000000"/>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65493EA7">
      <w:pPr>
        <w:spacing w:line="360" w:lineRule="auto"/>
        <w:ind w:firstLine="420" w:firstLineChars="200"/>
        <w:rPr>
          <w:rFonts w:ascii="宋体" w:hAnsi="宋体"/>
          <w:color w:val="000000"/>
          <w:szCs w:val="21"/>
        </w:rPr>
      </w:pPr>
      <w:r>
        <w:rPr>
          <w:rFonts w:hint="eastAsia" w:ascii="宋体" w:hAnsi="宋体"/>
          <w:color w:val="000000"/>
          <w:szCs w:val="21"/>
        </w:rPr>
        <w:t>9.2有下列情形之一的视为投标人相互串通投标，投标文件将被视为无效：</w:t>
      </w:r>
    </w:p>
    <w:p w14:paraId="35B51464">
      <w:pPr>
        <w:spacing w:line="360" w:lineRule="auto"/>
        <w:ind w:firstLine="422" w:firstLineChars="200"/>
        <w:rPr>
          <w:rFonts w:hint="eastAsia" w:hAnsi="宋体"/>
          <w:b/>
          <w:color w:val="000000"/>
        </w:rPr>
      </w:pPr>
      <w:r>
        <w:rPr>
          <w:rFonts w:hint="eastAsia" w:hAnsi="宋体"/>
          <w:b/>
          <w:color w:val="000000"/>
        </w:rPr>
        <w:t>（</w:t>
      </w:r>
      <w:r>
        <w:rPr>
          <w:rFonts w:hAnsi="宋体"/>
          <w:b/>
          <w:color w:val="000000"/>
        </w:rPr>
        <w:t>1</w:t>
      </w:r>
      <w:r>
        <w:rPr>
          <w:rFonts w:hint="eastAsia" w:hAnsi="宋体"/>
          <w:b/>
          <w:color w:val="000000"/>
        </w:rPr>
        <w:t>）不同投标人的投标文件由同一单位或者个人编制；或者不同投标人报名的</w:t>
      </w:r>
      <w:r>
        <w:rPr>
          <w:rFonts w:hAnsi="宋体"/>
          <w:b/>
          <w:color w:val="000000"/>
        </w:rPr>
        <w:t>IP</w:t>
      </w:r>
      <w:r>
        <w:rPr>
          <w:rFonts w:hint="eastAsia" w:hAnsi="宋体"/>
          <w:b/>
          <w:color w:val="000000"/>
        </w:rPr>
        <w:t>地址一致的；或者编制标书硬件设备</w:t>
      </w:r>
      <w:r>
        <w:rPr>
          <w:rFonts w:hAnsi="宋体"/>
          <w:b/>
          <w:color w:val="000000"/>
        </w:rPr>
        <w:t>CPU</w:t>
      </w:r>
      <w:r>
        <w:rPr>
          <w:rFonts w:hint="eastAsia" w:hAnsi="宋体"/>
          <w:b/>
          <w:color w:val="000000"/>
        </w:rPr>
        <w:t>编号、硬盘编号、网卡地址一致的情况。</w:t>
      </w:r>
    </w:p>
    <w:p w14:paraId="45CB10B9">
      <w:pPr>
        <w:spacing w:line="360" w:lineRule="auto"/>
        <w:ind w:firstLine="422" w:firstLineChars="200"/>
        <w:rPr>
          <w:rFonts w:hAnsi="宋体"/>
          <w:b/>
          <w:color w:val="000000"/>
        </w:rPr>
      </w:pPr>
      <w:r>
        <w:rPr>
          <w:rFonts w:hint="eastAsia" w:hAnsi="宋体"/>
          <w:b/>
          <w:color w:val="000000"/>
        </w:rPr>
        <w:t>（</w:t>
      </w:r>
      <w:r>
        <w:rPr>
          <w:rFonts w:hAnsi="宋体"/>
          <w:b/>
          <w:color w:val="000000"/>
        </w:rPr>
        <w:t>2</w:t>
      </w:r>
      <w:r>
        <w:rPr>
          <w:rFonts w:hint="eastAsia" w:hAnsi="宋体"/>
          <w:b/>
          <w:color w:val="000000"/>
        </w:rPr>
        <w:t>）不同投标人委托同一单位或者个人办理投标事宜；</w:t>
      </w:r>
    </w:p>
    <w:p w14:paraId="247C72B1">
      <w:pPr>
        <w:spacing w:line="360" w:lineRule="auto"/>
        <w:ind w:firstLine="422" w:firstLineChars="200"/>
        <w:rPr>
          <w:rFonts w:hAnsi="宋体"/>
          <w:b/>
          <w:color w:val="000000"/>
        </w:rPr>
      </w:pPr>
      <w:r>
        <w:rPr>
          <w:rFonts w:hint="eastAsia" w:hAnsi="宋体"/>
          <w:b/>
          <w:color w:val="000000"/>
        </w:rPr>
        <w:t>（</w:t>
      </w:r>
      <w:r>
        <w:rPr>
          <w:rFonts w:hAnsi="宋体"/>
          <w:b/>
          <w:color w:val="000000"/>
        </w:rPr>
        <w:t>3</w:t>
      </w:r>
      <w:r>
        <w:rPr>
          <w:rFonts w:hint="eastAsia" w:hAnsi="宋体"/>
          <w:b/>
          <w:color w:val="000000"/>
        </w:rPr>
        <w:t>）不同的投标人的投标文件载明的项目管理员为同一个人；</w:t>
      </w:r>
    </w:p>
    <w:p w14:paraId="653627A7">
      <w:pPr>
        <w:spacing w:line="360" w:lineRule="auto"/>
        <w:ind w:firstLine="422" w:firstLineChars="200"/>
        <w:rPr>
          <w:rFonts w:hAnsi="宋体"/>
          <w:b/>
          <w:color w:val="000000"/>
        </w:rPr>
      </w:pPr>
      <w:r>
        <w:rPr>
          <w:rFonts w:hint="eastAsia" w:hAnsi="宋体"/>
          <w:b/>
          <w:color w:val="000000"/>
        </w:rPr>
        <w:t>（</w:t>
      </w:r>
      <w:r>
        <w:rPr>
          <w:rFonts w:hAnsi="宋体"/>
          <w:b/>
          <w:color w:val="000000"/>
        </w:rPr>
        <w:t>4</w:t>
      </w:r>
      <w:r>
        <w:rPr>
          <w:rFonts w:hint="eastAsia" w:hAnsi="宋体"/>
          <w:b/>
          <w:color w:val="000000"/>
        </w:rPr>
        <w:t>）不同投标人的电子或纸质投标文件异常一致或者投标报价呈规律性差异；</w:t>
      </w:r>
    </w:p>
    <w:p w14:paraId="15D6E4D3">
      <w:pPr>
        <w:spacing w:line="360" w:lineRule="auto"/>
        <w:ind w:firstLine="422" w:firstLineChars="200"/>
        <w:rPr>
          <w:rFonts w:hAnsi="宋体"/>
          <w:b/>
          <w:color w:val="000000"/>
        </w:rPr>
      </w:pPr>
      <w:r>
        <w:rPr>
          <w:rFonts w:hint="eastAsia" w:hAnsi="宋体"/>
          <w:b/>
          <w:color w:val="000000"/>
        </w:rPr>
        <w:t>（</w:t>
      </w:r>
      <w:r>
        <w:rPr>
          <w:rFonts w:hAnsi="宋体"/>
          <w:b/>
          <w:color w:val="000000"/>
        </w:rPr>
        <w:t>5</w:t>
      </w:r>
      <w:r>
        <w:rPr>
          <w:rFonts w:hint="eastAsia" w:hAnsi="宋体"/>
          <w:b/>
          <w:color w:val="000000"/>
        </w:rPr>
        <w:t>）不同投标人的纸质投标文件相互混装；</w:t>
      </w:r>
    </w:p>
    <w:p w14:paraId="5D08C8DE">
      <w:pPr>
        <w:spacing w:line="360" w:lineRule="auto"/>
        <w:ind w:firstLine="420" w:firstLineChars="200"/>
        <w:rPr>
          <w:rFonts w:ascii="宋体" w:hAnsi="宋体"/>
          <w:color w:val="000000"/>
          <w:szCs w:val="21"/>
        </w:rPr>
      </w:pPr>
      <w:r>
        <w:rPr>
          <w:rFonts w:hint="eastAsia" w:ascii="宋体" w:hAnsi="宋体"/>
          <w:color w:val="000000"/>
          <w:szCs w:val="21"/>
        </w:rPr>
        <w:t>9.3供应商有下列情形之一的，属于恶意串通行为，将报同级监督管理部门：</w:t>
      </w:r>
    </w:p>
    <w:p w14:paraId="62B6C0B2">
      <w:pPr>
        <w:spacing w:line="360" w:lineRule="auto"/>
        <w:ind w:firstLine="420" w:firstLineChars="200"/>
        <w:rPr>
          <w:rFonts w:hint="eastAsia" w:hAnsi="宋体"/>
          <w:color w:val="000000"/>
        </w:rPr>
      </w:pPr>
      <w:r>
        <w:rPr>
          <w:rFonts w:hint="eastAsia" w:hAnsi="宋体"/>
          <w:color w:val="000000"/>
        </w:rPr>
        <w:t>（</w:t>
      </w:r>
      <w:r>
        <w:rPr>
          <w:rFonts w:hAnsi="宋体"/>
          <w:color w:val="000000"/>
        </w:rPr>
        <w:t>1</w:t>
      </w:r>
      <w:r>
        <w:rPr>
          <w:rFonts w:hint="eastAsia" w:hAnsi="宋体"/>
          <w:color w:val="000000"/>
        </w:rPr>
        <w:t>）供应商直接或者间接从采购人或者采购代理机构处获得其他供应商的相关信息并修改其投标文件或者投标文件；</w:t>
      </w:r>
    </w:p>
    <w:p w14:paraId="2E364437">
      <w:pPr>
        <w:spacing w:line="360" w:lineRule="auto"/>
        <w:ind w:firstLine="420" w:firstLineChars="200"/>
        <w:rPr>
          <w:rFonts w:hAnsi="宋体"/>
          <w:color w:val="000000"/>
        </w:rPr>
      </w:pPr>
      <w:r>
        <w:rPr>
          <w:rFonts w:hint="eastAsia" w:hAnsi="宋体"/>
          <w:color w:val="000000"/>
        </w:rPr>
        <w:t>（</w:t>
      </w:r>
      <w:r>
        <w:rPr>
          <w:rFonts w:hAnsi="宋体"/>
          <w:color w:val="000000"/>
        </w:rPr>
        <w:t>2</w:t>
      </w:r>
      <w:r>
        <w:rPr>
          <w:rFonts w:hint="eastAsia" w:hAnsi="宋体"/>
          <w:color w:val="000000"/>
        </w:rPr>
        <w:t>）供应商按照采购人或者采购代理机构的授意撤换、修改投标文件或者投标文件；</w:t>
      </w:r>
    </w:p>
    <w:p w14:paraId="7FF80DE4">
      <w:pPr>
        <w:spacing w:line="360" w:lineRule="auto"/>
        <w:ind w:firstLine="420" w:firstLineChars="200"/>
        <w:rPr>
          <w:rFonts w:hAnsi="宋体"/>
          <w:color w:val="000000"/>
        </w:rPr>
      </w:pPr>
      <w:r>
        <w:rPr>
          <w:rFonts w:hint="eastAsia" w:hAnsi="宋体"/>
          <w:color w:val="000000"/>
        </w:rPr>
        <w:t>（</w:t>
      </w:r>
      <w:r>
        <w:rPr>
          <w:rFonts w:hAnsi="宋体"/>
          <w:color w:val="000000"/>
        </w:rPr>
        <w:t>3</w:t>
      </w:r>
      <w:r>
        <w:rPr>
          <w:rFonts w:hint="eastAsia" w:hAnsi="宋体"/>
          <w:color w:val="000000"/>
        </w:rPr>
        <w:t>）供应商之间协商报价、技术方案等投标文件或者投标文件的实质性内容；</w:t>
      </w:r>
    </w:p>
    <w:p w14:paraId="6EED52C9">
      <w:pPr>
        <w:spacing w:line="360" w:lineRule="auto"/>
        <w:ind w:firstLine="420" w:firstLineChars="200"/>
        <w:rPr>
          <w:rFonts w:hAnsi="宋体"/>
          <w:color w:val="000000"/>
        </w:rPr>
      </w:pPr>
      <w:r>
        <w:rPr>
          <w:rFonts w:hint="eastAsia" w:hAnsi="宋体"/>
          <w:color w:val="000000"/>
        </w:rPr>
        <w:t>（</w:t>
      </w:r>
      <w:r>
        <w:rPr>
          <w:rFonts w:hAnsi="宋体"/>
          <w:color w:val="000000"/>
        </w:rPr>
        <w:t>4</w:t>
      </w:r>
      <w:r>
        <w:rPr>
          <w:rFonts w:hint="eastAsia" w:hAnsi="宋体"/>
          <w:color w:val="000000"/>
        </w:rPr>
        <w:t>）属于同一集团、协会、商会等组织成员的供应商按照该组织要求协同参加政府采购活动；</w:t>
      </w:r>
    </w:p>
    <w:p w14:paraId="50BC3D86">
      <w:pPr>
        <w:spacing w:line="360" w:lineRule="auto"/>
        <w:ind w:firstLine="420" w:firstLineChars="200"/>
        <w:rPr>
          <w:rFonts w:hAnsi="宋体"/>
          <w:color w:val="000000"/>
        </w:rPr>
      </w:pPr>
      <w:r>
        <w:rPr>
          <w:rFonts w:hint="eastAsia" w:hAnsi="宋体"/>
          <w:color w:val="000000"/>
        </w:rPr>
        <w:t>（</w:t>
      </w:r>
      <w:r>
        <w:rPr>
          <w:rFonts w:hAnsi="宋体"/>
          <w:color w:val="000000"/>
        </w:rPr>
        <w:t>5</w:t>
      </w:r>
      <w:r>
        <w:rPr>
          <w:rFonts w:hint="eastAsia" w:hAnsi="宋体"/>
          <w:color w:val="000000"/>
        </w:rPr>
        <w:t>）供应商之间事先约定一致抬高或者压低投标报价，或者在招标项目中事先约定轮流以高价位或者低价位中标，或者事先约定由某一特定供应商中标，然后再参加投标；</w:t>
      </w:r>
    </w:p>
    <w:p w14:paraId="5BFAB6A5">
      <w:pPr>
        <w:spacing w:line="360" w:lineRule="auto"/>
        <w:ind w:firstLine="420" w:firstLineChars="200"/>
        <w:rPr>
          <w:rFonts w:hAnsi="宋体"/>
          <w:color w:val="000000"/>
        </w:rPr>
      </w:pPr>
      <w:r>
        <w:rPr>
          <w:rFonts w:hint="eastAsia" w:hAnsi="宋体"/>
          <w:color w:val="000000"/>
        </w:rPr>
        <w:t>（</w:t>
      </w:r>
      <w:r>
        <w:rPr>
          <w:rFonts w:hAnsi="宋体"/>
          <w:color w:val="000000"/>
        </w:rPr>
        <w:t>6</w:t>
      </w:r>
      <w:r>
        <w:rPr>
          <w:rFonts w:hint="eastAsia" w:hAnsi="宋体"/>
          <w:color w:val="000000"/>
        </w:rPr>
        <w:t>）供应商之间商定部分供应商放弃参加政府采购活动或者放弃中标；</w:t>
      </w:r>
    </w:p>
    <w:p w14:paraId="2E857EEA">
      <w:pPr>
        <w:spacing w:line="360" w:lineRule="auto"/>
        <w:ind w:firstLine="420" w:firstLineChars="200"/>
        <w:rPr>
          <w:rFonts w:hAnsi="宋体"/>
          <w:color w:val="000000"/>
        </w:rPr>
      </w:pPr>
      <w:r>
        <w:rPr>
          <w:rFonts w:hint="eastAsia" w:hAnsi="宋体"/>
          <w:color w:val="000000"/>
        </w:rPr>
        <w:t>（</w:t>
      </w:r>
      <w:r>
        <w:rPr>
          <w:rFonts w:hAnsi="宋体"/>
          <w:color w:val="000000"/>
        </w:rPr>
        <w:t>7</w:t>
      </w:r>
      <w:r>
        <w:rPr>
          <w:rFonts w:hint="eastAsia" w:hAnsi="宋体"/>
          <w:color w:val="000000"/>
        </w:rPr>
        <w:t>）供应商与采购人或者采购代理机构之间、供应商相互之间，为谋求特定供应商中标或者排斥其他供应商的其他串通行为。</w:t>
      </w:r>
    </w:p>
    <w:p w14:paraId="6CA7E009">
      <w:pPr>
        <w:pStyle w:val="11"/>
        <w:snapToGrid w:val="0"/>
        <w:spacing w:line="360" w:lineRule="auto"/>
        <w:ind w:left="2" w:leftChars="1" w:firstLine="422" w:firstLineChars="200"/>
        <w:rPr>
          <w:rFonts w:hAnsi="宋体"/>
          <w:b/>
          <w:color w:val="000000"/>
        </w:rPr>
      </w:pPr>
    </w:p>
    <w:p w14:paraId="15733400">
      <w:pPr>
        <w:pStyle w:val="4"/>
        <w:keepNext w:val="0"/>
        <w:keepLines w:val="0"/>
        <w:spacing w:line="400" w:lineRule="exact"/>
        <w:jc w:val="center"/>
        <w:rPr>
          <w:rFonts w:hint="eastAsia"/>
          <w:color w:val="000000"/>
        </w:rPr>
      </w:pPr>
      <w:bookmarkStart w:id="96" w:name="_Toc211960301"/>
      <w:bookmarkStart w:id="97" w:name="_Toc254970675"/>
      <w:bookmarkStart w:id="98" w:name="_Toc254970534"/>
      <w:r>
        <w:rPr>
          <w:rFonts w:hint="eastAsia"/>
          <w:color w:val="000000"/>
        </w:rPr>
        <w:t>二、招标文件</w:t>
      </w:r>
      <w:bookmarkEnd w:id="96"/>
      <w:bookmarkEnd w:id="97"/>
      <w:bookmarkEnd w:id="98"/>
    </w:p>
    <w:p w14:paraId="50474A3D">
      <w:pPr>
        <w:spacing w:line="360" w:lineRule="auto"/>
        <w:ind w:firstLine="480" w:firstLineChars="200"/>
        <w:rPr>
          <w:rFonts w:ascii="黑体" w:hAnsi="黑体" w:eastAsia="黑体"/>
          <w:color w:val="000000"/>
          <w:sz w:val="24"/>
        </w:rPr>
      </w:pPr>
      <w:r>
        <w:rPr>
          <w:rFonts w:hint="eastAsia" w:ascii="黑体" w:hAnsi="黑体" w:eastAsia="黑体"/>
          <w:color w:val="000000"/>
          <w:sz w:val="24"/>
        </w:rPr>
        <w:t>10.招标文件的组成</w:t>
      </w:r>
    </w:p>
    <w:p w14:paraId="3270E03A">
      <w:pPr>
        <w:spacing w:line="360" w:lineRule="auto"/>
        <w:ind w:firstLine="420" w:firstLineChars="200"/>
        <w:rPr>
          <w:rFonts w:hint="eastAsia" w:ascii="宋体" w:hAnsi="宋体"/>
          <w:color w:val="000000"/>
          <w:szCs w:val="21"/>
        </w:rPr>
      </w:pPr>
      <w:r>
        <w:rPr>
          <w:rFonts w:hint="eastAsia" w:ascii="宋体" w:hAnsi="宋体"/>
          <w:color w:val="000000"/>
          <w:szCs w:val="21"/>
        </w:rPr>
        <w:t>第一章 招标公告；</w:t>
      </w:r>
    </w:p>
    <w:p w14:paraId="240E3C19">
      <w:pPr>
        <w:spacing w:line="360" w:lineRule="auto"/>
        <w:ind w:firstLine="420" w:firstLineChars="200"/>
        <w:rPr>
          <w:rFonts w:hint="eastAsia" w:ascii="宋体" w:hAnsi="宋体"/>
          <w:color w:val="000000"/>
          <w:szCs w:val="21"/>
        </w:rPr>
      </w:pPr>
      <w:r>
        <w:rPr>
          <w:rFonts w:hint="eastAsia" w:ascii="宋体" w:hAnsi="宋体"/>
          <w:color w:val="000000"/>
          <w:szCs w:val="21"/>
        </w:rPr>
        <w:t xml:space="preserve">第二章 采购需求； </w:t>
      </w:r>
    </w:p>
    <w:p w14:paraId="23E240E0">
      <w:pPr>
        <w:spacing w:line="360" w:lineRule="auto"/>
        <w:ind w:firstLine="420" w:firstLineChars="200"/>
        <w:rPr>
          <w:rFonts w:hint="eastAsia" w:ascii="宋体" w:hAnsi="宋体"/>
          <w:color w:val="000000"/>
          <w:szCs w:val="21"/>
        </w:rPr>
      </w:pPr>
      <w:r>
        <w:rPr>
          <w:rFonts w:hint="eastAsia" w:ascii="宋体" w:hAnsi="宋体"/>
          <w:color w:val="000000"/>
          <w:szCs w:val="21"/>
        </w:rPr>
        <w:t>第三章 投标人须知；</w:t>
      </w:r>
    </w:p>
    <w:p w14:paraId="5C690724">
      <w:pPr>
        <w:spacing w:line="360" w:lineRule="auto"/>
        <w:ind w:firstLine="420" w:firstLineChars="200"/>
        <w:rPr>
          <w:rFonts w:hint="eastAsia" w:ascii="宋体" w:hAnsi="宋体"/>
          <w:color w:val="000000"/>
          <w:szCs w:val="21"/>
        </w:rPr>
      </w:pPr>
      <w:r>
        <w:rPr>
          <w:rFonts w:hint="eastAsia" w:ascii="宋体" w:hAnsi="宋体"/>
          <w:color w:val="000000"/>
          <w:szCs w:val="21"/>
        </w:rPr>
        <w:t>第四章 评标方法及评标标准；</w:t>
      </w:r>
    </w:p>
    <w:p w14:paraId="42D1AC87">
      <w:pPr>
        <w:spacing w:line="360" w:lineRule="auto"/>
        <w:ind w:firstLine="420" w:firstLineChars="200"/>
        <w:rPr>
          <w:rFonts w:hint="eastAsia" w:ascii="宋体" w:hAnsi="宋体"/>
          <w:color w:val="000000"/>
          <w:szCs w:val="21"/>
        </w:rPr>
      </w:pPr>
      <w:r>
        <w:rPr>
          <w:rFonts w:hint="eastAsia" w:ascii="宋体" w:hAnsi="宋体"/>
          <w:color w:val="000000"/>
          <w:szCs w:val="21"/>
        </w:rPr>
        <w:t>第五章 拟签订的合同文本；</w:t>
      </w:r>
    </w:p>
    <w:p w14:paraId="1C70DB51">
      <w:pPr>
        <w:spacing w:line="360" w:lineRule="auto"/>
        <w:ind w:firstLine="420" w:firstLineChars="200"/>
        <w:rPr>
          <w:rFonts w:hint="eastAsia" w:ascii="宋体" w:hAnsi="宋体"/>
          <w:color w:val="000000"/>
          <w:szCs w:val="21"/>
        </w:rPr>
      </w:pPr>
      <w:r>
        <w:rPr>
          <w:rFonts w:hint="eastAsia" w:ascii="宋体" w:hAnsi="宋体"/>
          <w:color w:val="000000"/>
          <w:szCs w:val="21"/>
        </w:rPr>
        <w:t>第六章 投标文件格式；</w:t>
      </w:r>
    </w:p>
    <w:p w14:paraId="3C699DCA">
      <w:pPr>
        <w:spacing w:line="360" w:lineRule="auto"/>
        <w:ind w:firstLine="420" w:firstLineChars="200"/>
        <w:rPr>
          <w:rFonts w:hint="eastAsia" w:ascii="宋体" w:hAnsi="宋体"/>
          <w:color w:val="000000"/>
          <w:szCs w:val="21"/>
        </w:rPr>
      </w:pPr>
      <w:r>
        <w:rPr>
          <w:rFonts w:hint="eastAsia" w:ascii="宋体" w:hAnsi="宋体"/>
          <w:color w:val="000000"/>
          <w:szCs w:val="21"/>
        </w:rPr>
        <w:t>第七章 质疑、投诉材料格式</w:t>
      </w:r>
    </w:p>
    <w:p w14:paraId="66504261">
      <w:pPr>
        <w:spacing w:line="360" w:lineRule="auto"/>
        <w:ind w:firstLine="420" w:firstLineChars="200"/>
        <w:rPr>
          <w:rFonts w:hint="eastAsia" w:hAnsi="宋体"/>
        </w:rPr>
      </w:pPr>
      <w:r>
        <w:rPr>
          <w:rFonts w:hint="eastAsia" w:hAnsi="宋体"/>
        </w:rPr>
        <w:t>根据本章第</w:t>
      </w:r>
      <w:r>
        <w:rPr>
          <w:rFonts w:hAnsi="宋体"/>
        </w:rPr>
        <w:t>11.1</w:t>
      </w:r>
      <w:r>
        <w:rPr>
          <w:rFonts w:hint="eastAsia" w:hAnsi="宋体"/>
        </w:rPr>
        <w:t>项的规定对公开招标文件所做的澄清、修改，构成招标文件的组成部分。当公开招标文件与招标文件的澄清和修改就同一内容的表述不一致时，</w:t>
      </w:r>
      <w:r>
        <w:rPr>
          <w:rFonts w:hint="eastAsia"/>
        </w:rPr>
        <w:t>以最后澄清或修改公告为准。</w:t>
      </w:r>
    </w:p>
    <w:p w14:paraId="5C9E41E8">
      <w:pPr>
        <w:spacing w:line="360" w:lineRule="auto"/>
        <w:ind w:firstLine="480" w:firstLineChars="200"/>
        <w:rPr>
          <w:rFonts w:ascii="黑体" w:hAnsi="黑体" w:eastAsia="黑体"/>
          <w:color w:val="000000"/>
          <w:sz w:val="24"/>
        </w:rPr>
      </w:pPr>
      <w:r>
        <w:rPr>
          <w:rFonts w:hint="eastAsia" w:ascii="黑体" w:hAnsi="黑体" w:eastAsia="黑体"/>
          <w:color w:val="000000"/>
          <w:sz w:val="24"/>
        </w:rPr>
        <w:t>11.招标文件的澄清、修改 、现场考察和答疑会</w:t>
      </w:r>
    </w:p>
    <w:p w14:paraId="3EC242D9">
      <w:pPr>
        <w:spacing w:line="360" w:lineRule="auto"/>
        <w:ind w:firstLine="422" w:firstLineChars="200"/>
        <w:rPr>
          <w:rFonts w:hint="eastAsia" w:ascii="宋体" w:hAnsi="宋体"/>
          <w:b/>
          <w:color w:val="000000"/>
          <w:szCs w:val="21"/>
        </w:rPr>
      </w:pPr>
      <w:r>
        <w:rPr>
          <w:rFonts w:hint="eastAsia" w:ascii="宋体" w:hAnsi="宋体"/>
          <w:b/>
          <w:color w:val="000000"/>
          <w:szCs w:val="21"/>
        </w:rPr>
        <w:t xml:space="preserve"> 11.1采购人或者采购代理机构可以对已发出的招标文件进行必要的澄清或者修改，但不得改变采购标的和资格条件。澄清或者修改应当在原公告发布媒体上发布澄清公告。澄清或者修改的内容为招标文件的组成部分。</w:t>
      </w:r>
    </w:p>
    <w:p w14:paraId="66863ECE">
      <w:pPr>
        <w:spacing w:line="360" w:lineRule="auto"/>
        <w:ind w:firstLine="420" w:firstLineChars="200"/>
        <w:rPr>
          <w:rFonts w:hint="eastAsia" w:hAnsi="宋体"/>
        </w:rPr>
      </w:pPr>
      <w:r>
        <w:rPr>
          <w:rFonts w:hAnsi="宋体"/>
        </w:rPr>
        <w:t xml:space="preserve">11.2 </w:t>
      </w:r>
      <w:r>
        <w:rPr>
          <w:rFonts w:hint="eastAsia" w:hAnsi="宋体"/>
        </w:rPr>
        <w:t>投标人应认真审阅本公开招标文件，如有疑问，或发现其中有误或有要求不合理的，应在投标人须知前附表规定的</w:t>
      </w:r>
      <w:r>
        <w:rPr>
          <w:rFonts w:hint="eastAsia" w:cs="宋体"/>
          <w:kern w:val="0"/>
          <w:szCs w:val="21"/>
        </w:rPr>
        <w:t>投标截止时间</w:t>
      </w:r>
      <w:r>
        <w:rPr>
          <w:rFonts w:hint="eastAsia" w:hAnsi="宋体"/>
        </w:rPr>
        <w:t>前以书面形式要求采购人或采购代理机构对招标文件予以澄清；否则，由此产生的后果由投标人自行负责。</w:t>
      </w:r>
    </w:p>
    <w:p w14:paraId="4185229C">
      <w:pPr>
        <w:spacing w:line="360" w:lineRule="auto"/>
        <w:ind w:firstLine="420" w:firstLineChars="200"/>
      </w:pPr>
      <w:r>
        <w:rPr>
          <w:rFonts w:hAnsi="宋体"/>
        </w:rPr>
        <w:t xml:space="preserve">11.3 </w:t>
      </w:r>
      <w:r>
        <w:rPr>
          <w:rFonts w:hint="eastAsia" w:hAnsi="宋体"/>
        </w:rPr>
        <w:t>采购人或者采购代理机构可以对已发出的招标文件进行必要的澄清或者修改。澄清或者修改的内容可能影响投标文件编制的，采购人或者采购代理机构应当在投标截止时间至少</w:t>
      </w:r>
      <w:r>
        <w:rPr>
          <w:rFonts w:hAnsi="宋体"/>
        </w:rPr>
        <w:t>15</w:t>
      </w:r>
      <w:r>
        <w:rPr>
          <w:rFonts w:hint="eastAsia" w:hAnsi="宋体"/>
        </w:rPr>
        <w:t>日前，以书面形式通知</w:t>
      </w:r>
      <w:r>
        <w:rPr>
          <w:rFonts w:hAnsi="宋体"/>
        </w:rPr>
        <w:t>(</w:t>
      </w:r>
      <w:r>
        <w:rPr>
          <w:rFonts w:hint="eastAsia" w:hAnsi="宋体"/>
        </w:rPr>
        <w:t>在“</w:t>
      </w:r>
      <w:r>
        <w:rPr>
          <w:rFonts w:hint="eastAsia" w:hAnsi="宋体"/>
          <w:szCs w:val="21"/>
        </w:rPr>
        <w:t>投标人须知前附表”</w:t>
      </w:r>
      <w:r>
        <w:rPr>
          <w:rFonts w:hint="eastAsia" w:hAnsi="宋体"/>
        </w:rPr>
        <w:t>规定的政府采购信息发布媒体上发布更正公告及平台短信通知</w:t>
      </w:r>
      <w:r>
        <w:rPr>
          <w:rFonts w:hAnsi="宋体"/>
        </w:rPr>
        <w:t>)</w:t>
      </w:r>
      <w:r>
        <w:rPr>
          <w:rFonts w:hint="eastAsia" w:hAnsi="宋体"/>
        </w:rPr>
        <w:t>所有获取招标文件的潜在投标人；不足</w:t>
      </w:r>
      <w:r>
        <w:rPr>
          <w:rFonts w:hAnsi="宋体"/>
        </w:rPr>
        <w:t>15</w:t>
      </w:r>
      <w:r>
        <w:rPr>
          <w:rFonts w:hint="eastAsia" w:hAnsi="宋体"/>
        </w:rPr>
        <w:t>日的，采购人或者采购代理机构应当顺延提交投标文件的截止时间。发出的澄清或者修改不影响投标文件编制的也应在截标前</w:t>
      </w:r>
      <w:r>
        <w:rPr>
          <w:rFonts w:hAnsi="宋体"/>
        </w:rPr>
        <w:t>3</w:t>
      </w:r>
      <w:r>
        <w:rPr>
          <w:rFonts w:hint="eastAsia" w:hAnsi="宋体"/>
        </w:rPr>
        <w:t>日发出。</w:t>
      </w:r>
    </w:p>
    <w:p w14:paraId="2AD0373F">
      <w:pPr>
        <w:spacing w:line="360" w:lineRule="auto"/>
        <w:ind w:firstLine="420" w:firstLineChars="200"/>
      </w:pPr>
      <w:r>
        <w:rPr>
          <w:rFonts w:hAnsi="宋体"/>
        </w:rPr>
        <w:t xml:space="preserve">11.4 </w:t>
      </w:r>
      <w:r>
        <w:rPr>
          <w:rFonts w:hint="eastAsia"/>
        </w:rPr>
        <w:t>采购人和采购代理机构可以视采购具体情况，变更投标截止时间和开标时间，将变更时间在</w:t>
      </w:r>
      <w:r>
        <w:rPr>
          <w:rFonts w:hint="eastAsia" w:hAnsi="宋体"/>
        </w:rPr>
        <w:t>“</w:t>
      </w:r>
      <w:r>
        <w:rPr>
          <w:rFonts w:hint="eastAsia" w:hAnsi="宋体"/>
          <w:szCs w:val="21"/>
        </w:rPr>
        <w:t>投标人须知前附表”</w:t>
      </w:r>
      <w:r>
        <w:rPr>
          <w:rFonts w:hint="eastAsia" w:cs="宋体"/>
          <w:kern w:val="0"/>
          <w:szCs w:val="21"/>
        </w:rPr>
        <w:t>规定的政府采购信息发布媒体上</w:t>
      </w:r>
      <w:r>
        <w:rPr>
          <w:rFonts w:hint="eastAsia"/>
        </w:rPr>
        <w:t>发布更正公告。</w:t>
      </w:r>
    </w:p>
    <w:p w14:paraId="6CF90369">
      <w:pPr>
        <w:spacing w:line="360" w:lineRule="auto"/>
        <w:ind w:firstLine="420" w:firstLineChars="200"/>
        <w:rPr>
          <w:rFonts w:hAnsi="宋体"/>
          <w:color w:val="000000"/>
        </w:rPr>
      </w:pPr>
      <w:r>
        <w:rPr>
          <w:rFonts w:hAnsi="宋体"/>
          <w:color w:val="000000"/>
        </w:rPr>
        <w:t>11.</w:t>
      </w:r>
      <w:bookmarkStart w:id="99" w:name="_Hlk53134511"/>
      <w:r>
        <w:rPr>
          <w:rFonts w:hAnsi="宋体"/>
          <w:color w:val="000000"/>
        </w:rPr>
        <w:t>5</w:t>
      </w:r>
      <w:r>
        <w:rPr>
          <w:rFonts w:hint="eastAsia" w:hAnsi="宋体"/>
          <w:color w:val="000000"/>
        </w:rPr>
        <w:t>采购人或者采购代理机构可以在招标文件提供期限截止后，组织已获取招标文件的潜在投标人现场考察或者召开开标前答疑会，具体详见“投标人须知前附表”。</w:t>
      </w:r>
    </w:p>
    <w:bookmarkEnd w:id="99"/>
    <w:p w14:paraId="2C91F5C8">
      <w:pPr>
        <w:pStyle w:val="4"/>
        <w:keepNext w:val="0"/>
        <w:keepLines w:val="0"/>
        <w:spacing w:line="400" w:lineRule="exact"/>
        <w:jc w:val="center"/>
        <w:rPr>
          <w:color w:val="000000"/>
        </w:rPr>
      </w:pPr>
      <w:bookmarkStart w:id="100" w:name="_Toc254970535"/>
      <w:bookmarkStart w:id="101" w:name="_Toc254970676"/>
      <w:bookmarkStart w:id="102" w:name="_Toc211960302"/>
      <w:r>
        <w:rPr>
          <w:rFonts w:hint="eastAsia"/>
          <w:color w:val="000000"/>
        </w:rPr>
        <w:t>三、投标文件的编制</w:t>
      </w:r>
      <w:bookmarkEnd w:id="100"/>
      <w:bookmarkEnd w:id="101"/>
      <w:bookmarkEnd w:id="102"/>
    </w:p>
    <w:p w14:paraId="653D44B3">
      <w:pPr>
        <w:spacing w:line="360" w:lineRule="auto"/>
        <w:ind w:firstLine="480" w:firstLineChars="200"/>
        <w:rPr>
          <w:rFonts w:ascii="黑体" w:hAnsi="黑体" w:eastAsia="黑体"/>
          <w:color w:val="000000"/>
          <w:sz w:val="24"/>
        </w:rPr>
      </w:pPr>
      <w:bookmarkStart w:id="103" w:name="_Toc254970536"/>
      <w:bookmarkStart w:id="104" w:name="_Toc254970677"/>
      <w:r>
        <w:rPr>
          <w:rFonts w:hint="eastAsia" w:ascii="黑体" w:hAnsi="黑体" w:eastAsia="黑体"/>
          <w:color w:val="000000"/>
          <w:sz w:val="24"/>
        </w:rPr>
        <w:t>12.投标文件的编制原则</w:t>
      </w:r>
    </w:p>
    <w:p w14:paraId="4B6CE2DC">
      <w:pPr>
        <w:spacing w:line="360" w:lineRule="auto"/>
        <w:ind w:firstLine="420" w:firstLineChars="200"/>
        <w:rPr>
          <w:rFonts w:hint="eastAsia" w:ascii="宋体" w:hAnsi="宋体"/>
          <w:color w:val="000000"/>
          <w:szCs w:val="21"/>
        </w:rPr>
      </w:pPr>
      <w:r>
        <w:rPr>
          <w:rFonts w:hint="eastAsia" w:ascii="宋体" w:hAnsi="宋体"/>
          <w:color w:val="000000"/>
          <w:szCs w:val="21"/>
        </w:rPr>
        <w:t>12.1投标人必须按照招标文件的要求编制投标文件。投标文件必须对招标文件提出的要求和条件作出明确响应。</w:t>
      </w:r>
    </w:p>
    <w:p w14:paraId="798A3D4A">
      <w:pPr>
        <w:spacing w:line="360" w:lineRule="auto"/>
        <w:ind w:firstLine="420" w:firstLineChars="200"/>
        <w:rPr>
          <w:rFonts w:hint="eastAsia" w:ascii="宋体" w:hAnsi="宋体"/>
          <w:color w:val="000000"/>
          <w:szCs w:val="21"/>
        </w:rPr>
      </w:pPr>
      <w:r>
        <w:rPr>
          <w:rFonts w:hint="eastAsia" w:ascii="宋体" w:hAnsi="宋体"/>
          <w:color w:val="000000"/>
          <w:szCs w:val="21"/>
        </w:rPr>
        <w:t>12.2投标人应根据自身实际情况如实响应招标文件，不得仅将招标文件内容简单复制粘贴作为投标响应，还应当提供相关证明材料，否则将作无效响应处理（定制采购项目不适用本条款）。对于重要技术条款或技术参数应当在投标文件中提供技术支持资料，技术支持资料以招标文件中规定的形式为准，否则将视为无效技术支持资料。</w:t>
      </w:r>
    </w:p>
    <w:p w14:paraId="2F679AC9">
      <w:pPr>
        <w:spacing w:line="360" w:lineRule="auto"/>
        <w:ind w:firstLine="480" w:firstLineChars="200"/>
        <w:rPr>
          <w:rFonts w:hint="eastAsia" w:ascii="黑体" w:hAnsi="黑体" w:eastAsia="黑体"/>
          <w:color w:val="000000"/>
          <w:sz w:val="24"/>
        </w:rPr>
      </w:pPr>
      <w:r>
        <w:rPr>
          <w:rFonts w:hint="eastAsia" w:ascii="黑体" w:hAnsi="黑体" w:eastAsia="黑体"/>
          <w:color w:val="000000"/>
          <w:sz w:val="24"/>
        </w:rPr>
        <w:t>13.投标文件的组成</w:t>
      </w:r>
      <w:bookmarkEnd w:id="103"/>
      <w:bookmarkEnd w:id="104"/>
    </w:p>
    <w:p w14:paraId="2838526D">
      <w:pPr>
        <w:spacing w:line="360" w:lineRule="auto"/>
        <w:ind w:firstLine="420" w:firstLineChars="200"/>
        <w:rPr>
          <w:rFonts w:hint="eastAsia" w:ascii="宋体" w:hAnsi="宋体"/>
          <w:color w:val="000000"/>
          <w:szCs w:val="21"/>
        </w:rPr>
      </w:pPr>
      <w:r>
        <w:rPr>
          <w:rFonts w:hint="eastAsia" w:ascii="宋体" w:hAnsi="宋体"/>
          <w:color w:val="000000"/>
          <w:szCs w:val="21"/>
        </w:rPr>
        <w:t>13.1投标文件由报价文件、资格证明文件、商务文件、技术文件四部分组成。</w:t>
      </w:r>
    </w:p>
    <w:p w14:paraId="4887ED50">
      <w:pPr>
        <w:spacing w:line="360" w:lineRule="auto"/>
        <w:ind w:firstLine="420" w:firstLineChars="200"/>
        <w:rPr>
          <w:rFonts w:hint="eastAsia" w:ascii="宋体" w:hAnsi="宋体"/>
          <w:bCs/>
          <w:color w:val="000000"/>
          <w:szCs w:val="21"/>
        </w:rPr>
      </w:pPr>
      <w:bookmarkStart w:id="105" w:name="_13.1报价文件:_具体材料见“投标人须知前附表”。"/>
      <w:bookmarkEnd w:id="105"/>
      <w:bookmarkStart w:id="106" w:name="_13.2资格证明文件：具体材料见“投标人须知前附表”。"/>
      <w:bookmarkEnd w:id="106"/>
      <w:r>
        <w:rPr>
          <w:rFonts w:hint="eastAsia" w:ascii="宋体" w:hAnsi="宋体"/>
          <w:bCs/>
          <w:color w:val="000000"/>
          <w:szCs w:val="21"/>
        </w:rPr>
        <w:t>（1）资格证明文件：具体材料见“投标人须知前附表”。</w:t>
      </w:r>
    </w:p>
    <w:p w14:paraId="3E7FC91C">
      <w:pPr>
        <w:spacing w:line="360" w:lineRule="auto"/>
        <w:ind w:firstLine="420" w:firstLineChars="200"/>
        <w:rPr>
          <w:rFonts w:hint="eastAsia" w:ascii="宋体" w:hAnsi="宋体"/>
          <w:bCs/>
          <w:color w:val="000000"/>
          <w:szCs w:val="21"/>
        </w:rPr>
      </w:pPr>
      <w:bookmarkStart w:id="107" w:name="_13.3商务文件:_具体材料见“投标人须知前附表”。"/>
      <w:bookmarkEnd w:id="107"/>
      <w:r>
        <w:rPr>
          <w:rFonts w:hint="eastAsia" w:ascii="宋体" w:hAnsi="宋体"/>
          <w:bCs/>
          <w:color w:val="000000"/>
          <w:szCs w:val="21"/>
        </w:rPr>
        <w:t>（2）商务文件：具体材料见“投标人须知前附表”。</w:t>
      </w:r>
    </w:p>
    <w:p w14:paraId="384146E5">
      <w:pPr>
        <w:spacing w:line="360" w:lineRule="auto"/>
        <w:ind w:firstLine="420" w:firstLineChars="200"/>
        <w:rPr>
          <w:rFonts w:hint="eastAsia" w:ascii="宋体" w:hAnsi="宋体"/>
          <w:bCs/>
          <w:color w:val="000000"/>
          <w:szCs w:val="21"/>
        </w:rPr>
      </w:pPr>
      <w:bookmarkStart w:id="108" w:name="_13.4技术文件：具体材料见“投标人须知前附表”。"/>
      <w:bookmarkEnd w:id="108"/>
      <w:r>
        <w:rPr>
          <w:rFonts w:hint="eastAsia" w:ascii="宋体" w:hAnsi="宋体"/>
          <w:bCs/>
          <w:color w:val="000000"/>
          <w:szCs w:val="21"/>
        </w:rPr>
        <w:t xml:space="preserve">（3）技术文件：具体材料见“投标人须知前附表”。 </w:t>
      </w:r>
    </w:p>
    <w:p w14:paraId="65ABB4D6">
      <w:pPr>
        <w:spacing w:line="360" w:lineRule="auto"/>
        <w:ind w:firstLine="420" w:firstLineChars="200"/>
        <w:rPr>
          <w:rFonts w:hint="eastAsia" w:ascii="宋体" w:hAnsi="宋体"/>
          <w:bCs/>
          <w:color w:val="000000"/>
          <w:szCs w:val="21"/>
        </w:rPr>
      </w:pPr>
      <w:r>
        <w:rPr>
          <w:rFonts w:hint="eastAsia" w:ascii="宋体" w:hAnsi="宋体"/>
          <w:bCs/>
          <w:color w:val="000000"/>
          <w:szCs w:val="21"/>
        </w:rPr>
        <w:t>（4）报价文件： 具体材料见“投标人须知前附表”。</w:t>
      </w:r>
    </w:p>
    <w:p w14:paraId="07B93BB1">
      <w:pPr>
        <w:spacing w:line="360" w:lineRule="auto"/>
        <w:ind w:firstLine="420" w:firstLineChars="200"/>
        <w:rPr>
          <w:rFonts w:hint="eastAsia" w:ascii="宋体" w:hAnsi="宋体"/>
          <w:bCs/>
          <w:color w:val="000000"/>
          <w:szCs w:val="21"/>
        </w:rPr>
      </w:pPr>
      <w:bookmarkStart w:id="109" w:name="_13.5投标文件电子版：具体材料见“投标人须知前附表”。"/>
      <w:bookmarkEnd w:id="109"/>
      <w:r>
        <w:rPr>
          <w:rFonts w:hint="eastAsia" w:ascii="宋体" w:hAnsi="宋体"/>
          <w:bCs/>
          <w:color w:val="000000"/>
          <w:szCs w:val="21"/>
        </w:rPr>
        <w:t>13.2投标文件电子版：具体要求见本节19.投标文件编制。</w:t>
      </w:r>
    </w:p>
    <w:p w14:paraId="0BBEB731">
      <w:pPr>
        <w:spacing w:line="360" w:lineRule="auto"/>
        <w:ind w:firstLine="480" w:firstLineChars="200"/>
        <w:rPr>
          <w:rFonts w:hint="eastAsia" w:ascii="黑体" w:hAnsi="黑体" w:eastAsia="黑体"/>
          <w:color w:val="000000"/>
          <w:sz w:val="24"/>
        </w:rPr>
      </w:pPr>
      <w:bookmarkStart w:id="110" w:name="_Toc254970678"/>
      <w:bookmarkStart w:id="111" w:name="_Toc254970537"/>
      <w:r>
        <w:rPr>
          <w:rFonts w:hint="eastAsia" w:ascii="黑体" w:hAnsi="黑体" w:eastAsia="黑体"/>
          <w:color w:val="000000"/>
          <w:sz w:val="24"/>
        </w:rPr>
        <w:t>14.投标文件的语言及计量</w:t>
      </w:r>
      <w:bookmarkEnd w:id="110"/>
      <w:bookmarkEnd w:id="111"/>
    </w:p>
    <w:p w14:paraId="2DDC6CB1">
      <w:pPr>
        <w:spacing w:line="360" w:lineRule="auto"/>
        <w:ind w:firstLine="420" w:firstLineChars="200"/>
        <w:rPr>
          <w:rFonts w:hint="eastAsia" w:ascii="宋体" w:hAnsi="宋体"/>
          <w:bCs/>
          <w:color w:val="000000"/>
          <w:szCs w:val="21"/>
        </w:rPr>
      </w:pPr>
      <w:r>
        <w:rPr>
          <w:rFonts w:hint="eastAsia" w:ascii="宋体" w:hAnsi="宋体"/>
          <w:bCs/>
          <w:color w:val="000000"/>
          <w:szCs w:val="21"/>
        </w:rPr>
        <w:t>14.1语言文字</w:t>
      </w:r>
    </w:p>
    <w:p w14:paraId="38DE570C">
      <w:pPr>
        <w:spacing w:line="360" w:lineRule="auto"/>
        <w:ind w:firstLine="420" w:firstLineChars="200"/>
        <w:rPr>
          <w:rFonts w:hint="eastAsia" w:ascii="宋体" w:hAnsi="宋体"/>
          <w:bCs/>
          <w:color w:val="000000"/>
          <w:szCs w:val="21"/>
        </w:rPr>
      </w:pPr>
      <w:r>
        <w:rPr>
          <w:rFonts w:hint="eastAsia" w:ascii="宋体" w:hAnsi="宋体"/>
          <w:bCs/>
          <w:color w:val="000000"/>
          <w:szCs w:val="21"/>
        </w:rPr>
        <w:t>投标文件以及投标人与采购人就有关投标事宜的所有来往函电，均应以中文书写（除专用术语外，与招标投标有关的语言均使用中文。必要时专用术语应附有中文注释）。投标人提交的支持文件和印刷的文献可以使用别的语言，但其相应内容应同时附中文翻译文本，在解释投标文件时以中文翻译文本为主。对不同文字文本投标文件的解释发生异议的，以中文文本为准。</w:t>
      </w:r>
    </w:p>
    <w:p w14:paraId="182F5CB0">
      <w:pPr>
        <w:spacing w:line="360" w:lineRule="auto"/>
        <w:ind w:firstLine="420" w:firstLineChars="200"/>
        <w:rPr>
          <w:rFonts w:hint="eastAsia" w:ascii="宋体" w:hAnsi="宋体"/>
          <w:bCs/>
          <w:color w:val="000000"/>
          <w:szCs w:val="21"/>
        </w:rPr>
      </w:pPr>
      <w:r>
        <w:rPr>
          <w:rFonts w:hint="eastAsia" w:ascii="宋体" w:hAnsi="宋体"/>
          <w:bCs/>
          <w:color w:val="000000"/>
          <w:szCs w:val="21"/>
        </w:rPr>
        <w:t>14.2投标计量单位</w:t>
      </w:r>
    </w:p>
    <w:p w14:paraId="64790B12">
      <w:pPr>
        <w:spacing w:line="360" w:lineRule="auto"/>
        <w:ind w:firstLine="420" w:firstLineChars="200"/>
        <w:rPr>
          <w:rFonts w:hint="eastAsia" w:ascii="宋体" w:hAnsi="宋体"/>
          <w:bCs/>
          <w:color w:val="000000"/>
          <w:szCs w:val="21"/>
        </w:rPr>
      </w:pPr>
      <w:r>
        <w:rPr>
          <w:rFonts w:hint="eastAsia" w:ascii="宋体" w:hAnsi="宋体"/>
          <w:bCs/>
          <w:color w:val="000000"/>
          <w:szCs w:val="21"/>
        </w:rPr>
        <w:t>招标文件已有明确规定的，使用招标文件规定的计量单位；招标文件没有规定的，应采用中华人民共和国法定计量单位，货币种类为人民币，否则视同未响应。</w:t>
      </w:r>
    </w:p>
    <w:p w14:paraId="32BDB9EE">
      <w:pPr>
        <w:spacing w:line="360" w:lineRule="auto"/>
        <w:ind w:firstLine="480" w:firstLineChars="200"/>
        <w:rPr>
          <w:rFonts w:hint="eastAsia" w:ascii="黑体" w:hAnsi="黑体" w:eastAsia="黑体"/>
          <w:color w:val="000000"/>
          <w:sz w:val="24"/>
        </w:rPr>
      </w:pPr>
      <w:r>
        <w:rPr>
          <w:rFonts w:hint="eastAsia" w:ascii="黑体" w:hAnsi="黑体" w:eastAsia="黑体"/>
          <w:color w:val="000000"/>
          <w:sz w:val="24"/>
        </w:rPr>
        <w:t>15.投标文件提交的风险</w:t>
      </w:r>
    </w:p>
    <w:p w14:paraId="60E16B1C">
      <w:pPr>
        <w:spacing w:line="360" w:lineRule="auto"/>
        <w:ind w:firstLine="420" w:firstLineChars="200"/>
        <w:rPr>
          <w:rFonts w:hint="eastAsia" w:hAnsi="宋体"/>
          <w:b/>
          <w:bCs/>
          <w:color w:val="000000"/>
        </w:rPr>
      </w:pPr>
      <w:r>
        <w:rPr>
          <w:rFonts w:hint="eastAsia" w:hAnsi="宋体"/>
          <w:color w:val="000000"/>
        </w:rPr>
        <w:t>投标文件分为资格文件、商务文件、技术文件、报价文件四部分（其中：商务文件与技术文件合并编辑成一个电子文档）。各投标人在编制投标文件时请按照招标文件规定的编排格式进行，不按要求提交齐全的文件、混乱的编排导致投标文件被误读或评标委员会查找不到有效文件是造成投标人投标文件无效的风险。</w:t>
      </w:r>
      <w:bookmarkStart w:id="112" w:name="_Hlk165362603"/>
      <w:r>
        <w:rPr>
          <w:rFonts w:hint="eastAsia" w:hAnsi="宋体"/>
          <w:color w:val="000000"/>
        </w:rPr>
        <w:t>▲</w:t>
      </w:r>
      <w:r>
        <w:rPr>
          <w:rFonts w:hint="eastAsia" w:hAnsi="宋体"/>
          <w:b/>
          <w:bCs/>
          <w:color w:val="000000"/>
        </w:rPr>
        <w:t>投标文件内容不齐全、未按规定的文件格式编制的、没有对招标文件作出实质性响应，投标无效；</w:t>
      </w:r>
      <w:bookmarkEnd w:id="112"/>
    </w:p>
    <w:p w14:paraId="41C145E4">
      <w:pPr>
        <w:spacing w:line="360" w:lineRule="auto"/>
        <w:ind w:firstLine="480" w:firstLineChars="200"/>
        <w:rPr>
          <w:rFonts w:ascii="黑体" w:hAnsi="黑体" w:eastAsia="黑体"/>
          <w:color w:val="000000"/>
          <w:sz w:val="24"/>
        </w:rPr>
      </w:pPr>
      <w:bookmarkStart w:id="113" w:name="_Toc254970538"/>
      <w:bookmarkStart w:id="114" w:name="_Toc254970679"/>
      <w:r>
        <w:rPr>
          <w:rFonts w:hint="eastAsia" w:ascii="黑体" w:hAnsi="黑体" w:eastAsia="黑体"/>
          <w:color w:val="000000"/>
          <w:sz w:val="24"/>
        </w:rPr>
        <w:t>16.投标报价</w:t>
      </w:r>
      <w:bookmarkEnd w:id="113"/>
      <w:bookmarkEnd w:id="114"/>
    </w:p>
    <w:p w14:paraId="02E2C321">
      <w:pPr>
        <w:spacing w:line="360" w:lineRule="auto"/>
        <w:ind w:firstLine="420" w:firstLineChars="200"/>
        <w:rPr>
          <w:rFonts w:hint="eastAsia" w:ascii="宋体" w:hAnsi="宋体"/>
          <w:bCs/>
          <w:color w:val="000000"/>
          <w:szCs w:val="21"/>
        </w:rPr>
      </w:pPr>
      <w:r>
        <w:rPr>
          <w:rFonts w:hint="eastAsia" w:ascii="宋体" w:hAnsi="宋体"/>
          <w:bCs/>
          <w:color w:val="000000"/>
          <w:szCs w:val="21"/>
        </w:rPr>
        <w:t>16.1投标报价应</w:t>
      </w:r>
      <w:r>
        <w:rPr>
          <w:rFonts w:hint="eastAsia" w:ascii="宋体" w:hAnsi="宋体"/>
          <w:bCs/>
          <w:color w:val="000000"/>
          <w:szCs w:val="20"/>
        </w:rPr>
        <w:t>按“第六章　投标文件格式”中“开标一览表”格式填写。</w:t>
      </w:r>
    </w:p>
    <w:p w14:paraId="7CFBCF11">
      <w:pPr>
        <w:spacing w:line="360" w:lineRule="auto"/>
        <w:ind w:firstLine="420" w:firstLineChars="200"/>
        <w:rPr>
          <w:rFonts w:hint="eastAsia" w:ascii="宋体" w:hAnsi="宋体"/>
          <w:bCs/>
          <w:color w:val="000000"/>
          <w:szCs w:val="21"/>
        </w:rPr>
      </w:pPr>
      <w:bookmarkStart w:id="115" w:name="_16.2投标报价具体定义见投标人须知前附表。"/>
      <w:bookmarkEnd w:id="115"/>
      <w:r>
        <w:rPr>
          <w:rFonts w:hint="eastAsia" w:ascii="宋体" w:hAnsi="宋体"/>
          <w:bCs/>
          <w:color w:val="000000"/>
          <w:szCs w:val="21"/>
        </w:rPr>
        <w:t>16.2投标报价具体包括内容详见“投标人须知前附表”。</w:t>
      </w:r>
    </w:p>
    <w:p w14:paraId="0BDDAA08">
      <w:pPr>
        <w:spacing w:line="360" w:lineRule="auto"/>
        <w:ind w:firstLine="420" w:firstLineChars="200"/>
        <w:rPr>
          <w:rFonts w:hint="eastAsia" w:ascii="宋体" w:hAnsi="宋体"/>
          <w:bCs/>
          <w:color w:val="000000"/>
          <w:szCs w:val="21"/>
        </w:rPr>
      </w:pPr>
      <w:r>
        <w:rPr>
          <w:rFonts w:hint="eastAsia" w:ascii="宋体" w:hAnsi="宋体"/>
          <w:bCs/>
          <w:color w:val="000000"/>
          <w:szCs w:val="21"/>
        </w:rPr>
        <w:t>16.3投标人必须就所投每个分标的全部内容分别作完整唯一总价报价，不得存在漏项报价；投标人必须就所投分标的单项内容作唯一报价。</w:t>
      </w:r>
    </w:p>
    <w:p w14:paraId="383E62FA">
      <w:pPr>
        <w:spacing w:line="360" w:lineRule="auto"/>
        <w:ind w:firstLine="480" w:firstLineChars="200"/>
        <w:rPr>
          <w:rFonts w:hint="eastAsia" w:ascii="黑体" w:hAnsi="黑体" w:eastAsia="黑体"/>
          <w:color w:val="000000"/>
          <w:sz w:val="24"/>
        </w:rPr>
      </w:pPr>
      <w:r>
        <w:rPr>
          <w:rFonts w:hint="eastAsia" w:ascii="黑体" w:hAnsi="黑体" w:eastAsia="黑体"/>
          <w:color w:val="000000"/>
          <w:sz w:val="24"/>
        </w:rPr>
        <w:t>17.投标有效期</w:t>
      </w:r>
    </w:p>
    <w:p w14:paraId="192D31A1">
      <w:pPr>
        <w:spacing w:line="360" w:lineRule="auto"/>
        <w:ind w:firstLine="420" w:firstLineChars="200"/>
        <w:rPr>
          <w:rFonts w:hint="eastAsia" w:ascii="宋体" w:hAnsi="宋体"/>
          <w:bCs/>
          <w:color w:val="000000"/>
          <w:szCs w:val="21"/>
        </w:rPr>
      </w:pPr>
      <w:bookmarkStart w:id="116" w:name="_17.1投标有效期应按“投标人须知中的前附表”规定的期限。"/>
      <w:bookmarkEnd w:id="116"/>
      <w:r>
        <w:rPr>
          <w:rFonts w:hint="eastAsia" w:ascii="宋体" w:hAnsi="宋体"/>
          <w:bCs/>
          <w:color w:val="000000"/>
          <w:szCs w:val="21"/>
        </w:rPr>
        <w:t>17.1投标有效期是指为保证采购人有足够的时间在开标后完成评标、定标、合同签订等工作而要求投标人提交的投标文件在一定时间内保持有效的期限。</w:t>
      </w:r>
    </w:p>
    <w:p w14:paraId="60E17E60">
      <w:pPr>
        <w:spacing w:line="360" w:lineRule="auto"/>
        <w:ind w:firstLine="420" w:firstLineChars="200"/>
        <w:rPr>
          <w:rFonts w:hint="eastAsia" w:ascii="宋体" w:hAnsi="宋体"/>
          <w:bCs/>
          <w:color w:val="000000"/>
          <w:szCs w:val="21"/>
        </w:rPr>
      </w:pPr>
      <w:r>
        <w:rPr>
          <w:rFonts w:hint="eastAsia" w:ascii="宋体" w:hAnsi="宋体"/>
          <w:bCs/>
          <w:color w:val="000000"/>
          <w:szCs w:val="21"/>
        </w:rPr>
        <w:t>17.2</w:t>
      </w:r>
      <w:bookmarkStart w:id="117" w:name="_Toc254970681"/>
      <w:bookmarkStart w:id="118" w:name="_Toc254970540"/>
      <w:r>
        <w:rPr>
          <w:rFonts w:hint="eastAsia" w:ascii="宋体" w:hAnsi="宋体"/>
          <w:bCs/>
          <w:color w:val="000000"/>
          <w:szCs w:val="21"/>
        </w:rPr>
        <w:t xml:space="preserve"> 投标有效期应按规定的期限作出承诺，具体详见“投标人须知前附表”。</w:t>
      </w:r>
    </w:p>
    <w:p w14:paraId="31D98AA5">
      <w:pPr>
        <w:spacing w:line="360" w:lineRule="auto"/>
        <w:ind w:firstLine="420" w:firstLineChars="200"/>
        <w:rPr>
          <w:rFonts w:hint="eastAsia" w:ascii="宋体" w:hAnsi="宋体"/>
          <w:bCs/>
          <w:color w:val="000000"/>
          <w:szCs w:val="21"/>
        </w:rPr>
      </w:pPr>
      <w:r>
        <w:rPr>
          <w:rFonts w:hint="eastAsia" w:ascii="宋体" w:hAnsi="宋体"/>
          <w:bCs/>
          <w:color w:val="000000"/>
          <w:szCs w:val="21"/>
        </w:rPr>
        <w:t>17.3投标人的投标文件在投标有效期内均保持有效。</w:t>
      </w:r>
      <w:bookmarkEnd w:id="117"/>
      <w:bookmarkEnd w:id="118"/>
    </w:p>
    <w:p w14:paraId="2D0EFFC3">
      <w:pPr>
        <w:spacing w:line="360" w:lineRule="auto"/>
        <w:ind w:firstLine="480" w:firstLineChars="200"/>
        <w:rPr>
          <w:rFonts w:hint="eastAsia" w:ascii="黑体" w:hAnsi="黑体" w:eastAsia="黑体"/>
          <w:color w:val="000000"/>
          <w:sz w:val="24"/>
        </w:rPr>
      </w:pPr>
      <w:bookmarkStart w:id="119" w:name="_18.投标保证金"/>
      <w:bookmarkEnd w:id="119"/>
      <w:bookmarkStart w:id="120" w:name="_Toc254970541"/>
      <w:bookmarkStart w:id="121" w:name="_Toc254970682"/>
      <w:r>
        <w:rPr>
          <w:rFonts w:hint="eastAsia" w:ascii="黑体" w:hAnsi="黑体" w:eastAsia="黑体"/>
          <w:color w:val="000000"/>
          <w:sz w:val="24"/>
        </w:rPr>
        <w:t>18.投标保证金</w:t>
      </w:r>
      <w:bookmarkEnd w:id="120"/>
      <w:bookmarkEnd w:id="121"/>
    </w:p>
    <w:p w14:paraId="77800CED">
      <w:pPr>
        <w:spacing w:line="360" w:lineRule="auto"/>
        <w:ind w:firstLine="420" w:firstLineChars="200"/>
        <w:rPr>
          <w:rFonts w:hint="eastAsia" w:hAnsi="宋体"/>
          <w:color w:val="000000"/>
          <w:szCs w:val="21"/>
        </w:rPr>
      </w:pPr>
      <w:bookmarkStart w:id="122" w:name="_Toc254970542"/>
      <w:bookmarkStart w:id="123" w:name="_Toc254970683"/>
      <w:r>
        <w:rPr>
          <w:rFonts w:hint="eastAsia" w:hAnsi="宋体"/>
          <w:color w:val="000000"/>
          <w:szCs w:val="21"/>
        </w:rPr>
        <w:t>见“投标人须知前附表”。</w:t>
      </w:r>
    </w:p>
    <w:p w14:paraId="2FE4AA68">
      <w:pPr>
        <w:spacing w:line="360" w:lineRule="auto"/>
        <w:ind w:firstLine="480" w:firstLineChars="200"/>
        <w:rPr>
          <w:rFonts w:ascii="黑体" w:hAnsi="黑体" w:eastAsia="黑体"/>
          <w:color w:val="000000"/>
          <w:sz w:val="24"/>
        </w:rPr>
      </w:pPr>
      <w:r>
        <w:rPr>
          <w:rFonts w:hint="eastAsia" w:ascii="黑体" w:hAnsi="黑体" w:eastAsia="黑体"/>
          <w:color w:val="000000"/>
          <w:sz w:val="24"/>
        </w:rPr>
        <w:t>19.投标文件的</w:t>
      </w:r>
      <w:bookmarkEnd w:id="122"/>
      <w:bookmarkEnd w:id="123"/>
      <w:r>
        <w:rPr>
          <w:rFonts w:hint="eastAsia" w:ascii="黑体" w:hAnsi="黑体" w:eastAsia="黑体"/>
          <w:color w:val="000000"/>
          <w:sz w:val="24"/>
        </w:rPr>
        <w:t>编制</w:t>
      </w:r>
    </w:p>
    <w:p w14:paraId="34D6FAF5">
      <w:pPr>
        <w:spacing w:line="360" w:lineRule="auto"/>
        <w:ind w:firstLine="422" w:firstLineChars="200"/>
        <w:rPr>
          <w:rFonts w:hint="eastAsia" w:hAnsi="宋体"/>
          <w:color w:val="000000"/>
          <w:szCs w:val="21"/>
        </w:rPr>
      </w:pPr>
      <w:r>
        <w:rPr>
          <w:rFonts w:hint="eastAsia" w:ascii="宋体" w:hAnsi="宋体"/>
          <w:b/>
          <w:color w:val="000000"/>
          <w:szCs w:val="21"/>
        </w:rPr>
        <w:t xml:space="preserve"> </w:t>
      </w:r>
      <w:r>
        <w:rPr>
          <w:rFonts w:hAnsi="宋体"/>
          <w:color w:val="000000"/>
          <w:szCs w:val="21"/>
        </w:rPr>
        <w:t>19.1</w:t>
      </w:r>
      <w:r>
        <w:rPr>
          <w:rFonts w:hint="eastAsia" w:hAnsi="宋体"/>
          <w:color w:val="000000"/>
          <w:szCs w:val="21"/>
        </w:rPr>
        <w:t>投标文件编制要求详见“投标人须知前附表”。投标人应按本招标文件规定的格式和顺序编制、装订投标文件并标注页码，投标文件内容不完整、编排混乱导致投标文件被误读、漏读或者查找不到相关内容的，由此引发的后果由投标人承担。</w:t>
      </w:r>
      <w:bookmarkStart w:id="124" w:name="_19.2投标文件应按报价文件、资格证明文件、商务文件、技术文件分别编制"/>
      <w:bookmarkEnd w:id="124"/>
      <w:r>
        <w:rPr>
          <w:rFonts w:hAnsi="宋体"/>
          <w:color w:val="000000"/>
          <w:szCs w:val="21"/>
        </w:rPr>
        <w:t xml:space="preserve"> </w:t>
      </w:r>
    </w:p>
    <w:p w14:paraId="501302F5">
      <w:pPr>
        <w:pStyle w:val="23"/>
        <w:snapToGrid w:val="0"/>
        <w:spacing w:before="0"/>
        <w:ind w:firstLine="420"/>
        <w:rPr>
          <w:rFonts w:hAnsi="宋体"/>
          <w:color w:val="000000"/>
          <w:sz w:val="21"/>
          <w:szCs w:val="21"/>
        </w:rPr>
      </w:pPr>
      <w:r>
        <w:rPr>
          <w:rFonts w:hAnsi="宋体"/>
          <w:color w:val="000000"/>
          <w:sz w:val="21"/>
          <w:szCs w:val="21"/>
        </w:rPr>
        <w:t>19.2</w:t>
      </w:r>
      <w:r>
        <w:rPr>
          <w:rFonts w:hint="eastAsia" w:hAnsi="宋体"/>
          <w:color w:val="000000"/>
          <w:sz w:val="21"/>
          <w:szCs w:val="21"/>
        </w:rPr>
        <w:t>投标文件按照招标文件第六章格式要求在规定位置进行签署、盖章。投标人的投标文件未按照招标文件要求签署、盖章的，</w:t>
      </w:r>
      <w:r>
        <w:rPr>
          <w:rFonts w:hint="eastAsia" w:hAnsi="宋体"/>
          <w:b/>
          <w:color w:val="000000"/>
          <w:sz w:val="21"/>
          <w:szCs w:val="21"/>
        </w:rPr>
        <w:t>其投标无效。</w:t>
      </w:r>
      <w:r>
        <w:rPr>
          <w:rFonts w:hint="eastAsia" w:hAnsi="宋体"/>
          <w:color w:val="000000"/>
          <w:sz w:val="21"/>
          <w:szCs w:val="21"/>
        </w:rPr>
        <w:t>骑缝盖公章不视为在规定位置盖章。</w:t>
      </w:r>
    </w:p>
    <w:p w14:paraId="160F069F">
      <w:pPr>
        <w:pStyle w:val="23"/>
        <w:snapToGrid w:val="0"/>
        <w:spacing w:before="0"/>
        <w:ind w:firstLine="420"/>
        <w:rPr>
          <w:rFonts w:hAnsi="宋体"/>
          <w:color w:val="000000"/>
          <w:sz w:val="21"/>
          <w:szCs w:val="21"/>
        </w:rPr>
      </w:pPr>
      <w:r>
        <w:rPr>
          <w:rFonts w:hAnsi="宋体"/>
          <w:color w:val="000000"/>
          <w:sz w:val="21"/>
          <w:szCs w:val="21"/>
        </w:rPr>
        <w:t>19.3</w:t>
      </w:r>
      <w:r>
        <w:rPr>
          <w:rFonts w:hint="eastAsia" w:hAnsi="宋体"/>
          <w:color w:val="000000"/>
          <w:sz w:val="21"/>
          <w:szCs w:val="21"/>
        </w:rPr>
        <w:t>为确保网上操作合法、有效和安全，投标人应当在投标截止时间前完成在“广西政府采购云平台”的身份认证，确保在电子投标过程中能够对相关数据电文进行加密和使用电子签名。</w:t>
      </w:r>
    </w:p>
    <w:p w14:paraId="420C3476">
      <w:pPr>
        <w:spacing w:line="360" w:lineRule="auto"/>
        <w:ind w:firstLine="422" w:firstLineChars="200"/>
        <w:rPr>
          <w:rFonts w:ascii="宋体" w:hAnsi="宋体"/>
          <w:b/>
          <w:color w:val="000000"/>
          <w:szCs w:val="21"/>
        </w:rPr>
      </w:pPr>
      <w:r>
        <w:rPr>
          <w:rFonts w:hint="eastAsia" w:ascii="宋体" w:hAnsi="宋体"/>
          <w:b/>
          <w:color w:val="000000"/>
          <w:szCs w:val="21"/>
        </w:rPr>
        <w:t>19.4投标文件中标注的投标人名称应与主体资格证明（如营业执照、事业单位法人证书、执业许可证、自然人身份证等）及公章一致，</w:t>
      </w:r>
      <w:r>
        <w:rPr>
          <w:rFonts w:hint="eastAsia" w:ascii="宋体" w:hAnsi="宋体"/>
          <w:color w:val="000000"/>
          <w:szCs w:val="21"/>
        </w:rPr>
        <w:t>否则作无效投标处理</w:t>
      </w:r>
      <w:r>
        <w:rPr>
          <w:rFonts w:hint="eastAsia" w:ascii="宋体" w:hAnsi="宋体"/>
          <w:b/>
          <w:color w:val="000000"/>
          <w:szCs w:val="21"/>
        </w:rPr>
        <w:t>。</w:t>
      </w:r>
    </w:p>
    <w:p w14:paraId="57538058">
      <w:pPr>
        <w:spacing w:line="360" w:lineRule="auto"/>
        <w:ind w:firstLine="420" w:firstLineChars="200"/>
        <w:rPr>
          <w:rFonts w:hint="eastAsia" w:ascii="宋体" w:hAnsi="宋体" w:cs="宋体"/>
          <w:szCs w:val="21"/>
        </w:rPr>
      </w:pPr>
      <w:r>
        <w:rPr>
          <w:rFonts w:hAnsi="宋体"/>
          <w:color w:val="000000"/>
          <w:szCs w:val="21"/>
        </w:rPr>
        <w:t xml:space="preserve"> 19.5</w:t>
      </w:r>
      <w:r>
        <w:rPr>
          <w:rFonts w:hint="eastAsia" w:hAnsi="宋体"/>
          <w:color w:val="000000"/>
          <w:szCs w:val="21"/>
        </w:rPr>
        <w:t>投标文件应避免涂改、行间插字或者删除，</w:t>
      </w:r>
      <w:r>
        <w:rPr>
          <w:rFonts w:hint="eastAsia" w:ascii="宋体" w:hAnsi="宋体" w:cs="宋体"/>
          <w:b/>
          <w:szCs w:val="21"/>
        </w:rPr>
        <w:t>否则其投标无效。</w:t>
      </w:r>
    </w:p>
    <w:p w14:paraId="4B573FFC">
      <w:pPr>
        <w:spacing w:line="360" w:lineRule="auto"/>
        <w:ind w:firstLine="525" w:firstLineChars="250"/>
        <w:rPr>
          <w:rFonts w:hint="eastAsia" w:hAnsi="宋体"/>
        </w:rPr>
      </w:pPr>
      <w:r>
        <w:rPr>
          <w:rFonts w:hAnsi="宋体"/>
        </w:rPr>
        <w:t xml:space="preserve">19.6 </w:t>
      </w:r>
      <w:r>
        <w:rPr>
          <w:rFonts w:hint="eastAsia" w:hAnsi="宋体"/>
        </w:rPr>
        <w:t>对招标文件的实质性要求和条件作出响应是指投标人必须对招标文件中标注为实质性要求和条件的</w:t>
      </w:r>
      <w:r>
        <w:rPr>
          <w:rFonts w:hint="eastAsia"/>
          <w:color w:val="000000"/>
          <w:szCs w:val="21"/>
        </w:rPr>
        <w:t>服务内容及要求</w:t>
      </w:r>
      <w:r>
        <w:rPr>
          <w:rFonts w:hint="eastAsia" w:hAnsi="宋体"/>
        </w:rPr>
        <w:t>、商务条款及其它内容</w:t>
      </w:r>
      <w:r>
        <w:rPr>
          <w:rFonts w:hint="eastAsia"/>
          <w:b/>
        </w:rPr>
        <w:t>作出满足或者优于原要求和条件的承诺</w:t>
      </w:r>
      <w:r>
        <w:rPr>
          <w:rFonts w:hint="eastAsia"/>
        </w:rPr>
        <w:t>。</w:t>
      </w:r>
    </w:p>
    <w:p w14:paraId="3611032C">
      <w:pPr>
        <w:spacing w:line="360" w:lineRule="auto"/>
        <w:ind w:firstLine="422" w:firstLineChars="200"/>
        <w:rPr>
          <w:rFonts w:ascii="宋体" w:hAnsi="宋体"/>
          <w:b/>
          <w:color w:val="000000"/>
          <w:szCs w:val="21"/>
          <w:u w:val="single"/>
        </w:rPr>
      </w:pPr>
      <w:r>
        <w:rPr>
          <w:rFonts w:hint="eastAsia" w:ascii="宋体" w:hAnsi="宋体"/>
          <w:b/>
          <w:color w:val="000000"/>
          <w:szCs w:val="21"/>
          <w:u w:val="single"/>
        </w:rPr>
        <w:t>19.7本项目为南宁市全流程电子化项目，异常情况见“第二节 投标人须知正文”中“四、24.2开标程序。</w:t>
      </w:r>
    </w:p>
    <w:p w14:paraId="4FC81910">
      <w:pPr>
        <w:spacing w:line="360" w:lineRule="auto"/>
        <w:ind w:firstLine="480" w:firstLineChars="200"/>
        <w:rPr>
          <w:rFonts w:hint="eastAsia" w:ascii="黑体" w:hAnsi="黑体" w:eastAsia="黑体"/>
          <w:color w:val="000000"/>
          <w:sz w:val="24"/>
        </w:rPr>
      </w:pPr>
      <w:r>
        <w:rPr>
          <w:rFonts w:hint="eastAsia" w:ascii="黑体" w:hAnsi="黑体" w:eastAsia="黑体"/>
          <w:color w:val="000000"/>
          <w:sz w:val="24"/>
        </w:rPr>
        <w:t>20.备份投标文件</w:t>
      </w:r>
    </w:p>
    <w:p w14:paraId="4F00D916">
      <w:pPr>
        <w:spacing w:line="360" w:lineRule="auto"/>
        <w:ind w:firstLine="420" w:firstLineChars="200"/>
        <w:rPr>
          <w:rFonts w:hint="eastAsia" w:ascii="黑体" w:hAnsi="黑体" w:eastAsia="黑体"/>
          <w:color w:val="000000"/>
          <w:sz w:val="24"/>
        </w:rPr>
      </w:pPr>
      <w:r>
        <w:rPr>
          <w:rFonts w:hint="eastAsia" w:hAnsi="宋体"/>
          <w:bCs/>
          <w:color w:val="000000"/>
          <w:szCs w:val="21"/>
        </w:rPr>
        <w:t>详见在“投标人须知前附表”。</w:t>
      </w:r>
    </w:p>
    <w:p w14:paraId="327EC937">
      <w:pPr>
        <w:spacing w:line="360" w:lineRule="auto"/>
        <w:ind w:firstLine="480" w:firstLineChars="200"/>
        <w:rPr>
          <w:rFonts w:hint="eastAsia" w:ascii="黑体" w:hAnsi="黑体" w:eastAsia="黑体"/>
          <w:color w:val="000000"/>
          <w:sz w:val="24"/>
        </w:rPr>
      </w:pPr>
      <w:r>
        <w:rPr>
          <w:rFonts w:hint="eastAsia" w:ascii="黑体" w:hAnsi="黑体" w:eastAsia="黑体"/>
          <w:color w:val="000000"/>
          <w:sz w:val="24"/>
        </w:rPr>
        <w:t>21.投标文件的提交</w:t>
      </w:r>
    </w:p>
    <w:p w14:paraId="6ABA9E20">
      <w:pPr>
        <w:spacing w:line="360" w:lineRule="auto"/>
        <w:ind w:firstLine="420" w:firstLineChars="200"/>
        <w:rPr>
          <w:rFonts w:hint="eastAsia" w:hAnsi="宋体"/>
          <w:b/>
        </w:rPr>
      </w:pPr>
      <w:bookmarkStart w:id="125" w:name="_21.1投标人必须在“投标人须知中的前附表”规定的投标文件接收时间和投"/>
      <w:bookmarkEnd w:id="125"/>
      <w:r>
        <w:rPr>
          <w:rFonts w:hAnsi="宋体"/>
          <w:bCs/>
          <w:color w:val="000000"/>
          <w:szCs w:val="21"/>
        </w:rPr>
        <w:t>21.1</w:t>
      </w:r>
      <w:r>
        <w:rPr>
          <w:rFonts w:hint="eastAsia" w:hAnsi="宋体"/>
          <w:bCs/>
          <w:color w:val="000000"/>
          <w:szCs w:val="21"/>
        </w:rPr>
        <w:t>投标人必须在“投标人须知前附表”规定的投标文件接收时间和投标地点提交电子版投标文件。电子投标文件应在制作完成后，在投标截止时间前通过有效数字证书（</w:t>
      </w:r>
      <w:r>
        <w:rPr>
          <w:rFonts w:hAnsi="宋体"/>
          <w:bCs/>
          <w:color w:val="000000"/>
          <w:szCs w:val="21"/>
        </w:rPr>
        <w:t>CA</w:t>
      </w:r>
      <w:r>
        <w:rPr>
          <w:rFonts w:hint="eastAsia" w:hAnsi="宋体"/>
          <w:bCs/>
          <w:color w:val="000000"/>
          <w:szCs w:val="21"/>
        </w:rPr>
        <w:t>认证锁）进行电子签章、加密，然后通过网络将加密的电子投标文件递交至“南宁市“广西政府采购云平台””。</w:t>
      </w:r>
      <w:r>
        <w:rPr>
          <w:rFonts w:hAnsi="宋体"/>
          <w:bCs/>
          <w:color w:val="000000"/>
          <w:szCs w:val="21"/>
        </w:rPr>
        <w:t xml:space="preserve"> </w:t>
      </w:r>
      <w:r>
        <w:rPr>
          <w:rFonts w:hAnsi="宋体"/>
          <w:b/>
        </w:rPr>
        <w:t xml:space="preserve"> </w:t>
      </w:r>
    </w:p>
    <w:p w14:paraId="7DC85E19">
      <w:pPr>
        <w:spacing w:line="360" w:lineRule="auto"/>
        <w:ind w:firstLine="422" w:firstLineChars="200"/>
        <w:rPr>
          <w:rFonts w:ascii="宋体" w:hAnsi="宋体"/>
          <w:b/>
          <w:color w:val="000000"/>
          <w:szCs w:val="20"/>
        </w:rPr>
      </w:pPr>
      <w:r>
        <w:rPr>
          <w:rFonts w:hint="eastAsia" w:ascii="宋体" w:hAnsi="宋体"/>
          <w:b/>
          <w:color w:val="000000"/>
          <w:szCs w:val="21"/>
        </w:rPr>
        <w:t>21.2未在规定时间内提交或者未按照招标文件要求密封或者标记的电子投标文件，“广西政府采购云平台”将拒收。</w:t>
      </w:r>
    </w:p>
    <w:p w14:paraId="6CD1E871">
      <w:pPr>
        <w:spacing w:line="360" w:lineRule="auto"/>
        <w:ind w:firstLine="420" w:firstLineChars="200"/>
        <w:rPr>
          <w:rFonts w:hint="eastAsia" w:ascii="宋体" w:hAnsi="宋体"/>
          <w:color w:val="000000"/>
          <w:szCs w:val="21"/>
        </w:rPr>
      </w:pPr>
      <w:r>
        <w:rPr>
          <w:rFonts w:hint="eastAsia" w:ascii="宋体" w:hAnsi="宋体"/>
          <w:color w:val="000000"/>
          <w:szCs w:val="21"/>
        </w:rPr>
        <w:t>21.3电子版投标文件提交方式见“招标公告”中“四、提交投标文件截止时间、开标时间和地点”</w:t>
      </w:r>
      <w:r>
        <w:rPr>
          <w:rFonts w:hint="eastAsia" w:ascii="宋体" w:hAnsi="宋体"/>
          <w:b/>
          <w:color w:val="000000"/>
          <w:szCs w:val="21"/>
        </w:rPr>
        <w:t xml:space="preserve"> 。</w:t>
      </w:r>
    </w:p>
    <w:p w14:paraId="2229851D">
      <w:pPr>
        <w:spacing w:line="360" w:lineRule="auto"/>
        <w:ind w:firstLine="480" w:firstLineChars="200"/>
        <w:rPr>
          <w:rFonts w:hint="eastAsia" w:ascii="黑体" w:hAnsi="黑体" w:eastAsia="黑体"/>
          <w:color w:val="000000"/>
          <w:sz w:val="24"/>
        </w:rPr>
      </w:pPr>
      <w:r>
        <w:rPr>
          <w:rFonts w:hint="eastAsia" w:ascii="黑体" w:hAnsi="黑体" w:eastAsia="黑体"/>
          <w:color w:val="000000"/>
          <w:sz w:val="24"/>
        </w:rPr>
        <w:t>22. 投标文件的补充、修改、撤回与退回</w:t>
      </w:r>
      <w:bookmarkStart w:id="126" w:name="_Toc254970684"/>
      <w:bookmarkStart w:id="127" w:name="_Toc254970543"/>
    </w:p>
    <w:p w14:paraId="4926B5FE">
      <w:pPr>
        <w:spacing w:line="360" w:lineRule="auto"/>
        <w:ind w:firstLine="420" w:firstLineChars="200"/>
        <w:rPr>
          <w:rFonts w:hint="eastAsia" w:ascii="黑体" w:hAnsi="黑体" w:eastAsia="黑体"/>
          <w:color w:val="000000"/>
          <w:sz w:val="24"/>
        </w:rPr>
      </w:pPr>
      <w:r>
        <w:rPr>
          <w:rFonts w:hint="eastAsia" w:ascii="宋体" w:hAnsi="宋体" w:cs="宋体"/>
          <w:color w:val="000000"/>
          <w:szCs w:val="21"/>
        </w:rPr>
        <w:t>22.1 供应商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广西政府采购云平台”将拒收。（补充、修改或者撤回方式见公告附件“电子投标文件制作与投送教程”）</w:t>
      </w:r>
    </w:p>
    <w:p w14:paraId="3AADC321">
      <w:pPr>
        <w:pStyle w:val="23"/>
        <w:spacing w:before="0"/>
        <w:ind w:firstLine="420"/>
        <w:rPr>
          <w:rFonts w:hint="eastAsia" w:ascii="宋体" w:hAnsi="宋体" w:cs="宋体"/>
          <w:color w:val="000000"/>
          <w:sz w:val="21"/>
          <w:szCs w:val="21"/>
        </w:rPr>
      </w:pPr>
      <w:r>
        <w:rPr>
          <w:rFonts w:hint="eastAsia" w:ascii="宋体" w:hAnsi="宋体" w:cs="宋体"/>
          <w:color w:val="000000"/>
          <w:sz w:val="21"/>
          <w:szCs w:val="21"/>
        </w:rPr>
        <w:t>22.2“广西政府采购云平台”收到投标文件，将妥善保存并即时向供应商发出确认回执通知。在投标截止时间前，除供应商补充、修改或者撤回投标文件外，任何单位和个人不得解密或提取投标文件。</w:t>
      </w:r>
    </w:p>
    <w:bookmarkEnd w:id="126"/>
    <w:bookmarkEnd w:id="127"/>
    <w:p w14:paraId="4304DA7F">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22.3在投标截止时间止提交电子版投标文件的投标人不足3家时，电子版投标文件由代理机构在“广西政府采购云平台”操作退回，除此之外采购人和采购代理机构对已提交的投标文件概不退回。</w:t>
      </w:r>
    </w:p>
    <w:p w14:paraId="142F3895">
      <w:pPr>
        <w:pStyle w:val="9"/>
        <w:snapToGrid w:val="0"/>
        <w:spacing w:line="400" w:lineRule="exact"/>
        <w:ind w:firstLine="739"/>
        <w:rPr>
          <w:rFonts w:hint="eastAsia" w:hAnsi="宋体"/>
          <w:snapToGrid w:val="0"/>
          <w:color w:val="000000"/>
          <w:sz w:val="21"/>
          <w:szCs w:val="21"/>
        </w:rPr>
      </w:pPr>
    </w:p>
    <w:p w14:paraId="4CB83E13">
      <w:pPr>
        <w:pStyle w:val="4"/>
        <w:keepNext w:val="0"/>
        <w:keepLines w:val="0"/>
        <w:spacing w:line="400" w:lineRule="exact"/>
        <w:jc w:val="center"/>
        <w:rPr>
          <w:rFonts w:hint="eastAsia"/>
          <w:color w:val="000000"/>
        </w:rPr>
      </w:pPr>
      <w:bookmarkStart w:id="128" w:name="_Toc254970544"/>
      <w:bookmarkStart w:id="129" w:name="_Toc254970685"/>
      <w:bookmarkStart w:id="130" w:name="_Toc211960303"/>
      <w:r>
        <w:rPr>
          <w:rFonts w:hint="eastAsia"/>
          <w:color w:val="000000"/>
        </w:rPr>
        <w:t>四、开</w:t>
      </w:r>
      <w:r>
        <w:rPr>
          <w:color w:val="000000"/>
        </w:rPr>
        <w:t xml:space="preserve">    </w:t>
      </w:r>
      <w:r>
        <w:rPr>
          <w:rFonts w:hint="eastAsia"/>
          <w:color w:val="000000"/>
        </w:rPr>
        <w:t>标</w:t>
      </w:r>
      <w:bookmarkEnd w:id="128"/>
      <w:bookmarkEnd w:id="129"/>
      <w:bookmarkEnd w:id="130"/>
    </w:p>
    <w:p w14:paraId="38659A8C">
      <w:pPr>
        <w:spacing w:line="360" w:lineRule="auto"/>
        <w:ind w:firstLine="480" w:firstLineChars="200"/>
        <w:rPr>
          <w:rFonts w:ascii="黑体" w:hAnsi="黑体" w:eastAsia="黑体"/>
          <w:color w:val="000000"/>
          <w:sz w:val="24"/>
        </w:rPr>
      </w:pPr>
      <w:bookmarkStart w:id="131" w:name="_23.开标时间和地点"/>
      <w:bookmarkEnd w:id="131"/>
      <w:r>
        <w:rPr>
          <w:rFonts w:hint="eastAsia" w:ascii="黑体" w:hAnsi="黑体" w:eastAsia="黑体"/>
          <w:color w:val="000000"/>
          <w:sz w:val="24"/>
        </w:rPr>
        <w:t>23.开标时间和地点</w:t>
      </w:r>
    </w:p>
    <w:p w14:paraId="0B4B7D4F">
      <w:pPr>
        <w:spacing w:line="360" w:lineRule="auto"/>
        <w:ind w:firstLine="420" w:firstLineChars="200"/>
        <w:rPr>
          <w:rFonts w:hint="eastAsia" w:hAnsi="宋体"/>
          <w:bCs/>
          <w:color w:val="000000"/>
        </w:rPr>
      </w:pPr>
      <w:r>
        <w:rPr>
          <w:rFonts w:hAnsi="宋体"/>
          <w:bCs/>
          <w:color w:val="000000"/>
        </w:rPr>
        <w:t>23.1</w:t>
      </w:r>
      <w:r>
        <w:rPr>
          <w:rFonts w:hint="eastAsia" w:hAnsi="宋体"/>
          <w:bCs/>
          <w:color w:val="000000"/>
        </w:rPr>
        <w:t>开标时间及地点详见“投标人须知前附表”</w:t>
      </w:r>
    </w:p>
    <w:p w14:paraId="4AF51813">
      <w:pPr>
        <w:spacing w:line="360" w:lineRule="auto"/>
        <w:ind w:firstLine="420" w:firstLineChars="200"/>
      </w:pPr>
      <w:r>
        <w:rPr>
          <w:rFonts w:hAnsi="宋体"/>
        </w:rPr>
        <w:t>23.2</w:t>
      </w:r>
      <w:r>
        <w:rPr>
          <w:rFonts w:hint="eastAsia" w:hAnsi="宋体"/>
        </w:rPr>
        <w:t>如</w:t>
      </w:r>
      <w:r>
        <w:rPr>
          <w:rFonts w:hint="eastAsia" w:hAnsi="宋体"/>
          <w:bCs/>
          <w:color w:val="000000"/>
        </w:rPr>
        <w:t>投标人成功解密投标文件，但未在</w:t>
      </w:r>
      <w:r>
        <w:rPr>
          <w:rFonts w:hint="eastAsia" w:ascii="宋体" w:hAnsi="宋体" w:cs="宋体"/>
          <w:color w:val="000000"/>
          <w:kern w:val="0"/>
          <w:szCs w:val="21"/>
        </w:rPr>
        <w:t>“广西政府采购云平台”</w:t>
      </w:r>
      <w:r>
        <w:rPr>
          <w:rFonts w:hint="eastAsia" w:hAnsi="宋体"/>
          <w:bCs/>
          <w:color w:val="000000"/>
        </w:rPr>
        <w:t>电子开标大厅参加开标的，视同认可开标过程和结果，</w:t>
      </w:r>
      <w:r>
        <w:rPr>
          <w:rFonts w:hint="eastAsia" w:hAnsi="宋体"/>
        </w:rPr>
        <w:t>由此产生的后果由投标人自行负责。</w:t>
      </w:r>
      <w:r>
        <w:rPr>
          <w:rFonts w:hAnsi="宋体"/>
        </w:rPr>
        <w:t xml:space="preserve"> </w:t>
      </w:r>
      <w:r>
        <w:rPr>
          <w:rFonts w:hint="eastAsia"/>
        </w:rPr>
        <w:t>投标人不足</w:t>
      </w:r>
      <w:r>
        <w:t>3</w:t>
      </w:r>
      <w:r>
        <w:rPr>
          <w:rFonts w:hint="eastAsia"/>
        </w:rPr>
        <w:t>家的，不得开标。</w:t>
      </w:r>
    </w:p>
    <w:p w14:paraId="4BE56EBF">
      <w:pPr>
        <w:spacing w:line="360" w:lineRule="auto"/>
        <w:ind w:firstLine="480" w:firstLineChars="200"/>
        <w:rPr>
          <w:rFonts w:ascii="黑体" w:hAnsi="黑体" w:eastAsia="黑体"/>
          <w:color w:val="000000"/>
          <w:sz w:val="24"/>
        </w:rPr>
      </w:pPr>
      <w:r>
        <w:rPr>
          <w:rFonts w:hint="eastAsia" w:ascii="黑体" w:hAnsi="黑体" w:eastAsia="黑体"/>
          <w:color w:val="000000"/>
          <w:sz w:val="24"/>
        </w:rPr>
        <w:t>24.开标程序</w:t>
      </w:r>
    </w:p>
    <w:p w14:paraId="35C5236C">
      <w:pPr>
        <w:autoSpaceDE w:val="0"/>
        <w:autoSpaceDN w:val="0"/>
        <w:adjustRightInd w:val="0"/>
        <w:spacing w:line="440" w:lineRule="exact"/>
        <w:ind w:firstLine="420" w:firstLineChars="200"/>
        <w:rPr>
          <w:rFonts w:hint="eastAsia" w:ascii="宋体" w:hAnsi="宋体"/>
          <w:kern w:val="0"/>
          <w:szCs w:val="21"/>
        </w:rPr>
      </w:pPr>
      <w:r>
        <w:rPr>
          <w:rFonts w:hint="eastAsia" w:ascii="宋体" w:hAnsi="宋体"/>
          <w:bCs/>
          <w:szCs w:val="21"/>
        </w:rPr>
        <w:t>24.1</w:t>
      </w:r>
      <w:r>
        <w:rPr>
          <w:rFonts w:hint="eastAsia" w:ascii="宋体" w:hAnsi="宋体"/>
          <w:kern w:val="0"/>
          <w:szCs w:val="21"/>
        </w:rPr>
        <w:t>开标形式：</w:t>
      </w:r>
    </w:p>
    <w:p w14:paraId="28697E36">
      <w:pPr>
        <w:autoSpaceDE w:val="0"/>
        <w:autoSpaceDN w:val="0"/>
        <w:adjustRightInd w:val="0"/>
        <w:spacing w:line="440" w:lineRule="exact"/>
        <w:ind w:firstLine="420" w:firstLineChars="200"/>
        <w:rPr>
          <w:rFonts w:hint="eastAsia" w:ascii="宋体" w:hAnsi="宋体"/>
          <w:bCs/>
          <w:szCs w:val="21"/>
        </w:rPr>
      </w:pPr>
      <w:r>
        <w:rPr>
          <w:rFonts w:hint="eastAsia" w:ascii="宋体" w:hAnsi="宋体"/>
          <w:szCs w:val="21"/>
        </w:rPr>
        <w:t>（1）</w:t>
      </w:r>
      <w:r>
        <w:rPr>
          <w:rFonts w:hint="eastAsia" w:ascii="宋体" w:hAnsi="宋体"/>
          <w:bCs/>
          <w:szCs w:val="21"/>
        </w:rPr>
        <w:t>开标的准备工作由采购代理机构负责落实，采购代理机构必须基于“广西政府采购云平台”选取评审专家，如采购代理机构未按规定选取专家的，视为本次开评标无效，应当重新采购；</w:t>
      </w:r>
    </w:p>
    <w:p w14:paraId="1339DEE1">
      <w:pPr>
        <w:autoSpaceDE w:val="0"/>
        <w:autoSpaceDN w:val="0"/>
        <w:adjustRightInd w:val="0"/>
        <w:spacing w:line="440" w:lineRule="exact"/>
        <w:ind w:firstLine="420" w:firstLineChars="200"/>
        <w:rPr>
          <w:rFonts w:hint="eastAsia" w:ascii="宋体" w:hAnsi="宋体"/>
          <w:bCs/>
          <w:szCs w:val="21"/>
        </w:rPr>
      </w:pPr>
      <w:r>
        <w:rPr>
          <w:rFonts w:hint="eastAsia" w:ascii="宋体" w:hAnsi="宋体"/>
          <w:bCs/>
          <w:szCs w:val="21"/>
        </w:rPr>
        <w:t>（2）采购代理机构将按照招标文件规定的时间通过“广西政府采购云平台”组织线上开标活动、开启投标文件，所有供应商均应当准时在线参加。投标人如不参加开标大会的，视同认可开标结果，事后不得对采购相关人员、开标过程和开标结果提出异议，同时投标人因未在线参加开标而导致投标文件无法按时解密等一切后果由投标人自己承担。</w:t>
      </w:r>
    </w:p>
    <w:p w14:paraId="3A5FF7F9">
      <w:pPr>
        <w:autoSpaceDE w:val="0"/>
        <w:autoSpaceDN w:val="0"/>
        <w:adjustRightInd w:val="0"/>
        <w:spacing w:line="440" w:lineRule="exact"/>
        <w:ind w:firstLine="420" w:firstLineChars="200"/>
        <w:rPr>
          <w:rFonts w:hint="eastAsia" w:ascii="宋体" w:hAnsi="宋体"/>
          <w:bCs/>
          <w:szCs w:val="21"/>
        </w:rPr>
      </w:pPr>
      <w:r>
        <w:rPr>
          <w:rFonts w:hint="eastAsia" w:ascii="宋体" w:hAnsi="宋体"/>
          <w:bCs/>
          <w:szCs w:val="21"/>
        </w:rPr>
        <w:t>24.2开标程序：</w:t>
      </w:r>
    </w:p>
    <w:p w14:paraId="1DE9C9FA">
      <w:pPr>
        <w:pStyle w:val="11"/>
        <w:snapToGrid w:val="0"/>
        <w:spacing w:line="440" w:lineRule="exact"/>
        <w:ind w:firstLine="422" w:firstLineChars="200"/>
        <w:rPr>
          <w:rFonts w:hint="eastAsia" w:hAnsi="宋体"/>
          <w:szCs w:val="21"/>
        </w:rPr>
      </w:pPr>
      <w:r>
        <w:rPr>
          <w:rFonts w:hint="eastAsia" w:hAnsi="宋体"/>
          <w:b/>
          <w:szCs w:val="21"/>
        </w:rPr>
        <w:t>（1）解密电子投标文件。</w:t>
      </w:r>
      <w:r>
        <w:rPr>
          <w:rFonts w:hint="eastAsia" w:hAnsi="宋体" w:cs="仿宋_GB2312"/>
          <w:b/>
          <w:szCs w:val="21"/>
        </w:rPr>
        <w:t>“广西政府采购云平台”</w:t>
      </w:r>
      <w:r>
        <w:rPr>
          <w:rFonts w:hint="eastAsia" w:hAnsi="宋体" w:cs="仿宋_GB2312"/>
          <w:szCs w:val="21"/>
        </w:rPr>
        <w:t>按开标时间自动提取所有投标文件。采购代理机构依托“广西政府采购云平台”</w:t>
      </w:r>
      <w:r>
        <w:rPr>
          <w:rFonts w:hint="eastAsia" w:hAnsi="宋体"/>
          <w:szCs w:val="21"/>
        </w:rPr>
        <w:t>向各投标人发出电子加密投标文件【开始解密】通知，由投标人按招标文件规定的时间内自行进行投标文件解密。投标人的法定代表人或其委托代理人</w:t>
      </w:r>
      <w:r>
        <w:rPr>
          <w:rFonts w:hint="eastAsia" w:hAnsi="宋体"/>
          <w:b/>
          <w:szCs w:val="21"/>
        </w:rPr>
        <w:t>须携带加密时所用的CA锁准时登录到“广西政府采购云平台”电子开标大厅签到并对电子投标文件解密</w:t>
      </w:r>
      <w:r>
        <w:rPr>
          <w:rFonts w:hint="eastAsia" w:hAnsi="宋体"/>
          <w:szCs w:val="21"/>
        </w:rPr>
        <w:t>。未在规定时间内解密的，</w:t>
      </w:r>
      <w:r>
        <w:rPr>
          <w:rFonts w:hint="eastAsia" w:hAnsi="宋体"/>
          <w:b/>
          <w:color w:val="000000"/>
          <w:szCs w:val="21"/>
        </w:rPr>
        <w:t>视为无效投标。</w:t>
      </w:r>
    </w:p>
    <w:p w14:paraId="1E8ECA70">
      <w:pPr>
        <w:pStyle w:val="11"/>
        <w:snapToGrid w:val="0"/>
        <w:spacing w:line="440" w:lineRule="exact"/>
        <w:ind w:firstLine="420" w:firstLineChars="200"/>
        <w:rPr>
          <w:rFonts w:hint="eastAsia" w:hAnsi="宋体"/>
          <w:szCs w:val="21"/>
        </w:rPr>
      </w:pPr>
      <w:r>
        <w:rPr>
          <w:rFonts w:hint="eastAsia" w:hAnsi="宋体"/>
          <w:szCs w:val="21"/>
        </w:rPr>
        <w:t>（解密</w:t>
      </w:r>
      <w:r>
        <w:rPr>
          <w:rFonts w:hint="eastAsia" w:hAnsi="宋体"/>
          <w:bCs/>
          <w:color w:val="000000"/>
          <w:szCs w:val="21"/>
        </w:rPr>
        <w:t>异常情况处理：详见本章</w:t>
      </w:r>
      <w:r>
        <w:rPr>
          <w:rFonts w:hint="eastAsia" w:hAnsi="宋体"/>
          <w:color w:val="000000"/>
        </w:rPr>
        <w:t>29.3 电子交易活动的中止。</w:t>
      </w:r>
      <w:r>
        <w:rPr>
          <w:rFonts w:hint="eastAsia" w:hAnsi="宋体"/>
          <w:szCs w:val="21"/>
        </w:rPr>
        <w:t>）</w:t>
      </w:r>
    </w:p>
    <w:p w14:paraId="3703E20D">
      <w:pPr>
        <w:spacing w:line="360" w:lineRule="auto"/>
        <w:ind w:firstLine="420" w:firstLineChars="200"/>
        <w:rPr>
          <w:rFonts w:hint="eastAsia" w:ascii="宋体" w:hAnsi="宋体"/>
          <w:szCs w:val="21"/>
        </w:rPr>
      </w:pPr>
      <w:r>
        <w:rPr>
          <w:rFonts w:hint="eastAsia" w:ascii="宋体" w:hAnsi="宋体"/>
          <w:szCs w:val="21"/>
        </w:rPr>
        <w:t>（2）</w:t>
      </w:r>
      <w:r>
        <w:rPr>
          <w:rFonts w:hint="eastAsia" w:ascii="宋体" w:hAnsi="宋体"/>
          <w:b/>
          <w:szCs w:val="21"/>
        </w:rPr>
        <w:t>电子唱标。</w:t>
      </w:r>
      <w:r>
        <w:rPr>
          <w:rFonts w:hint="eastAsia" w:ascii="宋体" w:hAnsi="宋体"/>
          <w:szCs w:val="21"/>
        </w:rPr>
        <w:t>投标文件解密结束，各投标供应商报价均在“广西政府采购云平台”远程不见面开标大厅展示；</w:t>
      </w:r>
    </w:p>
    <w:p w14:paraId="01C419C4">
      <w:pPr>
        <w:spacing w:line="360" w:lineRule="auto"/>
        <w:ind w:firstLine="420" w:firstLineChars="200"/>
        <w:rPr>
          <w:rFonts w:hint="eastAsia" w:ascii="宋体" w:hAnsi="宋体"/>
          <w:bCs/>
          <w:color w:val="000000"/>
          <w:szCs w:val="21"/>
        </w:rPr>
      </w:pPr>
      <w:r>
        <w:rPr>
          <w:rFonts w:hint="eastAsia" w:ascii="宋体" w:hAnsi="宋体"/>
          <w:bCs/>
          <w:color w:val="000000"/>
          <w:szCs w:val="21"/>
        </w:rPr>
        <w:t>（3）投标人代表对开标过程和开标记录有疑义，以及认为采购人、采购代理机构相关工作人员有需要回避的情形的，应当场提出在线询问或者回避申请。采购人、采购代理机构对投标人代表提出的询问或者回避申请应当及时处理。</w:t>
      </w:r>
    </w:p>
    <w:p w14:paraId="643014B5">
      <w:pPr>
        <w:spacing w:line="360" w:lineRule="auto"/>
        <w:ind w:firstLine="420" w:firstLineChars="200"/>
        <w:rPr>
          <w:rFonts w:hint="eastAsia" w:ascii="宋体" w:hAnsi="宋体"/>
          <w:bCs/>
          <w:color w:val="000000"/>
          <w:szCs w:val="21"/>
        </w:rPr>
      </w:pPr>
      <w:r>
        <w:rPr>
          <w:rFonts w:hint="eastAsia" w:ascii="宋体" w:hAnsi="宋体"/>
          <w:bCs/>
          <w:color w:val="000000"/>
          <w:szCs w:val="21"/>
        </w:rPr>
        <w:t>（4）开标结束。</w:t>
      </w:r>
    </w:p>
    <w:p w14:paraId="7D90C2EC">
      <w:pPr>
        <w:pStyle w:val="11"/>
        <w:snapToGrid w:val="0"/>
        <w:spacing w:line="440" w:lineRule="exact"/>
        <w:ind w:firstLine="422" w:firstLineChars="200"/>
        <w:rPr>
          <w:rFonts w:hint="eastAsia" w:hAnsi="宋体"/>
          <w:szCs w:val="21"/>
        </w:rPr>
      </w:pPr>
      <w:r>
        <w:rPr>
          <w:rFonts w:hint="eastAsia" w:hAnsi="宋体"/>
          <w:b/>
          <w:bCs/>
          <w:szCs w:val="21"/>
        </w:rPr>
        <w:t>特别说明：</w:t>
      </w:r>
      <w:r>
        <w:rPr>
          <w:rFonts w:hint="eastAsia" w:hAnsi="宋体"/>
          <w:szCs w:val="21"/>
        </w:rPr>
        <w:t>如遇“广西政府采购云平台”电子化开标或评审程序调整的，按调整后执行。</w:t>
      </w:r>
    </w:p>
    <w:p w14:paraId="2ECFD834">
      <w:pPr>
        <w:pStyle w:val="11"/>
        <w:snapToGrid w:val="0"/>
        <w:spacing w:line="400" w:lineRule="exact"/>
        <w:ind w:left="689" w:leftChars="228" w:hanging="210" w:hangingChars="100"/>
        <w:rPr>
          <w:rFonts w:hint="eastAsia" w:hAnsi="宋体"/>
          <w:color w:val="000000"/>
        </w:rPr>
      </w:pPr>
    </w:p>
    <w:p w14:paraId="1BBB7433">
      <w:pPr>
        <w:pStyle w:val="4"/>
        <w:keepNext w:val="0"/>
        <w:keepLines w:val="0"/>
        <w:spacing w:line="400" w:lineRule="exact"/>
        <w:jc w:val="center"/>
        <w:rPr>
          <w:rFonts w:hint="eastAsia"/>
          <w:color w:val="000000"/>
        </w:rPr>
      </w:pPr>
      <w:bookmarkStart w:id="132" w:name="_Toc211960304"/>
      <w:r>
        <w:rPr>
          <w:rFonts w:hint="eastAsia"/>
          <w:color w:val="000000"/>
        </w:rPr>
        <w:t>五、资格审查</w:t>
      </w:r>
      <w:bookmarkEnd w:id="132"/>
    </w:p>
    <w:p w14:paraId="7D45826C">
      <w:pPr>
        <w:pStyle w:val="5"/>
        <w:keepNext w:val="0"/>
        <w:keepLines w:val="0"/>
        <w:spacing w:before="0" w:after="0" w:line="360" w:lineRule="auto"/>
        <w:ind w:firstLine="482" w:firstLineChars="200"/>
        <w:rPr>
          <w:rFonts w:ascii="黑体" w:hAnsi="黑体" w:eastAsia="黑体"/>
          <w:color w:val="000000"/>
          <w:sz w:val="24"/>
        </w:rPr>
      </w:pPr>
      <w:r>
        <w:rPr>
          <w:rFonts w:hint="eastAsia" w:ascii="黑体" w:hAnsi="黑体" w:eastAsia="黑体"/>
          <w:color w:val="000000"/>
          <w:sz w:val="24"/>
        </w:rPr>
        <w:t>25.资格审查</w:t>
      </w:r>
    </w:p>
    <w:p w14:paraId="3C8C9E12">
      <w:pPr>
        <w:spacing w:line="360" w:lineRule="auto"/>
        <w:ind w:firstLine="422" w:firstLineChars="200"/>
        <w:rPr>
          <w:rFonts w:hint="eastAsia" w:ascii="宋体" w:hAnsi="宋体"/>
          <w:b/>
          <w:bCs/>
          <w:color w:val="000000"/>
          <w:szCs w:val="20"/>
        </w:rPr>
      </w:pPr>
      <w:r>
        <w:rPr>
          <w:rFonts w:hint="eastAsia" w:ascii="宋体" w:hAnsi="宋体"/>
          <w:b/>
          <w:bCs/>
          <w:color w:val="000000"/>
          <w:szCs w:val="20"/>
        </w:rPr>
        <w:t xml:space="preserve"> 25.1开标结束后，采购人或采购机构依法通过电子投标文件对投标人的资格进行线上审查。</w:t>
      </w:r>
    </w:p>
    <w:p w14:paraId="44522F3C">
      <w:pPr>
        <w:spacing w:line="360" w:lineRule="auto"/>
        <w:ind w:firstLine="422" w:firstLineChars="200"/>
        <w:rPr>
          <w:rFonts w:hint="eastAsia" w:ascii="宋体" w:hAnsi="宋体"/>
          <w:b/>
          <w:bCs/>
          <w:color w:val="000000"/>
          <w:szCs w:val="20"/>
        </w:rPr>
      </w:pPr>
      <w:r>
        <w:rPr>
          <w:rFonts w:hint="eastAsia" w:ascii="宋体" w:hAnsi="宋体"/>
          <w:b/>
          <w:bCs/>
          <w:color w:val="000000"/>
          <w:szCs w:val="20"/>
        </w:rPr>
        <w:t xml:space="preserve"> 25.2采购人或采购机构依据法律法规和招标文件的规定，对投标人的基本资格条件、特定资格条件进行审查。</w:t>
      </w:r>
    </w:p>
    <w:p w14:paraId="3D797830">
      <w:pPr>
        <w:spacing w:line="360" w:lineRule="auto"/>
        <w:ind w:firstLine="420" w:firstLineChars="200"/>
        <w:rPr>
          <w:rFonts w:hint="eastAsia" w:ascii="宋体" w:hAnsi="宋体"/>
          <w:color w:val="000000"/>
        </w:rPr>
      </w:pPr>
      <w:r>
        <w:rPr>
          <w:rFonts w:hint="eastAsia" w:ascii="宋体" w:hAnsi="宋体"/>
          <w:color w:val="000000"/>
        </w:rPr>
        <w:t>25.3资格审查标准为本“招标文件”中“投标人须知前附表”13.1点载明对投标人资格要求的条件。本项目资格审查采用合格制，凡符合招标文件规定的投标人资格要求的投标人均通过资格审查。</w:t>
      </w:r>
    </w:p>
    <w:p w14:paraId="1E06427F">
      <w:pPr>
        <w:spacing w:line="360" w:lineRule="auto"/>
        <w:ind w:firstLine="422" w:firstLineChars="200"/>
        <w:rPr>
          <w:rFonts w:hint="eastAsia" w:ascii="宋体" w:hAnsi="宋体"/>
          <w:b/>
          <w:bCs/>
          <w:color w:val="000000"/>
          <w:szCs w:val="20"/>
        </w:rPr>
      </w:pPr>
      <w:bookmarkStart w:id="133" w:name="_25.3_投标人有下列情形之一的，资格审查不通过而导致其投标无效："/>
      <w:bookmarkEnd w:id="133"/>
      <w:r>
        <w:rPr>
          <w:rFonts w:hint="eastAsia" w:ascii="宋体" w:hAnsi="宋体"/>
          <w:b/>
          <w:bCs/>
          <w:color w:val="000000"/>
          <w:szCs w:val="20"/>
        </w:rPr>
        <w:t>25.4投标人有下列情形之一的，资格审查不通过，作无效投标处理：</w:t>
      </w:r>
    </w:p>
    <w:p w14:paraId="4F146FF2">
      <w:pPr>
        <w:spacing w:line="360" w:lineRule="auto"/>
        <w:ind w:firstLine="420" w:firstLineChars="200"/>
        <w:rPr>
          <w:rFonts w:hint="eastAsia" w:hAnsi="宋体"/>
          <w:color w:val="000000"/>
        </w:rPr>
      </w:pPr>
      <w:r>
        <w:rPr>
          <w:rFonts w:hint="eastAsia" w:hAnsi="宋体"/>
          <w:color w:val="000000"/>
        </w:rPr>
        <w:t>（</w:t>
      </w:r>
      <w:r>
        <w:rPr>
          <w:rFonts w:hAnsi="宋体"/>
          <w:color w:val="000000"/>
        </w:rPr>
        <w:t>1</w:t>
      </w:r>
      <w:r>
        <w:rPr>
          <w:rFonts w:hint="eastAsia" w:hAnsi="宋体"/>
          <w:color w:val="000000"/>
        </w:rPr>
        <w:t>）不具备招标文件中规定的资格要求的；（注：其中信用查询规则见“投标人须知前附表”，“广西政府采购云平台”已与“信用中国”平台做接口，审查专家可直接在线查询）</w:t>
      </w:r>
    </w:p>
    <w:p w14:paraId="1EE34807">
      <w:pPr>
        <w:spacing w:line="360" w:lineRule="auto"/>
        <w:ind w:firstLine="420" w:firstLineChars="200"/>
        <w:rPr>
          <w:rFonts w:hAnsi="宋体"/>
          <w:color w:val="000000"/>
        </w:rPr>
      </w:pPr>
      <w:r>
        <w:rPr>
          <w:rFonts w:hint="eastAsia" w:hAnsi="宋体"/>
          <w:color w:val="000000"/>
        </w:rPr>
        <w:t>（</w:t>
      </w:r>
      <w:r>
        <w:rPr>
          <w:rFonts w:hAnsi="宋体"/>
          <w:color w:val="000000"/>
        </w:rPr>
        <w:t>2</w:t>
      </w:r>
      <w:r>
        <w:rPr>
          <w:rFonts w:hint="eastAsia" w:hAnsi="宋体"/>
          <w:color w:val="000000"/>
        </w:rPr>
        <w:t>）投标文件未提供任一项“投标人须知前附表”资格证明文件规定的“必须提供”的文件资料的；</w:t>
      </w:r>
    </w:p>
    <w:p w14:paraId="2AE67C7F">
      <w:pPr>
        <w:spacing w:line="360" w:lineRule="auto"/>
        <w:ind w:firstLine="420" w:firstLineChars="200"/>
        <w:rPr>
          <w:rFonts w:hAnsi="宋体"/>
          <w:color w:val="000000"/>
        </w:rPr>
      </w:pPr>
      <w:r>
        <w:rPr>
          <w:rFonts w:hint="eastAsia" w:hAnsi="宋体"/>
          <w:color w:val="000000"/>
        </w:rPr>
        <w:t>（</w:t>
      </w:r>
      <w:r>
        <w:rPr>
          <w:rFonts w:hAnsi="宋体"/>
          <w:color w:val="000000"/>
        </w:rPr>
        <w:t>3</w:t>
      </w:r>
      <w:r>
        <w:rPr>
          <w:rFonts w:hint="eastAsia" w:hAnsi="宋体"/>
          <w:color w:val="000000"/>
        </w:rPr>
        <w:t>）投标文件提供的资格证明文件出现任一项不符合“投标人须知前附表”资格证明文件规定的“必须提供”的文件资料要求或者无效的。</w:t>
      </w:r>
    </w:p>
    <w:p w14:paraId="240F14D4">
      <w:pPr>
        <w:pStyle w:val="5"/>
        <w:keepNext w:val="0"/>
        <w:keepLines w:val="0"/>
        <w:spacing w:before="0" w:after="0" w:line="360" w:lineRule="auto"/>
        <w:ind w:firstLine="420" w:firstLineChars="200"/>
        <w:rPr>
          <w:rFonts w:ascii="宋体" w:hAnsi="宋体"/>
          <w:b w:val="0"/>
          <w:bCs w:val="0"/>
          <w:color w:val="000000"/>
          <w:sz w:val="21"/>
          <w:szCs w:val="20"/>
        </w:rPr>
      </w:pPr>
      <w:r>
        <w:rPr>
          <w:rFonts w:hint="eastAsia" w:ascii="宋体" w:hAnsi="宋体"/>
          <w:b w:val="0"/>
          <w:bCs w:val="0"/>
          <w:color w:val="000000"/>
          <w:sz w:val="21"/>
          <w:szCs w:val="20"/>
        </w:rPr>
        <w:t>25.5资格审查的合格投标人不足3家的，不得评标。</w:t>
      </w:r>
    </w:p>
    <w:p w14:paraId="117A774D">
      <w:pPr>
        <w:pStyle w:val="4"/>
        <w:keepNext w:val="0"/>
        <w:keepLines w:val="0"/>
        <w:spacing w:line="360" w:lineRule="auto"/>
        <w:jc w:val="center"/>
        <w:rPr>
          <w:rFonts w:hint="eastAsia"/>
          <w:color w:val="000000"/>
        </w:rPr>
      </w:pPr>
      <w:bookmarkStart w:id="134" w:name="_Toc211960305"/>
      <w:r>
        <w:rPr>
          <w:rFonts w:hint="eastAsia"/>
          <w:color w:val="000000"/>
        </w:rPr>
        <w:t>六、评</w:t>
      </w:r>
      <w:r>
        <w:rPr>
          <w:color w:val="000000"/>
        </w:rPr>
        <w:t xml:space="preserve">   </w:t>
      </w:r>
      <w:r>
        <w:rPr>
          <w:rFonts w:hint="eastAsia"/>
          <w:color w:val="000000"/>
        </w:rPr>
        <w:t>标</w:t>
      </w:r>
      <w:bookmarkEnd w:id="134"/>
    </w:p>
    <w:p w14:paraId="495B1F34">
      <w:pPr>
        <w:spacing w:line="360" w:lineRule="auto"/>
        <w:ind w:firstLine="480" w:firstLineChars="200"/>
        <w:rPr>
          <w:rFonts w:ascii="黑体" w:hAnsi="黑体" w:eastAsia="黑体"/>
          <w:color w:val="000000"/>
          <w:sz w:val="24"/>
        </w:rPr>
      </w:pPr>
      <w:bookmarkStart w:id="135" w:name="_26.组建评标委员会"/>
      <w:bookmarkEnd w:id="135"/>
      <w:r>
        <w:rPr>
          <w:rFonts w:hint="eastAsia" w:ascii="黑体" w:hAnsi="黑体" w:eastAsia="黑体"/>
          <w:color w:val="000000"/>
          <w:sz w:val="24"/>
        </w:rPr>
        <w:t>26.组建评标委员会</w:t>
      </w:r>
    </w:p>
    <w:p w14:paraId="07AF2636">
      <w:pPr>
        <w:spacing w:line="360" w:lineRule="auto"/>
        <w:ind w:firstLine="420" w:firstLineChars="200"/>
        <w:rPr>
          <w:rFonts w:hint="eastAsia" w:hAnsi="宋体"/>
          <w:color w:val="000000"/>
        </w:rPr>
      </w:pPr>
      <w:r>
        <w:rPr>
          <w:rFonts w:hint="eastAsia" w:hAnsi="宋体"/>
          <w:color w:val="000000"/>
        </w:rPr>
        <w:t>评标委员会由采购人代表和评审专家组成，人数为</w:t>
      </w:r>
      <w:r>
        <w:rPr>
          <w:rFonts w:hAnsi="宋体"/>
          <w:color w:val="000000"/>
        </w:rPr>
        <w:t>5</w:t>
      </w:r>
      <w:r>
        <w:rPr>
          <w:rFonts w:hint="eastAsia" w:hAnsi="宋体"/>
          <w:color w:val="000000"/>
        </w:rPr>
        <w:t>人以上单数，其中评审专家不得少于成员总数的三分之二。</w:t>
      </w:r>
    </w:p>
    <w:p w14:paraId="50A565DB">
      <w:pPr>
        <w:spacing w:line="360" w:lineRule="auto"/>
        <w:ind w:firstLine="420" w:firstLineChars="200"/>
        <w:rPr>
          <w:rFonts w:hAnsi="宋体"/>
          <w:color w:val="000000"/>
        </w:rPr>
      </w:pPr>
      <w:r>
        <w:rPr>
          <w:rFonts w:hint="eastAsia" w:hAnsi="宋体"/>
          <w:color w:val="000000"/>
        </w:rPr>
        <w:t>参加过采购项目前期咨询论证的专家，不得参加该采购项目的评审活动。</w:t>
      </w:r>
    </w:p>
    <w:p w14:paraId="6F352562">
      <w:pPr>
        <w:spacing w:line="360" w:lineRule="auto"/>
        <w:ind w:firstLine="480" w:firstLineChars="200"/>
        <w:rPr>
          <w:rFonts w:ascii="黑体" w:hAnsi="黑体" w:eastAsia="黑体"/>
          <w:color w:val="000000"/>
          <w:sz w:val="24"/>
        </w:rPr>
      </w:pPr>
      <w:r>
        <w:rPr>
          <w:rFonts w:hint="eastAsia" w:ascii="黑体" w:hAnsi="黑体" w:eastAsia="黑体"/>
          <w:color w:val="000000"/>
          <w:sz w:val="24"/>
        </w:rPr>
        <w:t>27.评标的依据</w:t>
      </w:r>
    </w:p>
    <w:p w14:paraId="72DD96DD">
      <w:pPr>
        <w:spacing w:line="360" w:lineRule="auto"/>
        <w:ind w:firstLine="420" w:firstLineChars="200"/>
        <w:rPr>
          <w:rFonts w:hint="eastAsia" w:hAnsi="宋体"/>
          <w:color w:val="000000"/>
        </w:rPr>
      </w:pPr>
      <w:r>
        <w:rPr>
          <w:rFonts w:hint="eastAsia" w:hAnsi="宋体"/>
          <w:color w:val="000000"/>
        </w:rPr>
        <w:t>评标委员会以招标文件为依据对投标文件进行评审，</w:t>
      </w:r>
      <w:r>
        <w:rPr>
          <w:rFonts w:hint="eastAsia" w:hAnsi="宋体" w:cs="宋体"/>
          <w:color w:val="000000"/>
        </w:rPr>
        <w:t>“第四章</w:t>
      </w:r>
      <w:r>
        <w:rPr>
          <w:rFonts w:hAnsi="宋体" w:cs="宋体"/>
          <w:color w:val="000000"/>
        </w:rPr>
        <w:t xml:space="preserve"> </w:t>
      </w:r>
      <w:r>
        <w:rPr>
          <w:rFonts w:hint="eastAsia" w:hAnsi="宋体" w:cs="宋体"/>
          <w:color w:val="000000"/>
        </w:rPr>
        <w:t>评标方法和评标标准”</w:t>
      </w:r>
      <w:r>
        <w:rPr>
          <w:rFonts w:hint="eastAsia" w:hAnsi="宋体"/>
          <w:color w:val="000000"/>
        </w:rPr>
        <w:t>没有规定的方法、评审因素和标准，不作为评标依据。</w:t>
      </w:r>
    </w:p>
    <w:p w14:paraId="5BF94D2A">
      <w:pPr>
        <w:spacing w:line="360" w:lineRule="auto"/>
        <w:ind w:firstLine="480" w:firstLineChars="200"/>
        <w:rPr>
          <w:rFonts w:ascii="黑体" w:hAnsi="黑体" w:eastAsia="黑体"/>
          <w:color w:val="000000"/>
          <w:sz w:val="24"/>
        </w:rPr>
      </w:pPr>
      <w:r>
        <w:rPr>
          <w:rFonts w:hint="eastAsia" w:ascii="黑体" w:hAnsi="黑体" w:eastAsia="黑体"/>
          <w:color w:val="000000"/>
          <w:sz w:val="24"/>
        </w:rPr>
        <w:t>28.评标原则</w:t>
      </w:r>
    </w:p>
    <w:p w14:paraId="6236A3B5">
      <w:pPr>
        <w:spacing w:line="360" w:lineRule="auto"/>
        <w:ind w:firstLine="420" w:firstLineChars="200"/>
        <w:rPr>
          <w:rFonts w:hint="eastAsia" w:hAnsi="宋体"/>
          <w:color w:val="000000"/>
        </w:rPr>
      </w:pPr>
      <w:r>
        <w:rPr>
          <w:rFonts w:hAnsi="宋体"/>
          <w:color w:val="000000"/>
        </w:rPr>
        <w:t>28.1</w:t>
      </w:r>
      <w:r>
        <w:rPr>
          <w:rFonts w:hint="eastAsia" w:hAnsi="宋体"/>
          <w:color w:val="000000"/>
        </w:rPr>
        <w:t>评标原则。评标委员会评标时必须公平、公正、客观，不带任何倾向性和启发性；不得向外界透露任何与评标有关的内容；任何单位和个人不得干扰、影响评标的正常进行；评标委员会及有关工作人员不得私下与投标人接触，不得收受利害关系人的财物或者其他好处。</w:t>
      </w:r>
    </w:p>
    <w:p w14:paraId="3128760E">
      <w:pPr>
        <w:spacing w:line="360" w:lineRule="auto"/>
        <w:ind w:firstLine="420" w:firstLineChars="200"/>
        <w:rPr>
          <w:rFonts w:hAnsi="宋体"/>
          <w:color w:val="000000"/>
        </w:rPr>
      </w:pPr>
      <w:r>
        <w:rPr>
          <w:rFonts w:hAnsi="宋体"/>
          <w:color w:val="000000"/>
        </w:rPr>
        <w:t>28.2</w:t>
      </w:r>
      <w:r>
        <w:rPr>
          <w:rFonts w:hint="eastAsia" w:hAnsi="宋体"/>
          <w:color w:val="000000"/>
        </w:rPr>
        <w:t>评委表决。在评标过程中出现法律法规和招标文件均没有明确规定的情形时，由评标委员会现场协商解决，协商不一致的，由全体评委投票表决，以得票率二分之一以上专家的意见为准并由采购代理机构作记录。</w:t>
      </w:r>
      <w:bookmarkStart w:id="136" w:name="_28.3评标方法。本项目将按须知前附表规定的评标办法进行评标，具体评标"/>
      <w:bookmarkEnd w:id="136"/>
    </w:p>
    <w:p w14:paraId="31415EA0">
      <w:pPr>
        <w:spacing w:line="360" w:lineRule="auto"/>
        <w:ind w:firstLine="420" w:firstLineChars="200"/>
        <w:rPr>
          <w:rFonts w:hAnsi="宋体"/>
          <w:color w:val="000000"/>
        </w:rPr>
      </w:pPr>
      <w:r>
        <w:rPr>
          <w:rFonts w:hAnsi="宋体"/>
          <w:color w:val="000000"/>
        </w:rPr>
        <w:t>28.3</w:t>
      </w:r>
      <w:r>
        <w:rPr>
          <w:rFonts w:hint="eastAsia" w:hAnsi="宋体"/>
          <w:color w:val="000000"/>
        </w:rPr>
        <w:t>评标的保密。采购人、采购代理机构应当采取必要措施，保证评标在严格保密（封闭式评标）的情况下进行。除采购人代表、评标现场组织人员外，采购人的其他工作人员以及与评标工作无关的人员不得进入评标现场。有关人员对评标情况以及在评标过程中获悉的国家秘密、商业秘密负有保密责任。</w:t>
      </w:r>
    </w:p>
    <w:p w14:paraId="73B6AD10">
      <w:pPr>
        <w:spacing w:line="360" w:lineRule="auto"/>
        <w:ind w:firstLine="420" w:firstLineChars="200"/>
        <w:rPr>
          <w:rFonts w:hAnsi="宋体"/>
          <w:color w:val="000000"/>
        </w:rPr>
      </w:pPr>
      <w:r>
        <w:rPr>
          <w:rFonts w:hAnsi="宋体"/>
          <w:color w:val="000000"/>
        </w:rPr>
        <w:t>28.4</w:t>
      </w:r>
      <w:r>
        <w:rPr>
          <w:rFonts w:hint="eastAsia" w:hAnsi="宋体"/>
          <w:color w:val="000000"/>
        </w:rPr>
        <w:t>评标过程的监控。本项目电子评标过程实行网上留痕、全程录音、录像监控，投标人在评标过程中所进行的试图影响评标结果的不公正活动，可能导致其投标按无效处理。</w:t>
      </w:r>
    </w:p>
    <w:p w14:paraId="4AF0000C">
      <w:pPr>
        <w:widowControl/>
        <w:spacing w:line="560" w:lineRule="exact"/>
        <w:ind w:firstLine="420" w:firstLineChars="200"/>
        <w:jc w:val="left"/>
        <w:textAlignment w:val="baseline"/>
        <w:rPr>
          <w:rFonts w:hAnsi="宋体"/>
          <w:color w:val="000000"/>
        </w:rPr>
      </w:pPr>
      <w:r>
        <w:rPr>
          <w:rFonts w:hAnsi="宋体"/>
          <w:color w:val="000000"/>
        </w:rPr>
        <w:t>28.5</w:t>
      </w:r>
      <w:r>
        <w:rPr>
          <w:rFonts w:hint="eastAsia" w:hAnsi="宋体"/>
          <w:color w:val="000000"/>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254DF1FD">
      <w:pPr>
        <w:spacing w:line="360" w:lineRule="auto"/>
        <w:ind w:firstLine="480" w:firstLineChars="200"/>
        <w:rPr>
          <w:rFonts w:ascii="黑体" w:hAnsi="黑体" w:eastAsia="黑体"/>
          <w:color w:val="000000"/>
          <w:sz w:val="24"/>
        </w:rPr>
      </w:pPr>
      <w:r>
        <w:rPr>
          <w:rFonts w:hint="eastAsia" w:ascii="黑体" w:hAnsi="黑体" w:eastAsia="黑体"/>
          <w:color w:val="000000"/>
          <w:sz w:val="24"/>
        </w:rPr>
        <w:t>29.评标方法及评标标准</w:t>
      </w:r>
    </w:p>
    <w:p w14:paraId="5E895907">
      <w:pPr>
        <w:spacing w:line="360" w:lineRule="auto"/>
        <w:ind w:firstLine="420" w:firstLineChars="200"/>
        <w:rPr>
          <w:rFonts w:hint="eastAsia" w:hAnsi="宋体"/>
          <w:color w:val="000000"/>
        </w:rPr>
      </w:pPr>
      <w:r>
        <w:rPr>
          <w:rFonts w:hAnsi="宋体"/>
          <w:color w:val="000000"/>
        </w:rPr>
        <w:t>29.1</w:t>
      </w:r>
      <w:r>
        <w:rPr>
          <w:rFonts w:hint="eastAsia" w:hAnsi="宋体"/>
          <w:color w:val="000000"/>
        </w:rPr>
        <w:t>本项目的评标方法详见“投标人须知前附表”。</w:t>
      </w:r>
    </w:p>
    <w:p w14:paraId="4E270F39">
      <w:pPr>
        <w:spacing w:line="360" w:lineRule="auto"/>
        <w:ind w:firstLine="420" w:firstLineChars="200"/>
        <w:rPr>
          <w:rFonts w:hAnsi="宋体"/>
          <w:color w:val="000000"/>
        </w:rPr>
      </w:pPr>
      <w:r>
        <w:rPr>
          <w:rFonts w:hAnsi="宋体"/>
          <w:color w:val="000000"/>
        </w:rPr>
        <w:t>29.2</w:t>
      </w:r>
      <w:r>
        <w:rPr>
          <w:rFonts w:hAnsi="宋体" w:cs="宋体"/>
          <w:color w:val="000000"/>
        </w:rPr>
        <w:t xml:space="preserve"> </w:t>
      </w:r>
      <w:r>
        <w:rPr>
          <w:rFonts w:hint="eastAsia" w:hAnsi="宋体"/>
          <w:color w:val="000000"/>
        </w:rPr>
        <w:t>评标委员会按照</w:t>
      </w:r>
      <w:r>
        <w:rPr>
          <w:rFonts w:hint="eastAsia" w:hAnsi="宋体" w:cs="宋体"/>
          <w:b/>
          <w:color w:val="000000"/>
        </w:rPr>
        <w:t>“第四章</w:t>
      </w:r>
      <w:r>
        <w:rPr>
          <w:rFonts w:hAnsi="宋体" w:cs="宋体"/>
          <w:b/>
          <w:color w:val="000000"/>
        </w:rPr>
        <w:t xml:space="preserve"> </w:t>
      </w:r>
      <w:r>
        <w:rPr>
          <w:rFonts w:hint="eastAsia" w:hAnsi="宋体" w:cs="宋体"/>
          <w:b/>
          <w:color w:val="000000"/>
        </w:rPr>
        <w:t>评标方法和评标标准”</w:t>
      </w:r>
      <w:r>
        <w:rPr>
          <w:rFonts w:hint="eastAsia" w:hAnsi="宋体"/>
          <w:color w:val="000000"/>
        </w:rPr>
        <w:t>规定的方法、评审因素、标准和程序对投标文件进行评审。</w:t>
      </w:r>
    </w:p>
    <w:p w14:paraId="0624BCE1">
      <w:pPr>
        <w:spacing w:line="360" w:lineRule="auto"/>
        <w:ind w:firstLine="420" w:firstLineChars="200"/>
        <w:rPr>
          <w:rFonts w:hAnsi="宋体"/>
          <w:color w:val="000000"/>
        </w:rPr>
      </w:pPr>
      <w:r>
        <w:rPr>
          <w:rFonts w:hAnsi="宋体"/>
          <w:color w:val="000000"/>
        </w:rPr>
        <w:t xml:space="preserve">29.3 </w:t>
      </w:r>
      <w:r>
        <w:rPr>
          <w:rFonts w:hint="eastAsia" w:hAnsi="宋体"/>
          <w:color w:val="000000"/>
        </w:rPr>
        <w:t>电子交易活动的中止。采购过程中出现以下情形，导致电子交易平台无法正常运行，或者无法保证电子交易的公平、公正和安全时，采购机构可中止电子交易活动：</w:t>
      </w:r>
    </w:p>
    <w:p w14:paraId="7D6DB93F">
      <w:pPr>
        <w:spacing w:line="360" w:lineRule="auto"/>
        <w:ind w:firstLine="420" w:firstLineChars="200"/>
        <w:rPr>
          <w:rFonts w:hAnsi="宋体"/>
          <w:color w:val="000000"/>
        </w:rPr>
      </w:pPr>
      <w:r>
        <w:rPr>
          <w:rFonts w:hint="eastAsia" w:hAnsi="宋体"/>
          <w:color w:val="000000"/>
        </w:rPr>
        <w:t>（</w:t>
      </w:r>
      <w:r>
        <w:rPr>
          <w:rFonts w:hAnsi="宋体"/>
          <w:color w:val="000000"/>
        </w:rPr>
        <w:t>1</w:t>
      </w:r>
      <w:r>
        <w:rPr>
          <w:rFonts w:hint="eastAsia" w:hAnsi="宋体"/>
          <w:color w:val="000000"/>
        </w:rPr>
        <w:t>）电子交易平台发生故障而无法登录访问的；</w:t>
      </w:r>
      <w:r>
        <w:rPr>
          <w:rFonts w:hAnsi="宋体"/>
          <w:color w:val="000000"/>
        </w:rPr>
        <w:t xml:space="preserve"> </w:t>
      </w:r>
    </w:p>
    <w:p w14:paraId="6C1DCAC1">
      <w:pPr>
        <w:spacing w:line="360" w:lineRule="auto"/>
        <w:ind w:firstLine="420" w:firstLineChars="200"/>
        <w:rPr>
          <w:rFonts w:hAnsi="宋体"/>
          <w:color w:val="000000"/>
        </w:rPr>
      </w:pPr>
      <w:r>
        <w:rPr>
          <w:rFonts w:hint="eastAsia" w:hAnsi="宋体"/>
          <w:color w:val="000000"/>
        </w:rPr>
        <w:t>（</w:t>
      </w:r>
      <w:r>
        <w:rPr>
          <w:rFonts w:hAnsi="宋体"/>
          <w:color w:val="000000"/>
        </w:rPr>
        <w:t>2</w:t>
      </w:r>
      <w:r>
        <w:rPr>
          <w:rFonts w:hint="eastAsia" w:hAnsi="宋体"/>
          <w:color w:val="000000"/>
        </w:rPr>
        <w:t>）电子交易平台应用或数据库出现错误，不能进行正常操作的；</w:t>
      </w:r>
    </w:p>
    <w:p w14:paraId="46DF68B6">
      <w:pPr>
        <w:spacing w:line="360" w:lineRule="auto"/>
        <w:ind w:firstLine="420" w:firstLineChars="200"/>
        <w:rPr>
          <w:rFonts w:hAnsi="宋体"/>
          <w:color w:val="000000"/>
        </w:rPr>
      </w:pPr>
      <w:r>
        <w:rPr>
          <w:rFonts w:hint="eastAsia" w:hAnsi="宋体"/>
          <w:color w:val="000000"/>
        </w:rPr>
        <w:t>（</w:t>
      </w:r>
      <w:r>
        <w:rPr>
          <w:rFonts w:hAnsi="宋体"/>
          <w:color w:val="000000"/>
        </w:rPr>
        <w:t>3</w:t>
      </w:r>
      <w:r>
        <w:rPr>
          <w:rFonts w:hint="eastAsia" w:hAnsi="宋体"/>
          <w:color w:val="000000"/>
        </w:rPr>
        <w:t>）电子交易平台发现严重安全漏洞，有潜在泄密危险的；</w:t>
      </w:r>
    </w:p>
    <w:p w14:paraId="6CBFB0DD">
      <w:pPr>
        <w:spacing w:line="360" w:lineRule="auto"/>
        <w:ind w:firstLine="420" w:firstLineChars="200"/>
        <w:rPr>
          <w:rFonts w:hAnsi="宋体"/>
          <w:color w:val="000000"/>
        </w:rPr>
      </w:pPr>
      <w:r>
        <w:rPr>
          <w:rFonts w:hint="eastAsia" w:hAnsi="宋体"/>
          <w:color w:val="000000"/>
        </w:rPr>
        <w:t>（</w:t>
      </w:r>
      <w:r>
        <w:rPr>
          <w:rFonts w:hAnsi="宋体"/>
          <w:color w:val="000000"/>
        </w:rPr>
        <w:t>4</w:t>
      </w:r>
      <w:r>
        <w:rPr>
          <w:rFonts w:hint="eastAsia" w:hAnsi="宋体"/>
          <w:color w:val="000000"/>
        </w:rPr>
        <w:t>）病毒发作导致不能进行正常操作的；</w:t>
      </w:r>
      <w:r>
        <w:rPr>
          <w:rFonts w:hAnsi="宋体"/>
          <w:color w:val="000000"/>
        </w:rPr>
        <w:t xml:space="preserve"> </w:t>
      </w:r>
    </w:p>
    <w:p w14:paraId="065DC5E9">
      <w:pPr>
        <w:spacing w:line="360" w:lineRule="auto"/>
        <w:ind w:firstLine="420" w:firstLineChars="200"/>
        <w:rPr>
          <w:rFonts w:hAnsi="宋体"/>
          <w:color w:val="000000"/>
        </w:rPr>
      </w:pPr>
      <w:r>
        <w:rPr>
          <w:rFonts w:hint="eastAsia" w:hAnsi="宋体"/>
          <w:color w:val="000000"/>
        </w:rPr>
        <w:t>（</w:t>
      </w:r>
      <w:r>
        <w:rPr>
          <w:rFonts w:hAnsi="宋体"/>
          <w:color w:val="000000"/>
        </w:rPr>
        <w:t>4</w:t>
      </w:r>
      <w:r>
        <w:rPr>
          <w:rFonts w:hint="eastAsia" w:hAnsi="宋体"/>
          <w:color w:val="000000"/>
        </w:rPr>
        <w:t>）其他无法保证电子交易的公平、公正和安全的情况。</w:t>
      </w:r>
    </w:p>
    <w:p w14:paraId="5942999F">
      <w:pPr>
        <w:spacing w:line="360" w:lineRule="auto"/>
        <w:ind w:firstLine="420" w:firstLineChars="200"/>
        <w:rPr>
          <w:rFonts w:hAnsi="宋体"/>
          <w:color w:val="000000"/>
        </w:rPr>
      </w:pPr>
      <w:r>
        <w:rPr>
          <w:rFonts w:hAnsi="宋体"/>
          <w:color w:val="000000"/>
        </w:rPr>
        <w:t>29.4</w:t>
      </w:r>
      <w:r>
        <w:rPr>
          <w:rFonts w:hint="eastAsia" w:hAnsi="宋体"/>
          <w:color w:val="000000"/>
        </w:rPr>
        <w:t>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75330896">
      <w:pPr>
        <w:pStyle w:val="11"/>
        <w:snapToGrid w:val="0"/>
        <w:spacing w:line="400" w:lineRule="exact"/>
        <w:ind w:firstLine="420" w:firstLineChars="200"/>
        <w:rPr>
          <w:rFonts w:hAnsi="宋体"/>
          <w:color w:val="000000"/>
        </w:rPr>
      </w:pPr>
    </w:p>
    <w:p w14:paraId="62DCE58F">
      <w:pPr>
        <w:pStyle w:val="4"/>
        <w:keepNext w:val="0"/>
        <w:keepLines w:val="0"/>
        <w:spacing w:line="400" w:lineRule="exact"/>
        <w:jc w:val="center"/>
        <w:rPr>
          <w:rFonts w:hint="eastAsia"/>
          <w:color w:val="000000"/>
        </w:rPr>
      </w:pPr>
      <w:bookmarkStart w:id="137" w:name="_Toc254970546"/>
      <w:bookmarkStart w:id="138" w:name="_Toc254970687"/>
      <w:bookmarkStart w:id="139" w:name="_Toc211960306"/>
      <w:r>
        <w:rPr>
          <w:rFonts w:hint="eastAsia"/>
          <w:color w:val="000000"/>
        </w:rPr>
        <w:t>七、</w:t>
      </w:r>
      <w:bookmarkEnd w:id="137"/>
      <w:bookmarkEnd w:id="138"/>
      <w:r>
        <w:rPr>
          <w:rFonts w:hint="eastAsia"/>
          <w:color w:val="000000"/>
        </w:rPr>
        <w:t>中标和合同</w:t>
      </w:r>
      <w:bookmarkEnd w:id="139"/>
    </w:p>
    <w:p w14:paraId="40008B37">
      <w:pPr>
        <w:spacing w:line="360" w:lineRule="auto"/>
        <w:ind w:firstLine="480" w:firstLineChars="200"/>
        <w:rPr>
          <w:rFonts w:ascii="黑体" w:hAnsi="黑体" w:eastAsia="黑体"/>
          <w:color w:val="000000"/>
          <w:sz w:val="24"/>
        </w:rPr>
      </w:pPr>
      <w:r>
        <w:rPr>
          <w:rFonts w:hint="eastAsia" w:ascii="黑体" w:hAnsi="黑体" w:eastAsia="黑体"/>
          <w:color w:val="000000"/>
          <w:sz w:val="24"/>
        </w:rPr>
        <w:t>30.确定中标人</w:t>
      </w:r>
    </w:p>
    <w:p w14:paraId="1C984A18">
      <w:pPr>
        <w:spacing w:line="360" w:lineRule="auto"/>
        <w:ind w:firstLine="422" w:firstLineChars="200"/>
        <w:rPr>
          <w:rFonts w:hint="eastAsia" w:ascii="宋体" w:hAnsi="宋体" w:cs="Courier New"/>
          <w:b/>
          <w:bCs/>
          <w:color w:val="000000"/>
          <w:szCs w:val="21"/>
        </w:rPr>
      </w:pPr>
      <w:r>
        <w:rPr>
          <w:rFonts w:hint="eastAsia" w:ascii="宋体" w:hAnsi="宋体" w:cs="Courier New"/>
          <w:b/>
          <w:bCs/>
          <w:color w:val="000000"/>
          <w:szCs w:val="21"/>
        </w:rPr>
        <w:t>30.1本项目授权评标</w:t>
      </w:r>
      <w:r>
        <w:rPr>
          <w:rFonts w:hint="eastAsia" w:ascii="宋体" w:hAnsi="宋体" w:cs="Courier New"/>
          <w:b/>
          <w:bCs/>
          <w:szCs w:val="21"/>
        </w:rPr>
        <w:t>委员会直接按第四章“评标方法及标准”的规定</w:t>
      </w:r>
      <w:r>
        <w:rPr>
          <w:rFonts w:hint="eastAsia" w:ascii="宋体" w:hAnsi="宋体" w:cs="Courier New"/>
          <w:b/>
          <w:bCs/>
          <w:color w:val="000000"/>
          <w:szCs w:val="21"/>
        </w:rPr>
        <w:t>排列中标候选人顺序，并依照次序确定中标人。</w:t>
      </w:r>
    </w:p>
    <w:p w14:paraId="12AEA740">
      <w:pPr>
        <w:spacing w:line="360" w:lineRule="auto"/>
        <w:ind w:firstLine="420" w:firstLineChars="200"/>
        <w:rPr>
          <w:rFonts w:hint="eastAsia" w:ascii="宋体" w:hAnsi="宋体" w:cs="Courier New"/>
          <w:szCs w:val="21"/>
        </w:rPr>
      </w:pPr>
      <w:r>
        <w:rPr>
          <w:rFonts w:hint="eastAsia" w:ascii="宋体" w:hAnsi="宋体" w:cs="Courier New"/>
          <w:szCs w:val="21"/>
        </w:rPr>
        <w:t>30.2采购人、采购代理机构认为供应商对采购过程、中标结果提出的质疑成立且影响或者可能影响中标结果的，合格供应商符合法定数量时，可以从合格的中标候选人中另行确定中标人的，应当依法另行确定中标人；否则应当重新开展采购活动。</w:t>
      </w:r>
    </w:p>
    <w:p w14:paraId="47FB950A">
      <w:pPr>
        <w:spacing w:line="360" w:lineRule="auto"/>
        <w:ind w:firstLine="420" w:firstLineChars="200"/>
        <w:rPr>
          <w:rFonts w:hint="eastAsia" w:ascii="宋体" w:hAnsi="宋体" w:cs="Courier New"/>
          <w:szCs w:val="21"/>
        </w:rPr>
      </w:pPr>
      <w:r>
        <w:rPr>
          <w:rFonts w:hint="eastAsia" w:ascii="宋体" w:hAnsi="宋体" w:cs="Courier New"/>
          <w:szCs w:val="21"/>
        </w:rPr>
        <w:t>30.3中标供应商无正当理由拒签合同的，根据《中华人民共和国政府采购法》第七十七条第一款规定处理。</w:t>
      </w:r>
    </w:p>
    <w:p w14:paraId="1C5E0499">
      <w:pPr>
        <w:spacing w:line="360" w:lineRule="auto"/>
        <w:ind w:firstLine="420" w:firstLineChars="200"/>
        <w:rPr>
          <w:rFonts w:hint="eastAsia" w:ascii="宋体" w:hAnsi="宋体" w:cs="Courier New"/>
          <w:szCs w:val="21"/>
        </w:rPr>
      </w:pPr>
      <w:r>
        <w:rPr>
          <w:rFonts w:hint="eastAsia" w:ascii="宋体" w:hAnsi="宋体" w:cs="Courier New"/>
          <w:szCs w:val="21"/>
        </w:rPr>
        <w:t>30.4根据《中华人民共和国民法典》</w:t>
      </w:r>
      <w:r>
        <w:rPr>
          <w:rFonts w:hint="eastAsia"/>
          <w:color w:val="000000"/>
          <w:sz w:val="19"/>
          <w:szCs w:val="19"/>
        </w:rPr>
        <w:t>第五百六十三条</w:t>
      </w:r>
      <w:r>
        <w:rPr>
          <w:rFonts w:hint="eastAsia" w:ascii="宋体" w:hAnsi="宋体" w:cs="Courier New"/>
          <w:szCs w:val="21"/>
        </w:rPr>
        <w:t>，因不可抗力致使不能实现合同目的的，当事人可以解除合同。</w:t>
      </w:r>
    </w:p>
    <w:p w14:paraId="4B73633F">
      <w:pPr>
        <w:spacing w:line="360" w:lineRule="auto"/>
        <w:ind w:firstLine="480" w:firstLineChars="200"/>
        <w:rPr>
          <w:rFonts w:hint="eastAsia" w:ascii="黑体" w:hAnsi="黑体" w:eastAsia="黑体"/>
          <w:color w:val="000000"/>
          <w:sz w:val="24"/>
        </w:rPr>
      </w:pPr>
      <w:r>
        <w:rPr>
          <w:rFonts w:hint="eastAsia" w:ascii="黑体" w:hAnsi="黑体" w:eastAsia="黑体"/>
          <w:color w:val="000000"/>
          <w:sz w:val="24"/>
        </w:rPr>
        <w:t>31. 结果公告</w:t>
      </w:r>
    </w:p>
    <w:p w14:paraId="6B4FF171">
      <w:pPr>
        <w:spacing w:line="360" w:lineRule="auto"/>
        <w:ind w:firstLine="420" w:firstLineChars="200"/>
        <w:rPr>
          <w:rFonts w:hint="eastAsia" w:hAnsi="宋体" w:cs="宋体"/>
          <w:color w:val="000000"/>
        </w:rPr>
      </w:pPr>
      <w:r>
        <w:rPr>
          <w:rFonts w:hAnsi="宋体"/>
          <w:color w:val="000000"/>
          <w:szCs w:val="21"/>
        </w:rPr>
        <w:t>31.1</w:t>
      </w:r>
      <w:r>
        <w:rPr>
          <w:rFonts w:hint="eastAsia" w:hAnsi="宋体" w:cs="宋体"/>
          <w:color w:val="000000"/>
        </w:rPr>
        <w:t>在中标供应商</w:t>
      </w:r>
      <w:r>
        <w:rPr>
          <w:rFonts w:hint="eastAsia" w:hAnsi="宋体" w:cs="Arial"/>
          <w:color w:val="000000"/>
        </w:rPr>
        <w:t>确定之日起</w:t>
      </w:r>
      <w:r>
        <w:rPr>
          <w:rFonts w:hAnsi="宋体" w:cs="宋体"/>
          <w:color w:val="000000"/>
        </w:rPr>
        <w:t>2</w:t>
      </w:r>
      <w:r>
        <w:rPr>
          <w:rFonts w:hint="eastAsia" w:hAnsi="宋体" w:cs="宋体"/>
          <w:color w:val="000000"/>
        </w:rPr>
        <w:t>个工作日内，由采购代理机构</w:t>
      </w:r>
      <w:r>
        <w:rPr>
          <w:rFonts w:hint="eastAsia" w:hAnsi="宋体"/>
          <w:b/>
          <w:color w:val="000000"/>
          <w:szCs w:val="21"/>
        </w:rPr>
        <w:t>在招标公告发布媒体上</w:t>
      </w:r>
      <w:r>
        <w:rPr>
          <w:rFonts w:hint="eastAsia" w:hAnsi="宋体" w:cs="宋体"/>
          <w:color w:val="000000"/>
        </w:rPr>
        <w:t>发布中标结果公告，中标结果公告期限为</w:t>
      </w:r>
      <w:r>
        <w:rPr>
          <w:rFonts w:hAnsi="宋体" w:cs="宋体"/>
          <w:color w:val="000000"/>
        </w:rPr>
        <w:t>1</w:t>
      </w:r>
      <w:r>
        <w:rPr>
          <w:rFonts w:hint="eastAsia" w:hAnsi="宋体" w:cs="宋体"/>
          <w:color w:val="000000"/>
        </w:rPr>
        <w:t>个工作日，发布中标结果公告的同时向中标供应商发出中标通知书。</w:t>
      </w:r>
      <w:r>
        <w:rPr>
          <w:rFonts w:hint="eastAsia" w:hAnsi="宋体"/>
          <w:b/>
          <w:color w:val="000000"/>
          <w:szCs w:val="21"/>
        </w:rPr>
        <w:t>采购代理机构发出中标通知书前，应当对中标人信用进行核实，对列入失信被执行人、重大税收违法案件当事人名单、政府采购严重违法失信行为记录名单及其他不符合《中华人民共和国政府采购法》第二十二条规定条件的投标人，取消其中标资格，并确定排名第二的中标候选人为中标人。</w:t>
      </w:r>
      <w:r>
        <w:rPr>
          <w:rFonts w:hint="eastAsia" w:hAnsi="宋体"/>
          <w:color w:val="000000"/>
          <w:szCs w:val="21"/>
        </w:rPr>
        <w:t>排名第二的中标候选人因前款规定的同样原因被取消中标资格的，</w:t>
      </w:r>
      <w:r>
        <w:rPr>
          <w:rFonts w:hint="eastAsia" w:hAnsi="宋体" w:cs="Courier New"/>
          <w:color w:val="000000"/>
          <w:szCs w:val="21"/>
        </w:rPr>
        <w:t>授权的评标委员会</w:t>
      </w:r>
      <w:r>
        <w:rPr>
          <w:rFonts w:hint="eastAsia" w:hAnsi="宋体"/>
          <w:color w:val="000000"/>
          <w:szCs w:val="21"/>
        </w:rPr>
        <w:t>可以确定排名第三的中标候选人为中标人，以此类推。</w:t>
      </w:r>
    </w:p>
    <w:p w14:paraId="6F3AB748">
      <w:pPr>
        <w:spacing w:line="360" w:lineRule="auto"/>
        <w:ind w:firstLine="420" w:firstLineChars="200"/>
        <w:rPr>
          <w:rFonts w:ascii="宋体" w:hAnsi="宋体"/>
          <w:color w:val="000000"/>
          <w:szCs w:val="21"/>
        </w:rPr>
      </w:pPr>
      <w:r>
        <w:rPr>
          <w:rFonts w:hint="eastAsia" w:ascii="宋体" w:hAnsi="宋体"/>
          <w:color w:val="000000"/>
          <w:szCs w:val="21"/>
        </w:rPr>
        <w:t>以上信息查询记录及相关证据与采购文件一并保存。</w:t>
      </w:r>
    </w:p>
    <w:p w14:paraId="7EDA11E8">
      <w:pPr>
        <w:spacing w:line="360" w:lineRule="auto"/>
        <w:ind w:firstLine="420" w:firstLineChars="200"/>
        <w:rPr>
          <w:rFonts w:hint="eastAsia" w:ascii="宋体" w:hAnsi="宋体" w:cs="Courier New"/>
          <w:color w:val="000000"/>
          <w:szCs w:val="21"/>
        </w:rPr>
      </w:pPr>
      <w:r>
        <w:rPr>
          <w:rFonts w:hint="eastAsia" w:ascii="宋体" w:hAnsi="宋体" w:cs="Courier New"/>
          <w:color w:val="000000"/>
          <w:szCs w:val="21"/>
        </w:rPr>
        <w:t>31.2中小企业在政府采购活动过程中，请根据企业的真实情况出具《中小企业声明函》。依法享受中小企业优惠政策的，采购人或者采购代理机构在公告中标结果时，同时公告其《中小企业声明函》，接受社会监督。</w:t>
      </w:r>
    </w:p>
    <w:p w14:paraId="6A4CB8BD">
      <w:pPr>
        <w:spacing w:line="360" w:lineRule="auto"/>
        <w:ind w:firstLine="480" w:firstLineChars="200"/>
        <w:rPr>
          <w:rFonts w:hint="eastAsia" w:ascii="黑体" w:hAnsi="黑体" w:eastAsia="黑体"/>
          <w:color w:val="000000"/>
          <w:sz w:val="24"/>
        </w:rPr>
      </w:pPr>
      <w:r>
        <w:rPr>
          <w:rFonts w:hint="eastAsia" w:ascii="黑体" w:hAnsi="黑体" w:eastAsia="黑体"/>
          <w:color w:val="000000"/>
          <w:sz w:val="24"/>
        </w:rPr>
        <w:t>32.发出中标通知书</w:t>
      </w:r>
    </w:p>
    <w:p w14:paraId="6A735EF6">
      <w:pPr>
        <w:spacing w:line="360" w:lineRule="auto"/>
        <w:ind w:firstLine="422" w:firstLineChars="200"/>
        <w:rPr>
          <w:rFonts w:hint="eastAsia" w:ascii="宋体" w:hAnsi="宋体"/>
          <w:b/>
          <w:color w:val="000000"/>
          <w:szCs w:val="21"/>
        </w:rPr>
      </w:pPr>
      <w:r>
        <w:rPr>
          <w:rFonts w:hint="eastAsia" w:ascii="宋体" w:hAnsi="宋体"/>
          <w:b/>
          <w:color w:val="000000"/>
          <w:szCs w:val="21"/>
        </w:rPr>
        <w:t>32.1在发布中标公告的同时，采购代理机构向中标人通过“广西政府采购云平台”发出电子中标通知书。</w:t>
      </w:r>
    </w:p>
    <w:p w14:paraId="3AAC0133">
      <w:pPr>
        <w:spacing w:line="360" w:lineRule="auto"/>
        <w:ind w:firstLine="422" w:firstLineChars="200"/>
        <w:rPr>
          <w:rFonts w:hint="eastAsia" w:ascii="宋体" w:hAnsi="宋体"/>
          <w:b/>
          <w:color w:val="000000"/>
          <w:szCs w:val="21"/>
        </w:rPr>
      </w:pPr>
      <w:r>
        <w:rPr>
          <w:rFonts w:hint="eastAsia" w:ascii="宋体" w:hAnsi="宋体"/>
          <w:b/>
          <w:color w:val="000000"/>
          <w:szCs w:val="21"/>
        </w:rPr>
        <w:t>32.2对未通过资格审查的投标人，采购人或采购机构应当告知其未通过的原因；采用综合评分办法评审的，采购人或采购机构还应当告知未中标人本人的评审得分与排序。</w:t>
      </w:r>
    </w:p>
    <w:p w14:paraId="73205F99">
      <w:pPr>
        <w:spacing w:line="360" w:lineRule="auto"/>
        <w:ind w:firstLine="480" w:firstLineChars="200"/>
        <w:rPr>
          <w:rFonts w:hint="eastAsia" w:ascii="黑体" w:hAnsi="黑体" w:eastAsia="黑体"/>
          <w:color w:val="000000"/>
          <w:sz w:val="24"/>
        </w:rPr>
      </w:pPr>
      <w:r>
        <w:rPr>
          <w:rFonts w:hint="eastAsia" w:ascii="黑体" w:hAnsi="黑体" w:eastAsia="黑体"/>
          <w:color w:val="000000"/>
          <w:sz w:val="24"/>
        </w:rPr>
        <w:t>33. 无义务解释未中标原因</w:t>
      </w:r>
    </w:p>
    <w:p w14:paraId="725964CE">
      <w:pPr>
        <w:spacing w:line="360" w:lineRule="auto"/>
        <w:ind w:firstLine="422" w:firstLineChars="200"/>
        <w:rPr>
          <w:rFonts w:hint="eastAsia" w:ascii="宋体" w:hAnsi="宋体"/>
          <w:b/>
          <w:color w:val="000000"/>
          <w:szCs w:val="21"/>
        </w:rPr>
      </w:pPr>
      <w:r>
        <w:rPr>
          <w:rFonts w:hint="eastAsia" w:ascii="宋体" w:hAnsi="宋体"/>
          <w:b/>
          <w:color w:val="000000"/>
          <w:szCs w:val="21"/>
        </w:rPr>
        <w:t>采购代理机构无义务向未中标的投标人解释未中标原因和退还投标文件。</w:t>
      </w:r>
    </w:p>
    <w:p w14:paraId="1B00F595">
      <w:pPr>
        <w:spacing w:line="360" w:lineRule="auto"/>
        <w:ind w:firstLine="480" w:firstLineChars="200"/>
        <w:rPr>
          <w:rFonts w:hint="eastAsia" w:ascii="黑体" w:hAnsi="黑体" w:eastAsia="黑体"/>
          <w:color w:val="000000"/>
          <w:sz w:val="24"/>
        </w:rPr>
      </w:pPr>
      <w:r>
        <w:rPr>
          <w:rFonts w:hint="eastAsia" w:ascii="黑体" w:hAnsi="黑体" w:eastAsia="黑体"/>
          <w:color w:val="000000"/>
          <w:sz w:val="24"/>
        </w:rPr>
        <w:t>34.合同授予标准</w:t>
      </w:r>
    </w:p>
    <w:p w14:paraId="4BA2217F">
      <w:pPr>
        <w:spacing w:line="360" w:lineRule="auto"/>
        <w:ind w:firstLine="420" w:firstLineChars="200"/>
        <w:rPr>
          <w:rFonts w:hint="eastAsia" w:ascii="宋体" w:hAnsi="宋体"/>
          <w:color w:val="000000"/>
          <w:szCs w:val="21"/>
        </w:rPr>
      </w:pPr>
      <w:r>
        <w:rPr>
          <w:rFonts w:hint="eastAsia" w:ascii="宋体" w:hAnsi="宋体" w:cs="Courier New"/>
          <w:color w:val="000000"/>
          <w:szCs w:val="21"/>
        </w:rPr>
        <w:t>合同将授予被确定实质上响应招标文件要求，具备履行合同能力的中标人（招标文件另有约定多名中标人的除外）。</w:t>
      </w:r>
    </w:p>
    <w:p w14:paraId="06D93F22">
      <w:pPr>
        <w:spacing w:line="360" w:lineRule="auto"/>
        <w:ind w:firstLine="480" w:firstLineChars="200"/>
        <w:rPr>
          <w:rFonts w:hint="eastAsia" w:ascii="黑体" w:hAnsi="黑体" w:eastAsia="黑体"/>
          <w:color w:val="000000"/>
          <w:sz w:val="24"/>
        </w:rPr>
      </w:pPr>
      <w:r>
        <w:rPr>
          <w:rFonts w:hint="eastAsia" w:ascii="黑体" w:hAnsi="黑体" w:eastAsia="黑体"/>
          <w:color w:val="000000"/>
          <w:sz w:val="24"/>
        </w:rPr>
        <w:t>35.履约保证金</w:t>
      </w:r>
    </w:p>
    <w:p w14:paraId="01DE5CA5">
      <w:pPr>
        <w:spacing w:line="360" w:lineRule="auto"/>
        <w:ind w:firstLine="420" w:firstLineChars="200"/>
        <w:rPr>
          <w:rFonts w:hint="eastAsia" w:ascii="宋体" w:hAnsi="宋体" w:cs="仿宋_GB2312"/>
          <w:szCs w:val="21"/>
        </w:rPr>
      </w:pPr>
      <w:bookmarkStart w:id="140" w:name="_39.1中标人须于签订合同前按本须知前附表规定的金额转账或电汇到指定账"/>
      <w:bookmarkEnd w:id="140"/>
      <w:r>
        <w:rPr>
          <w:rFonts w:hint="eastAsia" w:ascii="宋体" w:hAnsi="宋体" w:cs="仿宋_GB2312"/>
          <w:szCs w:val="21"/>
        </w:rPr>
        <w:t>见“投标人须知前附表”。</w:t>
      </w:r>
    </w:p>
    <w:p w14:paraId="1A24976A">
      <w:pPr>
        <w:spacing w:line="360" w:lineRule="auto"/>
        <w:ind w:firstLine="480" w:firstLineChars="200"/>
        <w:rPr>
          <w:rFonts w:hint="eastAsia" w:ascii="黑体" w:hAnsi="黑体" w:eastAsia="黑体"/>
          <w:color w:val="000000"/>
          <w:sz w:val="24"/>
        </w:rPr>
      </w:pPr>
      <w:r>
        <w:rPr>
          <w:rFonts w:hint="eastAsia" w:ascii="黑体" w:hAnsi="黑体" w:eastAsia="黑体"/>
          <w:color w:val="000000"/>
          <w:sz w:val="24"/>
        </w:rPr>
        <w:t>36.签订合同</w:t>
      </w:r>
    </w:p>
    <w:p w14:paraId="79F17261">
      <w:pPr>
        <w:pStyle w:val="23"/>
        <w:snapToGrid w:val="0"/>
        <w:spacing w:before="0"/>
        <w:ind w:firstLine="422"/>
        <w:rPr>
          <w:rFonts w:hint="eastAsia" w:ascii="宋体" w:hAnsi="宋体"/>
          <w:kern w:val="0"/>
          <w:sz w:val="21"/>
          <w:szCs w:val="21"/>
          <w:lang w:val="zh-CN"/>
        </w:rPr>
      </w:pPr>
      <w:bookmarkStart w:id="141" w:name="_40.1投标人接到中标通知书后，按须知前附表规定向采购人出示相关资格证"/>
      <w:bookmarkEnd w:id="141"/>
      <w:r>
        <w:rPr>
          <w:rFonts w:hint="eastAsia" w:ascii="宋体" w:hAnsi="宋体"/>
          <w:b/>
          <w:color w:val="000000"/>
          <w:sz w:val="21"/>
          <w:szCs w:val="21"/>
        </w:rPr>
        <w:t xml:space="preserve"> 36.1中标人领取电子中标通知书后，</w:t>
      </w:r>
      <w:r>
        <w:rPr>
          <w:rFonts w:hint="eastAsia" w:ascii="宋体" w:hAnsi="宋体"/>
          <w:kern w:val="0"/>
          <w:sz w:val="21"/>
          <w:szCs w:val="21"/>
          <w:lang w:val="zh-CN"/>
        </w:rPr>
        <w:t>按规定的日期、时间、地点，由法定代表人或其授权代表与采购人代表签订电子采购合同。如中标人为联合体的，由联合体成员各方法定代表人或其授权代表与采购人代表签订合同，签订携带资料详见“投标人须知前附表”。</w:t>
      </w:r>
    </w:p>
    <w:p w14:paraId="039A9974">
      <w:pPr>
        <w:pStyle w:val="23"/>
        <w:snapToGrid w:val="0"/>
        <w:spacing w:before="0"/>
        <w:ind w:firstLine="420"/>
        <w:rPr>
          <w:rFonts w:hint="eastAsia" w:ascii="宋体" w:hAnsi="宋体"/>
          <w:kern w:val="0"/>
          <w:sz w:val="21"/>
          <w:szCs w:val="21"/>
          <w:lang w:val="zh-CN"/>
        </w:rPr>
      </w:pPr>
      <w:r>
        <w:rPr>
          <w:rFonts w:hint="eastAsia" w:ascii="宋体" w:hAnsi="宋体"/>
          <w:kern w:val="0"/>
          <w:sz w:val="21"/>
          <w:szCs w:val="21"/>
          <w:lang w:val="zh-CN"/>
        </w:rPr>
        <w:t>36.2</w:t>
      </w:r>
      <w:r>
        <w:rPr>
          <w:rFonts w:hint="eastAsia" w:ascii="宋体" w:hAnsi="宋体" w:cs="仿宋_GB2312"/>
          <w:sz w:val="21"/>
          <w:szCs w:val="21"/>
        </w:rPr>
        <w:t>采购合同由采购人与中标供应商根据招标文件、投标文件等内容通过政府采购电子交易平台在线签订，自动备案。</w:t>
      </w:r>
    </w:p>
    <w:p w14:paraId="2D73DF42">
      <w:pPr>
        <w:pStyle w:val="23"/>
        <w:snapToGrid w:val="0"/>
        <w:spacing w:before="0"/>
        <w:ind w:firstLine="420"/>
        <w:rPr>
          <w:rFonts w:hint="eastAsia" w:ascii="宋体" w:hAnsi="宋体" w:cs="仿宋_GB2312"/>
          <w:sz w:val="21"/>
          <w:szCs w:val="21"/>
        </w:rPr>
      </w:pPr>
      <w:r>
        <w:rPr>
          <w:rFonts w:hint="eastAsia" w:ascii="宋体" w:hAnsi="宋体"/>
          <w:color w:val="000000"/>
          <w:sz w:val="21"/>
          <w:szCs w:val="21"/>
        </w:rPr>
        <w:t>36.3签订合同时间：按中标通知书规定的时间与采购人签订合同（最长不能超过25日）。</w:t>
      </w:r>
    </w:p>
    <w:p w14:paraId="11CFAAAB">
      <w:pPr>
        <w:spacing w:line="360" w:lineRule="auto"/>
        <w:ind w:firstLine="420" w:firstLineChars="200"/>
        <w:rPr>
          <w:rFonts w:hint="eastAsia" w:ascii="宋体" w:hAnsi="宋体"/>
          <w:color w:val="000000"/>
          <w:szCs w:val="21"/>
        </w:rPr>
      </w:pPr>
      <w:r>
        <w:rPr>
          <w:rFonts w:hint="eastAsia" w:ascii="宋体" w:hAnsi="宋体"/>
          <w:color w:val="000000"/>
          <w:szCs w:val="21"/>
        </w:rPr>
        <w:t>36.4中标人拒绝与采购人签订合同的，采购人可以按照评审报告推荐的中标候选人名单排序，确定下一候选人为中标人，也可以重新开展政府采购活动。如采购人无正当理由拒签合同的，给中标供应商造成损失的，中标供应商可追究采购人承担相应的法律责任。</w:t>
      </w:r>
    </w:p>
    <w:p w14:paraId="4146ABF0">
      <w:pPr>
        <w:spacing w:line="360" w:lineRule="auto"/>
        <w:ind w:firstLine="420" w:firstLineChars="200"/>
        <w:rPr>
          <w:rFonts w:hint="eastAsia" w:ascii="宋体" w:hAnsi="宋体"/>
          <w:color w:val="000000"/>
          <w:szCs w:val="21"/>
        </w:rPr>
      </w:pPr>
      <w:r>
        <w:rPr>
          <w:rFonts w:hint="eastAsia" w:ascii="宋体" w:hAnsi="宋体"/>
          <w:color w:val="000000"/>
          <w:szCs w:val="21"/>
        </w:rPr>
        <w:t>36.5政府采购合同是政府采购项目验收的依据，中标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586646FC">
      <w:pPr>
        <w:spacing w:line="360" w:lineRule="auto"/>
        <w:ind w:firstLine="420" w:firstLineChars="200"/>
        <w:rPr>
          <w:rFonts w:hint="eastAsia" w:ascii="宋体" w:hAnsi="宋体"/>
          <w:color w:val="000000"/>
          <w:szCs w:val="21"/>
        </w:rPr>
      </w:pPr>
      <w:r>
        <w:rPr>
          <w:rFonts w:hint="eastAsia" w:ascii="宋体" w:hAnsi="宋体"/>
          <w:color w:val="000000"/>
          <w:szCs w:val="21"/>
        </w:rPr>
        <w:t>36.6采购人或中标供应商不得单方面向合同另一方提出任何招标文件没有约定的条件或不合理的要求，作为签订合同的条件；也不得协商另行订立背离招标文件和合同实质性内容的协议。</w:t>
      </w:r>
    </w:p>
    <w:p w14:paraId="17D6B518">
      <w:pPr>
        <w:spacing w:line="360" w:lineRule="auto"/>
        <w:ind w:firstLine="420" w:firstLineChars="200"/>
        <w:rPr>
          <w:rFonts w:hint="eastAsia" w:ascii="宋体" w:hAnsi="宋体"/>
          <w:color w:val="000000"/>
          <w:szCs w:val="21"/>
        </w:rPr>
      </w:pPr>
      <w:r>
        <w:rPr>
          <w:rFonts w:hint="eastAsia" w:ascii="宋体" w:hAnsi="宋体"/>
          <w:color w:val="000000"/>
          <w:szCs w:val="21"/>
        </w:rPr>
        <w:t>36.7</w:t>
      </w:r>
      <w:r>
        <w:rPr>
          <w:rFonts w:hint="eastAsia" w:ascii="宋体" w:hAnsi="宋体" w:cs="仿宋_GB2312"/>
          <w:szCs w:val="21"/>
        </w:rPr>
        <w:t>如签订合同并生效后，供应商无故拒绝或延期，除按照合同条款处理外，将承担相应的法律责任。</w:t>
      </w:r>
    </w:p>
    <w:p w14:paraId="46C7B82B">
      <w:pPr>
        <w:spacing w:line="360" w:lineRule="auto"/>
        <w:ind w:firstLine="422" w:firstLineChars="200"/>
        <w:rPr>
          <w:rFonts w:hint="eastAsia" w:ascii="宋体" w:hAnsi="宋体"/>
          <w:b/>
          <w:color w:val="000000"/>
          <w:szCs w:val="21"/>
        </w:rPr>
      </w:pPr>
      <w:r>
        <w:rPr>
          <w:rFonts w:hint="eastAsia" w:ascii="宋体" w:hAnsi="宋体"/>
          <w:b/>
          <w:color w:val="000000"/>
          <w:szCs w:val="21"/>
        </w:rPr>
        <w:t>36.8采购人需追加与合同标的相同的服务或者货物的，在不改变原合同条款且已报财政部门批准落实资金的前提下，可从原中标供应商处添购， 所签订的补充添置合同的采购资金总额不超过原采购合同金额的10%。</w:t>
      </w:r>
    </w:p>
    <w:p w14:paraId="2E533B4E">
      <w:pPr>
        <w:spacing w:line="360" w:lineRule="auto"/>
        <w:ind w:firstLine="480" w:firstLineChars="200"/>
        <w:rPr>
          <w:rFonts w:hint="eastAsia" w:ascii="黑体" w:hAnsi="黑体" w:eastAsia="黑体"/>
          <w:color w:val="000000"/>
          <w:sz w:val="24"/>
        </w:rPr>
      </w:pPr>
      <w:bookmarkStart w:id="142" w:name="_41.政府采购合同公告"/>
      <w:bookmarkEnd w:id="142"/>
      <w:r>
        <w:rPr>
          <w:rFonts w:hint="eastAsia" w:ascii="黑体" w:hAnsi="黑体" w:eastAsia="黑体"/>
          <w:color w:val="000000"/>
          <w:sz w:val="24"/>
        </w:rPr>
        <w:t>37.政府采购合同公告</w:t>
      </w:r>
    </w:p>
    <w:p w14:paraId="3C93A762">
      <w:pPr>
        <w:spacing w:line="360" w:lineRule="auto"/>
        <w:ind w:firstLine="420" w:firstLineChars="200"/>
        <w:rPr>
          <w:rFonts w:hint="eastAsia" w:ascii="宋体" w:hAnsi="宋体"/>
        </w:rPr>
      </w:pPr>
      <w:r>
        <w:rPr>
          <w:rFonts w:hint="eastAsia" w:hAnsi="宋体"/>
          <w:color w:val="000000"/>
        </w:rPr>
        <w:t>采购人或者受托采购代理机构应当自政府采购合同签订之日起</w:t>
      </w:r>
      <w:r>
        <w:rPr>
          <w:rFonts w:hAnsi="宋体"/>
          <w:color w:val="000000"/>
        </w:rPr>
        <w:t>2</w:t>
      </w:r>
      <w:r>
        <w:rPr>
          <w:rFonts w:hint="eastAsia" w:hAnsi="宋体"/>
          <w:color w:val="000000"/>
        </w:rPr>
        <w:t>个工作日内，将政府采购合同</w:t>
      </w:r>
      <w:r>
        <w:rPr>
          <w:rFonts w:hint="eastAsia" w:ascii="宋体" w:hAnsi="宋体"/>
          <w:bCs/>
        </w:rPr>
        <w:t>在以下媒体上发布</w:t>
      </w:r>
      <w:r>
        <w:rPr>
          <w:rFonts w:hint="eastAsia" w:ascii="宋体" w:hAnsi="宋体" w:cs="宋体"/>
          <w:color w:val="000000"/>
          <w:kern w:val="0"/>
          <w:szCs w:val="21"/>
        </w:rPr>
        <w:t xml:space="preserve"> “广西政府采购网”（http://zfcg.gxzf.gov.cn）</w:t>
      </w:r>
      <w:r>
        <w:rPr>
          <w:rFonts w:hint="eastAsia" w:hAnsi="宋体"/>
          <w:color w:val="000000"/>
        </w:rPr>
        <w:t>上公告，但政府采购合同中涉及国家秘密、商业秘密的内容除外。</w:t>
      </w:r>
    </w:p>
    <w:p w14:paraId="54210968">
      <w:pPr>
        <w:spacing w:line="360" w:lineRule="auto"/>
        <w:ind w:firstLine="480" w:firstLineChars="200"/>
        <w:rPr>
          <w:rFonts w:hint="eastAsia" w:ascii="黑体" w:hAnsi="黑体" w:eastAsia="黑体"/>
          <w:color w:val="000000"/>
          <w:sz w:val="24"/>
        </w:rPr>
      </w:pPr>
      <w:r>
        <w:rPr>
          <w:rFonts w:hint="eastAsia" w:ascii="黑体" w:hAnsi="黑体" w:eastAsia="黑体"/>
          <w:color w:val="000000"/>
          <w:sz w:val="24"/>
        </w:rPr>
        <w:t>38. 询问、质疑和投诉</w:t>
      </w:r>
    </w:p>
    <w:p w14:paraId="6B38B8D4">
      <w:pPr>
        <w:spacing w:line="360" w:lineRule="auto"/>
        <w:ind w:firstLine="422" w:firstLineChars="200"/>
        <w:rPr>
          <w:rFonts w:hint="eastAsia" w:hAnsi="宋体"/>
          <w:b/>
          <w:color w:val="000000"/>
          <w:szCs w:val="21"/>
        </w:rPr>
      </w:pPr>
      <w:r>
        <w:rPr>
          <w:rFonts w:hAnsi="宋体"/>
          <w:b/>
          <w:color w:val="000000"/>
          <w:szCs w:val="21"/>
        </w:rPr>
        <w:t>38.1</w:t>
      </w:r>
      <w:r>
        <w:rPr>
          <w:rFonts w:hint="eastAsia" w:hAnsi="宋体"/>
          <w:b/>
          <w:color w:val="000000"/>
          <w:szCs w:val="21"/>
        </w:rPr>
        <w:t>询问</w:t>
      </w:r>
    </w:p>
    <w:p w14:paraId="2CC6DBDC">
      <w:pPr>
        <w:spacing w:line="360" w:lineRule="auto"/>
        <w:ind w:firstLine="420" w:firstLineChars="200"/>
        <w:rPr>
          <w:rFonts w:hAnsi="宋体"/>
          <w:bCs/>
          <w:color w:val="000000"/>
          <w:szCs w:val="21"/>
        </w:rPr>
      </w:pPr>
      <w:r>
        <w:rPr>
          <w:rFonts w:hAnsi="宋体"/>
          <w:bCs/>
          <w:color w:val="000000"/>
          <w:szCs w:val="21"/>
        </w:rPr>
        <w:t>38.1.1</w:t>
      </w:r>
      <w:r>
        <w:rPr>
          <w:rFonts w:hint="eastAsia" w:hAnsi="宋体"/>
          <w:bCs/>
          <w:color w:val="000000"/>
          <w:szCs w:val="21"/>
        </w:rPr>
        <w:t>供应商在开标前对政府采购活动事项有疑问的，可以向采购人或采购代理机构项目负责人提出询问。</w:t>
      </w:r>
    </w:p>
    <w:p w14:paraId="33456724">
      <w:pPr>
        <w:spacing w:line="360" w:lineRule="auto"/>
        <w:ind w:firstLine="420" w:firstLineChars="200"/>
        <w:rPr>
          <w:rFonts w:hAnsi="宋体"/>
          <w:bCs/>
          <w:color w:val="000000"/>
          <w:szCs w:val="21"/>
        </w:rPr>
      </w:pPr>
      <w:r>
        <w:rPr>
          <w:rFonts w:hAnsi="宋体"/>
          <w:bCs/>
          <w:color w:val="000000"/>
          <w:szCs w:val="21"/>
        </w:rPr>
        <w:t>38.1.2</w:t>
      </w:r>
      <w:r>
        <w:rPr>
          <w:rFonts w:hint="eastAsia" w:hAnsi="宋体"/>
          <w:bCs/>
          <w:color w:val="000000"/>
          <w:szCs w:val="21"/>
        </w:rPr>
        <w:t>采购人或采购人委托的采购代理机构自受理询问之日起</w:t>
      </w:r>
      <w:r>
        <w:rPr>
          <w:rFonts w:hAnsi="宋体"/>
          <w:bCs/>
          <w:color w:val="000000"/>
          <w:szCs w:val="21"/>
        </w:rPr>
        <w:t>3</w:t>
      </w:r>
      <w:r>
        <w:rPr>
          <w:rFonts w:hint="eastAsia" w:hAnsi="宋体"/>
          <w:bCs/>
          <w:color w:val="000000"/>
          <w:szCs w:val="21"/>
        </w:rPr>
        <w:t>个工作日内对供应商依法提出的询问作出答复，</w:t>
      </w:r>
      <w:r>
        <w:rPr>
          <w:rFonts w:hint="eastAsia"/>
        </w:rPr>
        <w:t>但答复内容不得涉及商业秘密</w:t>
      </w:r>
      <w:r>
        <w:rPr>
          <w:rFonts w:hint="eastAsia" w:hAnsi="宋体"/>
          <w:bCs/>
          <w:color w:val="000000"/>
          <w:szCs w:val="21"/>
        </w:rPr>
        <w:t>。</w:t>
      </w:r>
    </w:p>
    <w:p w14:paraId="6B350E46">
      <w:pPr>
        <w:spacing w:line="360" w:lineRule="auto"/>
        <w:ind w:firstLine="420" w:firstLineChars="200"/>
        <w:rPr>
          <w:rFonts w:hAnsi="宋体"/>
          <w:bCs/>
          <w:color w:val="000000"/>
          <w:szCs w:val="21"/>
        </w:rPr>
      </w:pPr>
      <w:r>
        <w:rPr>
          <w:rFonts w:hAnsi="宋体"/>
          <w:bCs/>
          <w:color w:val="000000"/>
          <w:szCs w:val="21"/>
        </w:rPr>
        <w:t xml:space="preserve">38.1.3 </w:t>
      </w:r>
      <w:r>
        <w:rPr>
          <w:rFonts w:hint="eastAsia" w:hAnsi="宋体"/>
          <w:bCs/>
          <w:color w:val="000000"/>
          <w:szCs w:val="21"/>
        </w:rPr>
        <w:t>询问事项可能影响中标、成交结果的，采购人应当暂停签订合同，已经签订合同的，应当中止履行合同。</w:t>
      </w:r>
    </w:p>
    <w:p w14:paraId="6336DC91">
      <w:pPr>
        <w:spacing w:line="360" w:lineRule="auto"/>
        <w:ind w:firstLine="422" w:firstLineChars="200"/>
        <w:rPr>
          <w:rFonts w:ascii="宋体" w:hAnsi="宋体"/>
          <w:color w:val="000000"/>
          <w:szCs w:val="21"/>
        </w:rPr>
      </w:pPr>
      <w:r>
        <w:rPr>
          <w:rFonts w:hint="eastAsia" w:ascii="宋体" w:hAnsi="宋体"/>
          <w:b/>
          <w:color w:val="000000"/>
          <w:szCs w:val="21"/>
        </w:rPr>
        <w:t xml:space="preserve"> </w:t>
      </w:r>
      <w:r>
        <w:rPr>
          <w:rFonts w:hint="eastAsia" w:ascii="宋体" w:hAnsi="宋体"/>
          <w:color w:val="000000"/>
          <w:szCs w:val="21"/>
        </w:rPr>
        <w:t>38.2质疑</w:t>
      </w:r>
    </w:p>
    <w:p w14:paraId="65151F5E">
      <w:pPr>
        <w:spacing w:line="360" w:lineRule="auto"/>
        <w:ind w:firstLine="420" w:firstLineChars="200"/>
        <w:rPr>
          <w:rFonts w:hint="eastAsia" w:ascii="宋体" w:hAnsi="宋体"/>
          <w:b/>
          <w:color w:val="000000"/>
          <w:szCs w:val="21"/>
        </w:rPr>
      </w:pPr>
      <w:r>
        <w:rPr>
          <w:rFonts w:hint="eastAsia" w:ascii="宋体" w:hAnsi="宋体"/>
          <w:color w:val="000000"/>
          <w:szCs w:val="21"/>
        </w:rPr>
        <w:t>38.2.1</w:t>
      </w:r>
      <w:r>
        <w:rPr>
          <w:rFonts w:hint="eastAsia" w:ascii="宋体" w:hAnsi="宋体"/>
          <w:b/>
          <w:color w:val="000000"/>
          <w:szCs w:val="21"/>
        </w:rPr>
        <w:t>供应商认为招标文件、采购过程或者中标结果使自己的合法权益受到损害的，必须在知道或者应知其权益受到损害之日起7个工作日内，以</w:t>
      </w:r>
      <w:r>
        <w:rPr>
          <w:rFonts w:hint="eastAsia" w:ascii="宋体" w:hAnsi="宋体"/>
          <w:b/>
          <w:szCs w:val="21"/>
        </w:rPr>
        <w:t>书面形式向</w:t>
      </w:r>
      <w:r>
        <w:rPr>
          <w:rFonts w:hint="eastAsia" w:ascii="宋体" w:hAnsi="宋体"/>
          <w:b/>
          <w:color w:val="000000"/>
          <w:szCs w:val="21"/>
        </w:rPr>
        <w:t xml:space="preserve">采购人、采购代理机构提出质疑，质疑有效期结束后，采购人或采购代理机构不再受理该项目质疑。采购人、采购代理机构接收质疑函的方式、联系部门、联系电话和通讯地址等信息详见“投标人须知前附表”。具体质疑起算时间及处理方式如下： </w:t>
      </w:r>
    </w:p>
    <w:p w14:paraId="370FA0A4">
      <w:pPr>
        <w:spacing w:line="360" w:lineRule="auto"/>
        <w:ind w:firstLine="420" w:firstLineChars="200"/>
        <w:rPr>
          <w:rFonts w:hint="eastAsia" w:hAnsi="宋体"/>
          <w:bCs/>
        </w:rPr>
      </w:pPr>
      <w:r>
        <w:rPr>
          <w:rFonts w:hint="eastAsia" w:hAnsi="宋体"/>
          <w:bCs/>
        </w:rPr>
        <w:t>（</w:t>
      </w:r>
      <w:r>
        <w:rPr>
          <w:rFonts w:hAnsi="宋体"/>
          <w:bCs/>
        </w:rPr>
        <w:t>1</w:t>
      </w:r>
      <w:r>
        <w:rPr>
          <w:rFonts w:hint="eastAsia" w:hAnsi="宋体"/>
          <w:bCs/>
        </w:rPr>
        <w:t>）潜在供应商依法获取公开招标文件后，认为采购文件使自己的权益受到损害的，应当在公开招标文件公告期限届满之日起</w:t>
      </w:r>
      <w:r>
        <w:rPr>
          <w:rFonts w:hAnsi="宋体"/>
          <w:bCs/>
        </w:rPr>
        <w:t>7</w:t>
      </w:r>
      <w:r>
        <w:rPr>
          <w:rFonts w:hint="eastAsia" w:hAnsi="宋体"/>
          <w:bCs/>
        </w:rPr>
        <w:t>个工作日内提出质疑。</w:t>
      </w:r>
      <w:r>
        <w:rPr>
          <w:rFonts w:hint="eastAsia"/>
        </w:rPr>
        <w:t>委托代理协议无特殊约定的，</w:t>
      </w:r>
      <w:r>
        <w:rPr>
          <w:rFonts w:hint="eastAsia" w:hAnsi="宋体"/>
          <w:bCs/>
        </w:rPr>
        <w:t>对公开招标文件中采购需求（含资格要求、采购预算和评分办法）的质疑由采购人受理并负责答复；对公开招标文件中的采购执行程序的质疑由采购代理机构受理并负责答复。</w:t>
      </w:r>
    </w:p>
    <w:p w14:paraId="620D261D">
      <w:pPr>
        <w:spacing w:line="360" w:lineRule="auto"/>
        <w:ind w:firstLine="420" w:firstLineChars="200"/>
        <w:rPr>
          <w:rFonts w:hAnsi="宋体"/>
          <w:bCs/>
        </w:rPr>
      </w:pPr>
      <w:r>
        <w:rPr>
          <w:rFonts w:hint="eastAsia" w:hAnsi="宋体"/>
          <w:bCs/>
        </w:rPr>
        <w:t>（</w:t>
      </w:r>
      <w:r>
        <w:rPr>
          <w:rFonts w:hAnsi="宋体"/>
          <w:bCs/>
        </w:rPr>
        <w:t>2</w:t>
      </w:r>
      <w:r>
        <w:rPr>
          <w:rFonts w:hint="eastAsia" w:hAnsi="宋体"/>
          <w:bCs/>
        </w:rPr>
        <w:t>）供应商认为采购过程使自己的权益受到损害的，应当在各采购程序环节结束之日起</w:t>
      </w:r>
      <w:r>
        <w:rPr>
          <w:rFonts w:hAnsi="宋体"/>
          <w:bCs/>
        </w:rPr>
        <w:t>7</w:t>
      </w:r>
      <w:r>
        <w:rPr>
          <w:rFonts w:hint="eastAsia" w:hAnsi="宋体"/>
          <w:bCs/>
        </w:rPr>
        <w:t>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35A93220">
      <w:pPr>
        <w:spacing w:line="360" w:lineRule="auto"/>
        <w:ind w:firstLine="420" w:firstLineChars="200"/>
        <w:rPr>
          <w:rFonts w:hAnsi="宋体"/>
          <w:bCs/>
        </w:rPr>
      </w:pPr>
      <w:r>
        <w:rPr>
          <w:rFonts w:hint="eastAsia" w:hAnsi="宋体"/>
          <w:bCs/>
        </w:rPr>
        <w:t>（</w:t>
      </w:r>
      <w:r>
        <w:rPr>
          <w:rFonts w:hAnsi="宋体"/>
          <w:bCs/>
        </w:rPr>
        <w:t>3</w:t>
      </w:r>
      <w:r>
        <w:rPr>
          <w:rFonts w:hint="eastAsia" w:hAnsi="宋体"/>
          <w:bCs/>
        </w:rPr>
        <w:t>）供应商认为中标或者成交结果使自己的权益受到损害的，应当在中标或者成交结果公告期限届满之日起</w:t>
      </w:r>
      <w:r>
        <w:rPr>
          <w:rFonts w:hAnsi="宋体"/>
          <w:bCs/>
        </w:rPr>
        <w:t>7</w:t>
      </w:r>
      <w:r>
        <w:rPr>
          <w:rFonts w:hint="eastAsia" w:hAnsi="宋体"/>
          <w:bCs/>
        </w:rPr>
        <w:t>个工作日内提出质疑，由采购人受理并负责答复。</w:t>
      </w:r>
    </w:p>
    <w:p w14:paraId="79C39D00">
      <w:pPr>
        <w:spacing w:line="360" w:lineRule="auto"/>
        <w:ind w:firstLine="422" w:firstLineChars="200"/>
        <w:rPr>
          <w:rFonts w:hAnsi="宋体"/>
          <w:bCs/>
          <w:szCs w:val="21"/>
        </w:rPr>
      </w:pPr>
      <w:r>
        <w:rPr>
          <w:rFonts w:hAnsi="宋体"/>
          <w:b/>
          <w:bCs/>
          <w:szCs w:val="21"/>
        </w:rPr>
        <w:t>38.2.2</w:t>
      </w:r>
      <w:r>
        <w:rPr>
          <w:rFonts w:hint="eastAsia" w:hAnsi="宋体"/>
          <w:bCs/>
          <w:szCs w:val="21"/>
        </w:rPr>
        <w:t>供应商质疑实行实名制，其质疑应当有具体的质疑事项及事实根据，质疑应当坚持依法依规、诚实信用原则，不得进行虚假、恶意质疑。</w:t>
      </w:r>
    </w:p>
    <w:p w14:paraId="293D3CC0">
      <w:pPr>
        <w:spacing w:line="360" w:lineRule="auto"/>
        <w:ind w:firstLine="422" w:firstLineChars="200"/>
        <w:rPr>
          <w:rFonts w:hAnsi="宋体"/>
          <w:bCs/>
        </w:rPr>
      </w:pPr>
      <w:r>
        <w:rPr>
          <w:rFonts w:hAnsi="宋体"/>
          <w:b/>
          <w:bCs/>
        </w:rPr>
        <w:t>38.2.3</w:t>
      </w:r>
      <w:r>
        <w:rPr>
          <w:rFonts w:hAnsi="宋体"/>
          <w:bCs/>
        </w:rPr>
        <w:t xml:space="preserve"> </w:t>
      </w:r>
      <w:r>
        <w:rPr>
          <w:rFonts w:hint="eastAsia" w:hAnsi="宋体"/>
          <w:bCs/>
        </w:rPr>
        <w:t>质疑供应商可以委托代理人办理质疑事务。委托代理人应熟悉相关业务情况。代理人办理质疑事务时，除提交质疑书外，还应当提交质疑供应商的授权委托书和委托代理人身份证明复印件</w:t>
      </w:r>
      <w:r>
        <w:rPr>
          <w:rFonts w:hint="eastAsia" w:hAnsi="宋体"/>
        </w:rPr>
        <w:t>。</w:t>
      </w:r>
    </w:p>
    <w:p w14:paraId="6555B742">
      <w:pPr>
        <w:spacing w:line="360" w:lineRule="auto"/>
        <w:ind w:firstLine="422" w:firstLineChars="200"/>
        <w:rPr>
          <w:rFonts w:hAnsi="宋体"/>
          <w:b/>
          <w:bCs/>
        </w:rPr>
      </w:pPr>
      <w:r>
        <w:rPr>
          <w:rFonts w:hAnsi="宋体"/>
          <w:b/>
          <w:bCs/>
        </w:rPr>
        <w:t xml:space="preserve">38.2.4 </w:t>
      </w:r>
      <w:r>
        <w:rPr>
          <w:rFonts w:hint="eastAsia" w:hAnsi="宋体"/>
          <w:b/>
          <w:bCs/>
        </w:rPr>
        <w:t>质疑供应商提起质疑应当符合下列条件：</w:t>
      </w:r>
    </w:p>
    <w:p w14:paraId="4F10BC83">
      <w:pPr>
        <w:spacing w:line="360" w:lineRule="auto"/>
        <w:ind w:firstLine="420" w:firstLineChars="200"/>
        <w:rPr>
          <w:rFonts w:hAnsi="宋体"/>
          <w:bCs/>
        </w:rPr>
      </w:pPr>
      <w:r>
        <w:rPr>
          <w:rFonts w:hint="eastAsia" w:hAnsi="宋体"/>
          <w:bCs/>
        </w:rPr>
        <w:t>（</w:t>
      </w:r>
      <w:r>
        <w:rPr>
          <w:rFonts w:hAnsi="宋体"/>
          <w:bCs/>
        </w:rPr>
        <w:t>1</w:t>
      </w:r>
      <w:r>
        <w:rPr>
          <w:rFonts w:hint="eastAsia" w:hAnsi="宋体"/>
          <w:bCs/>
        </w:rPr>
        <w:t>）质疑供应商是参与所质疑</w:t>
      </w:r>
      <w:r>
        <w:rPr>
          <w:rFonts w:hint="eastAsia" w:hAnsi="宋体"/>
          <w:bCs/>
          <w:szCs w:val="21"/>
        </w:rPr>
        <w:t>项目</w:t>
      </w:r>
      <w:r>
        <w:rPr>
          <w:rFonts w:hint="eastAsia" w:hAnsi="宋体"/>
          <w:bCs/>
        </w:rPr>
        <w:t>采购活动的供应商（潜在供应商已依法获取可之一的采购文件的，可以对该采购文件质疑）；</w:t>
      </w:r>
    </w:p>
    <w:p w14:paraId="4A3E8CC6">
      <w:pPr>
        <w:spacing w:line="360" w:lineRule="auto"/>
        <w:ind w:firstLine="420" w:firstLineChars="200"/>
        <w:rPr>
          <w:rFonts w:hAnsi="宋体"/>
          <w:bCs/>
        </w:rPr>
      </w:pPr>
      <w:r>
        <w:rPr>
          <w:rFonts w:hint="eastAsia" w:hAnsi="宋体"/>
          <w:bCs/>
        </w:rPr>
        <w:t>（</w:t>
      </w:r>
      <w:r>
        <w:rPr>
          <w:rFonts w:hAnsi="宋体"/>
          <w:bCs/>
        </w:rPr>
        <w:t>2</w:t>
      </w:r>
      <w:r>
        <w:rPr>
          <w:rFonts w:hint="eastAsia" w:hAnsi="宋体"/>
          <w:bCs/>
        </w:rPr>
        <w:t>）质疑函内容符合本章第</w:t>
      </w:r>
      <w:r>
        <w:rPr>
          <w:rFonts w:hAnsi="宋体"/>
          <w:bCs/>
        </w:rPr>
        <w:t>38.2.5</w:t>
      </w:r>
      <w:r>
        <w:rPr>
          <w:rFonts w:hint="eastAsia" w:hAnsi="宋体"/>
          <w:bCs/>
        </w:rPr>
        <w:t>项的规定；</w:t>
      </w:r>
    </w:p>
    <w:p w14:paraId="37406C7C">
      <w:pPr>
        <w:spacing w:line="360" w:lineRule="auto"/>
        <w:ind w:firstLine="420" w:firstLineChars="200"/>
        <w:rPr>
          <w:rFonts w:hAnsi="宋体"/>
          <w:bCs/>
        </w:rPr>
      </w:pPr>
      <w:r>
        <w:rPr>
          <w:rFonts w:hint="eastAsia" w:hAnsi="宋体"/>
          <w:bCs/>
        </w:rPr>
        <w:t>（</w:t>
      </w:r>
      <w:r>
        <w:rPr>
          <w:rFonts w:hAnsi="宋体"/>
          <w:bCs/>
        </w:rPr>
        <w:t>3</w:t>
      </w:r>
      <w:r>
        <w:rPr>
          <w:rFonts w:hint="eastAsia" w:hAnsi="宋体"/>
          <w:bCs/>
        </w:rPr>
        <w:t>）在质疑有效期限内提起质疑；</w:t>
      </w:r>
    </w:p>
    <w:p w14:paraId="5C9E4D25">
      <w:pPr>
        <w:spacing w:line="360" w:lineRule="auto"/>
        <w:ind w:firstLine="420" w:firstLineChars="200"/>
        <w:rPr>
          <w:rFonts w:hAnsi="宋体"/>
          <w:bCs/>
        </w:rPr>
      </w:pPr>
      <w:r>
        <w:rPr>
          <w:rFonts w:hint="eastAsia" w:hAnsi="宋体"/>
          <w:bCs/>
        </w:rPr>
        <w:t>（</w:t>
      </w:r>
      <w:r>
        <w:rPr>
          <w:rFonts w:hAnsi="宋体"/>
          <w:bCs/>
        </w:rPr>
        <w:t>4</w:t>
      </w:r>
      <w:r>
        <w:rPr>
          <w:rFonts w:hint="eastAsia" w:hAnsi="宋体"/>
          <w:bCs/>
        </w:rPr>
        <w:t>）属于所质疑的采购人或采购人委托的采购代理机构组织的采购活动；</w:t>
      </w:r>
    </w:p>
    <w:p w14:paraId="708F00D6">
      <w:pPr>
        <w:spacing w:line="360" w:lineRule="auto"/>
        <w:ind w:firstLine="420" w:firstLineChars="200"/>
        <w:rPr>
          <w:rFonts w:hAnsi="宋体"/>
          <w:bCs/>
        </w:rPr>
      </w:pPr>
      <w:r>
        <w:rPr>
          <w:rFonts w:hint="eastAsia" w:hAnsi="宋体"/>
          <w:bCs/>
        </w:rPr>
        <w:t>（</w:t>
      </w:r>
      <w:r>
        <w:rPr>
          <w:rFonts w:hAnsi="宋体"/>
          <w:bCs/>
        </w:rPr>
        <w:t>5</w:t>
      </w:r>
      <w:r>
        <w:rPr>
          <w:rFonts w:hint="eastAsia" w:hAnsi="宋体"/>
          <w:bCs/>
        </w:rPr>
        <w:t>）同一质疑事项未经采购人或采购人委托的采购代理机构质疑处理；</w:t>
      </w:r>
      <w:r>
        <w:rPr>
          <w:rFonts w:hAnsi="宋体"/>
          <w:bCs/>
        </w:rPr>
        <w:t xml:space="preserve"> </w:t>
      </w:r>
    </w:p>
    <w:p w14:paraId="03F7C99A">
      <w:pPr>
        <w:spacing w:line="360" w:lineRule="auto"/>
        <w:ind w:firstLine="420" w:firstLineChars="200"/>
        <w:rPr>
          <w:rFonts w:hAnsi="宋体"/>
          <w:bCs/>
        </w:rPr>
      </w:pPr>
      <w:r>
        <w:rPr>
          <w:rFonts w:hint="eastAsia" w:hAnsi="宋体"/>
          <w:bCs/>
        </w:rPr>
        <w:t>（</w:t>
      </w:r>
      <w:r>
        <w:rPr>
          <w:rFonts w:hAnsi="宋体"/>
          <w:bCs/>
        </w:rPr>
        <w:t>6</w:t>
      </w:r>
      <w:r>
        <w:rPr>
          <w:rFonts w:hint="eastAsia" w:hAnsi="宋体"/>
          <w:bCs/>
        </w:rPr>
        <w:t>）供应商对同一采购程序环节的质疑应当在质疑有效期内一次性提出；</w:t>
      </w:r>
    </w:p>
    <w:p w14:paraId="602B36BB">
      <w:pPr>
        <w:spacing w:line="360" w:lineRule="auto"/>
        <w:ind w:firstLine="420" w:firstLineChars="200"/>
        <w:rPr>
          <w:rFonts w:hAnsi="宋体"/>
          <w:bCs/>
        </w:rPr>
      </w:pPr>
      <w:r>
        <w:rPr>
          <w:rFonts w:hint="eastAsia" w:hAnsi="宋体"/>
          <w:bCs/>
        </w:rPr>
        <w:t>（</w:t>
      </w:r>
      <w:r>
        <w:rPr>
          <w:rFonts w:hAnsi="宋体"/>
          <w:bCs/>
        </w:rPr>
        <w:t>7</w:t>
      </w:r>
      <w:r>
        <w:rPr>
          <w:rFonts w:hint="eastAsia" w:hAnsi="宋体"/>
          <w:bCs/>
        </w:rPr>
        <w:t>）供应商提交质疑应当提交必要的证明材料，证明材料应以合法手段取得；</w:t>
      </w:r>
    </w:p>
    <w:p w14:paraId="29592ED9">
      <w:pPr>
        <w:spacing w:line="360" w:lineRule="auto"/>
        <w:ind w:firstLine="420" w:firstLineChars="200"/>
      </w:pPr>
      <w:r>
        <w:rPr>
          <w:rFonts w:hint="eastAsia" w:hAnsi="宋体"/>
          <w:bCs/>
        </w:rPr>
        <w:t>（</w:t>
      </w:r>
      <w:r>
        <w:rPr>
          <w:rFonts w:hAnsi="宋体"/>
          <w:bCs/>
        </w:rPr>
        <w:t>8</w:t>
      </w:r>
      <w:r>
        <w:rPr>
          <w:rFonts w:hint="eastAsia" w:hAnsi="宋体"/>
          <w:bCs/>
        </w:rPr>
        <w:t>）财政部门规定的其他条件。</w:t>
      </w:r>
    </w:p>
    <w:p w14:paraId="29945655">
      <w:pPr>
        <w:spacing w:line="360" w:lineRule="auto"/>
        <w:ind w:firstLine="420" w:firstLineChars="200"/>
        <w:rPr>
          <w:rFonts w:ascii="宋体" w:hAnsi="宋体"/>
          <w:b/>
          <w:color w:val="000000"/>
          <w:szCs w:val="21"/>
        </w:rPr>
      </w:pPr>
      <w:bookmarkStart w:id="143" w:name="_9.2质疑、投诉应当采用书面形式，质疑函、投诉书均应明确阐述招标文件、"/>
      <w:bookmarkEnd w:id="143"/>
      <w:r>
        <w:rPr>
          <w:rFonts w:hint="eastAsia" w:ascii="宋体" w:hAnsi="宋体"/>
          <w:color w:val="000000"/>
          <w:szCs w:val="21"/>
        </w:rPr>
        <w:t xml:space="preserve"> 38.2.5 </w:t>
      </w:r>
      <w:r>
        <w:rPr>
          <w:rFonts w:hint="eastAsia" w:hAnsi="宋体"/>
          <w:bCs/>
          <w:color w:val="000000"/>
        </w:rPr>
        <w:t>供应商提出质疑应当提交质疑函和必要的证明材料，针对同一采购程序环节的质疑必须在法定质疑期内一次性提出。质疑函应当包括下列内容（质疑函格式后附）：</w:t>
      </w:r>
    </w:p>
    <w:p w14:paraId="15A9E449">
      <w:pPr>
        <w:spacing w:line="360" w:lineRule="auto"/>
        <w:ind w:firstLine="420" w:firstLineChars="200"/>
        <w:rPr>
          <w:rFonts w:hint="eastAsia" w:hAnsi="宋体"/>
          <w:bCs/>
          <w:color w:val="000000"/>
        </w:rPr>
      </w:pPr>
      <w:r>
        <w:rPr>
          <w:rFonts w:hint="eastAsia" w:hAnsi="宋体"/>
          <w:bCs/>
          <w:color w:val="000000"/>
        </w:rPr>
        <w:t>（</w:t>
      </w:r>
      <w:r>
        <w:rPr>
          <w:rFonts w:hAnsi="宋体"/>
          <w:bCs/>
          <w:color w:val="000000"/>
        </w:rPr>
        <w:t>1</w:t>
      </w:r>
      <w:r>
        <w:rPr>
          <w:rFonts w:hint="eastAsia" w:hAnsi="宋体"/>
          <w:bCs/>
          <w:color w:val="000000"/>
        </w:rPr>
        <w:t>）供应商的姓名或者名称、地址、邮编、联系人及联系电话；</w:t>
      </w:r>
    </w:p>
    <w:p w14:paraId="172CEABF">
      <w:pPr>
        <w:spacing w:line="360" w:lineRule="auto"/>
        <w:ind w:firstLine="420" w:firstLineChars="200"/>
        <w:rPr>
          <w:rFonts w:hAnsi="宋体"/>
          <w:bCs/>
          <w:color w:val="000000"/>
        </w:rPr>
      </w:pPr>
      <w:r>
        <w:rPr>
          <w:rFonts w:hint="eastAsia" w:hAnsi="宋体"/>
          <w:bCs/>
          <w:color w:val="000000"/>
        </w:rPr>
        <w:t>（</w:t>
      </w:r>
      <w:r>
        <w:rPr>
          <w:rFonts w:hAnsi="宋体"/>
          <w:bCs/>
          <w:color w:val="000000"/>
        </w:rPr>
        <w:t>2</w:t>
      </w:r>
      <w:r>
        <w:rPr>
          <w:rFonts w:hint="eastAsia" w:hAnsi="宋体"/>
          <w:bCs/>
          <w:color w:val="000000"/>
        </w:rPr>
        <w:t>）质疑项目的名称、编号；</w:t>
      </w:r>
    </w:p>
    <w:p w14:paraId="173ECBA5">
      <w:pPr>
        <w:spacing w:line="360" w:lineRule="auto"/>
        <w:ind w:firstLine="420" w:firstLineChars="200"/>
        <w:rPr>
          <w:rFonts w:hAnsi="宋体"/>
          <w:bCs/>
          <w:color w:val="000000"/>
        </w:rPr>
      </w:pPr>
      <w:r>
        <w:rPr>
          <w:rFonts w:hint="eastAsia" w:hAnsi="宋体"/>
          <w:bCs/>
          <w:color w:val="000000"/>
        </w:rPr>
        <w:t>（</w:t>
      </w:r>
      <w:r>
        <w:rPr>
          <w:rFonts w:hAnsi="宋体"/>
          <w:bCs/>
          <w:color w:val="000000"/>
        </w:rPr>
        <w:t>3</w:t>
      </w:r>
      <w:r>
        <w:rPr>
          <w:rFonts w:hint="eastAsia" w:hAnsi="宋体"/>
          <w:bCs/>
          <w:color w:val="000000"/>
        </w:rPr>
        <w:t>）具体、明确的质疑事项和与质疑事项相关的请求；</w:t>
      </w:r>
    </w:p>
    <w:p w14:paraId="2A4D6BEF">
      <w:pPr>
        <w:spacing w:line="360" w:lineRule="auto"/>
        <w:ind w:firstLine="420" w:firstLineChars="200"/>
        <w:rPr>
          <w:rFonts w:hAnsi="宋体"/>
          <w:bCs/>
          <w:color w:val="000000"/>
        </w:rPr>
      </w:pPr>
      <w:r>
        <w:rPr>
          <w:rFonts w:hint="eastAsia" w:hAnsi="宋体"/>
          <w:bCs/>
          <w:color w:val="000000"/>
        </w:rPr>
        <w:t>（</w:t>
      </w:r>
      <w:r>
        <w:rPr>
          <w:rFonts w:hAnsi="宋体"/>
          <w:bCs/>
          <w:color w:val="000000"/>
        </w:rPr>
        <w:t>4</w:t>
      </w:r>
      <w:r>
        <w:rPr>
          <w:rFonts w:hint="eastAsia" w:hAnsi="宋体"/>
          <w:bCs/>
          <w:color w:val="000000"/>
        </w:rPr>
        <w:t>）事实依据（列明权益受到损害的事实和理由）；</w:t>
      </w:r>
    </w:p>
    <w:p w14:paraId="24EFC975">
      <w:pPr>
        <w:spacing w:line="360" w:lineRule="auto"/>
        <w:ind w:firstLine="420" w:firstLineChars="200"/>
        <w:rPr>
          <w:rFonts w:hAnsi="宋体"/>
          <w:bCs/>
          <w:color w:val="000000"/>
        </w:rPr>
      </w:pPr>
      <w:r>
        <w:rPr>
          <w:rFonts w:hint="eastAsia" w:hAnsi="宋体"/>
          <w:bCs/>
          <w:color w:val="000000"/>
        </w:rPr>
        <w:t>（</w:t>
      </w:r>
      <w:r>
        <w:rPr>
          <w:rFonts w:hAnsi="宋体"/>
          <w:bCs/>
          <w:color w:val="000000"/>
        </w:rPr>
        <w:t>5</w:t>
      </w:r>
      <w:r>
        <w:rPr>
          <w:rFonts w:hint="eastAsia" w:hAnsi="宋体"/>
          <w:bCs/>
          <w:color w:val="000000"/>
        </w:rPr>
        <w:t>）必要的法律依据；</w:t>
      </w:r>
    </w:p>
    <w:p w14:paraId="59D6A95F">
      <w:pPr>
        <w:spacing w:line="360" w:lineRule="auto"/>
        <w:ind w:firstLine="420" w:firstLineChars="200"/>
        <w:rPr>
          <w:rFonts w:hAnsi="宋体"/>
          <w:bCs/>
          <w:color w:val="000000"/>
        </w:rPr>
      </w:pPr>
      <w:r>
        <w:rPr>
          <w:rFonts w:hint="eastAsia" w:hAnsi="宋体"/>
          <w:bCs/>
          <w:color w:val="000000"/>
        </w:rPr>
        <w:t>（</w:t>
      </w:r>
      <w:r>
        <w:rPr>
          <w:rFonts w:hAnsi="宋体"/>
          <w:bCs/>
          <w:color w:val="000000"/>
        </w:rPr>
        <w:t>6</w:t>
      </w:r>
      <w:r>
        <w:rPr>
          <w:rFonts w:hint="eastAsia" w:hAnsi="宋体"/>
          <w:bCs/>
          <w:color w:val="000000"/>
        </w:rPr>
        <w:t>）提出质疑的日期。</w:t>
      </w:r>
    </w:p>
    <w:p w14:paraId="5A51775A">
      <w:pPr>
        <w:spacing w:line="360" w:lineRule="auto"/>
        <w:ind w:firstLine="420" w:firstLineChars="200"/>
        <w:rPr>
          <w:rFonts w:hAnsi="宋体"/>
          <w:bCs/>
          <w:color w:val="000000"/>
        </w:rPr>
      </w:pPr>
      <w:r>
        <w:rPr>
          <w:rFonts w:hint="eastAsia" w:hAnsi="宋体"/>
          <w:bCs/>
          <w:color w:val="000000"/>
        </w:rPr>
        <w:t>供应商为自然人的，应当由本人签字；供应商为法人或者其他组织的，应当由法定代表人、主要负责人，或者其委托代理人签字或者盖章，并加盖公章。</w:t>
      </w:r>
    </w:p>
    <w:p w14:paraId="51FFF930">
      <w:pPr>
        <w:spacing w:line="360" w:lineRule="auto"/>
        <w:ind w:firstLine="422" w:firstLineChars="200"/>
        <w:rPr>
          <w:rFonts w:ascii="宋体" w:hAnsi="宋体"/>
          <w:b/>
          <w:color w:val="000000"/>
          <w:szCs w:val="20"/>
        </w:rPr>
      </w:pPr>
      <w:r>
        <w:rPr>
          <w:rFonts w:hint="eastAsia" w:ascii="宋体" w:hAnsi="宋体"/>
          <w:b/>
          <w:color w:val="000000"/>
          <w:szCs w:val="20"/>
        </w:rPr>
        <w:t>38.2.6采购人或采购人委托的采购代理机构在收到质疑函后7个工作日内作出答复，并以书面形式通知质疑供应商及其他有关供应商。对不符合质疑条件的质疑，答复不予受理，并说明理由；对符合质疑条件的质疑，对质疑事项作出答复</w:t>
      </w:r>
    </w:p>
    <w:p w14:paraId="1096576E">
      <w:pPr>
        <w:spacing w:line="360" w:lineRule="auto"/>
        <w:ind w:firstLine="420" w:firstLineChars="200"/>
        <w:rPr>
          <w:rFonts w:hint="eastAsia" w:ascii="宋体" w:hAnsi="宋体"/>
          <w:bCs/>
          <w:color w:val="000000"/>
          <w:szCs w:val="21"/>
        </w:rPr>
      </w:pPr>
      <w:r>
        <w:rPr>
          <w:rFonts w:hint="eastAsia" w:ascii="宋体" w:hAnsi="宋体"/>
          <w:color w:val="000000"/>
          <w:szCs w:val="21"/>
        </w:rPr>
        <w:t>3</w:t>
      </w:r>
      <w:r>
        <w:rPr>
          <w:rFonts w:hint="eastAsia" w:ascii="宋体" w:hAnsi="宋体"/>
          <w:bCs/>
          <w:color w:val="000000"/>
          <w:szCs w:val="21"/>
        </w:rPr>
        <w:t>8.2.7采购人、采购代理机构认为供应商质疑不成立，或者成立但未对中标结果构成影响的，继续开展采购活动；认为供应商质疑成立且影响或者可能影响中标结果的，按照下列情况处理：</w:t>
      </w:r>
    </w:p>
    <w:p w14:paraId="2F1F5EDA">
      <w:pPr>
        <w:spacing w:line="360" w:lineRule="auto"/>
        <w:ind w:firstLine="420" w:firstLineChars="200"/>
        <w:rPr>
          <w:rFonts w:hint="eastAsia" w:hAnsi="宋体"/>
          <w:bCs/>
          <w:color w:val="000000"/>
        </w:rPr>
      </w:pPr>
      <w:r>
        <w:rPr>
          <w:rFonts w:hint="eastAsia" w:hAnsi="宋体"/>
          <w:bCs/>
          <w:color w:val="000000"/>
        </w:rPr>
        <w:t>　　（一）对招标文件提出的质疑，依法通过澄清或者修改可以继续开展采购活动的，澄清或者修改招标文件后继续开展采购活动；否则应当修改招标文件后重新开展采购活动。</w:t>
      </w:r>
    </w:p>
    <w:p w14:paraId="3CCFAC63">
      <w:pPr>
        <w:spacing w:line="360" w:lineRule="auto"/>
        <w:ind w:firstLine="420" w:firstLineChars="200"/>
        <w:rPr>
          <w:rFonts w:hAnsi="宋体"/>
          <w:bCs/>
          <w:color w:val="000000"/>
        </w:rPr>
      </w:pPr>
      <w:r>
        <w:rPr>
          <w:rFonts w:hint="eastAsia" w:hAnsi="宋体"/>
          <w:bCs/>
          <w:color w:val="000000"/>
        </w:rPr>
        <w:t>　　（二）对采购过程、中标结果提出的质疑，合格供应商符合法定数量时，可以从合格的中标候选人中另行确定中标供应商的，应当依法另行确定中标供应商；否则应当重新开展采购活动。</w:t>
      </w:r>
    </w:p>
    <w:p w14:paraId="6198DDC4">
      <w:pPr>
        <w:spacing w:line="360" w:lineRule="auto"/>
        <w:ind w:firstLine="420" w:firstLineChars="200"/>
        <w:rPr>
          <w:rFonts w:hAnsi="宋体"/>
          <w:bCs/>
          <w:color w:val="000000"/>
        </w:rPr>
      </w:pPr>
      <w:r>
        <w:rPr>
          <w:rFonts w:hint="eastAsia" w:hAnsi="宋体"/>
          <w:bCs/>
          <w:color w:val="000000"/>
        </w:rPr>
        <w:t>质疑答复导致中标结果改变的，采购人或者采购代理机构应当将有关情况书面报告本级财政部门。</w:t>
      </w:r>
    </w:p>
    <w:p w14:paraId="58B0DC0D">
      <w:pPr>
        <w:spacing w:line="360" w:lineRule="auto"/>
        <w:ind w:firstLine="422" w:firstLineChars="200"/>
        <w:rPr>
          <w:rFonts w:hAnsi="宋体"/>
          <w:b/>
          <w:color w:val="000000"/>
        </w:rPr>
      </w:pPr>
      <w:r>
        <w:rPr>
          <w:rFonts w:hAnsi="宋体"/>
          <w:b/>
          <w:color w:val="000000"/>
        </w:rPr>
        <w:t>38.3</w:t>
      </w:r>
      <w:r>
        <w:rPr>
          <w:rFonts w:hint="eastAsia" w:hAnsi="宋体"/>
          <w:b/>
          <w:color w:val="000000"/>
        </w:rPr>
        <w:t>投诉</w:t>
      </w:r>
    </w:p>
    <w:p w14:paraId="5FD971D5">
      <w:pPr>
        <w:spacing w:line="360" w:lineRule="auto"/>
        <w:ind w:firstLine="422" w:firstLineChars="200"/>
        <w:rPr>
          <w:rFonts w:hAnsi="宋体"/>
          <w:bCs/>
        </w:rPr>
      </w:pPr>
      <w:r>
        <w:rPr>
          <w:rFonts w:hAnsi="宋体"/>
          <w:b/>
          <w:color w:val="000000"/>
        </w:rPr>
        <w:t>38.3</w:t>
      </w:r>
      <w:r>
        <w:rPr>
          <w:rFonts w:hAnsi="宋体"/>
          <w:bCs/>
        </w:rPr>
        <w:t>.</w:t>
      </w:r>
      <w:r>
        <w:rPr>
          <w:rFonts w:hAnsi="宋体"/>
          <w:b/>
          <w:bCs/>
        </w:rPr>
        <w:t xml:space="preserve">1 </w:t>
      </w:r>
      <w:r>
        <w:rPr>
          <w:rFonts w:hAnsi="宋体"/>
          <w:bCs/>
        </w:rPr>
        <w:t xml:space="preserve"> </w:t>
      </w:r>
      <w:r>
        <w:rPr>
          <w:rFonts w:hint="eastAsia" w:hAnsi="宋体"/>
          <w:bCs/>
        </w:rPr>
        <w:t>供应商认为采购文件、采购过程、中标和成交结果使自己的合法权益受到损害的，应当首先依法向采购人或采购人委托的</w:t>
      </w:r>
      <w:r>
        <w:rPr>
          <w:rFonts w:hint="eastAsia" w:hAnsi="宋体"/>
        </w:rPr>
        <w:t>采购代理机构</w:t>
      </w:r>
      <w:r>
        <w:rPr>
          <w:rFonts w:hint="eastAsia" w:hAnsi="宋体"/>
          <w:bCs/>
        </w:rPr>
        <w:t>提出质疑。对采购人、</w:t>
      </w:r>
      <w:r>
        <w:rPr>
          <w:rFonts w:hint="eastAsia" w:hAnsi="宋体"/>
        </w:rPr>
        <w:t>采购代理机构</w:t>
      </w:r>
      <w:r>
        <w:rPr>
          <w:rFonts w:hint="eastAsia" w:hAnsi="宋体"/>
          <w:bCs/>
        </w:rPr>
        <w:t>的答复不满意，或者采购人、</w:t>
      </w:r>
      <w:r>
        <w:rPr>
          <w:rFonts w:hint="eastAsia" w:hAnsi="宋体"/>
        </w:rPr>
        <w:t>采购代理机构</w:t>
      </w:r>
      <w:r>
        <w:rPr>
          <w:rFonts w:hint="eastAsia" w:hAnsi="宋体"/>
          <w:bCs/>
        </w:rPr>
        <w:t>未在规定期限内做出答复的，供应商可以在答复期满后</w:t>
      </w:r>
      <w:r>
        <w:rPr>
          <w:rFonts w:hAnsi="宋体"/>
          <w:bCs/>
        </w:rPr>
        <w:t>15</w:t>
      </w:r>
      <w:r>
        <w:rPr>
          <w:rFonts w:hint="eastAsia" w:hAnsi="宋体"/>
          <w:bCs/>
        </w:rPr>
        <w:t>个工作日内向南宁市政府采购监督管理部门提起投诉，投诉方式见“投标人须知前附表”。</w:t>
      </w:r>
    </w:p>
    <w:p w14:paraId="5F485482">
      <w:pPr>
        <w:spacing w:line="360" w:lineRule="auto"/>
        <w:ind w:firstLine="422" w:firstLineChars="200"/>
        <w:rPr>
          <w:rFonts w:hAnsi="宋体"/>
          <w:bCs/>
        </w:rPr>
      </w:pPr>
      <w:r>
        <w:rPr>
          <w:rFonts w:hAnsi="宋体"/>
          <w:b/>
          <w:color w:val="000000"/>
        </w:rPr>
        <w:t>38.3</w:t>
      </w:r>
      <w:r>
        <w:rPr>
          <w:b/>
        </w:rPr>
        <w:t xml:space="preserve">.2 </w:t>
      </w:r>
      <w:r>
        <w:t xml:space="preserve"> </w:t>
      </w:r>
      <w:r>
        <w:rPr>
          <w:rFonts w:hint="eastAsia"/>
        </w:rPr>
        <w:t>投诉人投诉时，应当提交投诉书，并按照被投诉采购人、</w:t>
      </w:r>
      <w:r>
        <w:rPr>
          <w:rFonts w:hint="eastAsia" w:hAnsi="宋体"/>
        </w:rPr>
        <w:t>采购代理机构</w:t>
      </w:r>
      <w:r>
        <w:rPr>
          <w:rFonts w:hint="eastAsia"/>
        </w:rPr>
        <w:t>和与投诉事项有关的供应商数量提供投诉书的副本。投诉书</w:t>
      </w:r>
      <w:r>
        <w:rPr>
          <w:rFonts w:hint="eastAsia"/>
          <w:szCs w:val="21"/>
        </w:rPr>
        <w:t>应当包括下列主要内容</w:t>
      </w:r>
      <w:r>
        <w:rPr>
          <w:rFonts w:hint="eastAsia"/>
        </w:rPr>
        <w:t>（如材料中有外文资料应同时附上对应的中文译本）</w:t>
      </w:r>
      <w:r>
        <w:rPr>
          <w:rFonts w:hint="eastAsia" w:hAnsi="宋体"/>
          <w:bCs/>
          <w:color w:val="000000"/>
        </w:rPr>
        <w:t>（投诉书格式后附）</w:t>
      </w:r>
      <w:r>
        <w:rPr>
          <w:rFonts w:hint="eastAsia"/>
          <w:szCs w:val="21"/>
        </w:rPr>
        <w:t>：</w:t>
      </w:r>
    </w:p>
    <w:p w14:paraId="318733D5">
      <w:pPr>
        <w:spacing w:line="360" w:lineRule="auto"/>
        <w:ind w:firstLine="420" w:firstLineChars="200"/>
      </w:pPr>
      <w:r>
        <w:rPr>
          <w:rFonts w:hint="eastAsia" w:hAnsi="宋体"/>
        </w:rPr>
        <w:t>（</w:t>
      </w:r>
      <w:r>
        <w:rPr>
          <w:rFonts w:hAnsi="宋体"/>
        </w:rPr>
        <w:t>1</w:t>
      </w:r>
      <w:r>
        <w:rPr>
          <w:rFonts w:hint="eastAsia" w:hAnsi="宋体"/>
        </w:rPr>
        <w:t>）投诉人和被投诉人的名称、地址、邮编、联系人及联系电话等；</w:t>
      </w:r>
      <w:r>
        <w:rPr>
          <w:rFonts w:hAnsi="宋体"/>
        </w:rPr>
        <w:t xml:space="preserve"> </w:t>
      </w:r>
    </w:p>
    <w:p w14:paraId="24B44CB2">
      <w:pPr>
        <w:spacing w:line="360" w:lineRule="auto"/>
        <w:ind w:firstLine="420" w:firstLineChars="200"/>
      </w:pPr>
      <w:r>
        <w:rPr>
          <w:rFonts w:hint="eastAsia" w:hAnsi="宋体"/>
        </w:rPr>
        <w:t>（</w:t>
      </w:r>
      <w:r>
        <w:rPr>
          <w:rFonts w:hAnsi="宋体"/>
        </w:rPr>
        <w:t>2</w:t>
      </w:r>
      <w:r>
        <w:rPr>
          <w:rFonts w:hint="eastAsia" w:hAnsi="宋体"/>
        </w:rPr>
        <w:t>）质疑和质疑答复情况及相关证明材料；</w:t>
      </w:r>
      <w:r>
        <w:t xml:space="preserve"> </w:t>
      </w:r>
    </w:p>
    <w:p w14:paraId="3A75BBFD">
      <w:pPr>
        <w:spacing w:line="360" w:lineRule="auto"/>
        <w:ind w:firstLine="420" w:firstLineChars="200"/>
        <w:rPr>
          <w:rFonts w:hAnsi="宋体"/>
        </w:rPr>
      </w:pPr>
      <w:r>
        <w:rPr>
          <w:rFonts w:hint="eastAsia" w:hAnsi="宋体"/>
        </w:rPr>
        <w:t>（</w:t>
      </w:r>
      <w:r>
        <w:rPr>
          <w:rFonts w:hAnsi="宋体"/>
        </w:rPr>
        <w:t>3</w:t>
      </w:r>
      <w:r>
        <w:rPr>
          <w:rFonts w:hint="eastAsia" w:hAnsi="宋体"/>
        </w:rPr>
        <w:t>）具体、明确的投诉事项和与投诉事项相关的投诉请求；</w:t>
      </w:r>
    </w:p>
    <w:p w14:paraId="0BF44336">
      <w:pPr>
        <w:spacing w:line="360" w:lineRule="auto"/>
        <w:ind w:firstLine="420" w:firstLineChars="200"/>
        <w:rPr>
          <w:rFonts w:hAnsi="宋体"/>
        </w:rPr>
      </w:pPr>
      <w:r>
        <w:rPr>
          <w:rFonts w:hint="eastAsia" w:hAnsi="宋体"/>
        </w:rPr>
        <w:t>（</w:t>
      </w:r>
      <w:r>
        <w:rPr>
          <w:rFonts w:hAnsi="宋体"/>
        </w:rPr>
        <w:t>4</w:t>
      </w:r>
      <w:r>
        <w:rPr>
          <w:rFonts w:hint="eastAsia" w:hAnsi="宋体"/>
        </w:rPr>
        <w:t>）事实依据；</w:t>
      </w:r>
    </w:p>
    <w:p w14:paraId="6AB7BBD7">
      <w:pPr>
        <w:spacing w:line="360" w:lineRule="auto"/>
        <w:ind w:firstLine="420" w:firstLineChars="200"/>
      </w:pPr>
      <w:r>
        <w:rPr>
          <w:rFonts w:hint="eastAsia" w:hAnsi="宋体"/>
        </w:rPr>
        <w:t>（</w:t>
      </w:r>
      <w:r>
        <w:rPr>
          <w:rFonts w:hAnsi="宋体"/>
        </w:rPr>
        <w:t>5</w:t>
      </w:r>
      <w:r>
        <w:rPr>
          <w:rFonts w:hint="eastAsia" w:hAnsi="宋体"/>
        </w:rPr>
        <w:t>）法律依据；</w:t>
      </w:r>
    </w:p>
    <w:p w14:paraId="5BD3FF29">
      <w:pPr>
        <w:spacing w:line="360" w:lineRule="auto"/>
        <w:ind w:firstLine="420" w:firstLineChars="200"/>
        <w:rPr>
          <w:rFonts w:hAnsi="宋体"/>
        </w:rPr>
      </w:pPr>
      <w:r>
        <w:rPr>
          <w:rFonts w:hint="eastAsia" w:hAnsi="宋体"/>
        </w:rPr>
        <w:t>（</w:t>
      </w:r>
      <w:r>
        <w:rPr>
          <w:rFonts w:hAnsi="宋体"/>
        </w:rPr>
        <w:t>6</w:t>
      </w:r>
      <w:r>
        <w:rPr>
          <w:rFonts w:hint="eastAsia" w:hAnsi="宋体"/>
        </w:rPr>
        <w:t>）提起投诉的日期。</w:t>
      </w:r>
    </w:p>
    <w:p w14:paraId="4DE54DBD">
      <w:pPr>
        <w:spacing w:line="360" w:lineRule="auto"/>
        <w:ind w:firstLine="420" w:firstLineChars="200"/>
        <w:rPr>
          <w:rFonts w:hAnsi="宋体"/>
        </w:rPr>
      </w:pPr>
      <w:r>
        <w:rPr>
          <w:rFonts w:hint="eastAsia" w:hAnsi="宋体"/>
        </w:rPr>
        <w:t>（</w:t>
      </w:r>
      <w:r>
        <w:rPr>
          <w:rFonts w:hAnsi="宋体"/>
        </w:rPr>
        <w:t>7</w:t>
      </w:r>
      <w:r>
        <w:rPr>
          <w:rFonts w:hint="eastAsia" w:hAnsi="宋体"/>
        </w:rPr>
        <w:t>）附件材料：营业执照副本内页复印件（要求证件有效并清晰反映企业法人经营范围；近期连续三个月依法缴纳税收和在职职工社会保障资金证明材料（复印件）。</w:t>
      </w:r>
      <w:r>
        <w:rPr>
          <w:rFonts w:hAnsi="宋体"/>
        </w:rPr>
        <w:tab/>
      </w:r>
    </w:p>
    <w:p w14:paraId="62CB9DF2">
      <w:pPr>
        <w:spacing w:line="360" w:lineRule="auto"/>
        <w:ind w:firstLine="422" w:firstLineChars="200"/>
        <w:rPr>
          <w:rFonts w:hAnsi="宋体"/>
          <w:bCs/>
        </w:rPr>
      </w:pPr>
      <w:r>
        <w:rPr>
          <w:rFonts w:hAnsi="宋体"/>
          <w:b/>
          <w:color w:val="000000"/>
        </w:rPr>
        <w:t>38.3</w:t>
      </w:r>
      <w:r>
        <w:rPr>
          <w:b/>
        </w:rPr>
        <w:t xml:space="preserve">.3  </w:t>
      </w:r>
      <w:r>
        <w:rPr>
          <w:rFonts w:hint="eastAsia"/>
        </w:rPr>
        <w:t>投诉人可以委托代理人办理投诉事务。</w:t>
      </w:r>
      <w:r>
        <w:rPr>
          <w:rFonts w:hint="eastAsia" w:hAnsi="宋体"/>
          <w:bCs/>
        </w:rPr>
        <w:t>委托代理人应熟悉相关业务情况。</w:t>
      </w:r>
      <w:r>
        <w:rPr>
          <w:rFonts w:hint="eastAsia"/>
        </w:rPr>
        <w:t>代理人办理投诉事务时，除提交投诉书外，还应当提交投诉人的授权委托书和</w:t>
      </w:r>
      <w:r>
        <w:rPr>
          <w:rFonts w:hint="eastAsia" w:hAnsi="宋体"/>
        </w:rPr>
        <w:t>委托代理人身份证明复印件。</w:t>
      </w:r>
    </w:p>
    <w:p w14:paraId="2E4E7D65">
      <w:pPr>
        <w:spacing w:line="360" w:lineRule="auto"/>
        <w:ind w:firstLine="422" w:firstLineChars="200"/>
        <w:rPr>
          <w:rFonts w:hAnsi="宋体"/>
        </w:rPr>
      </w:pPr>
      <w:r>
        <w:rPr>
          <w:rFonts w:hAnsi="宋体"/>
          <w:b/>
          <w:color w:val="000000"/>
        </w:rPr>
        <w:t>38.3</w:t>
      </w:r>
      <w:r>
        <w:rPr>
          <w:b/>
        </w:rPr>
        <w:t>.4</w:t>
      </w:r>
      <w:r>
        <w:t xml:space="preserve">  </w:t>
      </w:r>
      <w:r>
        <w:rPr>
          <w:rFonts w:hint="eastAsia"/>
        </w:rPr>
        <w:t>投诉人提起投诉应当符合下列条件：</w:t>
      </w:r>
    </w:p>
    <w:p w14:paraId="40898310">
      <w:pPr>
        <w:spacing w:line="360" w:lineRule="auto"/>
        <w:ind w:firstLine="420" w:firstLineChars="200"/>
        <w:rPr>
          <w:rFonts w:ascii="宋体" w:hAnsi="宋体"/>
        </w:rPr>
      </w:pPr>
      <w:r>
        <w:rPr>
          <w:rFonts w:hint="eastAsia" w:ascii="宋体" w:hAnsi="宋体"/>
        </w:rPr>
        <w:t>（1）投诉人是参与所投诉政府采购活动的供应商；</w:t>
      </w:r>
    </w:p>
    <w:p w14:paraId="182610D9">
      <w:pPr>
        <w:spacing w:line="360" w:lineRule="auto"/>
        <w:ind w:firstLine="420" w:firstLineChars="200"/>
        <w:rPr>
          <w:rFonts w:hint="eastAsia" w:ascii="宋体" w:hAnsi="宋体"/>
        </w:rPr>
      </w:pPr>
      <w:r>
        <w:rPr>
          <w:rFonts w:hint="eastAsia" w:ascii="宋体" w:hAnsi="宋体"/>
        </w:rPr>
        <w:t>（2）提起投诉前已依法进行质疑；</w:t>
      </w:r>
    </w:p>
    <w:p w14:paraId="48A50B8B">
      <w:pPr>
        <w:spacing w:line="360" w:lineRule="auto"/>
        <w:ind w:firstLine="420" w:firstLineChars="200"/>
        <w:rPr>
          <w:rFonts w:hint="eastAsia" w:ascii="宋体" w:hAnsi="宋体"/>
        </w:rPr>
      </w:pPr>
      <w:r>
        <w:rPr>
          <w:rFonts w:hint="eastAsia" w:ascii="宋体" w:hAnsi="宋体"/>
        </w:rPr>
        <w:t>（3）投诉书内容符合本章第38.3.2项的规定；</w:t>
      </w:r>
    </w:p>
    <w:p w14:paraId="5195959E">
      <w:pPr>
        <w:spacing w:line="360" w:lineRule="auto"/>
        <w:ind w:firstLine="420" w:firstLineChars="200"/>
        <w:rPr>
          <w:rFonts w:hint="eastAsia" w:ascii="宋体" w:hAnsi="宋体"/>
        </w:rPr>
      </w:pPr>
      <w:r>
        <w:rPr>
          <w:rFonts w:hint="eastAsia" w:ascii="宋体" w:hAnsi="宋体"/>
        </w:rPr>
        <w:t>（4）在投诉有效期限内提起投诉；</w:t>
      </w:r>
    </w:p>
    <w:p w14:paraId="68835806">
      <w:pPr>
        <w:spacing w:line="360" w:lineRule="auto"/>
        <w:ind w:firstLine="420" w:firstLineChars="200"/>
        <w:rPr>
          <w:rFonts w:hint="eastAsia" w:ascii="宋体" w:hAnsi="宋体"/>
        </w:rPr>
      </w:pPr>
      <w:r>
        <w:rPr>
          <w:rFonts w:hint="eastAsia" w:ascii="宋体" w:hAnsi="宋体"/>
        </w:rPr>
        <w:t>（5）属于南宁市政府采购监督管理部门管辖；</w:t>
      </w:r>
    </w:p>
    <w:p w14:paraId="50AAE54F">
      <w:pPr>
        <w:spacing w:line="360" w:lineRule="auto"/>
        <w:ind w:firstLine="420" w:firstLineChars="200"/>
        <w:rPr>
          <w:rFonts w:hint="eastAsia" w:ascii="宋体" w:hAnsi="宋体"/>
        </w:rPr>
      </w:pPr>
      <w:r>
        <w:rPr>
          <w:rFonts w:hint="eastAsia" w:ascii="宋体" w:hAnsi="宋体"/>
        </w:rPr>
        <w:t>（6）同一投诉事项未经</w:t>
      </w:r>
      <w:r>
        <w:rPr>
          <w:rFonts w:hint="eastAsia" w:ascii="宋体" w:hAnsi="宋体"/>
          <w:bCs/>
        </w:rPr>
        <w:t>南宁市政府采购监督管理部门</w:t>
      </w:r>
      <w:r>
        <w:rPr>
          <w:rFonts w:hint="eastAsia" w:ascii="宋体" w:hAnsi="宋体"/>
        </w:rPr>
        <w:t>投诉处理；</w:t>
      </w:r>
    </w:p>
    <w:p w14:paraId="3A741080">
      <w:pPr>
        <w:spacing w:line="360" w:lineRule="auto"/>
        <w:ind w:firstLine="420" w:firstLineChars="200"/>
        <w:rPr>
          <w:rFonts w:hint="eastAsia" w:ascii="宋体"/>
        </w:rPr>
      </w:pPr>
      <w:r>
        <w:rPr>
          <w:rFonts w:hint="eastAsia" w:ascii="宋体"/>
        </w:rPr>
        <w:t>（7）国务院财政部门规定的其他条件。</w:t>
      </w:r>
    </w:p>
    <w:p w14:paraId="0EA39EE2">
      <w:pPr>
        <w:spacing w:line="360" w:lineRule="auto"/>
        <w:ind w:firstLine="422" w:firstLineChars="200"/>
        <w:rPr>
          <w:rFonts w:hint="eastAsia"/>
        </w:rPr>
      </w:pPr>
      <w:r>
        <w:rPr>
          <w:rFonts w:hAnsi="宋体"/>
          <w:b/>
          <w:color w:val="000000"/>
        </w:rPr>
        <w:t>38.3</w:t>
      </w:r>
      <w:r>
        <w:rPr>
          <w:rFonts w:hint="eastAsia" w:ascii="宋体"/>
          <w:b/>
        </w:rPr>
        <w:t>.5</w:t>
      </w:r>
      <w:r>
        <w:rPr>
          <w:rFonts w:hint="eastAsia" w:ascii="宋体"/>
        </w:rPr>
        <w:t xml:space="preserve">  南宁市政府采购监督管理部门</w:t>
      </w:r>
      <w:r>
        <w:rPr>
          <w:rFonts w:hint="eastAsia"/>
        </w:rPr>
        <w:t>自受理投诉之日起</w:t>
      </w:r>
      <w:r>
        <w:t>30</w:t>
      </w:r>
      <w:r>
        <w:rPr>
          <w:rFonts w:hint="eastAsia"/>
        </w:rPr>
        <w:t>个工作日内，对投诉事项作出处理决定，并以书面形式通知投诉人、被投诉人及其他与投诉处理结果有利害关系的政府采购当</w:t>
      </w:r>
      <w:r>
        <w:rPr>
          <w:rFonts w:hint="eastAsia" w:ascii="宋体"/>
        </w:rPr>
        <w:t>事人</w:t>
      </w:r>
      <w:r>
        <w:rPr>
          <w:rFonts w:hint="eastAsia"/>
        </w:rPr>
        <w:t>。并将投诉结果在</w:t>
      </w:r>
      <w:r>
        <w:rPr>
          <w:rFonts w:hint="eastAsia" w:ascii="宋体" w:hAnsi="宋体" w:cs="宋体"/>
          <w:color w:val="000000"/>
          <w:kern w:val="0"/>
          <w:szCs w:val="21"/>
        </w:rPr>
        <w:t>“广西政府采购网”（http://zfcg.gxzf.gov.cn）</w:t>
      </w:r>
      <w:r>
        <w:rPr>
          <w:rFonts w:hint="eastAsia"/>
        </w:rPr>
        <w:t>发布。</w:t>
      </w:r>
    </w:p>
    <w:p w14:paraId="2753689E">
      <w:pPr>
        <w:spacing w:line="360" w:lineRule="auto"/>
        <w:ind w:firstLine="422" w:firstLineChars="200"/>
        <w:rPr>
          <w:rFonts w:ascii="宋体"/>
        </w:rPr>
      </w:pPr>
      <w:r>
        <w:rPr>
          <w:rFonts w:hAnsi="宋体"/>
          <w:b/>
          <w:color w:val="000000"/>
        </w:rPr>
        <w:t>38.3</w:t>
      </w:r>
      <w:r>
        <w:rPr>
          <w:rFonts w:hint="eastAsia" w:ascii="宋体"/>
          <w:b/>
        </w:rPr>
        <w:t>.6</w:t>
      </w:r>
      <w:r>
        <w:rPr>
          <w:rFonts w:hint="eastAsia" w:ascii="宋体"/>
        </w:rPr>
        <w:t xml:space="preserve">  南宁市政府采购监督管理部门在处理投诉事项期间，可以视具体情况暂停采购活动。</w:t>
      </w:r>
    </w:p>
    <w:p w14:paraId="2AA44A37">
      <w:pPr>
        <w:pStyle w:val="4"/>
        <w:keepNext w:val="0"/>
        <w:keepLines w:val="0"/>
        <w:spacing w:line="360" w:lineRule="auto"/>
        <w:jc w:val="center"/>
        <w:rPr>
          <w:rFonts w:hint="eastAsia"/>
        </w:rPr>
      </w:pPr>
      <w:bookmarkStart w:id="144" w:name="_Toc211960307"/>
      <w:r>
        <w:rPr>
          <w:rFonts w:hint="eastAsia"/>
        </w:rPr>
        <w:t>八、验收</w:t>
      </w:r>
      <w:bookmarkEnd w:id="144"/>
    </w:p>
    <w:p w14:paraId="6CB33F19">
      <w:pPr>
        <w:spacing w:line="360" w:lineRule="auto"/>
        <w:ind w:firstLine="422" w:firstLineChars="200"/>
        <w:rPr>
          <w:rFonts w:hAnsi="宋体"/>
          <w:b/>
          <w:color w:val="000000"/>
        </w:rPr>
      </w:pPr>
      <w:r>
        <w:rPr>
          <w:rFonts w:hAnsi="宋体"/>
          <w:b/>
          <w:color w:val="000000"/>
        </w:rPr>
        <w:t>39.</w:t>
      </w:r>
      <w:r>
        <w:rPr>
          <w:rFonts w:hint="eastAsia" w:hAnsi="宋体"/>
          <w:b/>
          <w:color w:val="000000"/>
        </w:rPr>
        <w:t>验收</w:t>
      </w:r>
    </w:p>
    <w:p w14:paraId="073562FD">
      <w:pPr>
        <w:tabs>
          <w:tab w:val="left" w:pos="0"/>
        </w:tabs>
        <w:spacing w:line="360" w:lineRule="auto"/>
        <w:ind w:firstLine="480"/>
        <w:rPr>
          <w:rFonts w:hAnsi="宋体"/>
        </w:rPr>
      </w:pPr>
      <w:r>
        <w:rPr>
          <w:rFonts w:hAnsi="宋体"/>
        </w:rPr>
        <w:t>39.1</w:t>
      </w:r>
      <w:r>
        <w:rPr>
          <w:rFonts w:hint="eastAsia" w:hAnsi="宋体"/>
        </w:rPr>
        <w:t>采购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07506F25">
      <w:pPr>
        <w:tabs>
          <w:tab w:val="left" w:pos="0"/>
        </w:tabs>
        <w:spacing w:line="360" w:lineRule="auto"/>
        <w:ind w:firstLine="480"/>
        <w:rPr>
          <w:rFonts w:hAnsi="宋体"/>
        </w:rPr>
      </w:pPr>
      <w:r>
        <w:rPr>
          <w:rFonts w:hAnsi="宋体"/>
        </w:rPr>
        <w:t>39.2</w:t>
      </w:r>
      <w:r>
        <w:rPr>
          <w:rFonts w:hint="eastAsia" w:hAnsi="宋体"/>
        </w:rPr>
        <w:t>采购人可以邀请参加本项目的其他投标人或者第三方机构参与验收。参与验收的投标人或者第三方机构的意见作为验收书的参考资料一并存档。</w:t>
      </w:r>
    </w:p>
    <w:p w14:paraId="1EF5A21B">
      <w:pPr>
        <w:tabs>
          <w:tab w:val="left" w:pos="0"/>
        </w:tabs>
        <w:spacing w:line="360" w:lineRule="auto"/>
        <w:ind w:firstLine="480"/>
        <w:rPr>
          <w:rFonts w:hAnsi="宋体"/>
        </w:rPr>
      </w:pPr>
      <w:r>
        <w:rPr>
          <w:rFonts w:hAnsi="宋体"/>
        </w:rPr>
        <w:t>39.3</w:t>
      </w:r>
      <w:r>
        <w:rPr>
          <w:rFonts w:hint="eastAsia" w:hAnsi="宋体"/>
        </w:rPr>
        <w:t>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018F01BA">
      <w:pPr>
        <w:tabs>
          <w:tab w:val="left" w:pos="0"/>
        </w:tabs>
        <w:spacing w:line="360" w:lineRule="auto"/>
        <w:ind w:firstLine="480"/>
        <w:rPr>
          <w:rFonts w:hAnsi="宋体"/>
        </w:rPr>
      </w:pPr>
      <w:r>
        <w:rPr>
          <w:rFonts w:hAnsi="宋体"/>
        </w:rPr>
        <w:t>39.4</w:t>
      </w:r>
      <w:r>
        <w:rPr>
          <w:rFonts w:hint="eastAsia" w:hAnsi="宋体"/>
        </w:rPr>
        <w:t>验收合格的项目，采购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6AB1236A">
      <w:pPr>
        <w:pStyle w:val="11"/>
        <w:snapToGrid w:val="0"/>
        <w:spacing w:line="400" w:lineRule="exact"/>
        <w:rPr>
          <w:rFonts w:hAnsi="宋体"/>
          <w:color w:val="000000"/>
        </w:rPr>
      </w:pPr>
    </w:p>
    <w:p w14:paraId="2C69E6CF">
      <w:pPr>
        <w:pStyle w:val="4"/>
        <w:keepNext w:val="0"/>
        <w:keepLines w:val="0"/>
        <w:spacing w:line="360" w:lineRule="auto"/>
        <w:jc w:val="center"/>
        <w:rPr>
          <w:rFonts w:hint="eastAsia"/>
        </w:rPr>
      </w:pPr>
      <w:bookmarkStart w:id="145" w:name="_八、其他事项"/>
      <w:bookmarkEnd w:id="145"/>
      <w:bookmarkStart w:id="146" w:name="_Toc211960308"/>
      <w:r>
        <w:rPr>
          <w:rFonts w:hint="eastAsia"/>
        </w:rPr>
        <w:t>九、其他事项</w:t>
      </w:r>
      <w:bookmarkEnd w:id="146"/>
    </w:p>
    <w:p w14:paraId="028D6791">
      <w:pPr>
        <w:spacing w:line="360" w:lineRule="auto"/>
        <w:ind w:firstLine="480" w:firstLineChars="200"/>
        <w:rPr>
          <w:rFonts w:ascii="黑体" w:hAnsi="黑体" w:eastAsia="黑体"/>
          <w:sz w:val="24"/>
        </w:rPr>
      </w:pPr>
      <w:bookmarkStart w:id="147" w:name="_42.代理服务费"/>
      <w:bookmarkEnd w:id="147"/>
      <w:r>
        <w:rPr>
          <w:rFonts w:hint="eastAsia" w:ascii="黑体" w:hAnsi="黑体" w:eastAsia="黑体"/>
          <w:sz w:val="24"/>
        </w:rPr>
        <w:t>40.代理服务费</w:t>
      </w:r>
    </w:p>
    <w:p w14:paraId="53D4108D">
      <w:pPr>
        <w:spacing w:line="360" w:lineRule="auto"/>
        <w:ind w:firstLine="422" w:firstLineChars="200"/>
        <w:rPr>
          <w:rFonts w:hint="eastAsia" w:ascii="宋体" w:hAnsi="宋体"/>
          <w:b/>
          <w:szCs w:val="21"/>
        </w:rPr>
      </w:pPr>
      <w:r>
        <w:rPr>
          <w:rFonts w:hint="eastAsia" w:ascii="宋体" w:hAnsi="宋体"/>
          <w:b/>
          <w:szCs w:val="21"/>
        </w:rPr>
        <w:t>代理服务收费标准及缴费账户详见“投标人须知前附表”，投标人为联合体的，可以由联合体中的一方或者多方共同缴纳代理服务费。</w:t>
      </w:r>
    </w:p>
    <w:p w14:paraId="67ED51A5">
      <w:pPr>
        <w:spacing w:line="360" w:lineRule="auto"/>
        <w:ind w:firstLine="480" w:firstLineChars="200"/>
        <w:rPr>
          <w:rFonts w:hint="eastAsia" w:ascii="黑体" w:hAnsi="黑体" w:eastAsia="黑体"/>
          <w:sz w:val="24"/>
        </w:rPr>
      </w:pPr>
      <w:r>
        <w:rPr>
          <w:rFonts w:hint="eastAsia" w:ascii="黑体" w:hAnsi="黑体" w:eastAsia="黑体"/>
          <w:sz w:val="24"/>
        </w:rPr>
        <w:t>41. 需要补充的其他内容</w:t>
      </w:r>
    </w:p>
    <w:p w14:paraId="69CA72A3">
      <w:pPr>
        <w:spacing w:line="360" w:lineRule="auto"/>
        <w:ind w:firstLine="420" w:firstLineChars="200"/>
        <w:rPr>
          <w:rFonts w:hint="eastAsia" w:hAnsi="宋体"/>
        </w:rPr>
      </w:pPr>
      <w:r>
        <w:rPr>
          <w:rFonts w:hAnsi="宋体"/>
        </w:rPr>
        <w:t>41.1</w:t>
      </w:r>
      <w:r>
        <w:rPr>
          <w:rFonts w:hint="eastAsia" w:hAnsi="宋体" w:cs="宋体"/>
        </w:rPr>
        <w:t>本招标文件解释规则详见</w:t>
      </w:r>
      <w:r>
        <w:rPr>
          <w:rFonts w:hint="eastAsia" w:hAnsi="宋体"/>
        </w:rPr>
        <w:t>“投标人须知前附表”。</w:t>
      </w:r>
    </w:p>
    <w:p w14:paraId="13A2166A">
      <w:pPr>
        <w:spacing w:line="360" w:lineRule="auto"/>
        <w:ind w:firstLine="420" w:firstLineChars="200"/>
        <w:rPr>
          <w:rFonts w:hAnsi="宋体"/>
        </w:rPr>
      </w:pPr>
      <w:r>
        <w:rPr>
          <w:rFonts w:hAnsi="宋体" w:cs="宋体"/>
        </w:rPr>
        <w:t xml:space="preserve">41.2 </w:t>
      </w:r>
      <w:r>
        <w:rPr>
          <w:rFonts w:hint="eastAsia" w:hAnsi="宋体"/>
        </w:rPr>
        <w:t>其他事项详见“投标人须知前附表”。</w:t>
      </w:r>
    </w:p>
    <w:p w14:paraId="5DF797A7">
      <w:pPr>
        <w:spacing w:line="360" w:lineRule="auto"/>
        <w:ind w:firstLine="420" w:firstLineChars="200"/>
        <w:rPr>
          <w:rFonts w:hAnsi="宋体"/>
        </w:rPr>
      </w:pPr>
      <w:r>
        <w:rPr>
          <w:rFonts w:hAnsi="宋体"/>
        </w:rPr>
        <w:t>41.3</w:t>
      </w:r>
      <w:r>
        <w:rPr>
          <w:rFonts w:hint="eastAsia" w:hAnsi="宋体"/>
        </w:rPr>
        <w:t>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服务的人员为中小企业依照《中华人民共和国劳动合同法》订立劳动合同的从业人员，</w:t>
      </w:r>
      <w:r>
        <w:rPr>
          <w:rFonts w:hint="eastAsia"/>
        </w:rPr>
        <w:t>不对其中涉及的货物的制造商和工程承建商作出要求的，</w:t>
      </w:r>
      <w:r>
        <w:rPr>
          <w:rFonts w:hint="eastAsia" w:hAnsi="宋体"/>
        </w:rPr>
        <w:t>享受本文件规定的中小企业扶持政策。</w:t>
      </w:r>
    </w:p>
    <w:p w14:paraId="1A32C4E6">
      <w:pPr>
        <w:spacing w:line="360" w:lineRule="auto"/>
        <w:ind w:firstLine="420" w:firstLineChars="200"/>
        <w:rPr>
          <w:rFonts w:hAnsi="宋体"/>
        </w:rPr>
      </w:pPr>
      <w:r>
        <w:rPr>
          <w:rFonts w:hint="eastAsia" w:hAnsi="宋体"/>
        </w:rPr>
        <w:t>以联合体形式参加政府采购活动，联合体各方均为中小企业的，联合体视同中小企业。其中，联合体各方均为小微企业的，联合体视同小微企业。</w:t>
      </w:r>
    </w:p>
    <w:p w14:paraId="2F7CC2AD">
      <w:pPr>
        <w:spacing w:line="360" w:lineRule="auto"/>
        <w:ind w:firstLine="420" w:firstLineChars="200"/>
        <w:rPr>
          <w:rFonts w:hAnsi="宋体"/>
        </w:rPr>
      </w:pPr>
      <w:r>
        <w:rPr>
          <w:rFonts w:hint="eastAsia" w:hAnsi="宋体"/>
        </w:rPr>
        <w:t>依据本文件规定享受扶持政策获得政府采购合同的，小微企业不得将合同分包给大中型企业，中型企业不得将合同分包给大型企业。</w:t>
      </w:r>
    </w:p>
    <w:p w14:paraId="2381BACD">
      <w:pPr>
        <w:spacing w:line="360" w:lineRule="auto"/>
        <w:ind w:firstLine="480" w:firstLineChars="200"/>
        <w:rPr>
          <w:rFonts w:ascii="黑体" w:hAnsi="黑体" w:eastAsia="黑体"/>
          <w:sz w:val="24"/>
        </w:rPr>
      </w:pPr>
      <w:r>
        <w:rPr>
          <w:rFonts w:hint="eastAsia" w:ascii="黑体" w:hAnsi="黑体" w:eastAsia="黑体"/>
          <w:sz w:val="24"/>
        </w:rPr>
        <w:t>42. 政采贷相关说明</w:t>
      </w:r>
    </w:p>
    <w:p w14:paraId="1A855041">
      <w:pPr>
        <w:spacing w:line="360" w:lineRule="auto"/>
        <w:ind w:firstLine="420" w:firstLineChars="200"/>
        <w:jc w:val="left"/>
        <w:rPr>
          <w:rFonts w:hint="eastAsia" w:hAnsi="宋体"/>
        </w:rPr>
      </w:pPr>
      <w:r>
        <w:rPr>
          <w:rFonts w:hint="eastAsia" w:hAnsi="宋体"/>
        </w:rPr>
        <w:t>为优化政府采购营商环境，缓解供应商资金难题，南宁市政府采购试行政府采购信用融资制度，中标供应商如有融资需求，可凭政府采购合同通过以下方式申请政府采购信用融资贷款：</w:t>
      </w:r>
    </w:p>
    <w:p w14:paraId="29D5402A">
      <w:pPr>
        <w:numPr>
          <w:ilvl w:val="0"/>
          <w:numId w:val="3"/>
        </w:numPr>
        <w:spacing w:line="360" w:lineRule="auto"/>
        <w:ind w:firstLine="420" w:firstLineChars="200"/>
        <w:jc w:val="left"/>
        <w:rPr>
          <w:rFonts w:hint="eastAsia" w:hAnsi="宋体"/>
        </w:rPr>
      </w:pPr>
      <w:r>
        <w:rPr>
          <w:rFonts w:hint="eastAsia" w:hAnsi="宋体"/>
        </w:rPr>
        <w:t>线下渠道：在“南宁市公共资源交易中心”官网（网址：</w:t>
      </w:r>
      <w:r>
        <w:rPr>
          <w:rFonts w:hAnsi="宋体"/>
        </w:rPr>
        <w:fldChar w:fldCharType="begin"/>
      </w:r>
      <w:r>
        <w:rPr>
          <w:rFonts w:hAnsi="宋体"/>
        </w:rPr>
        <w:instrText xml:space="preserve"> HYPERLINK "http://www.nnggzy.org.cn）\“交易信息-政府采购-政府采购信用融资\”中融资银行和南宁市企业融资服务中心专栏信息申请政府采购信用融资。" </w:instrText>
      </w:r>
      <w:r>
        <w:rPr>
          <w:rFonts w:hAnsi="宋体"/>
        </w:rPr>
        <w:fldChar w:fldCharType="separate"/>
      </w:r>
      <w:r>
        <w:rPr>
          <w:rStyle w:val="19"/>
          <w:rFonts w:hAnsi="宋体"/>
        </w:rPr>
        <w:t>http://www.nnggzy.org.cn</w:t>
      </w:r>
      <w:r>
        <w:rPr>
          <w:rStyle w:val="19"/>
          <w:rFonts w:hint="eastAsia" w:hAnsi="宋体"/>
        </w:rPr>
        <w:t>）“交易信息</w:t>
      </w:r>
      <w:r>
        <w:rPr>
          <w:rStyle w:val="19"/>
          <w:rFonts w:hAnsi="宋体"/>
        </w:rPr>
        <w:t>-</w:t>
      </w:r>
      <w:r>
        <w:rPr>
          <w:rStyle w:val="19"/>
          <w:rFonts w:hint="eastAsia" w:hAnsi="宋体"/>
        </w:rPr>
        <w:t>政府采购</w:t>
      </w:r>
      <w:r>
        <w:rPr>
          <w:rStyle w:val="19"/>
          <w:rFonts w:hAnsi="宋体"/>
        </w:rPr>
        <w:t>-</w:t>
      </w:r>
      <w:r>
        <w:rPr>
          <w:rStyle w:val="19"/>
          <w:rFonts w:hint="eastAsia" w:hAnsi="宋体"/>
        </w:rPr>
        <w:t>政府采购信用融资”中融资银行和南宁市企业融资服务中心专栏信息申请政府采购信用融资。</w:t>
      </w:r>
      <w:r>
        <w:rPr>
          <w:rFonts w:hAnsi="宋体"/>
        </w:rPr>
        <w:fldChar w:fldCharType="end"/>
      </w:r>
    </w:p>
    <w:p w14:paraId="0E2A8E68">
      <w:pPr>
        <w:numPr>
          <w:ilvl w:val="0"/>
          <w:numId w:val="3"/>
        </w:numPr>
        <w:spacing w:line="360" w:lineRule="auto"/>
        <w:ind w:firstLine="420" w:firstLineChars="200"/>
        <w:jc w:val="left"/>
        <w:rPr>
          <w:rFonts w:hint="eastAsia" w:hAnsi="宋体"/>
        </w:rPr>
      </w:pPr>
      <w:r>
        <w:rPr>
          <w:rFonts w:hint="eastAsia" w:hAnsi="宋体"/>
        </w:rPr>
        <w:t>线上渠道：登录中征营应收账款融资服务平台（网址：https：//www.crcrfsp.com，客服电话：400-009-0001），选择相关金融产品和银行业金融机构金融融资贷款。具体操作方式见《中国人民银行南宁中心支行广西壮族自治区财政厅关于推广线上“政采贷”融资模式的通知》（南宁银发〔2021〕258号）文（文件公开网址详情见：“广西政府采购网”——</w:t>
      </w:r>
    </w:p>
    <w:p w14:paraId="595799C7">
      <w:pPr>
        <w:spacing w:line="360" w:lineRule="auto"/>
        <w:jc w:val="left"/>
        <w:rPr>
          <w:rFonts w:hint="eastAsia" w:hAnsi="宋体"/>
        </w:rPr>
      </w:pPr>
      <w:r>
        <w:rPr>
          <w:rFonts w:hint="eastAsia" w:hAnsi="宋体"/>
        </w:rPr>
        <w:t>http:www.ccgp-guangxi.gov.cn/AdministrativeRegulations/AutonomousRegion/9830442.html）</w:t>
      </w:r>
      <w:r>
        <w:rPr>
          <w:rFonts w:hAnsi="宋体"/>
        </w:rPr>
        <w:br w:type="page"/>
      </w:r>
      <w:bookmarkStart w:id="148" w:name="_Toc532545043"/>
    </w:p>
    <w:p w14:paraId="1C0C24C6">
      <w:pPr>
        <w:pStyle w:val="11"/>
        <w:jc w:val="center"/>
        <w:outlineLvl w:val="0"/>
        <w:rPr>
          <w:rFonts w:ascii="Times New Roman" w:hAnsi="Times New Roman"/>
          <w:b/>
          <w:sz w:val="36"/>
        </w:rPr>
      </w:pPr>
      <w:bookmarkStart w:id="149" w:name="_Toc211960309"/>
      <w:r>
        <w:rPr>
          <w:rFonts w:hint="eastAsia" w:ascii="Times New Roman" w:hAnsi="Times New Roman"/>
          <w:b/>
          <w:sz w:val="36"/>
        </w:rPr>
        <w:t>第四章</w:t>
      </w:r>
      <w:r>
        <w:rPr>
          <w:rFonts w:ascii="Times New Roman" w:hAnsi="Times New Roman"/>
          <w:b/>
          <w:sz w:val="36"/>
        </w:rPr>
        <w:t xml:space="preserve">  </w:t>
      </w:r>
      <w:r>
        <w:rPr>
          <w:rFonts w:hint="eastAsia" w:ascii="Times New Roman" w:hAnsi="Times New Roman"/>
          <w:b/>
          <w:sz w:val="36"/>
        </w:rPr>
        <w:t>评标方法</w:t>
      </w:r>
      <w:bookmarkEnd w:id="148"/>
      <w:r>
        <w:rPr>
          <w:rFonts w:hint="eastAsia" w:ascii="Times New Roman" w:hAnsi="Times New Roman"/>
          <w:b/>
          <w:sz w:val="36"/>
        </w:rPr>
        <w:t>及评分标准</w:t>
      </w:r>
      <w:bookmarkEnd w:id="149"/>
    </w:p>
    <w:p w14:paraId="2D5CC0EF">
      <w:pPr>
        <w:pStyle w:val="11"/>
        <w:jc w:val="center"/>
        <w:outlineLvl w:val="1"/>
        <w:rPr>
          <w:rFonts w:ascii="Times New Roman" w:hAnsi="Times New Roman"/>
          <w:b/>
          <w:bCs/>
          <w:color w:val="000000"/>
          <w:sz w:val="32"/>
          <w:szCs w:val="32"/>
        </w:rPr>
      </w:pPr>
      <w:bookmarkStart w:id="150" w:name="_Toc211960310"/>
      <w:r>
        <w:rPr>
          <w:rFonts w:hint="eastAsia" w:ascii="Times New Roman" w:hAnsi="Times New Roman"/>
          <w:b/>
          <w:bCs/>
          <w:color w:val="000000"/>
          <w:sz w:val="32"/>
          <w:szCs w:val="32"/>
        </w:rPr>
        <w:t>第一节</w:t>
      </w:r>
      <w:r>
        <w:rPr>
          <w:rFonts w:ascii="Times New Roman" w:hAnsi="Times New Roman"/>
          <w:b/>
          <w:bCs/>
          <w:color w:val="000000"/>
          <w:sz w:val="32"/>
          <w:szCs w:val="32"/>
        </w:rPr>
        <w:t xml:space="preserve"> </w:t>
      </w:r>
      <w:r>
        <w:rPr>
          <w:rFonts w:hint="eastAsia" w:ascii="Times New Roman" w:hAnsi="Times New Roman"/>
          <w:b/>
          <w:bCs/>
          <w:color w:val="000000"/>
          <w:sz w:val="32"/>
          <w:szCs w:val="32"/>
        </w:rPr>
        <w:t>评标方法</w:t>
      </w:r>
      <w:bookmarkEnd w:id="150"/>
    </w:p>
    <w:p w14:paraId="140661C0">
      <w:pPr>
        <w:pStyle w:val="11"/>
        <w:tabs>
          <w:tab w:val="left" w:pos="2472"/>
        </w:tabs>
        <w:spacing w:line="460" w:lineRule="exact"/>
        <w:ind w:firstLine="420" w:firstLineChars="200"/>
        <w:rPr>
          <w:color w:val="FF0000"/>
          <w:szCs w:val="21"/>
        </w:rPr>
      </w:pPr>
      <w:r>
        <w:rPr>
          <w:rFonts w:hint="eastAsia" w:hAnsi="宋体" w:cs="宋体"/>
          <w:szCs w:val="21"/>
        </w:rPr>
        <w:t>本项目采用</w:t>
      </w:r>
      <w:r>
        <w:rPr>
          <w:rFonts w:hint="eastAsia" w:hAnsi="宋体" w:cs="宋体"/>
          <w:szCs w:val="21"/>
          <w:u w:val="single"/>
        </w:rPr>
        <w:t xml:space="preserve"> 以下勾选的方式</w:t>
      </w:r>
      <w:r>
        <w:rPr>
          <w:rFonts w:hint="eastAsia" w:hAnsi="宋体" w:cs="宋体"/>
          <w:szCs w:val="21"/>
        </w:rPr>
        <w:t>进行评审。</w:t>
      </w:r>
    </w:p>
    <w:p w14:paraId="1455C832">
      <w:pPr>
        <w:pStyle w:val="11"/>
        <w:spacing w:line="360" w:lineRule="auto"/>
        <w:ind w:firstLine="420"/>
        <w:rPr>
          <w:rFonts w:hint="eastAsia" w:hAnsi="宋体"/>
          <w:color w:val="000000"/>
        </w:rPr>
      </w:pPr>
      <w:r>
        <w:rPr>
          <w:rFonts w:hint="eastAsia" w:hAnsi="宋体"/>
          <w:color w:val="000000"/>
          <w:szCs w:val="21"/>
        </w:rPr>
        <w:t>□最低评标价法，是指投标文件满足招标文件</w:t>
      </w:r>
      <w:r>
        <w:rPr>
          <w:rFonts w:hint="eastAsia" w:hAnsi="宋体"/>
          <w:color w:val="000000"/>
        </w:rPr>
        <w:t>全部实质性要求，且投标报价最低的投标人为中标候选人的评标方法。</w:t>
      </w:r>
    </w:p>
    <w:p w14:paraId="03CF9360">
      <w:pPr>
        <w:autoSpaceDE w:val="0"/>
        <w:autoSpaceDN w:val="0"/>
        <w:adjustRightInd w:val="0"/>
        <w:spacing w:line="440" w:lineRule="exact"/>
        <w:ind w:firstLine="420" w:firstLineChars="200"/>
        <w:rPr>
          <w:rFonts w:hint="eastAsia" w:ascii="宋体" w:hAnsi="宋体"/>
          <w:sz w:val="24"/>
        </w:rPr>
      </w:pPr>
      <w:r>
        <w:rPr>
          <w:rFonts w:hint="eastAsia" w:ascii="MS Gothic" w:hAnsi="MS Gothic" w:eastAsia="MS Gothic" w:cs="MS Gothic"/>
        </w:rPr>
        <w:t>☑</w:t>
      </w:r>
      <w:r>
        <w:rPr>
          <w:rFonts w:hint="eastAsia" w:hAnsi="宋体"/>
          <w:color w:val="000000"/>
        </w:rPr>
        <w:t>综合评分法，</w:t>
      </w:r>
      <w:r>
        <w:rPr>
          <w:rFonts w:hint="eastAsia" w:ascii="宋体" w:hAnsi="宋体"/>
          <w:color w:val="000000"/>
          <w:szCs w:val="20"/>
        </w:rPr>
        <w:t xml:space="preserve">是指投标文件满足招标文件全部实质性要求，且按照评审因素的量化指标评审得分最高的投标人为中标候选人的评标方法。评标委员会将对各投标人的投标报价、技术和服务方案、投标人的企业实力及资质等方面进行综合评审，对实质上响应招标文件的投标人，由各评委独立记名打分。经统计，得出各投标人的综合得分,按综合得分由高到低顺序排列。若综合得分相同的，按投标报价由低到高顺序排列。若综合得分且投标报价相同的，货物类采购项目以技术性能得分较高者为先，服务类采购项目以实力信誉及业绩得分较高者为先。 </w:t>
      </w:r>
    </w:p>
    <w:p w14:paraId="25BF0DC6">
      <w:pPr>
        <w:pStyle w:val="11"/>
        <w:spacing w:line="360" w:lineRule="auto"/>
        <w:ind w:firstLine="420"/>
        <w:rPr>
          <w:rFonts w:hint="eastAsia" w:hAnsi="宋体"/>
          <w:color w:val="000000"/>
        </w:rPr>
      </w:pPr>
    </w:p>
    <w:p w14:paraId="7BCF7376">
      <w:pPr>
        <w:pStyle w:val="11"/>
        <w:tabs>
          <w:tab w:val="left" w:pos="2472"/>
        </w:tabs>
        <w:spacing w:line="460" w:lineRule="exact"/>
        <w:jc w:val="center"/>
        <w:outlineLvl w:val="1"/>
        <w:rPr>
          <w:rFonts w:hint="eastAsia" w:ascii="Times New Roman" w:hAnsi="Times New Roman"/>
          <w:b/>
          <w:bCs/>
          <w:color w:val="000000"/>
          <w:sz w:val="32"/>
          <w:szCs w:val="32"/>
        </w:rPr>
      </w:pPr>
      <w:bookmarkStart w:id="151" w:name="_Toc211960311"/>
      <w:r>
        <w:rPr>
          <w:rFonts w:hint="eastAsia" w:ascii="Times New Roman" w:hAnsi="Times New Roman"/>
          <w:b/>
          <w:bCs/>
          <w:color w:val="000000"/>
          <w:sz w:val="32"/>
          <w:szCs w:val="32"/>
        </w:rPr>
        <w:t>第二节</w:t>
      </w:r>
      <w:r>
        <w:rPr>
          <w:rFonts w:ascii="Times New Roman" w:hAnsi="Times New Roman"/>
          <w:b/>
          <w:bCs/>
          <w:color w:val="000000"/>
          <w:sz w:val="32"/>
          <w:szCs w:val="32"/>
        </w:rPr>
        <w:t xml:space="preserve"> </w:t>
      </w:r>
      <w:r>
        <w:rPr>
          <w:rFonts w:hint="eastAsia" w:ascii="Times New Roman" w:hAnsi="Times New Roman"/>
          <w:b/>
          <w:bCs/>
          <w:color w:val="000000"/>
          <w:sz w:val="32"/>
          <w:szCs w:val="32"/>
        </w:rPr>
        <w:t>评标程序</w:t>
      </w:r>
      <w:bookmarkEnd w:id="151"/>
    </w:p>
    <w:p w14:paraId="73E55C73">
      <w:pPr>
        <w:spacing w:line="360" w:lineRule="auto"/>
        <w:ind w:firstLine="422" w:firstLineChars="200"/>
        <w:rPr>
          <w:rFonts w:ascii="宋体" w:hAnsi="宋体"/>
          <w:b/>
          <w:color w:val="000000"/>
          <w:szCs w:val="21"/>
        </w:rPr>
      </w:pPr>
      <w:r>
        <w:rPr>
          <w:rFonts w:hint="eastAsia" w:ascii="宋体" w:hAnsi="宋体"/>
          <w:b/>
          <w:color w:val="000000"/>
          <w:szCs w:val="21"/>
        </w:rPr>
        <w:t>1.符合性审查</w:t>
      </w:r>
    </w:p>
    <w:p w14:paraId="76B47141">
      <w:pPr>
        <w:spacing w:line="360" w:lineRule="auto"/>
        <w:ind w:firstLine="420" w:firstLineChars="200"/>
        <w:rPr>
          <w:rFonts w:hint="eastAsia" w:hAnsi="宋体"/>
          <w:color w:val="000000"/>
        </w:rPr>
      </w:pPr>
      <w:r>
        <w:rPr>
          <w:rFonts w:hint="eastAsia" w:hAnsi="宋体"/>
          <w:color w:val="000000"/>
        </w:rPr>
        <w:t>评标委员会应当对符合资格的投标人的投标文件进行投标报价、商务、技术等实质性内容符合性审查，以确定其是否满足招标文件的实质性要求。</w:t>
      </w:r>
    </w:p>
    <w:p w14:paraId="0CAE443E">
      <w:pPr>
        <w:spacing w:line="360" w:lineRule="auto"/>
        <w:ind w:firstLine="422" w:firstLineChars="200"/>
        <w:rPr>
          <w:rFonts w:ascii="宋体" w:hAnsi="宋体"/>
          <w:b/>
          <w:color w:val="000000"/>
          <w:szCs w:val="21"/>
        </w:rPr>
      </w:pPr>
      <w:r>
        <w:rPr>
          <w:rFonts w:hint="eastAsia" w:ascii="宋体" w:hAnsi="宋体"/>
          <w:b/>
          <w:color w:val="000000"/>
          <w:szCs w:val="21"/>
        </w:rPr>
        <w:t>2.符合性审查不通过而导致投标无效的情形</w:t>
      </w:r>
    </w:p>
    <w:p w14:paraId="519D0734">
      <w:pPr>
        <w:spacing w:line="360" w:lineRule="auto"/>
        <w:ind w:firstLine="420" w:firstLineChars="200"/>
        <w:rPr>
          <w:rFonts w:hint="eastAsia" w:ascii="宋体" w:hAnsi="宋体"/>
          <w:color w:val="000000"/>
          <w:szCs w:val="21"/>
        </w:rPr>
      </w:pPr>
      <w:r>
        <w:rPr>
          <w:rFonts w:hint="eastAsia" w:ascii="宋体" w:hAnsi="宋体"/>
          <w:color w:val="000000"/>
          <w:szCs w:val="21"/>
        </w:rPr>
        <w:t>投标人的投标文件中存在对招标文件的任何实质性要求和条件的负偏离，将被视为投标无效。</w:t>
      </w:r>
    </w:p>
    <w:p w14:paraId="5561C000">
      <w:pPr>
        <w:spacing w:line="360" w:lineRule="auto"/>
        <w:ind w:firstLine="420" w:firstLineChars="200"/>
        <w:rPr>
          <w:rFonts w:hint="eastAsia" w:ascii="宋体" w:hAnsi="宋体"/>
          <w:color w:val="000000"/>
          <w:szCs w:val="21"/>
        </w:rPr>
      </w:pPr>
      <w:r>
        <w:rPr>
          <w:rFonts w:hint="eastAsia" w:ascii="宋体" w:hAnsi="宋体"/>
          <w:color w:val="000000"/>
          <w:szCs w:val="21"/>
        </w:rPr>
        <w:t>2.1在报价评审时，如发现下列情形之一的，将被视为投标无效：</w:t>
      </w:r>
    </w:p>
    <w:p w14:paraId="34BE3AD4">
      <w:pPr>
        <w:spacing w:line="360" w:lineRule="auto"/>
        <w:ind w:firstLine="420" w:firstLineChars="200"/>
        <w:rPr>
          <w:rFonts w:hint="eastAsia" w:ascii="宋体" w:hAnsi="宋体"/>
          <w:color w:val="000000"/>
          <w:szCs w:val="21"/>
        </w:rPr>
      </w:pPr>
      <w:r>
        <w:rPr>
          <w:rFonts w:hint="eastAsia" w:ascii="宋体" w:hAnsi="宋体"/>
          <w:color w:val="000000"/>
          <w:szCs w:val="21"/>
        </w:rPr>
        <w:t>（1）投标文件未提供“投标人须知前附表”第13.1条规定中“必须提供”的文件资料的;</w:t>
      </w:r>
    </w:p>
    <w:p w14:paraId="7FA2311D">
      <w:pPr>
        <w:spacing w:line="360" w:lineRule="auto"/>
        <w:ind w:firstLine="420" w:firstLineChars="200"/>
        <w:rPr>
          <w:rFonts w:hint="eastAsia" w:ascii="宋体" w:hAnsi="宋体"/>
          <w:color w:val="000000"/>
          <w:szCs w:val="21"/>
        </w:rPr>
      </w:pPr>
      <w:r>
        <w:rPr>
          <w:rFonts w:hint="eastAsia" w:ascii="宋体" w:hAnsi="宋体"/>
          <w:color w:val="000000"/>
          <w:szCs w:val="21"/>
        </w:rPr>
        <w:t>（2）未采用人民币报价或者未按照招标文件标明的币种报价的；</w:t>
      </w:r>
    </w:p>
    <w:p w14:paraId="62CD836D">
      <w:pPr>
        <w:spacing w:line="360" w:lineRule="auto"/>
        <w:ind w:firstLine="420" w:firstLineChars="200"/>
        <w:rPr>
          <w:rFonts w:hint="eastAsia" w:ascii="宋体" w:hAnsi="宋体"/>
          <w:color w:val="000000"/>
          <w:szCs w:val="21"/>
        </w:rPr>
      </w:pPr>
      <w:r>
        <w:rPr>
          <w:rFonts w:hint="eastAsia" w:ascii="宋体" w:hAnsi="宋体"/>
          <w:color w:val="000000"/>
          <w:szCs w:val="21"/>
        </w:rPr>
        <w:t>（3）报价超出招标文件规定最高限价，或者超出采购预算金额（包括分项预算）的；</w:t>
      </w:r>
    </w:p>
    <w:p w14:paraId="107A41BA">
      <w:pPr>
        <w:spacing w:line="360" w:lineRule="auto"/>
        <w:ind w:firstLine="420" w:firstLineChars="200"/>
        <w:rPr>
          <w:rFonts w:hint="eastAsia" w:ascii="宋体" w:hAnsi="宋体"/>
          <w:color w:val="000000"/>
          <w:szCs w:val="21"/>
        </w:rPr>
      </w:pPr>
      <w:r>
        <w:rPr>
          <w:rFonts w:hint="eastAsia" w:ascii="宋体" w:hAnsi="宋体"/>
          <w:color w:val="000000"/>
          <w:szCs w:val="21"/>
        </w:rPr>
        <w:t>（4）投标人未就所投分标进行报价或者存在漏项报价；投标人未就所投分标的单项内容作唯一报价；投标人未就所投分标的全部内容作唯一总价报价；存在有选择、有条件报价的（招标文件允许有备选方案或者其他约定的除外）；</w:t>
      </w:r>
    </w:p>
    <w:p w14:paraId="1F058266">
      <w:pPr>
        <w:spacing w:line="360" w:lineRule="auto"/>
        <w:ind w:firstLine="420" w:firstLineChars="200"/>
        <w:rPr>
          <w:rFonts w:hint="eastAsia" w:ascii="宋体" w:hAnsi="宋体"/>
          <w:color w:val="000000"/>
          <w:szCs w:val="21"/>
        </w:rPr>
      </w:pPr>
      <w:r>
        <w:rPr>
          <w:rFonts w:hint="eastAsia" w:ascii="宋体" w:hAnsi="宋体"/>
          <w:color w:val="000000"/>
          <w:szCs w:val="21"/>
        </w:rPr>
        <w:t>（5）修正后的报价，投标人不确认的；</w:t>
      </w:r>
    </w:p>
    <w:p w14:paraId="7A03BA1B">
      <w:pPr>
        <w:spacing w:line="360" w:lineRule="auto"/>
        <w:ind w:firstLine="420" w:firstLineChars="200"/>
        <w:rPr>
          <w:rFonts w:hint="eastAsia" w:ascii="宋体" w:hAnsi="宋体"/>
          <w:color w:val="000000"/>
          <w:szCs w:val="21"/>
        </w:rPr>
      </w:pPr>
      <w:r>
        <w:rPr>
          <w:rFonts w:hint="eastAsia" w:ascii="宋体" w:hAnsi="宋体"/>
          <w:color w:val="000000"/>
          <w:szCs w:val="21"/>
        </w:rPr>
        <w:t>（6）投标人属于本章第5条第（2）项情形的。</w:t>
      </w:r>
    </w:p>
    <w:p w14:paraId="04208115">
      <w:pPr>
        <w:spacing w:line="360" w:lineRule="auto"/>
        <w:ind w:firstLine="420" w:firstLineChars="200"/>
        <w:rPr>
          <w:rFonts w:hint="eastAsia" w:ascii="宋体" w:hAnsi="宋体"/>
          <w:color w:val="000000"/>
          <w:szCs w:val="21"/>
        </w:rPr>
      </w:pPr>
      <w:r>
        <w:rPr>
          <w:rFonts w:hint="eastAsia" w:ascii="宋体" w:hAnsi="宋体"/>
          <w:color w:val="000000"/>
          <w:szCs w:val="21"/>
        </w:rPr>
        <w:t>2.2在商务评审时，如发现下列情形之一的，将被视为投标无效：</w:t>
      </w:r>
    </w:p>
    <w:p w14:paraId="3E51926B">
      <w:pPr>
        <w:spacing w:line="360" w:lineRule="auto"/>
        <w:ind w:firstLine="420" w:firstLineChars="200"/>
        <w:rPr>
          <w:rFonts w:hint="eastAsia" w:ascii="宋体" w:hAnsi="宋体"/>
          <w:color w:val="000000"/>
          <w:szCs w:val="21"/>
        </w:rPr>
      </w:pPr>
      <w:r>
        <w:rPr>
          <w:rFonts w:hint="eastAsia" w:ascii="宋体" w:hAnsi="宋体"/>
          <w:color w:val="000000"/>
          <w:szCs w:val="21"/>
        </w:rPr>
        <w:t>（1）投标文件未按招标文件要求签署、盖章的；</w:t>
      </w:r>
    </w:p>
    <w:p w14:paraId="0FF0E19A">
      <w:pPr>
        <w:spacing w:line="360" w:lineRule="auto"/>
        <w:ind w:firstLine="420" w:firstLineChars="200"/>
        <w:rPr>
          <w:rFonts w:hint="eastAsia" w:ascii="宋体" w:hAnsi="宋体"/>
          <w:color w:val="000000"/>
          <w:szCs w:val="21"/>
        </w:rPr>
      </w:pPr>
      <w:r>
        <w:rPr>
          <w:rFonts w:hint="eastAsia" w:ascii="宋体" w:hAnsi="宋体"/>
          <w:color w:val="000000"/>
          <w:szCs w:val="21"/>
        </w:rPr>
        <w:t xml:space="preserve">（2）委托代理人未能出具有效身份证明或者出具的身份证明与授权委托书中的信息不符的； </w:t>
      </w:r>
    </w:p>
    <w:p w14:paraId="58FC4BDA">
      <w:pPr>
        <w:spacing w:line="360" w:lineRule="auto"/>
        <w:ind w:firstLine="420" w:firstLineChars="200"/>
        <w:rPr>
          <w:rFonts w:hint="eastAsia" w:ascii="宋体" w:hAnsi="宋体"/>
          <w:color w:val="000000"/>
          <w:szCs w:val="21"/>
        </w:rPr>
      </w:pPr>
      <w:r>
        <w:rPr>
          <w:rFonts w:hint="eastAsia" w:ascii="宋体" w:hAnsi="宋体"/>
          <w:color w:val="000000"/>
          <w:szCs w:val="21"/>
        </w:rPr>
        <w:t>（3）投标文件未提供“投标人须知前附表”第13.1条规定中“必须提供”或者“委托时必须提供”的文件资料的;</w:t>
      </w:r>
    </w:p>
    <w:p w14:paraId="3A97B47D">
      <w:pPr>
        <w:spacing w:line="360" w:lineRule="auto"/>
        <w:ind w:firstLine="420" w:firstLineChars="200"/>
        <w:rPr>
          <w:rFonts w:hint="eastAsia" w:ascii="宋体" w:hAnsi="宋体"/>
          <w:color w:val="000000"/>
          <w:szCs w:val="21"/>
        </w:rPr>
      </w:pPr>
      <w:r>
        <w:rPr>
          <w:rFonts w:hint="eastAsia" w:ascii="宋体" w:hAnsi="宋体"/>
          <w:color w:val="000000"/>
          <w:szCs w:val="21"/>
        </w:rPr>
        <w:t>（4）投标有效期、项目完成时间（交货时间、服务完成时间或者服务期等）、质保期、售后服务等招标文件中标“▲”的商务条款发生负偏离的；</w:t>
      </w:r>
    </w:p>
    <w:p w14:paraId="4A0C9603">
      <w:pPr>
        <w:spacing w:line="360" w:lineRule="auto"/>
        <w:ind w:firstLine="420" w:firstLineChars="200"/>
        <w:rPr>
          <w:rFonts w:hint="eastAsia" w:ascii="宋体" w:hAnsi="宋体"/>
          <w:color w:val="000000"/>
          <w:szCs w:val="21"/>
        </w:rPr>
      </w:pPr>
      <w:r>
        <w:rPr>
          <w:rFonts w:hint="eastAsia" w:ascii="宋体" w:hAnsi="宋体"/>
          <w:color w:val="000000"/>
          <w:szCs w:val="21"/>
        </w:rPr>
        <w:t>（5）商务条款评审允许负偏离的条款数超过“投标人须知前附表”规定项数的。</w:t>
      </w:r>
    </w:p>
    <w:p w14:paraId="39E476C3">
      <w:pPr>
        <w:spacing w:line="360" w:lineRule="auto"/>
        <w:ind w:firstLine="420" w:firstLineChars="200"/>
        <w:rPr>
          <w:rFonts w:hint="eastAsia" w:ascii="宋体" w:hAnsi="宋体"/>
          <w:color w:val="000000"/>
          <w:szCs w:val="21"/>
        </w:rPr>
      </w:pPr>
      <w:r>
        <w:rPr>
          <w:rFonts w:hint="eastAsia" w:ascii="宋体" w:hAnsi="宋体"/>
          <w:color w:val="000000"/>
          <w:szCs w:val="21"/>
        </w:rPr>
        <w:t>（6）投标文件的实质性内容未使用中文表述、使用计量单位不符合招标文件要求的；</w:t>
      </w:r>
    </w:p>
    <w:p w14:paraId="4AC78CA9">
      <w:pPr>
        <w:spacing w:line="360" w:lineRule="auto"/>
        <w:ind w:firstLine="420" w:firstLineChars="200"/>
        <w:rPr>
          <w:rFonts w:hint="eastAsia" w:ascii="宋体" w:hAnsi="宋体"/>
          <w:color w:val="000000"/>
          <w:szCs w:val="21"/>
        </w:rPr>
      </w:pPr>
      <w:r>
        <w:rPr>
          <w:rFonts w:hint="eastAsia" w:ascii="宋体" w:hAnsi="宋体"/>
          <w:color w:val="000000"/>
          <w:szCs w:val="21"/>
        </w:rPr>
        <w:t>（7）投标文件中的文件资料因填写不齐全或者内容虚假或者出现其他情形而导致被评标委员会认定无效的；</w:t>
      </w:r>
    </w:p>
    <w:p w14:paraId="46BB423D">
      <w:pPr>
        <w:spacing w:line="360" w:lineRule="auto"/>
        <w:ind w:firstLine="420" w:firstLineChars="200"/>
        <w:rPr>
          <w:rFonts w:hint="eastAsia" w:ascii="宋体" w:hAnsi="宋体"/>
          <w:color w:val="000000"/>
          <w:szCs w:val="21"/>
        </w:rPr>
      </w:pPr>
      <w:r>
        <w:rPr>
          <w:rFonts w:hint="eastAsia" w:ascii="宋体" w:hAnsi="宋体"/>
          <w:color w:val="000000"/>
          <w:szCs w:val="21"/>
        </w:rPr>
        <w:t>（8）投标文件含有采购人不能接受的附加条件的；</w:t>
      </w:r>
    </w:p>
    <w:p w14:paraId="2786932D">
      <w:pPr>
        <w:spacing w:line="360" w:lineRule="auto"/>
        <w:ind w:firstLine="420" w:firstLineChars="200"/>
        <w:rPr>
          <w:rFonts w:hint="eastAsia" w:ascii="宋体" w:hAnsi="宋体"/>
          <w:color w:val="000000"/>
          <w:szCs w:val="21"/>
        </w:rPr>
      </w:pPr>
      <w:r>
        <w:rPr>
          <w:rFonts w:hint="eastAsia" w:ascii="宋体" w:hAnsi="宋体"/>
          <w:color w:val="000000"/>
          <w:szCs w:val="21"/>
        </w:rPr>
        <w:t>（9）未响应招标文件实质性要求的；</w:t>
      </w:r>
    </w:p>
    <w:p w14:paraId="5BE9B162">
      <w:pPr>
        <w:spacing w:line="360" w:lineRule="auto"/>
        <w:ind w:firstLine="420" w:firstLineChars="200"/>
        <w:rPr>
          <w:rFonts w:hint="eastAsia" w:ascii="宋体" w:hAnsi="宋体"/>
          <w:color w:val="000000"/>
          <w:szCs w:val="21"/>
        </w:rPr>
      </w:pPr>
      <w:r>
        <w:rPr>
          <w:rFonts w:hint="eastAsia" w:ascii="宋体" w:hAnsi="宋体"/>
          <w:color w:val="000000"/>
          <w:szCs w:val="21"/>
        </w:rPr>
        <w:t>（10）属于投标人须知正文第9.2条情形的；</w:t>
      </w:r>
    </w:p>
    <w:p w14:paraId="33C62FF0">
      <w:pPr>
        <w:spacing w:line="360" w:lineRule="auto"/>
        <w:ind w:firstLine="420" w:firstLineChars="200"/>
        <w:rPr>
          <w:rFonts w:hint="eastAsia" w:ascii="宋体" w:hAnsi="宋体"/>
          <w:color w:val="000000"/>
          <w:szCs w:val="21"/>
        </w:rPr>
      </w:pPr>
      <w:r>
        <w:rPr>
          <w:rFonts w:hint="eastAsia" w:ascii="宋体" w:hAnsi="宋体"/>
          <w:color w:val="000000"/>
          <w:szCs w:val="21"/>
        </w:rPr>
        <w:t>（11）法律、法规和招标文件规定的其他无效情形。</w:t>
      </w:r>
    </w:p>
    <w:p w14:paraId="7B56EBB7">
      <w:pPr>
        <w:spacing w:line="360" w:lineRule="auto"/>
        <w:ind w:firstLine="420" w:firstLineChars="200"/>
        <w:rPr>
          <w:rFonts w:hint="eastAsia" w:ascii="宋体" w:hAnsi="宋体"/>
          <w:color w:val="000000"/>
          <w:szCs w:val="21"/>
        </w:rPr>
      </w:pPr>
      <w:r>
        <w:rPr>
          <w:rFonts w:hint="eastAsia" w:ascii="宋体" w:hAnsi="宋体"/>
          <w:color w:val="000000"/>
          <w:szCs w:val="21"/>
        </w:rPr>
        <w:t>2.3在技术评审时，如发现下列情形之一的，将被视为投标无效：</w:t>
      </w:r>
    </w:p>
    <w:p w14:paraId="3799C0F8">
      <w:pPr>
        <w:spacing w:line="360" w:lineRule="auto"/>
        <w:ind w:firstLine="420" w:firstLineChars="200"/>
        <w:rPr>
          <w:rFonts w:hint="eastAsia" w:hAnsi="宋体"/>
          <w:color w:val="000000"/>
          <w:szCs w:val="21"/>
        </w:rPr>
      </w:pPr>
      <w:r>
        <w:rPr>
          <w:rFonts w:hint="eastAsia" w:hAnsi="宋体"/>
          <w:color w:val="000000"/>
          <w:szCs w:val="21"/>
        </w:rPr>
        <w:t>（</w:t>
      </w:r>
      <w:r>
        <w:rPr>
          <w:rFonts w:hAnsi="宋体"/>
          <w:color w:val="000000"/>
          <w:szCs w:val="21"/>
        </w:rPr>
        <w:t>1</w:t>
      </w:r>
      <w:r>
        <w:rPr>
          <w:rFonts w:hint="eastAsia" w:hAnsi="宋体"/>
          <w:color w:val="000000"/>
          <w:szCs w:val="21"/>
        </w:rPr>
        <w:t>）不满足招标文件要求的服务内容、技术要求、安全、质量标准，或者与招标文件中标“▲”的技术需求发生负偏离的；</w:t>
      </w:r>
    </w:p>
    <w:p w14:paraId="76C5F867">
      <w:pPr>
        <w:spacing w:line="360" w:lineRule="auto"/>
        <w:ind w:firstLine="420" w:firstLineChars="200"/>
        <w:rPr>
          <w:rFonts w:hAnsi="宋体"/>
          <w:color w:val="000000"/>
          <w:szCs w:val="21"/>
        </w:rPr>
      </w:pPr>
      <w:r>
        <w:rPr>
          <w:rFonts w:hint="eastAsia" w:hAnsi="宋体"/>
          <w:color w:val="000000"/>
          <w:szCs w:val="21"/>
        </w:rPr>
        <w:t>（</w:t>
      </w:r>
      <w:r>
        <w:rPr>
          <w:rFonts w:hAnsi="宋体"/>
          <w:color w:val="000000"/>
          <w:szCs w:val="21"/>
        </w:rPr>
        <w:t>2</w:t>
      </w:r>
      <w:r>
        <w:rPr>
          <w:rFonts w:hint="eastAsia" w:hAnsi="宋体"/>
          <w:color w:val="000000"/>
          <w:szCs w:val="21"/>
        </w:rPr>
        <w:t>）技术需求评审允许负偏离的条款数超过“投标人须知前附表”规定项数的；</w:t>
      </w:r>
    </w:p>
    <w:p w14:paraId="73B7EE0C">
      <w:pPr>
        <w:spacing w:line="360" w:lineRule="auto"/>
        <w:ind w:firstLine="420" w:firstLineChars="200"/>
        <w:rPr>
          <w:rFonts w:hAnsi="宋体"/>
          <w:color w:val="000000"/>
          <w:szCs w:val="21"/>
        </w:rPr>
      </w:pPr>
      <w:r>
        <w:rPr>
          <w:rFonts w:hint="eastAsia" w:hAnsi="宋体"/>
          <w:color w:val="000000"/>
          <w:szCs w:val="21"/>
        </w:rPr>
        <w:t>（</w:t>
      </w:r>
      <w:r>
        <w:rPr>
          <w:rFonts w:hAnsi="宋体"/>
          <w:color w:val="000000"/>
          <w:szCs w:val="21"/>
        </w:rPr>
        <w:t>3</w:t>
      </w:r>
      <w:r>
        <w:rPr>
          <w:rFonts w:hint="eastAsia" w:hAnsi="宋体"/>
          <w:color w:val="000000"/>
          <w:szCs w:val="21"/>
        </w:rPr>
        <w:t>）投标文件未提供“投标人须知前附表”第</w:t>
      </w:r>
      <w:r>
        <w:rPr>
          <w:rFonts w:hAnsi="宋体"/>
          <w:color w:val="000000"/>
          <w:szCs w:val="21"/>
        </w:rPr>
        <w:t>13.1</w:t>
      </w:r>
      <w:r>
        <w:rPr>
          <w:rFonts w:hint="eastAsia" w:hAnsi="宋体"/>
          <w:color w:val="000000"/>
          <w:szCs w:val="21"/>
        </w:rPr>
        <w:t>条规定中“必须提供”的文件资料的</w:t>
      </w:r>
      <w:r>
        <w:rPr>
          <w:rFonts w:hAnsi="宋体"/>
          <w:color w:val="000000"/>
          <w:szCs w:val="21"/>
        </w:rPr>
        <w:t>;</w:t>
      </w:r>
    </w:p>
    <w:p w14:paraId="0A360F18">
      <w:pPr>
        <w:spacing w:line="360" w:lineRule="auto"/>
        <w:ind w:firstLine="420" w:firstLineChars="200"/>
        <w:rPr>
          <w:rFonts w:hAnsi="宋体"/>
          <w:color w:val="000000"/>
          <w:szCs w:val="21"/>
        </w:rPr>
      </w:pPr>
      <w:r>
        <w:rPr>
          <w:rFonts w:hint="eastAsia" w:hAnsi="宋体"/>
          <w:color w:val="000000"/>
          <w:szCs w:val="21"/>
        </w:rPr>
        <w:t>（</w:t>
      </w:r>
      <w:r>
        <w:rPr>
          <w:rFonts w:hAnsi="宋体"/>
          <w:color w:val="000000"/>
          <w:szCs w:val="21"/>
        </w:rPr>
        <w:t>4</w:t>
      </w:r>
      <w:r>
        <w:rPr>
          <w:rFonts w:hint="eastAsia" w:hAnsi="宋体"/>
          <w:color w:val="000000"/>
          <w:szCs w:val="21"/>
        </w:rPr>
        <w:t>）虚假投标，或者出现其他情形而导致被评标委员会认定无效的；</w:t>
      </w:r>
    </w:p>
    <w:p w14:paraId="0DDDC0AC">
      <w:pPr>
        <w:spacing w:line="360" w:lineRule="auto"/>
        <w:ind w:firstLine="420" w:firstLineChars="200"/>
        <w:rPr>
          <w:rFonts w:hAnsi="宋体"/>
          <w:color w:val="000000"/>
          <w:szCs w:val="21"/>
        </w:rPr>
      </w:pPr>
      <w:r>
        <w:rPr>
          <w:rFonts w:hint="eastAsia" w:hAnsi="宋体"/>
          <w:color w:val="000000"/>
          <w:szCs w:val="21"/>
        </w:rPr>
        <w:t>（</w:t>
      </w:r>
      <w:r>
        <w:rPr>
          <w:rFonts w:hAnsi="宋体"/>
          <w:color w:val="000000"/>
          <w:szCs w:val="21"/>
        </w:rPr>
        <w:t>5</w:t>
      </w:r>
      <w:r>
        <w:rPr>
          <w:rFonts w:hint="eastAsia" w:hAnsi="宋体"/>
          <w:color w:val="000000"/>
          <w:szCs w:val="21"/>
        </w:rPr>
        <w:t>）如招标文件需要提供技术方案的，投标技术方案不明确，招标文件未允许但存在一个或者一个以上备选（替代）投标方案的。</w:t>
      </w:r>
    </w:p>
    <w:p w14:paraId="25E85D91">
      <w:pPr>
        <w:spacing w:line="360" w:lineRule="auto"/>
        <w:ind w:firstLine="422" w:firstLineChars="200"/>
        <w:rPr>
          <w:rFonts w:ascii="宋体" w:hAnsi="宋体"/>
          <w:b/>
          <w:color w:val="000000"/>
          <w:szCs w:val="21"/>
        </w:rPr>
      </w:pPr>
      <w:r>
        <w:rPr>
          <w:rFonts w:hint="eastAsia" w:ascii="宋体" w:hAnsi="宋体"/>
          <w:b/>
          <w:color w:val="000000"/>
          <w:szCs w:val="21"/>
        </w:rPr>
        <w:t>3.澄清补正、说明或者补正</w:t>
      </w:r>
    </w:p>
    <w:p w14:paraId="278EC5FA">
      <w:pPr>
        <w:spacing w:line="360" w:lineRule="auto"/>
        <w:ind w:firstLine="420" w:firstLineChars="200"/>
        <w:rPr>
          <w:rFonts w:hint="eastAsia" w:ascii="宋体" w:hAnsi="宋体" w:cs="Courier New"/>
          <w:szCs w:val="21"/>
        </w:rPr>
      </w:pPr>
      <w:r>
        <w:rPr>
          <w:rFonts w:hint="eastAsia" w:ascii="宋体" w:hAnsi="宋体" w:cs="Courier New"/>
          <w:szCs w:val="21"/>
        </w:rPr>
        <w:t>对投标文件中含义不明确、同类问题表述不一致或者有明显文字和计算错误的内容，评标委员会应在“广西政府采购云平台”发布电子澄清函，要求投标人在规定时间内作出必要的澄清、说明或者补正。投标人在“广西政府采购云平台”接收到电子澄清函后根据澄清函内容上传PDF格式回函，电子澄清答复函使用CA证书加盖单位公章后在线上传至评标委员会。投标人的澄清、说明或者补正不得超出投标文件的范围或者改变投标文件的实质性内容。投标人未在规定时间内进行澄清、说明或者补正的，按无效投标处理。</w:t>
      </w:r>
    </w:p>
    <w:p w14:paraId="0E3E927D">
      <w:pPr>
        <w:spacing w:line="360" w:lineRule="auto"/>
        <w:ind w:firstLine="420" w:firstLineChars="200"/>
        <w:rPr>
          <w:rFonts w:hint="eastAsia" w:ascii="宋体" w:hAnsi="宋体" w:cs="Courier New"/>
          <w:szCs w:val="21"/>
        </w:rPr>
      </w:pPr>
      <w:r>
        <w:rPr>
          <w:rFonts w:hint="eastAsia" w:ascii="宋体" w:hAnsi="宋体" w:cs="Courier New"/>
          <w:szCs w:val="21"/>
        </w:rPr>
        <w:t>异常情况处理：如遇无法正常使用线上发送澄清函的情况，将启动书面形式办理。启动书面形式办理的情况下，评标委员会以书面形式要求投标人在规定时间内作出必要的澄清、说明或者补正。投标人的澄清、说明或者补正必须采用书面形式，并加盖公章，或者由法定代表人或者其授权的代表签字。</w:t>
      </w:r>
    </w:p>
    <w:p w14:paraId="231D491B">
      <w:pPr>
        <w:spacing w:line="360" w:lineRule="auto"/>
        <w:ind w:firstLine="422" w:firstLineChars="200"/>
        <w:rPr>
          <w:rFonts w:hint="eastAsia" w:ascii="宋体" w:hAnsi="宋体"/>
          <w:b/>
          <w:color w:val="000000"/>
          <w:szCs w:val="21"/>
        </w:rPr>
      </w:pPr>
      <w:r>
        <w:rPr>
          <w:rFonts w:hint="eastAsia" w:ascii="宋体" w:hAnsi="宋体"/>
          <w:b/>
          <w:color w:val="000000"/>
          <w:szCs w:val="21"/>
        </w:rPr>
        <w:t>4.投标文件修正</w:t>
      </w:r>
    </w:p>
    <w:p w14:paraId="764486A1">
      <w:pPr>
        <w:spacing w:line="360" w:lineRule="auto"/>
        <w:ind w:firstLine="420" w:firstLineChars="200"/>
        <w:rPr>
          <w:rFonts w:hint="eastAsia" w:ascii="宋体" w:hAnsi="宋体"/>
          <w:color w:val="000000"/>
          <w:szCs w:val="21"/>
        </w:rPr>
      </w:pPr>
      <w:r>
        <w:rPr>
          <w:rFonts w:hint="eastAsia" w:ascii="宋体" w:hAnsi="宋体"/>
          <w:color w:val="000000"/>
          <w:szCs w:val="21"/>
        </w:rPr>
        <w:t xml:space="preserve">4.1投标文件报价出现前后不一致的，按照下列规定修正： </w:t>
      </w:r>
    </w:p>
    <w:p w14:paraId="2E422522">
      <w:pPr>
        <w:spacing w:line="360" w:lineRule="auto"/>
        <w:ind w:firstLine="420" w:firstLineChars="200"/>
        <w:rPr>
          <w:rFonts w:hint="eastAsia" w:hAnsi="宋体"/>
          <w:color w:val="000000"/>
        </w:rPr>
      </w:pPr>
      <w:r>
        <w:rPr>
          <w:rFonts w:hint="eastAsia" w:hAnsi="宋体"/>
          <w:color w:val="000000"/>
        </w:rPr>
        <w:t>（</w:t>
      </w:r>
      <w:r>
        <w:rPr>
          <w:rFonts w:hAnsi="宋体"/>
          <w:color w:val="000000"/>
        </w:rPr>
        <w:t>1</w:t>
      </w:r>
      <w:r>
        <w:rPr>
          <w:rFonts w:hint="eastAsia" w:hAnsi="宋体"/>
          <w:color w:val="000000"/>
        </w:rPr>
        <w:t>）报价文件中“开标一览表”内容与投标文件中相应内容不一致的，以“开标一览表”为准；</w:t>
      </w:r>
    </w:p>
    <w:p w14:paraId="44C9D601">
      <w:pPr>
        <w:spacing w:line="360" w:lineRule="auto"/>
        <w:ind w:firstLine="420" w:firstLineChars="200"/>
        <w:rPr>
          <w:rFonts w:hAnsi="宋体"/>
          <w:color w:val="000000"/>
        </w:rPr>
      </w:pPr>
      <w:r>
        <w:rPr>
          <w:rFonts w:hint="eastAsia" w:hAnsi="宋体"/>
          <w:color w:val="000000"/>
        </w:rPr>
        <w:t>（</w:t>
      </w:r>
      <w:r>
        <w:rPr>
          <w:rFonts w:hAnsi="宋体"/>
          <w:color w:val="000000"/>
        </w:rPr>
        <w:t>2</w:t>
      </w:r>
      <w:r>
        <w:rPr>
          <w:rFonts w:hint="eastAsia" w:hAnsi="宋体"/>
          <w:color w:val="000000"/>
        </w:rPr>
        <w:t>）大写金额和小写金额不一致的，以大写金额为准；</w:t>
      </w:r>
    </w:p>
    <w:p w14:paraId="4CDA547C">
      <w:pPr>
        <w:spacing w:line="360" w:lineRule="auto"/>
        <w:ind w:firstLine="420" w:firstLineChars="200"/>
        <w:rPr>
          <w:rFonts w:hAnsi="宋体"/>
          <w:color w:val="000000"/>
        </w:rPr>
      </w:pPr>
      <w:r>
        <w:rPr>
          <w:rFonts w:hint="eastAsia" w:hAnsi="宋体"/>
          <w:color w:val="000000"/>
        </w:rPr>
        <w:t>（</w:t>
      </w:r>
      <w:r>
        <w:rPr>
          <w:rFonts w:hAnsi="宋体"/>
          <w:color w:val="000000"/>
        </w:rPr>
        <w:t>3</w:t>
      </w:r>
      <w:r>
        <w:rPr>
          <w:rFonts w:hint="eastAsia" w:hAnsi="宋体"/>
          <w:color w:val="000000"/>
        </w:rPr>
        <w:t>）单价金额小数点或者百分比有明显错位的，以开标一览表的总价为准，并修改单价；</w:t>
      </w:r>
    </w:p>
    <w:p w14:paraId="6C8289AA">
      <w:pPr>
        <w:spacing w:line="360" w:lineRule="auto"/>
        <w:ind w:firstLine="420" w:firstLineChars="200"/>
        <w:rPr>
          <w:rFonts w:hAnsi="宋体"/>
          <w:color w:val="000000"/>
        </w:rPr>
      </w:pPr>
      <w:r>
        <w:rPr>
          <w:rFonts w:hint="eastAsia" w:hAnsi="宋体"/>
          <w:color w:val="000000"/>
        </w:rPr>
        <w:t>（</w:t>
      </w:r>
      <w:r>
        <w:rPr>
          <w:rFonts w:hAnsi="宋体"/>
          <w:color w:val="000000"/>
        </w:rPr>
        <w:t>4</w:t>
      </w:r>
      <w:r>
        <w:rPr>
          <w:rFonts w:hint="eastAsia" w:hAnsi="宋体"/>
          <w:color w:val="000000"/>
        </w:rPr>
        <w:t>）总价金额与按单价汇总金额不一致的，以单价金额计算结果为准。</w:t>
      </w:r>
    </w:p>
    <w:p w14:paraId="4DF1A87D">
      <w:pPr>
        <w:spacing w:line="360" w:lineRule="auto"/>
        <w:ind w:firstLine="420" w:firstLineChars="200"/>
        <w:rPr>
          <w:rFonts w:hAnsi="宋体"/>
          <w:color w:val="000000"/>
        </w:rPr>
      </w:pPr>
      <w:r>
        <w:rPr>
          <w:rFonts w:hint="eastAsia" w:hAnsi="宋体"/>
          <w:color w:val="000000"/>
        </w:rPr>
        <w:t>同时出现两种以上不一致的，按照以上（</w:t>
      </w:r>
      <w:r>
        <w:rPr>
          <w:rFonts w:hAnsi="宋体"/>
          <w:color w:val="000000"/>
        </w:rPr>
        <w:t>1</w:t>
      </w:r>
      <w:r>
        <w:rPr>
          <w:rFonts w:hint="eastAsia" w:hAnsi="宋体"/>
          <w:color w:val="000000"/>
        </w:rPr>
        <w:t>）</w:t>
      </w:r>
      <w:r>
        <w:rPr>
          <w:rFonts w:hAnsi="宋体"/>
          <w:color w:val="000000"/>
        </w:rPr>
        <w:t>-</w:t>
      </w:r>
      <w:r>
        <w:rPr>
          <w:rFonts w:hint="eastAsia" w:hAnsi="宋体"/>
          <w:color w:val="000000"/>
        </w:rPr>
        <w:t>（</w:t>
      </w:r>
      <w:r>
        <w:rPr>
          <w:rFonts w:hAnsi="宋体"/>
          <w:color w:val="000000"/>
        </w:rPr>
        <w:t>4</w:t>
      </w:r>
      <w:r>
        <w:rPr>
          <w:rFonts w:hint="eastAsia" w:hAnsi="宋体"/>
          <w:color w:val="000000"/>
        </w:rPr>
        <w:t>）规定的顺序修正。修正后的报价经投标人确认后产生约束力，投标人不确认的，其投标无效。</w:t>
      </w:r>
    </w:p>
    <w:p w14:paraId="0266B0DF">
      <w:pPr>
        <w:spacing w:line="360" w:lineRule="auto"/>
        <w:ind w:firstLine="420" w:firstLineChars="200"/>
        <w:rPr>
          <w:rFonts w:ascii="宋体" w:hAnsi="宋体"/>
          <w:color w:val="000000"/>
          <w:szCs w:val="21"/>
        </w:rPr>
      </w:pPr>
      <w:r>
        <w:rPr>
          <w:rFonts w:hint="eastAsia" w:ascii="宋体" w:hAnsi="宋体"/>
          <w:color w:val="000000"/>
          <w:szCs w:val="21"/>
        </w:rPr>
        <w:t>4.2经投标人确认修正后的报价若超过采购预算金额或者最高限价，投标人的投标文件作无效投标处理。</w:t>
      </w:r>
    </w:p>
    <w:p w14:paraId="6B12899B">
      <w:pPr>
        <w:spacing w:line="360" w:lineRule="auto"/>
        <w:ind w:firstLine="420" w:firstLineChars="200"/>
        <w:rPr>
          <w:rFonts w:hint="eastAsia" w:ascii="宋体" w:hAnsi="宋体"/>
          <w:color w:val="000000"/>
          <w:szCs w:val="21"/>
        </w:rPr>
      </w:pPr>
      <w:r>
        <w:rPr>
          <w:rFonts w:hint="eastAsia" w:ascii="宋体" w:hAnsi="宋体"/>
          <w:color w:val="000000"/>
          <w:szCs w:val="21"/>
        </w:rPr>
        <w:t>4.3经投标人确认修正后的报价作为签订合同的依据，并以此报价计算价格分。</w:t>
      </w:r>
    </w:p>
    <w:p w14:paraId="4990DE13">
      <w:pPr>
        <w:spacing w:line="360" w:lineRule="auto"/>
        <w:ind w:firstLine="420" w:firstLineChars="200"/>
        <w:rPr>
          <w:rFonts w:hint="eastAsia" w:ascii="宋体" w:hAnsi="宋体"/>
          <w:color w:val="000000"/>
          <w:szCs w:val="21"/>
        </w:rPr>
      </w:pPr>
      <w:r>
        <w:rPr>
          <w:rFonts w:hint="eastAsia" w:ascii="宋体" w:hAnsi="宋体"/>
          <w:color w:val="000000"/>
          <w:szCs w:val="21"/>
        </w:rPr>
        <w:t>5.比较与评价</w:t>
      </w:r>
    </w:p>
    <w:p w14:paraId="3A4EBFBA">
      <w:pPr>
        <w:spacing w:line="360" w:lineRule="auto"/>
        <w:ind w:firstLine="420" w:firstLineChars="200"/>
        <w:rPr>
          <w:rFonts w:hint="eastAsia" w:hAnsi="宋体"/>
          <w:color w:val="000000"/>
        </w:rPr>
      </w:pPr>
      <w:r>
        <w:rPr>
          <w:rFonts w:hAnsi="宋体"/>
          <w:color w:val="000000"/>
        </w:rPr>
        <w:t>5.1</w:t>
      </w:r>
      <w:r>
        <w:rPr>
          <w:rFonts w:hint="eastAsia" w:hAnsi="宋体"/>
          <w:color w:val="000000"/>
        </w:rPr>
        <w:t>评标委员会按照招标文件中规定的评标方法和评标标准，对符合性审查合格的投标文件进行商务和技术评估，综合比较与评价。</w:t>
      </w:r>
    </w:p>
    <w:p w14:paraId="02060782">
      <w:pPr>
        <w:spacing w:line="360" w:lineRule="auto"/>
        <w:ind w:firstLine="420" w:firstLineChars="200"/>
        <w:rPr>
          <w:rFonts w:hAnsi="宋体"/>
          <w:color w:val="000000"/>
        </w:rPr>
      </w:pPr>
      <w:r>
        <w:rPr>
          <w:rFonts w:hAnsi="宋体"/>
          <w:color w:val="000000"/>
        </w:rPr>
        <w:t>5.2</w:t>
      </w:r>
      <w:r>
        <w:rPr>
          <w:rFonts w:hint="eastAsia" w:hAnsi="宋体"/>
          <w:color w:val="000000"/>
        </w:rPr>
        <w:t>评标委员会独立对每个投标人的投标文件进行评价，并汇总每个投标人的得分。</w:t>
      </w:r>
    </w:p>
    <w:p w14:paraId="4092D0B2">
      <w:pPr>
        <w:widowControl/>
        <w:spacing w:line="360" w:lineRule="auto"/>
        <w:ind w:firstLine="420" w:firstLineChars="200"/>
        <w:jc w:val="left"/>
        <w:rPr>
          <w:rFonts w:hAnsi="宋体"/>
          <w:color w:val="000000"/>
        </w:rPr>
      </w:pPr>
      <w:r>
        <w:rPr>
          <w:rFonts w:hint="eastAsia" w:hAnsi="宋体"/>
          <w:color w:val="000000"/>
        </w:rPr>
        <w:t>（1）评审委员会成员要根据政府采购法律法规和采购文件所载明的评审方法、标准进行评审。对供应商的价格分等客观评分项的评分应当一致，对其他需要借助专业知识评判的主观评分项，应当严格按照评分细则公正评分。</w:t>
      </w:r>
    </w:p>
    <w:p w14:paraId="527DDCE8">
      <w:pPr>
        <w:spacing w:line="360" w:lineRule="auto"/>
        <w:ind w:firstLine="420" w:firstLineChars="200"/>
        <w:rPr>
          <w:rFonts w:hint="eastAsia" w:hAnsi="宋体"/>
        </w:rPr>
      </w:pPr>
      <w:r>
        <w:rPr>
          <w:rFonts w:hint="eastAsia" w:hAnsi="宋体"/>
        </w:rPr>
        <w:t>（2）评标委员会在评审中发现下列情形之一的，应当启动异常低价投标审查程序：</w:t>
      </w:r>
    </w:p>
    <w:p w14:paraId="7A9F6AA6">
      <w:pPr>
        <w:spacing w:line="360" w:lineRule="auto"/>
        <w:ind w:firstLine="420" w:firstLineChars="200"/>
        <w:rPr>
          <w:rFonts w:hint="eastAsia" w:hAnsi="宋体"/>
        </w:rPr>
      </w:pPr>
      <w:r>
        <w:rPr>
          <w:rFonts w:hint="eastAsia" w:hAnsi="宋体"/>
        </w:rPr>
        <w:t>①投标报价低于全部通过符合性审查供应商投标报价平均值50%的，即投标报价＜全部通过符合性审查供应商投标报价平均值×50% ；</w:t>
      </w:r>
    </w:p>
    <w:p w14:paraId="04BAC108">
      <w:pPr>
        <w:spacing w:line="360" w:lineRule="auto"/>
        <w:ind w:firstLine="420" w:firstLineChars="200"/>
        <w:rPr>
          <w:rFonts w:hint="eastAsia" w:hAnsi="宋体"/>
        </w:rPr>
      </w:pPr>
      <w:r>
        <w:rPr>
          <w:rFonts w:hint="eastAsia" w:hAnsi="宋体"/>
        </w:rPr>
        <w:t>②投标报价低于通过符合性审查的次低报价供应商投标报价50%的，即投标报价＜通过符合性审查的次低报价供应商投标报价×50% ；</w:t>
      </w:r>
    </w:p>
    <w:p w14:paraId="2B1665DA">
      <w:pPr>
        <w:spacing w:line="360" w:lineRule="auto"/>
        <w:ind w:firstLine="420" w:firstLineChars="200"/>
        <w:rPr>
          <w:rFonts w:hint="eastAsia" w:hAnsi="宋体"/>
        </w:rPr>
      </w:pPr>
      <w:r>
        <w:rPr>
          <w:rFonts w:hint="eastAsia" w:hAnsi="宋体"/>
        </w:rPr>
        <w:t>③投标报价低于采购项目最高限价45% 的，即投标报价＜采购项目最高限价×45%；</w:t>
      </w:r>
    </w:p>
    <w:p w14:paraId="63B437B3">
      <w:pPr>
        <w:spacing w:line="360" w:lineRule="auto"/>
        <w:ind w:firstLine="420" w:firstLineChars="200"/>
        <w:rPr>
          <w:rFonts w:hint="eastAsia" w:hAnsi="宋体"/>
        </w:rPr>
      </w:pPr>
      <w:r>
        <w:rPr>
          <w:rFonts w:hint="eastAsia" w:hAnsi="宋体"/>
        </w:rPr>
        <w:t>④评标委员会基于专业判断，认为供应商报价过低，有可能影响产品质量或者不能诚信履约的其他情形。</w:t>
      </w:r>
    </w:p>
    <w:p w14:paraId="1D8EC198">
      <w:pPr>
        <w:spacing w:line="360" w:lineRule="auto"/>
        <w:ind w:firstLine="420" w:firstLineChars="200"/>
        <w:rPr>
          <w:rFonts w:hint="eastAsia" w:hAnsi="宋体"/>
        </w:rPr>
      </w:pPr>
      <w:r>
        <w:rPr>
          <w:rFonts w:hint="eastAsia" w:hAnsi="宋体"/>
        </w:rPr>
        <w:t>评标委员会启动异常低价投标审查后，属于前述第</w:t>
      </w:r>
      <w:r>
        <w:rPr>
          <w:rFonts w:hAnsi="宋体"/>
        </w:rPr>
        <w:fldChar w:fldCharType="begin"/>
      </w:r>
      <w:r>
        <w:rPr>
          <w:rFonts w:hAnsi="宋体"/>
        </w:rPr>
        <w:instrText xml:space="preserve"> = 1 \* GB3 </w:instrText>
      </w:r>
      <w:r>
        <w:rPr>
          <w:rFonts w:hint="eastAsia" w:hAnsi="宋体"/>
        </w:rPr>
        <w:fldChar w:fldCharType="separate"/>
      </w:r>
      <w:r>
        <w:rPr>
          <w:rFonts w:hint="eastAsia" w:hAnsi="宋体"/>
        </w:rPr>
        <w:t>①</w:t>
      </w:r>
      <w:r>
        <w:rPr>
          <w:rFonts w:hAnsi="宋体"/>
        </w:rPr>
        <w:fldChar w:fldCharType="end"/>
      </w:r>
      <w:r>
        <w:rPr>
          <w:rFonts w:hint="eastAsia" w:hAnsi="宋体"/>
        </w:rPr>
        <w:t>项至第</w:t>
      </w:r>
      <w:r>
        <w:rPr>
          <w:rFonts w:hAnsi="宋体"/>
        </w:rPr>
        <w:fldChar w:fldCharType="begin"/>
      </w:r>
      <w:r>
        <w:rPr>
          <w:rFonts w:hAnsi="宋体"/>
        </w:rPr>
        <w:instrText xml:space="preserve"> = 4 \* GB3 </w:instrText>
      </w:r>
      <w:r>
        <w:rPr>
          <w:rFonts w:hint="eastAsia" w:hAnsi="宋体"/>
        </w:rPr>
        <w:fldChar w:fldCharType="separate"/>
      </w:r>
      <w:r>
        <w:rPr>
          <w:rFonts w:hint="eastAsia" w:hAnsi="宋体"/>
        </w:rPr>
        <w:t>④</w:t>
      </w:r>
      <w:r>
        <w:rPr>
          <w:rFonts w:hAnsi="宋体"/>
        </w:rPr>
        <w:fldChar w:fldCharType="end"/>
      </w:r>
      <w:r>
        <w:rPr>
          <w:rFonts w:hint="eastAsia" w:hAnsi="宋体"/>
        </w:rPr>
        <w:t>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③项情形，供应商已随投标文件一并提交相关书面说明及必要的证明材料的，可不再重复提交。</w:t>
      </w:r>
    </w:p>
    <w:p w14:paraId="75FE78B2">
      <w:pPr>
        <w:spacing w:line="360" w:lineRule="auto"/>
        <w:ind w:firstLine="420" w:firstLineChars="200"/>
        <w:rPr>
          <w:rFonts w:hint="eastAsia" w:hAnsi="宋体"/>
        </w:rPr>
      </w:pPr>
      <w:r>
        <w:rPr>
          <w:rFonts w:hint="eastAsia" w:hAnsi="宋体"/>
        </w:rPr>
        <w:t>评标委员会依据专业经验，参考同类项目中标（成交）价格、类似产品市场价格水平、行业人工费用标准、国家有关部门指导行业协会发布的行业平均成本等情况，对报价合理性进行判断。</w:t>
      </w:r>
      <w:r>
        <w:rPr>
          <w:rFonts w:hint="eastAsia" w:hAnsi="宋体"/>
          <w:b/>
          <w:bCs/>
        </w:rPr>
        <w:t>投标供应商不能提供书面说明、证明材料，或者提供的书面说明、证明材料不能证明其报价合理性的，评标委员会应当将其作为无效投标处理。</w:t>
      </w:r>
    </w:p>
    <w:p w14:paraId="59B7C16A">
      <w:pPr>
        <w:spacing w:line="360" w:lineRule="auto"/>
        <w:ind w:firstLine="420" w:firstLineChars="200"/>
        <w:rPr>
          <w:rFonts w:hint="eastAsia" w:hAnsi="宋体"/>
        </w:rPr>
      </w:pPr>
      <w:r>
        <w:rPr>
          <w:rFonts w:hint="eastAsia" w:hAnsi="宋体"/>
        </w:rPr>
        <w:t>采购人、采购代理机构应当为评标委员会在评审现场及时获取同类项目中标（成交）价格、类似产品市场价格水平、行业人工费用标准、国家有关部门指导行业协会发布的行业平均成本等相关信息资料提供便利。评标委员会借助互联网等渠道查询相关信息的，应当严格遵守评审工作纪律，不得实施影响评审公正的行为。</w:t>
      </w:r>
    </w:p>
    <w:p w14:paraId="4DEF795A">
      <w:pPr>
        <w:widowControl/>
        <w:spacing w:line="360" w:lineRule="auto"/>
        <w:ind w:firstLine="420" w:firstLineChars="200"/>
        <w:jc w:val="left"/>
        <w:rPr>
          <w:rFonts w:hAnsi="宋体"/>
          <w:color w:val="000000"/>
        </w:rPr>
      </w:pPr>
      <w:r>
        <w:rPr>
          <w:rFonts w:hint="eastAsia" w:hAnsi="宋体"/>
        </w:rPr>
        <w:t>异常低价投标审查的启动原因、审查意见和审查结果应当在评审报告中记录，并随供应商提供的相关书面说明及证明材料；如有，以及评标委员会有关互联网浏览、查询历史一并归档。</w:t>
      </w:r>
    </w:p>
    <w:p w14:paraId="3461F32D">
      <w:pPr>
        <w:spacing w:line="360" w:lineRule="auto"/>
        <w:ind w:firstLine="420" w:firstLineChars="200"/>
        <w:rPr>
          <w:rFonts w:hAnsi="宋体"/>
          <w:color w:val="000000"/>
        </w:rPr>
      </w:pPr>
      <w:r>
        <w:rPr>
          <w:rFonts w:hAnsi="宋体"/>
          <w:color w:val="000000"/>
        </w:rPr>
        <w:t>5.3</w:t>
      </w:r>
      <w:r>
        <w:rPr>
          <w:rFonts w:hint="eastAsia" w:hAnsi="宋体"/>
          <w:color w:val="000000"/>
        </w:rPr>
        <w:t>评标委员会按照招标文件中规定的评标方法和标准计算各投标人的报价得分。在计算过程中，不得去掉最高报价或者最低报价。</w:t>
      </w:r>
    </w:p>
    <w:p w14:paraId="5CDC25FB">
      <w:pPr>
        <w:spacing w:line="360" w:lineRule="auto"/>
        <w:ind w:firstLine="420" w:firstLineChars="200"/>
        <w:rPr>
          <w:rFonts w:hAnsi="宋体"/>
          <w:color w:val="000000"/>
        </w:rPr>
      </w:pPr>
      <w:r>
        <w:rPr>
          <w:rFonts w:hAnsi="宋体"/>
          <w:color w:val="000000"/>
        </w:rPr>
        <w:t>5.4</w:t>
      </w:r>
      <w:r>
        <w:rPr>
          <w:rFonts w:hint="eastAsia" w:hAnsi="宋体"/>
          <w:color w:val="000000"/>
        </w:rPr>
        <w:t>各投标人的得分为所有评委的有效评分的算术平均数。</w:t>
      </w:r>
    </w:p>
    <w:p w14:paraId="00D1E11A">
      <w:pPr>
        <w:spacing w:line="360" w:lineRule="auto"/>
        <w:ind w:firstLine="420" w:firstLineChars="200"/>
        <w:rPr>
          <w:rFonts w:hAnsi="宋体"/>
          <w:color w:val="000000"/>
        </w:rPr>
      </w:pPr>
      <w:r>
        <w:rPr>
          <w:rFonts w:hAnsi="宋体"/>
          <w:color w:val="000000"/>
        </w:rPr>
        <w:t>5.5</w:t>
      </w:r>
      <w:r>
        <w:rPr>
          <w:rFonts w:hint="eastAsia" w:hAnsi="宋体"/>
          <w:color w:val="000000"/>
        </w:rPr>
        <w:t>评标委员会按照招标文件中的规定推荐中标候选人。</w:t>
      </w:r>
    </w:p>
    <w:p w14:paraId="548EF3AE">
      <w:pPr>
        <w:spacing w:line="360" w:lineRule="auto"/>
        <w:ind w:firstLine="420" w:firstLineChars="200"/>
        <w:rPr>
          <w:rFonts w:hAnsi="宋体"/>
          <w:color w:val="000000"/>
        </w:rPr>
      </w:pPr>
      <w:r>
        <w:rPr>
          <w:rFonts w:hAnsi="宋体"/>
          <w:color w:val="000000"/>
        </w:rPr>
        <w:t>5.6</w:t>
      </w:r>
      <w:r>
        <w:rPr>
          <w:rFonts w:hint="eastAsia" w:hAnsi="宋体"/>
          <w:color w:val="000000"/>
        </w:rPr>
        <w:t>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做出结论。持不同意见的评标委员会应当在评标报告上签署不同意见及理由，否则视为同意评标报告。</w:t>
      </w:r>
    </w:p>
    <w:p w14:paraId="0A4E0E60">
      <w:pPr>
        <w:spacing w:line="360" w:lineRule="auto"/>
        <w:ind w:firstLine="422" w:firstLineChars="200"/>
        <w:rPr>
          <w:rFonts w:ascii="宋体" w:hAnsi="宋体"/>
          <w:b/>
          <w:color w:val="000000"/>
          <w:szCs w:val="21"/>
        </w:rPr>
      </w:pPr>
      <w:r>
        <w:rPr>
          <w:rFonts w:hint="eastAsia" w:ascii="宋体" w:hAnsi="宋体"/>
          <w:b/>
          <w:color w:val="000000"/>
          <w:szCs w:val="21"/>
        </w:rPr>
        <w:t>6.评审复核</w:t>
      </w:r>
    </w:p>
    <w:p w14:paraId="0F16F74F">
      <w:pPr>
        <w:spacing w:line="360" w:lineRule="auto"/>
        <w:ind w:firstLine="420" w:firstLineChars="200"/>
        <w:rPr>
          <w:rFonts w:hint="eastAsia" w:ascii="宋体" w:hAnsi="宋体"/>
          <w:color w:val="000000"/>
          <w:szCs w:val="21"/>
        </w:rPr>
      </w:pPr>
      <w:r>
        <w:rPr>
          <w:rFonts w:hint="eastAsia" w:ascii="宋体" w:hAnsi="宋体"/>
          <w:color w:val="000000"/>
          <w:szCs w:val="21"/>
        </w:rPr>
        <w:t>6.1评标报告签署前，评标委员会要对评审结果进行复核，复核意见要体现在评标报告中。</w:t>
      </w:r>
    </w:p>
    <w:p w14:paraId="7D28A965">
      <w:pPr>
        <w:widowControl/>
        <w:spacing w:line="360" w:lineRule="auto"/>
        <w:ind w:firstLine="420" w:firstLineChars="200"/>
        <w:jc w:val="left"/>
        <w:textAlignment w:val="baseline"/>
        <w:rPr>
          <w:rFonts w:hint="eastAsia" w:hAnsi="宋体"/>
          <w:color w:val="000000"/>
        </w:rPr>
      </w:pPr>
      <w:r>
        <w:rPr>
          <w:rFonts w:hAnsi="宋体"/>
          <w:color w:val="000000"/>
        </w:rPr>
        <w:t>6.2</w:t>
      </w:r>
      <w:r>
        <w:rPr>
          <w:rFonts w:hint="eastAsia" w:hAnsi="宋体"/>
          <w:color w:val="000000"/>
        </w:rPr>
        <w:t>评标结果汇总完成后，除下列情形外，任何人不得修改评标结果：</w:t>
      </w:r>
    </w:p>
    <w:p w14:paraId="02E13668">
      <w:pPr>
        <w:widowControl/>
        <w:spacing w:line="360" w:lineRule="auto"/>
        <w:jc w:val="left"/>
        <w:textAlignment w:val="baseline"/>
        <w:rPr>
          <w:rFonts w:hAnsi="宋体"/>
          <w:color w:val="000000"/>
        </w:rPr>
      </w:pPr>
      <w:r>
        <w:rPr>
          <w:rFonts w:hint="eastAsia" w:hAnsi="宋体"/>
          <w:color w:val="000000"/>
        </w:rPr>
        <w:t>　　（一）分值汇总计算错误的；</w:t>
      </w:r>
    </w:p>
    <w:p w14:paraId="6F556C72">
      <w:pPr>
        <w:widowControl/>
        <w:spacing w:line="360" w:lineRule="auto"/>
        <w:jc w:val="left"/>
        <w:textAlignment w:val="baseline"/>
        <w:rPr>
          <w:rFonts w:hAnsi="宋体"/>
          <w:color w:val="000000"/>
        </w:rPr>
      </w:pPr>
      <w:r>
        <w:rPr>
          <w:rFonts w:hint="eastAsia" w:hAnsi="宋体"/>
          <w:color w:val="000000"/>
        </w:rPr>
        <w:t>　　（二）分项评分超出评分标准范围的；</w:t>
      </w:r>
    </w:p>
    <w:p w14:paraId="63740A9F">
      <w:pPr>
        <w:widowControl/>
        <w:spacing w:line="360" w:lineRule="auto"/>
        <w:jc w:val="left"/>
        <w:textAlignment w:val="baseline"/>
        <w:rPr>
          <w:rFonts w:hAnsi="宋体"/>
          <w:color w:val="000000"/>
        </w:rPr>
      </w:pPr>
      <w:r>
        <w:rPr>
          <w:rFonts w:hint="eastAsia" w:hAnsi="宋体"/>
          <w:color w:val="000000"/>
        </w:rPr>
        <w:t>　　（三）评标委员会成员对客观评审因素评分不一致的；</w:t>
      </w:r>
    </w:p>
    <w:p w14:paraId="7918187B">
      <w:pPr>
        <w:widowControl/>
        <w:spacing w:line="360" w:lineRule="auto"/>
        <w:jc w:val="left"/>
        <w:textAlignment w:val="baseline"/>
        <w:rPr>
          <w:rFonts w:hAnsi="宋体"/>
          <w:color w:val="000000"/>
        </w:rPr>
      </w:pPr>
      <w:r>
        <w:rPr>
          <w:rFonts w:hint="eastAsia" w:hAnsi="宋体"/>
          <w:color w:val="000000"/>
        </w:rPr>
        <w:t>　　（四）经评标委员会认定评分畸高、畸低的。</w:t>
      </w:r>
    </w:p>
    <w:p w14:paraId="58D826E7">
      <w:pPr>
        <w:spacing w:line="360" w:lineRule="auto"/>
        <w:ind w:firstLine="420" w:firstLineChars="200"/>
        <w:rPr>
          <w:rFonts w:hAnsi="宋体"/>
          <w:color w:val="000000"/>
        </w:rPr>
      </w:pPr>
      <w:r>
        <w:rPr>
          <w:rFonts w:hint="eastAsia" w:hAnsi="宋体"/>
          <w:color w:val="000000"/>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6EF5C6EE">
      <w:pPr>
        <w:pStyle w:val="3"/>
        <w:jc w:val="center"/>
        <w:rPr>
          <w:b w:val="0"/>
          <w:sz w:val="30"/>
          <w:szCs w:val="30"/>
        </w:rPr>
      </w:pPr>
      <w:bookmarkStart w:id="152" w:name="_Toc211960312"/>
      <w:r>
        <w:rPr>
          <w:rFonts w:hint="eastAsia"/>
          <w:b w:val="0"/>
          <w:sz w:val="30"/>
          <w:szCs w:val="30"/>
        </w:rPr>
        <w:t>第三节</w:t>
      </w:r>
      <w:r>
        <w:rPr>
          <w:b w:val="0"/>
          <w:sz w:val="30"/>
          <w:szCs w:val="30"/>
        </w:rPr>
        <w:t xml:space="preserve"> </w:t>
      </w:r>
      <w:r>
        <w:rPr>
          <w:rFonts w:hint="eastAsia"/>
          <w:b w:val="0"/>
          <w:sz w:val="30"/>
          <w:szCs w:val="30"/>
        </w:rPr>
        <w:t>评分标准</w:t>
      </w:r>
      <w:bookmarkEnd w:id="152"/>
    </w:p>
    <w:p w14:paraId="52B00D61">
      <w:pPr>
        <w:pStyle w:val="11"/>
        <w:ind w:firstLine="602" w:firstLineChars="200"/>
        <w:jc w:val="center"/>
        <w:rPr>
          <w:rFonts w:ascii="Times New Roman" w:hAnsi="Times New Roman"/>
          <w:b/>
          <w:sz w:val="30"/>
          <w:szCs w:val="30"/>
        </w:rPr>
      </w:pPr>
      <w:r>
        <w:rPr>
          <w:rFonts w:hint="eastAsia" w:ascii="Times New Roman" w:hAnsi="Times New Roman"/>
          <w:b/>
          <w:sz w:val="30"/>
          <w:szCs w:val="30"/>
        </w:rPr>
        <w:t>综合评分法</w:t>
      </w:r>
    </w:p>
    <w:p w14:paraId="5D80AE84">
      <w:pPr>
        <w:spacing w:line="360" w:lineRule="auto"/>
        <w:ind w:firstLine="420"/>
        <w:rPr>
          <w:rFonts w:hint="eastAsia" w:ascii="宋体" w:hAnsi="宋体"/>
          <w:bCs/>
          <w:szCs w:val="20"/>
        </w:rPr>
      </w:pPr>
      <w:r>
        <w:rPr>
          <w:rFonts w:hint="eastAsia" w:ascii="宋体" w:hAnsi="宋体"/>
          <w:bCs/>
          <w:szCs w:val="20"/>
        </w:rPr>
        <w:t>注：</w:t>
      </w:r>
    </w:p>
    <w:p w14:paraId="10CC2E2C">
      <w:pPr>
        <w:spacing w:line="360" w:lineRule="auto"/>
        <w:ind w:firstLine="420"/>
        <w:rPr>
          <w:rFonts w:hint="eastAsia" w:ascii="宋体" w:hAnsi="宋体"/>
          <w:bCs/>
          <w:szCs w:val="20"/>
        </w:rPr>
      </w:pPr>
      <w:r>
        <w:rPr>
          <w:rFonts w:hint="eastAsia" w:ascii="宋体" w:hAnsi="宋体"/>
          <w:bCs/>
          <w:szCs w:val="20"/>
        </w:rPr>
        <w:t>1、计分方法按四舍五入取至百分位。</w:t>
      </w:r>
    </w:p>
    <w:p w14:paraId="53D56E23">
      <w:pPr>
        <w:spacing w:line="360" w:lineRule="auto"/>
        <w:ind w:firstLine="420"/>
        <w:rPr>
          <w:rFonts w:hint="eastAsia" w:ascii="宋体" w:hAnsi="宋体"/>
          <w:bCs/>
          <w:szCs w:val="20"/>
          <w:u w:val="single"/>
        </w:rPr>
      </w:pPr>
      <w:r>
        <w:rPr>
          <w:rFonts w:hint="eastAsia" w:ascii="宋体" w:hAnsi="宋体"/>
          <w:bCs/>
          <w:szCs w:val="20"/>
        </w:rPr>
        <w:t>总得分=</w:t>
      </w:r>
      <w:r>
        <w:rPr>
          <w:rFonts w:hint="eastAsia" w:ascii="宋体" w:hAnsi="宋体"/>
          <w:bCs/>
          <w:szCs w:val="20"/>
          <w:u w:val="single"/>
        </w:rPr>
        <w:t xml:space="preserve">   1+2+3  </w:t>
      </w:r>
    </w:p>
    <w:p w14:paraId="6F3741F6">
      <w:pPr>
        <w:spacing w:line="360" w:lineRule="auto"/>
        <w:ind w:firstLine="420"/>
        <w:rPr>
          <w:rFonts w:hint="eastAsia"/>
          <w:b/>
          <w:sz w:val="30"/>
          <w:szCs w:val="30"/>
        </w:rPr>
      </w:pPr>
      <w:r>
        <w:rPr>
          <w:rFonts w:hint="eastAsia" w:ascii="宋体" w:hAnsi="宋体"/>
          <w:bCs/>
          <w:szCs w:val="20"/>
        </w:rPr>
        <w:t>2、商务技术评审因素为客观评分项的，应在评分项目或评分标准中予以标注为“客观分”。对投标人的客观评分项目，各评标专家评分应当一致。</w:t>
      </w:r>
    </w:p>
    <w:p w14:paraId="7C7B72A3">
      <w:pPr>
        <w:pStyle w:val="11"/>
        <w:spacing w:line="360" w:lineRule="auto"/>
        <w:ind w:firstLine="420"/>
        <w:rPr>
          <w:rFonts w:hint="eastAsia" w:hAnsi="宋体"/>
          <w:bCs/>
          <w:highlight w:val="none"/>
        </w:rPr>
      </w:pPr>
      <w:bookmarkStart w:id="153" w:name="PO_3000001866_PM051"/>
      <w:r>
        <w:rPr>
          <w:rFonts w:hint="eastAsia" w:hAnsi="宋体"/>
          <w:bCs/>
          <w:highlight w:val="none"/>
        </w:rPr>
        <w:t xml:space="preserve"> </w:t>
      </w:r>
      <w:bookmarkEnd w:id="153"/>
      <w:bookmarkStart w:id="154" w:name="PO_TDCUS_ITEM_SM_TITLE_1"/>
      <w:r>
        <w:rPr>
          <w:rFonts w:hint="eastAsia" w:hAnsi="宋体"/>
          <w:bCs/>
          <w:highlight w:val="none"/>
        </w:rPr>
        <w:t>分标1的评分方法</w:t>
      </w:r>
      <w:bookmarkEnd w:id="154"/>
      <w:bookmarkStart w:id="155" w:name="PO_TDCUS_ITEM_SM_TABLE_1"/>
    </w:p>
    <w:p w14:paraId="5F7D4D82">
      <w:pPr>
        <w:pStyle w:val="11"/>
        <w:spacing w:line="360" w:lineRule="auto"/>
        <w:ind w:firstLine="420"/>
        <w:rPr>
          <w:rFonts w:hint="eastAsia" w:hAnsi="宋体"/>
          <w:bCs/>
          <w:highlight w:val="none"/>
        </w:rPr>
      </w:pPr>
      <w:r>
        <w:rPr>
          <w:rFonts w:hint="eastAsia" w:hAnsi="宋体"/>
          <w:bCs/>
          <w:highlight w:val="none"/>
        </w:rPr>
        <w:br w:type="page"/>
      </w:r>
    </w:p>
    <w:tbl>
      <w:tblPr>
        <w:tblStyle w:val="16"/>
        <w:tblpPr w:leftFromText="180" w:rightFromText="180" w:vertAnchor="text" w:horzAnchor="page" w:tblpX="1139" w:tblpY="945"/>
        <w:tblOverlap w:val="never"/>
        <w:tblW w:w="96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1437"/>
        <w:gridCol w:w="6149"/>
        <w:gridCol w:w="1355"/>
      </w:tblGrid>
      <w:tr w14:paraId="4384C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9660" w:type="dxa"/>
            <w:gridSpan w:val="4"/>
            <w:tcBorders>
              <w:top w:val="single" w:color="auto" w:sz="4" w:space="0"/>
              <w:left w:val="single" w:color="auto" w:sz="4" w:space="0"/>
              <w:bottom w:val="single" w:color="auto" w:sz="4" w:space="0"/>
              <w:right w:val="single" w:color="auto" w:sz="4" w:space="0"/>
            </w:tcBorders>
            <w:noWrap w:val="0"/>
            <w:vAlign w:val="top"/>
          </w:tcPr>
          <w:p w14:paraId="6032592D">
            <w:pPr>
              <w:pStyle w:val="11"/>
              <w:keepNext w:val="0"/>
              <w:keepLines w:val="0"/>
              <w:pageBreakBefore w:val="0"/>
              <w:widowControl/>
              <w:kinsoku/>
              <w:wordWrap w:val="0"/>
              <w:overflowPunct/>
              <w:topLinePunct w:val="0"/>
              <w:autoSpaceDE/>
              <w:autoSpaceDN/>
              <w:bidi w:val="0"/>
              <w:spacing w:line="400" w:lineRule="exact"/>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评分方法</w:t>
            </w:r>
          </w:p>
        </w:tc>
      </w:tr>
      <w:tr w14:paraId="5EE16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719" w:type="dxa"/>
            <w:tcBorders>
              <w:top w:val="single" w:color="auto" w:sz="4" w:space="0"/>
              <w:left w:val="single" w:color="auto" w:sz="4" w:space="0"/>
              <w:bottom w:val="single" w:color="auto" w:sz="4" w:space="0"/>
              <w:right w:val="single" w:color="auto" w:sz="4" w:space="0"/>
            </w:tcBorders>
            <w:noWrap w:val="0"/>
            <w:vAlign w:val="top"/>
          </w:tcPr>
          <w:p w14:paraId="18203BE7">
            <w:pPr>
              <w:pStyle w:val="11"/>
              <w:keepNext w:val="0"/>
              <w:keepLines w:val="0"/>
              <w:pageBreakBefore w:val="0"/>
              <w:widowControl/>
              <w:kinsoku/>
              <w:wordWrap w:val="0"/>
              <w:overflowPunct/>
              <w:topLinePunct w:val="0"/>
              <w:autoSpaceDE/>
              <w:autoSpaceDN/>
              <w:bidi w:val="0"/>
              <w:spacing w:line="400" w:lineRule="exac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序号</w:t>
            </w:r>
          </w:p>
        </w:tc>
        <w:tc>
          <w:tcPr>
            <w:tcW w:w="1437" w:type="dxa"/>
            <w:tcBorders>
              <w:top w:val="single" w:color="auto" w:sz="4" w:space="0"/>
              <w:left w:val="single" w:color="auto" w:sz="4" w:space="0"/>
              <w:bottom w:val="single" w:color="auto" w:sz="4" w:space="0"/>
              <w:right w:val="single" w:color="auto" w:sz="4" w:space="0"/>
            </w:tcBorders>
            <w:noWrap w:val="0"/>
            <w:vAlign w:val="top"/>
          </w:tcPr>
          <w:p w14:paraId="5E7785AC">
            <w:pPr>
              <w:pStyle w:val="11"/>
              <w:keepNext w:val="0"/>
              <w:keepLines w:val="0"/>
              <w:pageBreakBefore w:val="0"/>
              <w:widowControl/>
              <w:kinsoku/>
              <w:wordWrap w:val="0"/>
              <w:overflowPunct/>
              <w:topLinePunct w:val="0"/>
              <w:autoSpaceDE/>
              <w:autoSpaceDN/>
              <w:bidi w:val="0"/>
              <w:spacing w:line="400" w:lineRule="exact"/>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评分类型</w:t>
            </w:r>
          </w:p>
        </w:tc>
        <w:tc>
          <w:tcPr>
            <w:tcW w:w="6149" w:type="dxa"/>
            <w:tcBorders>
              <w:top w:val="single" w:color="auto" w:sz="4" w:space="0"/>
              <w:left w:val="single" w:color="auto" w:sz="4" w:space="0"/>
              <w:bottom w:val="single" w:color="auto" w:sz="4" w:space="0"/>
              <w:right w:val="single" w:color="auto" w:sz="4" w:space="0"/>
            </w:tcBorders>
            <w:noWrap w:val="0"/>
            <w:vAlign w:val="top"/>
          </w:tcPr>
          <w:p w14:paraId="48ED9C66">
            <w:pPr>
              <w:pStyle w:val="11"/>
              <w:keepNext w:val="0"/>
              <w:keepLines w:val="0"/>
              <w:pageBreakBefore w:val="0"/>
              <w:widowControl/>
              <w:kinsoku/>
              <w:wordWrap w:val="0"/>
              <w:overflowPunct/>
              <w:topLinePunct w:val="0"/>
              <w:autoSpaceDE/>
              <w:autoSpaceDN/>
              <w:bidi w:val="0"/>
              <w:spacing w:line="400" w:lineRule="exact"/>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评分标准</w:t>
            </w:r>
          </w:p>
        </w:tc>
        <w:tc>
          <w:tcPr>
            <w:tcW w:w="1355" w:type="dxa"/>
            <w:tcBorders>
              <w:top w:val="single" w:color="auto" w:sz="4" w:space="0"/>
              <w:left w:val="single" w:color="auto" w:sz="4" w:space="0"/>
              <w:bottom w:val="single" w:color="auto" w:sz="4" w:space="0"/>
              <w:right w:val="single" w:color="auto" w:sz="4" w:space="0"/>
            </w:tcBorders>
            <w:noWrap w:val="0"/>
            <w:vAlign w:val="top"/>
          </w:tcPr>
          <w:p w14:paraId="35191567">
            <w:pPr>
              <w:pStyle w:val="11"/>
              <w:keepNext w:val="0"/>
              <w:keepLines w:val="0"/>
              <w:pageBreakBefore w:val="0"/>
              <w:widowControl/>
              <w:kinsoku/>
              <w:wordWrap w:val="0"/>
              <w:overflowPunct/>
              <w:topLinePunct w:val="0"/>
              <w:autoSpaceDE/>
              <w:autoSpaceDN/>
              <w:bidi w:val="0"/>
              <w:spacing w:line="400" w:lineRule="exact"/>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分值</w:t>
            </w:r>
          </w:p>
        </w:tc>
      </w:tr>
      <w:tr w14:paraId="1692E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5"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5B4917CF">
            <w:pPr>
              <w:pStyle w:val="11"/>
              <w:keepNext w:val="0"/>
              <w:keepLines w:val="0"/>
              <w:pageBreakBefore w:val="0"/>
              <w:widowControl/>
              <w:kinsoku/>
              <w:wordWrap w:val="0"/>
              <w:overflowPunct/>
              <w:topLinePunct w:val="0"/>
              <w:autoSpaceDE/>
              <w:autoSpaceDN/>
              <w:bidi w:val="0"/>
              <w:spacing w:line="400" w:lineRule="exact"/>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p>
        </w:tc>
        <w:tc>
          <w:tcPr>
            <w:tcW w:w="1437" w:type="dxa"/>
            <w:tcBorders>
              <w:top w:val="single" w:color="auto" w:sz="4" w:space="0"/>
              <w:left w:val="single" w:color="auto" w:sz="4" w:space="0"/>
              <w:bottom w:val="single" w:color="auto" w:sz="4" w:space="0"/>
              <w:right w:val="single" w:color="auto" w:sz="4" w:space="0"/>
            </w:tcBorders>
            <w:noWrap w:val="0"/>
            <w:vAlign w:val="center"/>
          </w:tcPr>
          <w:p w14:paraId="2CA72739">
            <w:pPr>
              <w:pStyle w:val="11"/>
              <w:keepNext w:val="0"/>
              <w:keepLines w:val="0"/>
              <w:pageBreakBefore w:val="0"/>
              <w:widowControl/>
              <w:kinsoku/>
              <w:wordWrap w:val="0"/>
              <w:overflowPunct/>
              <w:topLinePunct w:val="0"/>
              <w:autoSpaceDE/>
              <w:autoSpaceDN/>
              <w:bidi w:val="0"/>
              <w:spacing w:line="400" w:lineRule="exact"/>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报价分</w:t>
            </w:r>
          </w:p>
        </w:tc>
        <w:tc>
          <w:tcPr>
            <w:tcW w:w="6149" w:type="dxa"/>
            <w:tcBorders>
              <w:top w:val="single" w:color="auto" w:sz="4" w:space="0"/>
              <w:left w:val="single" w:color="auto" w:sz="4" w:space="0"/>
              <w:bottom w:val="single" w:color="auto" w:sz="4" w:space="0"/>
              <w:right w:val="single" w:color="auto" w:sz="4" w:space="0"/>
            </w:tcBorders>
            <w:noWrap w:val="0"/>
            <w:vAlign w:val="top"/>
          </w:tcPr>
          <w:p w14:paraId="21F754FC">
            <w:pPr>
              <w:keepNext w:val="0"/>
              <w:keepLines w:val="0"/>
              <w:pageBreakBefore w:val="0"/>
              <w:kinsoku/>
              <w:overflowPunct/>
              <w:topLinePunct w:val="0"/>
              <w:autoSpaceDE/>
              <w:autoSpaceDN/>
              <w:bidi w:val="0"/>
              <w:snapToGrid w:val="0"/>
              <w:spacing w:line="400" w:lineRule="exact"/>
              <w:ind w:firstLine="420" w:firstLineChars="20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☑本项目为专门面对中小企业采购项目，小型企业、微型企业、监狱企业、残疾人福利性单位均不再执行价格评审优惠的扶持政策。</w:t>
            </w:r>
          </w:p>
          <w:p w14:paraId="411CC31A">
            <w:pPr>
              <w:keepNext w:val="0"/>
              <w:keepLines w:val="0"/>
              <w:pageBreakBefore w:val="0"/>
              <w:kinsoku/>
              <w:wordWrap w:val="0"/>
              <w:overflowPunct/>
              <w:topLinePunct w:val="0"/>
              <w:autoSpaceDE/>
              <w:autoSpaceDN/>
              <w:bidi w:val="0"/>
              <w:snapToGrid w:val="0"/>
              <w:spacing w:line="400" w:lineRule="exact"/>
              <w:ind w:firstLine="233" w:firstLineChars="111"/>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w:t>
            </w:r>
            <w:r>
              <w:rPr>
                <w:rFonts w:hint="eastAsia" w:ascii="宋体" w:hAnsi="宋体" w:eastAsia="宋体" w:cs="宋体"/>
                <w:bCs/>
                <w:color w:val="auto"/>
                <w:sz w:val="21"/>
                <w:szCs w:val="21"/>
                <w:highlight w:val="none"/>
                <w:lang w:val="en-US" w:eastAsia="zh-CN"/>
              </w:rPr>
              <w:t>1</w:t>
            </w:r>
            <w:r>
              <w:rPr>
                <w:rFonts w:hint="eastAsia" w:ascii="宋体" w:hAnsi="宋体" w:eastAsia="宋体" w:cs="宋体"/>
                <w:bCs/>
                <w:color w:val="auto"/>
                <w:sz w:val="21"/>
                <w:szCs w:val="21"/>
                <w:highlight w:val="none"/>
              </w:rPr>
              <w:t>）满足招标文件要求且</w:t>
            </w:r>
            <w:r>
              <w:rPr>
                <w:rFonts w:hint="eastAsia" w:ascii="宋体" w:hAnsi="宋体" w:eastAsia="宋体" w:cs="宋体"/>
                <w:bCs/>
                <w:color w:val="auto"/>
                <w:sz w:val="21"/>
                <w:szCs w:val="21"/>
                <w:highlight w:val="none"/>
                <w:lang w:val="en-US" w:eastAsia="zh-CN"/>
              </w:rPr>
              <w:t>投标</w:t>
            </w:r>
            <w:r>
              <w:rPr>
                <w:rFonts w:hint="eastAsia" w:ascii="宋体" w:hAnsi="宋体" w:eastAsia="宋体" w:cs="宋体"/>
                <w:bCs/>
                <w:color w:val="auto"/>
                <w:sz w:val="21"/>
                <w:szCs w:val="21"/>
                <w:highlight w:val="none"/>
              </w:rPr>
              <w:t>报价最低的报价为基准价，其价格分为满分。</w:t>
            </w:r>
          </w:p>
          <w:p w14:paraId="4313DCCA">
            <w:pPr>
              <w:keepNext w:val="0"/>
              <w:keepLines w:val="0"/>
              <w:pageBreakBefore w:val="0"/>
              <w:kinsoku/>
              <w:wordWrap w:val="0"/>
              <w:overflowPunct/>
              <w:topLinePunct w:val="0"/>
              <w:autoSpaceDE/>
              <w:autoSpaceDN/>
              <w:bidi w:val="0"/>
              <w:spacing w:line="400" w:lineRule="exact"/>
              <w:ind w:firstLine="233" w:firstLineChars="111"/>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w:t>
            </w:r>
            <w:r>
              <w:rPr>
                <w:rFonts w:hint="eastAsia" w:ascii="宋体" w:hAnsi="宋体" w:eastAsia="宋体" w:cs="宋体"/>
                <w:bCs/>
                <w:color w:val="auto"/>
                <w:sz w:val="21"/>
                <w:szCs w:val="21"/>
                <w:highlight w:val="none"/>
                <w:lang w:val="en-US" w:eastAsia="zh-CN"/>
              </w:rPr>
              <w:t>2</w:t>
            </w:r>
            <w:r>
              <w:rPr>
                <w:rFonts w:hint="eastAsia" w:ascii="宋体" w:hAnsi="宋体" w:eastAsia="宋体" w:cs="宋体"/>
                <w:bCs/>
                <w:color w:val="auto"/>
                <w:sz w:val="21"/>
                <w:szCs w:val="21"/>
                <w:highlight w:val="none"/>
              </w:rPr>
              <w:t xml:space="preserve">）价格分计算公式：        </w:t>
            </w:r>
          </w:p>
          <w:p w14:paraId="0048B5A7">
            <w:pPr>
              <w:pStyle w:val="11"/>
              <w:keepNext w:val="0"/>
              <w:keepLines w:val="0"/>
              <w:pageBreakBefore w:val="0"/>
              <w:widowControl/>
              <w:kinsoku/>
              <w:wordWrap w:val="0"/>
              <w:overflowPunct/>
              <w:topLinePunct w:val="0"/>
              <w:autoSpaceDE/>
              <w:autoSpaceDN/>
              <w:bidi w:val="0"/>
              <w:spacing w:line="400" w:lineRule="exact"/>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价格分=(基准价／</w:t>
            </w:r>
            <w:r>
              <w:rPr>
                <w:rFonts w:hint="eastAsia" w:ascii="宋体" w:hAnsi="宋体" w:eastAsia="宋体" w:cs="宋体"/>
                <w:bCs/>
                <w:color w:val="auto"/>
                <w:sz w:val="21"/>
                <w:szCs w:val="21"/>
                <w:highlight w:val="none"/>
                <w:lang w:val="en-US" w:eastAsia="zh-CN"/>
              </w:rPr>
              <w:t>投标</w:t>
            </w:r>
            <w:r>
              <w:rPr>
                <w:rFonts w:hint="eastAsia" w:ascii="宋体" w:hAnsi="宋体" w:eastAsia="宋体" w:cs="宋体"/>
                <w:bCs/>
                <w:color w:val="auto"/>
                <w:sz w:val="21"/>
                <w:szCs w:val="21"/>
                <w:highlight w:val="none"/>
              </w:rPr>
              <w:t>报价)×</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u w:val="single"/>
                <w:lang w:val="en-US" w:eastAsia="zh-CN"/>
              </w:rPr>
              <w:t>2</w:t>
            </w:r>
            <w:r>
              <w:rPr>
                <w:rFonts w:hint="eastAsia" w:ascii="宋体" w:hAnsi="宋体" w:eastAsia="宋体" w:cs="宋体"/>
                <w:bCs/>
                <w:color w:val="auto"/>
                <w:sz w:val="21"/>
                <w:szCs w:val="21"/>
                <w:highlight w:val="none"/>
                <w:u w:val="single"/>
              </w:rPr>
              <w:t xml:space="preserve">0 </w:t>
            </w:r>
            <w:r>
              <w:rPr>
                <w:rFonts w:hint="eastAsia" w:ascii="宋体" w:hAnsi="宋体" w:eastAsia="宋体" w:cs="宋体"/>
                <w:bCs/>
                <w:color w:val="auto"/>
                <w:sz w:val="21"/>
                <w:szCs w:val="21"/>
                <w:highlight w:val="none"/>
              </w:rPr>
              <w:t>分</w:t>
            </w:r>
          </w:p>
        </w:tc>
        <w:tc>
          <w:tcPr>
            <w:tcW w:w="1355" w:type="dxa"/>
            <w:tcBorders>
              <w:top w:val="single" w:color="auto" w:sz="4" w:space="0"/>
              <w:left w:val="single" w:color="auto" w:sz="4" w:space="0"/>
              <w:bottom w:val="single" w:color="auto" w:sz="4" w:space="0"/>
              <w:right w:val="single" w:color="auto" w:sz="4" w:space="0"/>
            </w:tcBorders>
            <w:noWrap w:val="0"/>
            <w:vAlign w:val="center"/>
          </w:tcPr>
          <w:p w14:paraId="1C72AB4D">
            <w:pPr>
              <w:pStyle w:val="11"/>
              <w:keepNext w:val="0"/>
              <w:keepLines w:val="0"/>
              <w:pageBreakBefore w:val="0"/>
              <w:widowControl/>
              <w:kinsoku/>
              <w:wordWrap w:val="0"/>
              <w:overflowPunct/>
              <w:topLinePunct w:val="0"/>
              <w:autoSpaceDE/>
              <w:autoSpaceDN/>
              <w:bidi w:val="0"/>
              <w:spacing w:line="400" w:lineRule="exact"/>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0~</w:t>
            </w:r>
            <w:r>
              <w:rPr>
                <w:rFonts w:hint="eastAsia" w:ascii="宋体" w:hAnsi="宋体" w:eastAsia="宋体" w:cs="宋体"/>
                <w:bCs/>
                <w:color w:val="auto"/>
                <w:sz w:val="21"/>
                <w:szCs w:val="21"/>
                <w:highlight w:val="none"/>
                <w:lang w:val="en-US" w:eastAsia="zh-CN"/>
              </w:rPr>
              <w:t>2</w:t>
            </w:r>
            <w:r>
              <w:rPr>
                <w:rFonts w:hint="eastAsia" w:ascii="宋体" w:hAnsi="宋体" w:eastAsia="宋体" w:cs="宋体"/>
                <w:bCs/>
                <w:color w:val="auto"/>
                <w:sz w:val="21"/>
                <w:szCs w:val="21"/>
                <w:highlight w:val="none"/>
              </w:rPr>
              <w:t>0</w:t>
            </w:r>
          </w:p>
        </w:tc>
      </w:tr>
      <w:tr w14:paraId="2B32A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719" w:type="dxa"/>
            <w:vMerge w:val="restart"/>
            <w:tcBorders>
              <w:top w:val="single" w:color="auto" w:sz="4" w:space="0"/>
              <w:left w:val="single" w:color="auto" w:sz="4" w:space="0"/>
              <w:right w:val="single" w:color="auto" w:sz="4" w:space="0"/>
            </w:tcBorders>
            <w:noWrap w:val="0"/>
            <w:vAlign w:val="center"/>
          </w:tcPr>
          <w:p w14:paraId="45E69E87">
            <w:pPr>
              <w:pStyle w:val="11"/>
              <w:keepNext w:val="0"/>
              <w:keepLines w:val="0"/>
              <w:pageBreakBefore w:val="0"/>
              <w:widowControl/>
              <w:kinsoku/>
              <w:wordWrap w:val="0"/>
              <w:overflowPunct/>
              <w:topLinePunct w:val="0"/>
              <w:autoSpaceDE/>
              <w:autoSpaceDN/>
              <w:bidi w:val="0"/>
              <w:spacing w:line="400" w:lineRule="exact"/>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w:t>
            </w:r>
          </w:p>
        </w:tc>
        <w:tc>
          <w:tcPr>
            <w:tcW w:w="1437" w:type="dxa"/>
            <w:tcBorders>
              <w:top w:val="single" w:color="auto" w:sz="4" w:space="0"/>
              <w:left w:val="single" w:color="auto" w:sz="4" w:space="0"/>
              <w:bottom w:val="single" w:color="auto" w:sz="4" w:space="0"/>
              <w:right w:val="single" w:color="auto" w:sz="4" w:space="0"/>
            </w:tcBorders>
            <w:noWrap w:val="0"/>
            <w:vAlign w:val="top"/>
          </w:tcPr>
          <w:p w14:paraId="726C3F85">
            <w:pPr>
              <w:pStyle w:val="11"/>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技术分</w:t>
            </w:r>
          </w:p>
        </w:tc>
        <w:tc>
          <w:tcPr>
            <w:tcW w:w="6149" w:type="dxa"/>
            <w:tcBorders>
              <w:top w:val="single" w:color="auto" w:sz="4" w:space="0"/>
              <w:left w:val="single" w:color="auto" w:sz="4" w:space="0"/>
              <w:bottom w:val="single" w:color="auto" w:sz="4" w:space="0"/>
              <w:right w:val="single" w:color="auto" w:sz="4" w:space="0"/>
            </w:tcBorders>
            <w:noWrap w:val="0"/>
            <w:vAlign w:val="top"/>
          </w:tcPr>
          <w:p w14:paraId="2A836C31">
            <w:pPr>
              <w:pStyle w:val="11"/>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评审因素</w:t>
            </w:r>
          </w:p>
        </w:tc>
        <w:tc>
          <w:tcPr>
            <w:tcW w:w="1355" w:type="dxa"/>
            <w:tcBorders>
              <w:top w:val="single" w:color="auto" w:sz="4" w:space="0"/>
              <w:left w:val="single" w:color="auto" w:sz="4" w:space="0"/>
              <w:bottom w:val="single" w:color="auto" w:sz="4" w:space="0"/>
              <w:right w:val="single" w:color="auto" w:sz="4" w:space="0"/>
            </w:tcBorders>
            <w:noWrap w:val="0"/>
            <w:vAlign w:val="top"/>
          </w:tcPr>
          <w:p w14:paraId="26F6CA1E">
            <w:pPr>
              <w:pStyle w:val="11"/>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
                <w:bCs w:val="0"/>
                <w:color w:val="auto"/>
                <w:sz w:val="21"/>
                <w:szCs w:val="21"/>
                <w:highlight w:val="none"/>
                <w:lang w:eastAsia="zh-CN"/>
              </w:rPr>
            </w:pPr>
            <w:r>
              <w:rPr>
                <w:rFonts w:hint="eastAsia" w:ascii="宋体" w:hAnsi="宋体" w:eastAsia="宋体" w:cs="宋体"/>
                <w:b/>
                <w:bCs w:val="0"/>
                <w:color w:val="auto"/>
                <w:sz w:val="21"/>
                <w:szCs w:val="21"/>
                <w:highlight w:val="none"/>
              </w:rPr>
              <w:t>分值</w:t>
            </w:r>
            <w:r>
              <w:rPr>
                <w:rFonts w:hint="eastAsia" w:hAnsi="宋体" w:eastAsia="宋体" w:cs="宋体"/>
                <w:b/>
                <w:bCs w:val="0"/>
                <w:color w:val="auto"/>
                <w:sz w:val="21"/>
                <w:szCs w:val="21"/>
                <w:highlight w:val="none"/>
                <w:lang w:eastAsia="zh-CN"/>
              </w:rPr>
              <w:t>（</w:t>
            </w:r>
            <w:r>
              <w:rPr>
                <w:rFonts w:hint="eastAsia" w:hAnsi="宋体" w:eastAsia="宋体" w:cs="宋体"/>
                <w:b/>
                <w:bCs w:val="0"/>
                <w:color w:val="auto"/>
                <w:sz w:val="21"/>
                <w:szCs w:val="21"/>
                <w:highlight w:val="none"/>
                <w:lang w:val="en-US" w:eastAsia="zh-CN"/>
              </w:rPr>
              <w:t>66分</w:t>
            </w:r>
            <w:r>
              <w:rPr>
                <w:rFonts w:hint="eastAsia" w:hAnsi="宋体" w:eastAsia="宋体" w:cs="宋体"/>
                <w:b/>
                <w:bCs w:val="0"/>
                <w:color w:val="auto"/>
                <w:sz w:val="21"/>
                <w:szCs w:val="21"/>
                <w:highlight w:val="none"/>
                <w:lang w:eastAsia="zh-CN"/>
              </w:rPr>
              <w:t>）</w:t>
            </w:r>
          </w:p>
        </w:tc>
      </w:tr>
      <w:tr w14:paraId="256CF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7" w:hRule="atLeast"/>
        </w:trPr>
        <w:tc>
          <w:tcPr>
            <w:tcW w:w="719" w:type="dxa"/>
            <w:vMerge w:val="continue"/>
            <w:tcBorders>
              <w:left w:val="single" w:color="auto" w:sz="4" w:space="0"/>
              <w:right w:val="single" w:color="auto" w:sz="4" w:space="0"/>
            </w:tcBorders>
            <w:noWrap w:val="0"/>
            <w:vAlign w:val="top"/>
          </w:tcPr>
          <w:p w14:paraId="27AE7A6D">
            <w:pPr>
              <w:pStyle w:val="11"/>
              <w:keepNext w:val="0"/>
              <w:keepLines w:val="0"/>
              <w:pageBreakBefore w:val="0"/>
              <w:widowControl/>
              <w:kinsoku/>
              <w:wordWrap w:val="0"/>
              <w:overflowPunct/>
              <w:topLinePunct w:val="0"/>
              <w:autoSpaceDE/>
              <w:autoSpaceDN/>
              <w:bidi w:val="0"/>
              <w:spacing w:line="400" w:lineRule="exact"/>
              <w:rPr>
                <w:rFonts w:hint="eastAsia" w:ascii="宋体" w:hAnsi="宋体" w:eastAsia="宋体" w:cs="宋体"/>
                <w:bCs/>
                <w:color w:val="auto"/>
                <w:sz w:val="21"/>
                <w:szCs w:val="21"/>
                <w:highlight w:val="none"/>
              </w:rPr>
            </w:pPr>
          </w:p>
        </w:tc>
        <w:tc>
          <w:tcPr>
            <w:tcW w:w="1437" w:type="dxa"/>
            <w:tcBorders>
              <w:top w:val="single" w:color="auto" w:sz="4" w:space="0"/>
              <w:left w:val="single" w:color="auto" w:sz="4" w:space="0"/>
              <w:bottom w:val="single" w:color="auto" w:sz="4" w:space="0"/>
              <w:right w:val="single" w:color="auto" w:sz="4" w:space="0"/>
            </w:tcBorders>
            <w:noWrap w:val="0"/>
            <w:vAlign w:val="center"/>
          </w:tcPr>
          <w:p w14:paraId="52A11E60">
            <w:pPr>
              <w:pStyle w:val="11"/>
              <w:keepNext w:val="0"/>
              <w:keepLines w:val="0"/>
              <w:pageBreakBefore w:val="0"/>
              <w:widowControl/>
              <w:kinsoku/>
              <w:wordWrap w:val="0"/>
              <w:overflowPunct/>
              <w:topLinePunct w:val="0"/>
              <w:autoSpaceDE/>
              <w:autoSpaceDN/>
              <w:bidi w:val="0"/>
              <w:spacing w:line="400" w:lineRule="exact"/>
              <w:jc w:val="center"/>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rPr>
              <w:t>（1）实施方案（满分24分）</w:t>
            </w:r>
          </w:p>
        </w:tc>
        <w:tc>
          <w:tcPr>
            <w:tcW w:w="6149" w:type="dxa"/>
            <w:tcBorders>
              <w:top w:val="single" w:color="auto" w:sz="4" w:space="0"/>
              <w:left w:val="single" w:color="auto" w:sz="4" w:space="0"/>
              <w:bottom w:val="single" w:color="auto" w:sz="4" w:space="0"/>
              <w:right w:val="single" w:color="auto" w:sz="4" w:space="0"/>
            </w:tcBorders>
            <w:noWrap w:val="0"/>
            <w:vAlign w:val="center"/>
          </w:tcPr>
          <w:p w14:paraId="22645776">
            <w:pPr>
              <w:pStyle w:val="11"/>
              <w:keepNext w:val="0"/>
              <w:keepLines w:val="0"/>
              <w:pageBreakBefore w:val="0"/>
              <w:widowControl/>
              <w:kinsoku/>
              <w:wordWrap w:val="0"/>
              <w:overflowPunct/>
              <w:topLinePunct w:val="0"/>
              <w:autoSpaceDE/>
              <w:autoSpaceDN/>
              <w:bidi w:val="0"/>
              <w:spacing w:line="400" w:lineRule="exact"/>
              <w:jc w:val="both"/>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由评委根据投标人对项目系统总体要求理解的准确性、全面性、科学性、可行性进行评定：</w:t>
            </w:r>
          </w:p>
          <w:p w14:paraId="31E80315">
            <w:pPr>
              <w:pStyle w:val="11"/>
              <w:keepNext w:val="0"/>
              <w:keepLines w:val="0"/>
              <w:pageBreakBefore w:val="0"/>
              <w:widowControl/>
              <w:kinsoku/>
              <w:wordWrap w:val="0"/>
              <w:overflowPunct/>
              <w:topLinePunct w:val="0"/>
              <w:autoSpaceDE/>
              <w:autoSpaceDN/>
              <w:bidi w:val="0"/>
              <w:spacing w:line="400" w:lineRule="exact"/>
              <w:jc w:val="both"/>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一档（0分）：未提供对项目实施方案的。</w:t>
            </w:r>
          </w:p>
          <w:p w14:paraId="5C8B9200">
            <w:pPr>
              <w:pStyle w:val="11"/>
              <w:keepNext w:val="0"/>
              <w:keepLines w:val="0"/>
              <w:pageBreakBefore w:val="0"/>
              <w:widowControl/>
              <w:kinsoku/>
              <w:wordWrap w:val="0"/>
              <w:overflowPunct/>
              <w:topLinePunct w:val="0"/>
              <w:autoSpaceDE/>
              <w:autoSpaceDN/>
              <w:bidi w:val="0"/>
              <w:spacing w:line="400" w:lineRule="exact"/>
              <w:jc w:val="both"/>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二档（8分）：方案设计合理，有可行性。</w:t>
            </w:r>
          </w:p>
          <w:p w14:paraId="308D566B">
            <w:pPr>
              <w:pStyle w:val="11"/>
              <w:keepNext w:val="0"/>
              <w:keepLines w:val="0"/>
              <w:pageBreakBefore w:val="0"/>
              <w:widowControl/>
              <w:kinsoku/>
              <w:wordWrap w:val="0"/>
              <w:overflowPunct/>
              <w:topLinePunct w:val="0"/>
              <w:autoSpaceDE/>
              <w:autoSpaceDN/>
              <w:bidi w:val="0"/>
              <w:spacing w:line="400" w:lineRule="exact"/>
              <w:jc w:val="both"/>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三档（16分）：方案设计详细合理，培训方案完整，有背景分析、目标描述明确、课程安排合理，模块清晰，有可行性。</w:t>
            </w:r>
          </w:p>
          <w:p w14:paraId="6214725A">
            <w:pPr>
              <w:pStyle w:val="11"/>
              <w:keepNext w:val="0"/>
              <w:keepLines w:val="0"/>
              <w:pageBreakBefore w:val="0"/>
              <w:widowControl/>
              <w:kinsoku/>
              <w:wordWrap w:val="0"/>
              <w:overflowPunct/>
              <w:topLinePunct w:val="0"/>
              <w:autoSpaceDE/>
              <w:autoSpaceDN/>
              <w:bidi w:val="0"/>
              <w:spacing w:line="400" w:lineRule="exact"/>
              <w:jc w:val="both"/>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四档（24分）：在三档的基础上，针对不同的项目需求，提供科学合理的培训方案，培训方案需包含服务内容、服务方式、实施流程、培训计划、在线培训等内容。实施方案中背景分析合理、目标明确、课程安排合理、模块分明。</w:t>
            </w:r>
          </w:p>
        </w:tc>
        <w:tc>
          <w:tcPr>
            <w:tcW w:w="1355" w:type="dxa"/>
            <w:tcBorders>
              <w:top w:val="single" w:color="auto" w:sz="4" w:space="0"/>
              <w:left w:val="single" w:color="auto" w:sz="4" w:space="0"/>
              <w:bottom w:val="single" w:color="auto" w:sz="4" w:space="0"/>
              <w:right w:val="single" w:color="auto" w:sz="4" w:space="0"/>
            </w:tcBorders>
            <w:noWrap w:val="0"/>
            <w:vAlign w:val="center"/>
          </w:tcPr>
          <w:p w14:paraId="0D85B779">
            <w:pPr>
              <w:pStyle w:val="11"/>
              <w:keepNext w:val="0"/>
              <w:keepLines w:val="0"/>
              <w:pageBreakBefore w:val="0"/>
              <w:widowControl/>
              <w:kinsoku/>
              <w:wordWrap w:val="0"/>
              <w:overflowPunct/>
              <w:topLinePunct w:val="0"/>
              <w:autoSpaceDE/>
              <w:autoSpaceDN/>
              <w:bidi w:val="0"/>
              <w:spacing w:line="400" w:lineRule="exact"/>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0"/>
                <w:sz w:val="21"/>
                <w:szCs w:val="21"/>
                <w:highlight w:val="none"/>
              </w:rPr>
              <w:t>0~</w:t>
            </w:r>
            <w:r>
              <w:rPr>
                <w:rFonts w:hint="eastAsia" w:ascii="宋体" w:hAnsi="宋体" w:eastAsia="宋体" w:cs="宋体"/>
                <w:bCs/>
                <w:color w:val="auto"/>
                <w:kern w:val="0"/>
                <w:sz w:val="21"/>
                <w:szCs w:val="21"/>
                <w:highlight w:val="none"/>
                <w:lang w:val="en-US" w:eastAsia="zh-CN"/>
              </w:rPr>
              <w:t>24</w:t>
            </w:r>
            <w:r>
              <w:rPr>
                <w:rFonts w:hint="eastAsia" w:ascii="宋体" w:hAnsi="宋体" w:eastAsia="宋体" w:cs="宋体"/>
                <w:bCs/>
                <w:color w:val="auto"/>
                <w:kern w:val="0"/>
                <w:sz w:val="21"/>
                <w:szCs w:val="21"/>
                <w:highlight w:val="none"/>
              </w:rPr>
              <w:t>分</w:t>
            </w:r>
          </w:p>
        </w:tc>
      </w:tr>
      <w:tr w14:paraId="0EE92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3" w:hRule="atLeast"/>
        </w:trPr>
        <w:tc>
          <w:tcPr>
            <w:tcW w:w="719" w:type="dxa"/>
            <w:vMerge w:val="continue"/>
            <w:tcBorders>
              <w:left w:val="single" w:color="auto" w:sz="4" w:space="0"/>
              <w:right w:val="single" w:color="auto" w:sz="4" w:space="0"/>
            </w:tcBorders>
            <w:noWrap w:val="0"/>
            <w:vAlign w:val="top"/>
          </w:tcPr>
          <w:p w14:paraId="76340DC1">
            <w:pPr>
              <w:pStyle w:val="11"/>
              <w:keepNext w:val="0"/>
              <w:keepLines w:val="0"/>
              <w:pageBreakBefore w:val="0"/>
              <w:widowControl/>
              <w:kinsoku/>
              <w:wordWrap w:val="0"/>
              <w:overflowPunct/>
              <w:topLinePunct w:val="0"/>
              <w:autoSpaceDE/>
              <w:autoSpaceDN/>
              <w:bidi w:val="0"/>
              <w:spacing w:line="400" w:lineRule="exact"/>
              <w:rPr>
                <w:rFonts w:hint="eastAsia" w:ascii="宋体" w:hAnsi="宋体" w:eastAsia="宋体" w:cs="宋体"/>
                <w:bCs/>
                <w:color w:val="auto"/>
                <w:sz w:val="21"/>
                <w:szCs w:val="21"/>
                <w:highlight w:val="none"/>
              </w:rPr>
            </w:pPr>
          </w:p>
        </w:tc>
        <w:tc>
          <w:tcPr>
            <w:tcW w:w="1437" w:type="dxa"/>
            <w:tcBorders>
              <w:top w:val="single" w:color="auto" w:sz="4" w:space="0"/>
              <w:left w:val="single" w:color="auto" w:sz="4" w:space="0"/>
              <w:bottom w:val="single" w:color="auto" w:sz="4" w:space="0"/>
              <w:right w:val="single" w:color="auto" w:sz="4" w:space="0"/>
            </w:tcBorders>
            <w:noWrap w:val="0"/>
            <w:vAlign w:val="center"/>
          </w:tcPr>
          <w:p w14:paraId="5A4B87A1">
            <w:pPr>
              <w:pStyle w:val="11"/>
              <w:keepNext w:val="0"/>
              <w:keepLines w:val="0"/>
              <w:pageBreakBefore w:val="0"/>
              <w:widowControl/>
              <w:kinsoku/>
              <w:wordWrap w:val="0"/>
              <w:overflowPunct/>
              <w:topLinePunct w:val="0"/>
              <w:autoSpaceDE/>
              <w:autoSpaceDN/>
              <w:bidi w:val="0"/>
              <w:spacing w:line="400" w:lineRule="exact"/>
              <w:jc w:val="center"/>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rPr>
              <w:t>（2）服务承诺（满分12分）</w:t>
            </w:r>
          </w:p>
        </w:tc>
        <w:tc>
          <w:tcPr>
            <w:tcW w:w="6149" w:type="dxa"/>
            <w:tcBorders>
              <w:top w:val="single" w:color="auto" w:sz="4" w:space="0"/>
              <w:left w:val="single" w:color="auto" w:sz="4" w:space="0"/>
              <w:bottom w:val="single" w:color="auto" w:sz="4" w:space="0"/>
              <w:right w:val="single" w:color="auto" w:sz="4" w:space="0"/>
            </w:tcBorders>
            <w:noWrap w:val="0"/>
            <w:vAlign w:val="top"/>
          </w:tcPr>
          <w:p w14:paraId="6BF011E1">
            <w:pPr>
              <w:pStyle w:val="11"/>
              <w:keepNext w:val="0"/>
              <w:keepLines w:val="0"/>
              <w:pageBreakBefore w:val="0"/>
              <w:widowControl/>
              <w:kinsoku/>
              <w:wordWrap w:val="0"/>
              <w:overflowPunct/>
              <w:topLinePunct w:val="0"/>
              <w:autoSpaceDE/>
              <w:autoSpaceDN/>
              <w:bidi w:val="0"/>
              <w:spacing w:line="400" w:lineRule="exact"/>
              <w:rPr>
                <w:rFonts w:hint="eastAsia" w:ascii="宋体" w:hAnsi="宋体" w:eastAsia="宋体" w:cs="宋体"/>
                <w:color w:val="auto"/>
                <w:sz w:val="21"/>
                <w:szCs w:val="21"/>
                <w:highlight w:val="none"/>
              </w:rPr>
            </w:pPr>
            <w:r>
              <w:rPr>
                <w:rFonts w:hint="eastAsia" w:ascii="宋体" w:hAnsi="宋体" w:eastAsia="宋体" w:cs="宋体"/>
                <w:bCs/>
                <w:color w:val="auto"/>
                <w:kern w:val="0"/>
                <w:sz w:val="21"/>
                <w:szCs w:val="21"/>
                <w:highlight w:val="none"/>
                <w:lang w:val="en-US" w:eastAsia="zh-CN" w:bidi="ar-SA"/>
              </w:rPr>
              <w:t>一档（0分）：未提供服务承诺。</w:t>
            </w:r>
          </w:p>
          <w:p w14:paraId="2152E3C9">
            <w:pPr>
              <w:keepNext w:val="0"/>
              <w:keepLines w:val="0"/>
              <w:pageBreakBefore w:val="0"/>
              <w:kinsoku/>
              <w:overflowPunct/>
              <w:topLinePunct w:val="0"/>
              <w:autoSpaceDE/>
              <w:autoSpaceDN/>
              <w:bidi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二</w:t>
            </w:r>
            <w:r>
              <w:rPr>
                <w:rFonts w:hint="eastAsia" w:ascii="宋体" w:hAnsi="宋体" w:eastAsia="宋体" w:cs="宋体"/>
                <w:color w:val="auto"/>
                <w:sz w:val="21"/>
                <w:szCs w:val="21"/>
                <w:highlight w:val="none"/>
              </w:rPr>
              <w:t>档（</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分）：服务承诺针对各项内容有实施计划，质量、进度保障措施合理。承诺的响应时间、应急响应服务、文档管理服务基本完整，且</w:t>
            </w:r>
            <w:r>
              <w:rPr>
                <w:rFonts w:hint="eastAsia" w:ascii="宋体" w:hAnsi="宋体" w:eastAsia="宋体" w:cs="宋体"/>
                <w:color w:val="auto"/>
                <w:sz w:val="21"/>
                <w:szCs w:val="21"/>
                <w:highlight w:val="none"/>
                <w:lang w:val="en-US" w:eastAsia="zh-CN"/>
              </w:rPr>
              <w:t>投标人</w:t>
            </w:r>
            <w:r>
              <w:rPr>
                <w:rFonts w:hint="eastAsia" w:ascii="宋体" w:hAnsi="宋体" w:eastAsia="宋体" w:cs="宋体"/>
                <w:color w:val="auto"/>
                <w:sz w:val="21"/>
                <w:szCs w:val="21"/>
                <w:highlight w:val="none"/>
              </w:rPr>
              <w:t>承诺为本项目投入稳定的技术服务队伍。</w:t>
            </w:r>
          </w:p>
          <w:p w14:paraId="1720E674">
            <w:pPr>
              <w:keepNext w:val="0"/>
              <w:keepLines w:val="0"/>
              <w:pageBreakBefore w:val="0"/>
              <w:kinsoku/>
              <w:overflowPunct/>
              <w:topLinePunct w:val="0"/>
              <w:autoSpaceDE/>
              <w:autoSpaceDN/>
              <w:bidi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三</w:t>
            </w:r>
            <w:r>
              <w:rPr>
                <w:rFonts w:hint="eastAsia" w:ascii="宋体" w:hAnsi="宋体" w:eastAsia="宋体" w:cs="宋体"/>
                <w:color w:val="auto"/>
                <w:sz w:val="21"/>
                <w:szCs w:val="21"/>
                <w:highlight w:val="none"/>
              </w:rPr>
              <w:t>档（</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分）：满足</w:t>
            </w:r>
            <w:r>
              <w:rPr>
                <w:rFonts w:hint="eastAsia" w:ascii="宋体" w:hAnsi="宋体" w:eastAsia="宋体" w:cs="宋体"/>
                <w:color w:val="auto"/>
                <w:sz w:val="21"/>
                <w:szCs w:val="21"/>
                <w:highlight w:val="none"/>
                <w:lang w:val="en-US" w:eastAsia="zh-CN"/>
              </w:rPr>
              <w:t>二</w:t>
            </w:r>
            <w:r>
              <w:rPr>
                <w:rFonts w:hint="eastAsia" w:ascii="宋体" w:hAnsi="宋体" w:eastAsia="宋体" w:cs="宋体"/>
                <w:color w:val="auto"/>
                <w:sz w:val="21"/>
                <w:szCs w:val="21"/>
                <w:highlight w:val="none"/>
              </w:rPr>
              <w:t>档条件的基础上，提供有更为详细的服务承诺，为采购人提供的服务承诺有合理的保障的。</w:t>
            </w:r>
          </w:p>
          <w:p w14:paraId="217A858D">
            <w:pPr>
              <w:keepNext w:val="0"/>
              <w:keepLines w:val="0"/>
              <w:pageBreakBefore w:val="0"/>
              <w:kinsoku/>
              <w:overflowPunct/>
              <w:topLinePunct w:val="0"/>
              <w:autoSpaceDE/>
              <w:autoSpaceDN/>
              <w:bidi w:val="0"/>
              <w:spacing w:line="400" w:lineRule="exact"/>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color w:val="auto"/>
                <w:sz w:val="21"/>
                <w:szCs w:val="21"/>
                <w:highlight w:val="none"/>
                <w:lang w:val="en-US" w:eastAsia="zh-CN"/>
              </w:rPr>
              <w:t>四</w:t>
            </w:r>
            <w:r>
              <w:rPr>
                <w:rFonts w:hint="eastAsia" w:ascii="宋体" w:hAnsi="宋体" w:eastAsia="宋体" w:cs="宋体"/>
                <w:color w:val="auto"/>
                <w:sz w:val="21"/>
                <w:szCs w:val="21"/>
                <w:highlight w:val="none"/>
              </w:rPr>
              <w:t>档（</w:t>
            </w:r>
            <w:r>
              <w:rPr>
                <w:rFonts w:hint="eastAsia" w:ascii="宋体" w:hAnsi="宋体" w:eastAsia="宋体" w:cs="宋体"/>
                <w:color w:val="auto"/>
                <w:sz w:val="21"/>
                <w:szCs w:val="21"/>
                <w:highlight w:val="none"/>
                <w:lang w:val="en-US" w:eastAsia="zh-CN"/>
              </w:rPr>
              <w:t>12</w:t>
            </w:r>
            <w:r>
              <w:rPr>
                <w:rFonts w:hint="eastAsia" w:ascii="宋体" w:hAnsi="宋体" w:eastAsia="宋体" w:cs="宋体"/>
                <w:color w:val="auto"/>
                <w:sz w:val="21"/>
                <w:szCs w:val="21"/>
                <w:highlight w:val="none"/>
              </w:rPr>
              <w:t>分）：在满足</w:t>
            </w:r>
            <w:r>
              <w:rPr>
                <w:rFonts w:hint="eastAsia" w:ascii="宋体" w:hAnsi="宋体" w:eastAsia="宋体" w:cs="宋体"/>
                <w:color w:val="auto"/>
                <w:sz w:val="21"/>
                <w:szCs w:val="21"/>
                <w:highlight w:val="none"/>
                <w:lang w:val="en-US" w:eastAsia="zh-CN"/>
              </w:rPr>
              <w:t>三</w:t>
            </w:r>
            <w:r>
              <w:rPr>
                <w:rFonts w:hint="eastAsia" w:ascii="宋体" w:hAnsi="宋体" w:eastAsia="宋体" w:cs="宋体"/>
                <w:color w:val="auto"/>
                <w:sz w:val="21"/>
                <w:szCs w:val="21"/>
                <w:highlight w:val="none"/>
              </w:rPr>
              <w:t>档的基础上，承诺针对各项内容项目组织机构完整、分工明确，具有针对性、可行性，质量、进度保障措施与相关系统的协调配合措施合理，结合采购人的需求特点进行论述。承诺的响应时间、应急响应服务、文档管理服务比较完整、详细，故障处理措施可行性、及时性、可操作性较强，人员保障预案、资源有协调预案，应急服务管理较细致、全面。</w:t>
            </w:r>
          </w:p>
        </w:tc>
        <w:tc>
          <w:tcPr>
            <w:tcW w:w="1355" w:type="dxa"/>
            <w:tcBorders>
              <w:top w:val="single" w:color="auto" w:sz="4" w:space="0"/>
              <w:left w:val="single" w:color="auto" w:sz="4" w:space="0"/>
              <w:bottom w:val="single" w:color="auto" w:sz="4" w:space="0"/>
              <w:right w:val="single" w:color="auto" w:sz="4" w:space="0"/>
            </w:tcBorders>
            <w:noWrap w:val="0"/>
            <w:vAlign w:val="center"/>
          </w:tcPr>
          <w:p w14:paraId="4C413463">
            <w:pPr>
              <w:pStyle w:val="11"/>
              <w:keepNext w:val="0"/>
              <w:keepLines w:val="0"/>
              <w:pageBreakBefore w:val="0"/>
              <w:widowControl/>
              <w:kinsoku/>
              <w:wordWrap w:val="0"/>
              <w:overflowPunct/>
              <w:topLinePunct w:val="0"/>
              <w:autoSpaceDE/>
              <w:autoSpaceDN/>
              <w:bidi w:val="0"/>
              <w:spacing w:line="400" w:lineRule="exact"/>
              <w:jc w:val="center"/>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rPr>
              <w:t>0~</w:t>
            </w:r>
            <w:r>
              <w:rPr>
                <w:rFonts w:hint="eastAsia" w:ascii="宋体" w:hAnsi="宋体" w:eastAsia="宋体" w:cs="宋体"/>
                <w:bCs/>
                <w:color w:val="auto"/>
                <w:kern w:val="0"/>
                <w:sz w:val="21"/>
                <w:szCs w:val="21"/>
                <w:highlight w:val="none"/>
                <w:lang w:val="en-US" w:eastAsia="zh-CN"/>
              </w:rPr>
              <w:t>12</w:t>
            </w:r>
            <w:r>
              <w:rPr>
                <w:rFonts w:hint="eastAsia" w:ascii="宋体" w:hAnsi="宋体" w:eastAsia="宋体" w:cs="宋体"/>
                <w:bCs/>
                <w:color w:val="auto"/>
                <w:kern w:val="0"/>
                <w:sz w:val="21"/>
                <w:szCs w:val="21"/>
                <w:highlight w:val="none"/>
              </w:rPr>
              <w:t>分</w:t>
            </w:r>
          </w:p>
        </w:tc>
      </w:tr>
      <w:tr w14:paraId="10ED4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0" w:hRule="atLeast"/>
        </w:trPr>
        <w:tc>
          <w:tcPr>
            <w:tcW w:w="719" w:type="dxa"/>
            <w:vMerge w:val="continue"/>
            <w:tcBorders>
              <w:left w:val="single" w:color="auto" w:sz="4" w:space="0"/>
              <w:right w:val="single" w:color="auto" w:sz="4" w:space="0"/>
            </w:tcBorders>
            <w:noWrap w:val="0"/>
            <w:vAlign w:val="top"/>
          </w:tcPr>
          <w:p w14:paraId="102D9053">
            <w:pPr>
              <w:pStyle w:val="11"/>
              <w:keepNext w:val="0"/>
              <w:keepLines w:val="0"/>
              <w:pageBreakBefore w:val="0"/>
              <w:widowControl/>
              <w:kinsoku/>
              <w:wordWrap w:val="0"/>
              <w:overflowPunct/>
              <w:topLinePunct w:val="0"/>
              <w:autoSpaceDE/>
              <w:autoSpaceDN/>
              <w:bidi w:val="0"/>
              <w:spacing w:line="400" w:lineRule="exact"/>
              <w:rPr>
                <w:rFonts w:hint="eastAsia" w:ascii="宋体" w:hAnsi="宋体" w:eastAsia="宋体" w:cs="宋体"/>
                <w:bCs/>
                <w:color w:val="auto"/>
                <w:sz w:val="21"/>
                <w:szCs w:val="21"/>
                <w:highlight w:val="none"/>
              </w:rPr>
            </w:pPr>
          </w:p>
        </w:tc>
        <w:tc>
          <w:tcPr>
            <w:tcW w:w="1437" w:type="dxa"/>
            <w:tcBorders>
              <w:top w:val="single" w:color="auto" w:sz="4" w:space="0"/>
              <w:left w:val="single" w:color="auto" w:sz="4" w:space="0"/>
              <w:bottom w:val="single" w:color="auto" w:sz="4" w:space="0"/>
              <w:right w:val="single" w:color="auto" w:sz="4" w:space="0"/>
            </w:tcBorders>
            <w:noWrap w:val="0"/>
            <w:vAlign w:val="center"/>
          </w:tcPr>
          <w:p w14:paraId="33FF1F41">
            <w:pPr>
              <w:pStyle w:val="11"/>
              <w:keepNext w:val="0"/>
              <w:keepLines w:val="0"/>
              <w:pageBreakBefore w:val="0"/>
              <w:widowControl/>
              <w:kinsoku/>
              <w:wordWrap w:val="0"/>
              <w:overflowPunct/>
              <w:topLinePunct w:val="0"/>
              <w:autoSpaceDE/>
              <w:autoSpaceDN/>
              <w:bidi w:val="0"/>
              <w:spacing w:line="400" w:lineRule="exact"/>
              <w:jc w:val="center"/>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eastAsia="zh-CN"/>
              </w:rPr>
              <w:t>（</w:t>
            </w:r>
            <w:r>
              <w:rPr>
                <w:rFonts w:hint="eastAsia" w:ascii="宋体" w:hAnsi="宋体" w:eastAsia="宋体" w:cs="宋体"/>
                <w:bCs/>
                <w:color w:val="auto"/>
                <w:kern w:val="0"/>
                <w:sz w:val="21"/>
                <w:szCs w:val="21"/>
                <w:highlight w:val="none"/>
                <w:lang w:val="en-US" w:eastAsia="zh-CN"/>
              </w:rPr>
              <w:t>3</w:t>
            </w:r>
            <w:r>
              <w:rPr>
                <w:rFonts w:hint="eastAsia" w:ascii="宋体" w:hAnsi="宋体" w:eastAsia="宋体" w:cs="宋体"/>
                <w:bCs/>
                <w:color w:val="auto"/>
                <w:kern w:val="0"/>
                <w:sz w:val="21"/>
                <w:szCs w:val="21"/>
                <w:highlight w:val="none"/>
                <w:lang w:eastAsia="zh-CN"/>
              </w:rPr>
              <w:t>）实施专家队伍（满分</w:t>
            </w:r>
            <w:r>
              <w:rPr>
                <w:rFonts w:hint="eastAsia" w:ascii="宋体" w:hAnsi="宋体" w:eastAsia="宋体" w:cs="宋体"/>
                <w:bCs/>
                <w:color w:val="auto"/>
                <w:kern w:val="0"/>
                <w:sz w:val="21"/>
                <w:szCs w:val="21"/>
                <w:highlight w:val="none"/>
                <w:lang w:val="en-US" w:eastAsia="zh-CN"/>
              </w:rPr>
              <w:t>30</w:t>
            </w:r>
            <w:r>
              <w:rPr>
                <w:rFonts w:hint="eastAsia" w:ascii="宋体" w:hAnsi="宋体" w:eastAsia="宋体" w:cs="宋体"/>
                <w:bCs/>
                <w:color w:val="auto"/>
                <w:kern w:val="0"/>
                <w:sz w:val="21"/>
                <w:szCs w:val="21"/>
                <w:highlight w:val="none"/>
                <w:lang w:eastAsia="zh-CN"/>
              </w:rPr>
              <w:t>分）</w:t>
            </w:r>
          </w:p>
        </w:tc>
        <w:tc>
          <w:tcPr>
            <w:tcW w:w="6149" w:type="dxa"/>
            <w:tcBorders>
              <w:top w:val="single" w:color="auto" w:sz="4" w:space="0"/>
              <w:left w:val="single" w:color="auto" w:sz="4" w:space="0"/>
              <w:bottom w:val="single" w:color="auto" w:sz="4" w:space="0"/>
              <w:right w:val="single" w:color="auto" w:sz="4" w:space="0"/>
            </w:tcBorders>
            <w:noWrap w:val="0"/>
            <w:vAlign w:val="top"/>
          </w:tcPr>
          <w:p w14:paraId="4FE5CE1A">
            <w:pPr>
              <w:rPr>
                <w:rFonts w:hint="default" w:ascii="Times New Roman" w:hAnsi="Times New Roman" w:eastAsia="宋体" w:cs="Times New Roman"/>
                <w:bCs w:val="0"/>
                <w:color w:val="auto"/>
                <w:kern w:val="2"/>
                <w:sz w:val="21"/>
                <w:szCs w:val="24"/>
                <w:highlight w:val="none"/>
                <w:lang w:val="en-US" w:eastAsia="zh-CN" w:bidi="ar-SA"/>
              </w:rPr>
            </w:pPr>
            <w:r>
              <w:rPr>
                <w:rFonts w:hint="eastAsia" w:ascii="宋体" w:hAnsi="宋体" w:eastAsia="宋体" w:cs="宋体"/>
                <w:bCs/>
                <w:strike w:val="0"/>
                <w:color w:val="auto"/>
                <w:kern w:val="0"/>
                <w:sz w:val="21"/>
                <w:szCs w:val="21"/>
                <w:highlight w:val="none"/>
                <w:lang w:val="en-US" w:eastAsia="zh-CN" w:bidi="ar-SA"/>
              </w:rPr>
              <w:t>（1）实施专家中有获全国教材建设奖第一主编的，每提供1人得1分，</w:t>
            </w:r>
            <w:r>
              <w:rPr>
                <w:rFonts w:hint="eastAsia" w:ascii="宋体" w:hAnsi="宋体" w:eastAsia="宋体" w:cs="宋体"/>
                <w:b/>
                <w:bCs w:val="0"/>
                <w:strike w:val="0"/>
                <w:color w:val="auto"/>
                <w:kern w:val="0"/>
                <w:sz w:val="21"/>
                <w:szCs w:val="21"/>
                <w:highlight w:val="none"/>
                <w:lang w:val="en-US" w:eastAsia="zh-CN" w:bidi="ar-SA"/>
              </w:rPr>
              <w:t>满分7分</w:t>
            </w:r>
            <w:r>
              <w:rPr>
                <w:rFonts w:hint="eastAsia" w:ascii="宋体" w:hAnsi="宋体" w:eastAsia="宋体" w:cs="宋体"/>
                <w:bCs/>
                <w:strike w:val="0"/>
                <w:color w:val="auto"/>
                <w:kern w:val="0"/>
                <w:sz w:val="21"/>
                <w:szCs w:val="21"/>
                <w:highlight w:val="none"/>
                <w:lang w:val="en-US" w:eastAsia="zh-CN" w:bidi="ar-SA"/>
              </w:rPr>
              <w:t>。提供教材获奖证明文件及专家职称证书。</w:t>
            </w:r>
          </w:p>
          <w:p w14:paraId="45BFA1A3">
            <w:pPr>
              <w:pStyle w:val="11"/>
              <w:keepNext w:val="0"/>
              <w:keepLines w:val="0"/>
              <w:pageBreakBefore w:val="0"/>
              <w:widowControl/>
              <w:kinsoku/>
              <w:wordWrap w:val="0"/>
              <w:overflowPunct/>
              <w:topLinePunct w:val="0"/>
              <w:autoSpaceDE/>
              <w:autoSpaceDN/>
              <w:bidi w:val="0"/>
              <w:spacing w:line="400" w:lineRule="exact"/>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（2）实施专家队伍中至少提供1位培训教师具备教育学相关专业正高级职称，每增加1位培训教师具备正高级职称专家的得1分，此项</w:t>
            </w:r>
            <w:r>
              <w:rPr>
                <w:rFonts w:hint="eastAsia" w:ascii="宋体" w:hAnsi="宋体" w:eastAsia="宋体" w:cs="宋体"/>
                <w:b/>
                <w:bCs w:val="0"/>
                <w:color w:val="auto"/>
                <w:kern w:val="0"/>
                <w:sz w:val="21"/>
                <w:szCs w:val="21"/>
                <w:highlight w:val="none"/>
                <w:lang w:val="en-US" w:eastAsia="zh-CN" w:bidi="ar-SA"/>
              </w:rPr>
              <w:t>满分3分</w:t>
            </w:r>
            <w:r>
              <w:rPr>
                <w:rFonts w:hint="eastAsia" w:ascii="宋体" w:hAnsi="宋体" w:eastAsia="宋体" w:cs="宋体"/>
                <w:bCs/>
                <w:color w:val="auto"/>
                <w:kern w:val="0"/>
                <w:sz w:val="21"/>
                <w:szCs w:val="21"/>
                <w:highlight w:val="none"/>
                <w:lang w:val="en-US" w:eastAsia="zh-CN" w:bidi="ar-SA"/>
              </w:rPr>
              <w:t>。</w:t>
            </w:r>
          </w:p>
          <w:p w14:paraId="25984342">
            <w:pPr>
              <w:pStyle w:val="11"/>
              <w:keepNext w:val="0"/>
              <w:keepLines w:val="0"/>
              <w:pageBreakBefore w:val="0"/>
              <w:widowControl/>
              <w:kinsoku/>
              <w:wordWrap w:val="0"/>
              <w:overflowPunct/>
              <w:topLinePunct w:val="0"/>
              <w:autoSpaceDE/>
              <w:autoSpaceDN/>
              <w:bidi w:val="0"/>
              <w:spacing w:line="400" w:lineRule="exact"/>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（3）实施专家队伍中至少提供</w:t>
            </w:r>
            <w:r>
              <w:rPr>
                <w:rFonts w:hint="eastAsia" w:ascii="宋体" w:hAnsi="宋体" w:eastAsia="宋体" w:cs="宋体"/>
                <w:b w:val="0"/>
                <w:bCs w:val="0"/>
                <w:kern w:val="2"/>
                <w:sz w:val="21"/>
                <w:szCs w:val="21"/>
                <w:lang w:val="en-US" w:eastAsia="zh-CN" w:bidi="ar-SA"/>
              </w:rPr>
              <w:t>3名副编审职称专家及3名</w:t>
            </w:r>
            <w:r>
              <w:rPr>
                <w:rFonts w:hint="eastAsia" w:ascii="宋体" w:hAnsi="宋体" w:eastAsia="宋体" w:cs="宋体"/>
                <w:bCs/>
                <w:color w:val="auto"/>
                <w:kern w:val="0"/>
                <w:sz w:val="21"/>
                <w:szCs w:val="21"/>
                <w:highlight w:val="none"/>
                <w:lang w:val="en-US" w:eastAsia="zh-CN" w:bidi="ar-SA"/>
              </w:rPr>
              <w:t>中级</w:t>
            </w:r>
            <w:r>
              <w:rPr>
                <w:rFonts w:hint="eastAsia" w:ascii="宋体" w:hAnsi="宋体" w:eastAsia="宋体" w:cs="宋体"/>
                <w:b w:val="0"/>
                <w:bCs w:val="0"/>
                <w:kern w:val="2"/>
                <w:sz w:val="21"/>
                <w:szCs w:val="21"/>
                <w:lang w:val="en-US" w:eastAsia="zh-CN" w:bidi="ar-SA"/>
              </w:rPr>
              <w:t>职称</w:t>
            </w:r>
            <w:r>
              <w:rPr>
                <w:rFonts w:hint="eastAsia" w:ascii="宋体" w:hAnsi="宋体" w:eastAsia="宋体" w:cs="宋体"/>
                <w:bCs/>
                <w:color w:val="auto"/>
                <w:kern w:val="0"/>
                <w:sz w:val="21"/>
                <w:szCs w:val="21"/>
                <w:highlight w:val="none"/>
                <w:lang w:val="en-US" w:eastAsia="zh-CN" w:bidi="ar-SA"/>
              </w:rPr>
              <w:t>出版专业技术人员，每增加1名出版专业技术人员，中级得1分，副编审得2分，编审得3分，此项</w:t>
            </w:r>
            <w:r>
              <w:rPr>
                <w:rFonts w:hint="eastAsia" w:ascii="宋体" w:hAnsi="宋体" w:eastAsia="宋体" w:cs="宋体"/>
                <w:b/>
                <w:bCs w:val="0"/>
                <w:color w:val="auto"/>
                <w:kern w:val="0"/>
                <w:sz w:val="21"/>
                <w:szCs w:val="21"/>
                <w:highlight w:val="none"/>
                <w:lang w:val="en-US" w:eastAsia="zh-CN" w:bidi="ar-SA"/>
              </w:rPr>
              <w:t>满分3分</w:t>
            </w:r>
            <w:r>
              <w:rPr>
                <w:rFonts w:hint="eastAsia" w:ascii="宋体" w:hAnsi="宋体" w:eastAsia="宋体" w:cs="宋体"/>
                <w:bCs/>
                <w:color w:val="auto"/>
                <w:kern w:val="0"/>
                <w:sz w:val="21"/>
                <w:szCs w:val="21"/>
                <w:highlight w:val="none"/>
                <w:lang w:val="en-US" w:eastAsia="zh-CN" w:bidi="ar-SA"/>
              </w:rPr>
              <w:t>。</w:t>
            </w:r>
          </w:p>
          <w:p w14:paraId="53D0C4CC">
            <w:pPr>
              <w:pStyle w:val="11"/>
              <w:keepNext w:val="0"/>
              <w:keepLines w:val="0"/>
              <w:pageBreakBefore w:val="0"/>
              <w:widowControl/>
              <w:kinsoku/>
              <w:wordWrap w:val="0"/>
              <w:overflowPunct/>
              <w:topLinePunct w:val="0"/>
              <w:autoSpaceDE/>
              <w:autoSpaceDN/>
              <w:bidi w:val="0"/>
              <w:spacing w:line="400" w:lineRule="exact"/>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（4）实施专家队伍每提供1名具有</w:t>
            </w:r>
            <w:r>
              <w:rPr>
                <w:rFonts w:hint="eastAsia" w:hAnsi="宋体" w:eastAsia="宋体" w:cs="宋体"/>
                <w:bCs/>
                <w:color w:val="auto"/>
                <w:kern w:val="0"/>
                <w:sz w:val="21"/>
                <w:szCs w:val="21"/>
                <w:highlight w:val="none"/>
                <w:lang w:val="en-US" w:eastAsia="zh-CN" w:bidi="ar-SA"/>
              </w:rPr>
              <w:t>行政部门颁发的</w:t>
            </w:r>
            <w:r>
              <w:rPr>
                <w:rFonts w:hint="eastAsia" w:ascii="宋体" w:hAnsi="宋体" w:eastAsia="宋体" w:cs="宋体"/>
                <w:bCs/>
                <w:color w:val="auto"/>
                <w:kern w:val="0"/>
                <w:sz w:val="21"/>
                <w:szCs w:val="21"/>
                <w:highlight w:val="none"/>
                <w:lang w:val="en-US" w:eastAsia="zh-CN" w:bidi="ar-SA"/>
              </w:rPr>
              <w:t>教学成果奖项获奖专家的得</w:t>
            </w:r>
            <w:r>
              <w:rPr>
                <w:rFonts w:hint="eastAsia" w:hAnsi="宋体" w:eastAsia="宋体" w:cs="宋体"/>
                <w:bCs/>
                <w:color w:val="auto"/>
                <w:kern w:val="0"/>
                <w:sz w:val="21"/>
                <w:szCs w:val="21"/>
                <w:highlight w:val="none"/>
                <w:lang w:val="en-US" w:eastAsia="zh-CN" w:bidi="ar-SA"/>
              </w:rPr>
              <w:t>2</w:t>
            </w:r>
            <w:r>
              <w:rPr>
                <w:rFonts w:hint="eastAsia" w:ascii="宋体" w:hAnsi="宋体" w:eastAsia="宋体" w:cs="宋体"/>
                <w:bCs/>
                <w:color w:val="auto"/>
                <w:kern w:val="0"/>
                <w:sz w:val="21"/>
                <w:szCs w:val="21"/>
                <w:highlight w:val="none"/>
                <w:lang w:val="en-US" w:eastAsia="zh-CN" w:bidi="ar-SA"/>
              </w:rPr>
              <w:t>分，此项</w:t>
            </w:r>
            <w:r>
              <w:rPr>
                <w:rFonts w:hint="eastAsia" w:ascii="宋体" w:hAnsi="宋体" w:eastAsia="宋体" w:cs="宋体"/>
                <w:b/>
                <w:bCs w:val="0"/>
                <w:color w:val="auto"/>
                <w:kern w:val="0"/>
                <w:sz w:val="21"/>
                <w:szCs w:val="21"/>
                <w:highlight w:val="none"/>
                <w:lang w:val="en-US" w:eastAsia="zh-CN" w:bidi="ar-SA"/>
              </w:rPr>
              <w:t>满分</w:t>
            </w:r>
            <w:r>
              <w:rPr>
                <w:rFonts w:hint="eastAsia" w:hAnsi="宋体" w:eastAsia="宋体" w:cs="宋体"/>
                <w:b/>
                <w:bCs w:val="0"/>
                <w:color w:val="auto"/>
                <w:kern w:val="0"/>
                <w:sz w:val="21"/>
                <w:szCs w:val="21"/>
                <w:highlight w:val="none"/>
                <w:lang w:val="en-US" w:eastAsia="zh-CN" w:bidi="ar-SA"/>
              </w:rPr>
              <w:t>4</w:t>
            </w:r>
            <w:r>
              <w:rPr>
                <w:rFonts w:hint="eastAsia" w:ascii="宋体" w:hAnsi="宋体" w:eastAsia="宋体" w:cs="宋体"/>
                <w:b/>
                <w:bCs w:val="0"/>
                <w:color w:val="auto"/>
                <w:kern w:val="0"/>
                <w:sz w:val="21"/>
                <w:szCs w:val="21"/>
                <w:highlight w:val="none"/>
                <w:lang w:val="en-US" w:eastAsia="zh-CN" w:bidi="ar-SA"/>
              </w:rPr>
              <w:t>分</w:t>
            </w:r>
            <w:r>
              <w:rPr>
                <w:rFonts w:hint="eastAsia" w:ascii="宋体" w:hAnsi="宋体" w:eastAsia="宋体" w:cs="宋体"/>
                <w:bCs/>
                <w:color w:val="auto"/>
                <w:kern w:val="0"/>
                <w:sz w:val="21"/>
                <w:szCs w:val="21"/>
                <w:highlight w:val="none"/>
                <w:lang w:val="en-US" w:eastAsia="zh-CN" w:bidi="ar-SA"/>
              </w:rPr>
              <w:t>。</w:t>
            </w:r>
          </w:p>
          <w:p w14:paraId="47D91B33">
            <w:pPr>
              <w:pStyle w:val="11"/>
              <w:keepNext w:val="0"/>
              <w:keepLines w:val="0"/>
              <w:pageBreakBefore w:val="0"/>
              <w:widowControl/>
              <w:kinsoku/>
              <w:wordWrap w:val="0"/>
              <w:overflowPunct/>
              <w:topLinePunct w:val="0"/>
              <w:autoSpaceDE/>
              <w:autoSpaceDN/>
              <w:bidi w:val="0"/>
              <w:spacing w:line="400" w:lineRule="exact"/>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（5）实施专家队伍人员中具有获</w:t>
            </w:r>
            <w:r>
              <w:rPr>
                <w:rFonts w:hint="eastAsia" w:hAnsi="宋体" w:eastAsia="宋体" w:cs="宋体"/>
                <w:bCs/>
                <w:color w:val="auto"/>
                <w:kern w:val="0"/>
                <w:sz w:val="21"/>
                <w:szCs w:val="21"/>
                <w:highlight w:val="none"/>
                <w:lang w:val="en-US" w:eastAsia="zh-CN" w:bidi="ar-SA"/>
              </w:rPr>
              <w:t>行政部门颁发的</w:t>
            </w:r>
            <w:r>
              <w:rPr>
                <w:rFonts w:hint="eastAsia" w:ascii="宋体" w:hAnsi="宋体" w:eastAsia="宋体" w:cs="宋体"/>
                <w:bCs/>
                <w:color w:val="auto"/>
                <w:kern w:val="0"/>
                <w:sz w:val="21"/>
                <w:szCs w:val="21"/>
                <w:highlight w:val="none"/>
                <w:lang w:val="en-US" w:eastAsia="zh-CN" w:bidi="ar-SA"/>
              </w:rPr>
              <w:t>微课大赛奖项的，得</w:t>
            </w:r>
            <w:r>
              <w:rPr>
                <w:rFonts w:hint="eastAsia" w:hAnsi="宋体" w:eastAsia="宋体" w:cs="宋体"/>
                <w:bCs/>
                <w:color w:val="auto"/>
                <w:kern w:val="0"/>
                <w:sz w:val="21"/>
                <w:szCs w:val="21"/>
                <w:highlight w:val="none"/>
                <w:lang w:val="en-US" w:eastAsia="zh-CN" w:bidi="ar-SA"/>
              </w:rPr>
              <w:t>2</w:t>
            </w:r>
            <w:r>
              <w:rPr>
                <w:rFonts w:hint="eastAsia" w:ascii="宋体" w:hAnsi="宋体" w:eastAsia="宋体" w:cs="宋体"/>
                <w:bCs/>
                <w:color w:val="auto"/>
                <w:kern w:val="0"/>
                <w:sz w:val="21"/>
                <w:szCs w:val="21"/>
                <w:highlight w:val="none"/>
                <w:lang w:val="en-US" w:eastAsia="zh-CN" w:bidi="ar-SA"/>
              </w:rPr>
              <w:t>分</w:t>
            </w:r>
            <w:r>
              <w:rPr>
                <w:rFonts w:hint="eastAsia" w:hAnsi="宋体" w:eastAsia="宋体" w:cs="宋体"/>
                <w:bCs/>
                <w:color w:val="auto"/>
                <w:kern w:val="0"/>
                <w:sz w:val="21"/>
                <w:szCs w:val="21"/>
                <w:highlight w:val="none"/>
                <w:lang w:val="en-US" w:eastAsia="zh-CN" w:bidi="ar-SA"/>
              </w:rPr>
              <w:t>，</w:t>
            </w:r>
            <w:r>
              <w:rPr>
                <w:rFonts w:hint="eastAsia" w:ascii="宋体" w:hAnsi="宋体" w:eastAsia="宋体" w:cs="宋体"/>
                <w:bCs/>
                <w:color w:val="auto"/>
                <w:kern w:val="0"/>
                <w:sz w:val="21"/>
                <w:szCs w:val="21"/>
                <w:highlight w:val="none"/>
                <w:lang w:val="en-US" w:eastAsia="zh-CN" w:bidi="ar-SA"/>
              </w:rPr>
              <w:t>此项</w:t>
            </w:r>
            <w:r>
              <w:rPr>
                <w:rFonts w:hint="eastAsia" w:ascii="宋体" w:hAnsi="宋体" w:eastAsia="宋体" w:cs="宋体"/>
                <w:b/>
                <w:bCs w:val="0"/>
                <w:color w:val="auto"/>
                <w:kern w:val="0"/>
                <w:sz w:val="21"/>
                <w:szCs w:val="21"/>
                <w:highlight w:val="none"/>
                <w:lang w:val="en-US" w:eastAsia="zh-CN" w:bidi="ar-SA"/>
              </w:rPr>
              <w:t>满分</w:t>
            </w:r>
            <w:r>
              <w:rPr>
                <w:rFonts w:hint="eastAsia" w:hAnsi="宋体" w:eastAsia="宋体" w:cs="宋体"/>
                <w:b/>
                <w:bCs w:val="0"/>
                <w:color w:val="auto"/>
                <w:kern w:val="0"/>
                <w:sz w:val="21"/>
                <w:szCs w:val="21"/>
                <w:highlight w:val="none"/>
                <w:lang w:val="en-US" w:eastAsia="zh-CN" w:bidi="ar-SA"/>
              </w:rPr>
              <w:t>2</w:t>
            </w:r>
            <w:r>
              <w:rPr>
                <w:rFonts w:hint="eastAsia" w:ascii="宋体" w:hAnsi="宋体" w:eastAsia="宋体" w:cs="宋体"/>
                <w:b/>
                <w:bCs w:val="0"/>
                <w:color w:val="auto"/>
                <w:kern w:val="0"/>
                <w:sz w:val="21"/>
                <w:szCs w:val="21"/>
                <w:highlight w:val="none"/>
                <w:lang w:val="en-US" w:eastAsia="zh-CN" w:bidi="ar-SA"/>
              </w:rPr>
              <w:t>分</w:t>
            </w:r>
            <w:r>
              <w:rPr>
                <w:rFonts w:hint="eastAsia" w:ascii="宋体" w:hAnsi="宋体" w:eastAsia="宋体" w:cs="宋体"/>
                <w:bCs/>
                <w:color w:val="auto"/>
                <w:kern w:val="0"/>
                <w:sz w:val="21"/>
                <w:szCs w:val="21"/>
                <w:highlight w:val="none"/>
                <w:lang w:val="en-US" w:eastAsia="zh-CN" w:bidi="ar-SA"/>
              </w:rPr>
              <w:t>。</w:t>
            </w:r>
          </w:p>
          <w:p w14:paraId="652AF883">
            <w:pPr>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（6）实施专家队伍人员中有国家二级导演的每人得2分，一级导演指导课程视频拍摄的，得4分，此项</w:t>
            </w:r>
            <w:r>
              <w:rPr>
                <w:rFonts w:hint="eastAsia" w:ascii="宋体" w:hAnsi="宋体" w:eastAsia="宋体" w:cs="宋体"/>
                <w:b/>
                <w:bCs w:val="0"/>
                <w:color w:val="auto"/>
                <w:kern w:val="0"/>
                <w:sz w:val="21"/>
                <w:szCs w:val="21"/>
                <w:highlight w:val="none"/>
                <w:lang w:val="en-US" w:eastAsia="zh-CN" w:bidi="ar-SA"/>
              </w:rPr>
              <w:t>满分4分</w:t>
            </w:r>
            <w:r>
              <w:rPr>
                <w:rFonts w:hint="eastAsia" w:ascii="宋体" w:hAnsi="宋体" w:eastAsia="宋体" w:cs="宋体"/>
                <w:bCs/>
                <w:color w:val="auto"/>
                <w:kern w:val="0"/>
                <w:sz w:val="21"/>
                <w:szCs w:val="21"/>
                <w:highlight w:val="none"/>
                <w:lang w:val="en-US" w:eastAsia="zh-CN" w:bidi="ar-SA"/>
              </w:rPr>
              <w:t>。</w:t>
            </w:r>
          </w:p>
          <w:p w14:paraId="71DB06CB">
            <w:pPr>
              <w:rPr>
                <w:rFonts w:hint="default" w:ascii="宋体" w:hAnsi="宋体" w:eastAsia="宋体" w:cs="宋体"/>
                <w:bCs/>
                <w:color w:val="auto"/>
                <w:kern w:val="0"/>
                <w:sz w:val="21"/>
                <w:szCs w:val="21"/>
                <w:highlight w:val="none"/>
                <w:lang w:val="en-US" w:eastAsia="zh-CN" w:bidi="ar-SA"/>
              </w:rPr>
            </w:pPr>
            <w:r>
              <w:rPr>
                <w:rFonts w:hint="default" w:ascii="宋体" w:hAnsi="宋体" w:eastAsia="宋体" w:cs="宋体"/>
                <w:bCs/>
                <w:color w:val="auto"/>
                <w:kern w:val="0"/>
                <w:sz w:val="21"/>
                <w:szCs w:val="21"/>
                <w:highlight w:val="none"/>
                <w:lang w:val="en-US" w:eastAsia="zh-CN" w:bidi="ar-SA"/>
              </w:rPr>
              <w:t>（7）实施专家队伍人员中具有获得过</w:t>
            </w:r>
            <w:r>
              <w:rPr>
                <w:rFonts w:hint="eastAsia" w:hAnsi="宋体" w:eastAsia="宋体" w:cs="宋体"/>
                <w:bCs/>
                <w:color w:val="auto"/>
                <w:kern w:val="0"/>
                <w:sz w:val="21"/>
                <w:szCs w:val="21"/>
                <w:highlight w:val="none"/>
                <w:lang w:val="en-US" w:eastAsia="zh-CN" w:bidi="ar-SA"/>
              </w:rPr>
              <w:t>行政部门颁发的</w:t>
            </w:r>
            <w:r>
              <w:rPr>
                <w:rFonts w:hint="default" w:ascii="宋体" w:hAnsi="宋体" w:eastAsia="宋体" w:cs="宋体"/>
                <w:bCs/>
                <w:color w:val="auto"/>
                <w:kern w:val="0"/>
                <w:sz w:val="21"/>
                <w:szCs w:val="21"/>
                <w:highlight w:val="none"/>
                <w:lang w:val="en-US" w:eastAsia="zh-CN" w:bidi="ar-SA"/>
              </w:rPr>
              <w:t>人工智能相关技能竞赛国赛奖项的人工智能训练师，得</w:t>
            </w:r>
            <w:r>
              <w:rPr>
                <w:rFonts w:hint="eastAsia" w:ascii="宋体" w:hAnsi="宋体" w:eastAsia="宋体" w:cs="宋体"/>
                <w:bCs/>
                <w:color w:val="auto"/>
                <w:kern w:val="0"/>
                <w:sz w:val="21"/>
                <w:szCs w:val="21"/>
                <w:highlight w:val="none"/>
                <w:lang w:val="en-US" w:eastAsia="zh-CN" w:bidi="ar-SA"/>
              </w:rPr>
              <w:t>4</w:t>
            </w:r>
            <w:r>
              <w:rPr>
                <w:rFonts w:hint="default" w:ascii="宋体" w:hAnsi="宋体" w:eastAsia="宋体" w:cs="宋体"/>
                <w:bCs/>
                <w:color w:val="auto"/>
                <w:kern w:val="0"/>
                <w:sz w:val="21"/>
                <w:szCs w:val="21"/>
                <w:highlight w:val="none"/>
                <w:lang w:val="en-US" w:eastAsia="zh-CN" w:bidi="ar-SA"/>
              </w:rPr>
              <w:t>分</w:t>
            </w:r>
            <w:r>
              <w:rPr>
                <w:rFonts w:hint="eastAsia" w:ascii="宋体" w:hAnsi="宋体" w:eastAsia="宋体" w:cs="宋体"/>
                <w:bCs/>
                <w:color w:val="auto"/>
                <w:kern w:val="0"/>
                <w:sz w:val="21"/>
                <w:szCs w:val="21"/>
                <w:highlight w:val="none"/>
                <w:lang w:val="en-US" w:eastAsia="zh-CN" w:bidi="ar-SA"/>
              </w:rPr>
              <w:t>，此项</w:t>
            </w:r>
            <w:r>
              <w:rPr>
                <w:rFonts w:hint="eastAsia" w:ascii="宋体" w:hAnsi="宋体" w:eastAsia="宋体" w:cs="宋体"/>
                <w:b/>
                <w:bCs w:val="0"/>
                <w:color w:val="auto"/>
                <w:kern w:val="0"/>
                <w:sz w:val="21"/>
                <w:szCs w:val="21"/>
                <w:highlight w:val="none"/>
                <w:lang w:val="en-US" w:eastAsia="zh-CN" w:bidi="ar-SA"/>
              </w:rPr>
              <w:t>满分4分</w:t>
            </w:r>
            <w:r>
              <w:rPr>
                <w:rFonts w:hint="default" w:ascii="宋体" w:hAnsi="宋体" w:eastAsia="宋体" w:cs="宋体"/>
                <w:bCs/>
                <w:color w:val="auto"/>
                <w:kern w:val="0"/>
                <w:sz w:val="21"/>
                <w:szCs w:val="21"/>
                <w:highlight w:val="none"/>
                <w:lang w:val="en-US" w:eastAsia="zh-CN" w:bidi="ar-SA"/>
              </w:rPr>
              <w:t>。</w:t>
            </w:r>
          </w:p>
          <w:p w14:paraId="178486E2">
            <w:pPr>
              <w:rPr>
                <w:rFonts w:hint="default" w:ascii="宋体" w:hAnsi="宋体" w:eastAsia="宋体" w:cs="宋体"/>
                <w:bCs/>
                <w:color w:val="auto"/>
                <w:kern w:val="0"/>
                <w:sz w:val="21"/>
                <w:szCs w:val="21"/>
                <w:highlight w:val="none"/>
                <w:lang w:val="en-US" w:eastAsia="zh-CN" w:bidi="ar-SA"/>
              </w:rPr>
            </w:pPr>
            <w:r>
              <w:rPr>
                <w:rFonts w:hint="default" w:ascii="宋体" w:hAnsi="宋体" w:eastAsia="宋体" w:cs="宋体"/>
                <w:bCs/>
                <w:color w:val="auto"/>
                <w:kern w:val="0"/>
                <w:sz w:val="21"/>
                <w:szCs w:val="21"/>
                <w:highlight w:val="none"/>
                <w:lang w:val="en-US" w:eastAsia="zh-CN" w:bidi="ar-SA"/>
              </w:rPr>
              <w:t>（</w:t>
            </w:r>
            <w:r>
              <w:rPr>
                <w:rFonts w:hint="eastAsia" w:ascii="宋体" w:hAnsi="宋体" w:eastAsia="宋体" w:cs="宋体"/>
                <w:bCs/>
                <w:color w:val="auto"/>
                <w:kern w:val="0"/>
                <w:sz w:val="21"/>
                <w:szCs w:val="21"/>
                <w:highlight w:val="none"/>
                <w:lang w:val="en-US" w:eastAsia="zh-CN" w:bidi="ar-SA"/>
              </w:rPr>
              <w:t>8</w:t>
            </w:r>
            <w:r>
              <w:rPr>
                <w:rFonts w:hint="default" w:ascii="宋体" w:hAnsi="宋体" w:eastAsia="宋体" w:cs="宋体"/>
                <w:bCs/>
                <w:color w:val="auto"/>
                <w:kern w:val="0"/>
                <w:sz w:val="21"/>
                <w:szCs w:val="21"/>
                <w:highlight w:val="none"/>
                <w:lang w:val="en-US" w:eastAsia="zh-CN" w:bidi="ar-SA"/>
              </w:rPr>
              <w:t>）</w:t>
            </w:r>
            <w:r>
              <w:rPr>
                <w:rFonts w:hint="eastAsia" w:ascii="宋体" w:hAnsi="宋体" w:eastAsia="宋体" w:cs="宋体"/>
                <w:bCs/>
                <w:color w:val="auto"/>
                <w:kern w:val="0"/>
                <w:sz w:val="21"/>
                <w:szCs w:val="21"/>
                <w:highlight w:val="none"/>
                <w:lang w:val="en-US" w:eastAsia="zh-CN" w:bidi="ar-SA"/>
              </w:rPr>
              <w:t>实施专家中具有</w:t>
            </w:r>
            <w:r>
              <w:rPr>
                <w:rFonts w:hint="default" w:ascii="宋体" w:hAnsi="宋体" w:eastAsia="宋体" w:cs="宋体"/>
                <w:bCs/>
                <w:color w:val="auto"/>
                <w:kern w:val="0"/>
                <w:sz w:val="21"/>
                <w:szCs w:val="21"/>
                <w:highlight w:val="none"/>
                <w:lang w:val="en-US" w:eastAsia="zh-CN" w:bidi="ar-SA"/>
              </w:rPr>
              <w:t>获得</w:t>
            </w:r>
            <w:r>
              <w:rPr>
                <w:rFonts w:hint="eastAsia" w:hAnsi="宋体" w:eastAsia="宋体" w:cs="宋体"/>
                <w:bCs/>
                <w:color w:val="auto"/>
                <w:kern w:val="0"/>
                <w:sz w:val="21"/>
                <w:szCs w:val="21"/>
                <w:highlight w:val="none"/>
                <w:lang w:val="en-US" w:eastAsia="zh-CN" w:bidi="ar-SA"/>
              </w:rPr>
              <w:t>行政部门颁发的</w:t>
            </w:r>
            <w:r>
              <w:rPr>
                <w:rFonts w:hint="eastAsia" w:ascii="宋体" w:hAnsi="宋体" w:eastAsia="宋体" w:cs="宋体"/>
                <w:bCs/>
                <w:color w:val="auto"/>
                <w:kern w:val="0"/>
                <w:sz w:val="21"/>
                <w:szCs w:val="21"/>
                <w:highlight w:val="none"/>
                <w:lang w:val="en-US" w:eastAsia="zh-CN" w:bidi="ar-SA"/>
              </w:rPr>
              <w:t>新一代信息技术</w:t>
            </w:r>
            <w:r>
              <w:rPr>
                <w:rFonts w:hint="default" w:ascii="宋体" w:hAnsi="宋体" w:eastAsia="宋体" w:cs="宋体"/>
                <w:bCs/>
                <w:color w:val="auto"/>
                <w:kern w:val="0"/>
                <w:sz w:val="21"/>
                <w:szCs w:val="21"/>
                <w:highlight w:val="none"/>
                <w:lang w:val="en-US" w:eastAsia="zh-CN" w:bidi="ar-SA"/>
              </w:rPr>
              <w:t>类技能竞赛国赛奖项的全国技术能手。得</w:t>
            </w:r>
            <w:r>
              <w:rPr>
                <w:rFonts w:hint="eastAsia" w:ascii="宋体" w:hAnsi="宋体" w:eastAsia="宋体" w:cs="宋体"/>
                <w:bCs/>
                <w:color w:val="auto"/>
                <w:kern w:val="0"/>
                <w:sz w:val="21"/>
                <w:szCs w:val="21"/>
                <w:highlight w:val="none"/>
                <w:lang w:val="en-US" w:eastAsia="zh-CN" w:bidi="ar-SA"/>
              </w:rPr>
              <w:t>3</w:t>
            </w:r>
            <w:r>
              <w:rPr>
                <w:rFonts w:hint="default" w:ascii="宋体" w:hAnsi="宋体" w:eastAsia="宋体" w:cs="宋体"/>
                <w:bCs/>
                <w:color w:val="auto"/>
                <w:kern w:val="0"/>
                <w:sz w:val="21"/>
                <w:szCs w:val="21"/>
                <w:highlight w:val="none"/>
                <w:lang w:val="en-US" w:eastAsia="zh-CN" w:bidi="ar-SA"/>
              </w:rPr>
              <w:t>分，</w:t>
            </w:r>
            <w:r>
              <w:rPr>
                <w:rFonts w:hint="default" w:ascii="宋体" w:hAnsi="宋体" w:eastAsia="宋体" w:cs="宋体"/>
                <w:b/>
                <w:bCs w:val="0"/>
                <w:color w:val="auto"/>
                <w:kern w:val="0"/>
                <w:sz w:val="21"/>
                <w:szCs w:val="21"/>
                <w:highlight w:val="none"/>
                <w:lang w:val="en-US" w:eastAsia="zh-CN" w:bidi="ar-SA"/>
              </w:rPr>
              <w:t>满分</w:t>
            </w:r>
            <w:r>
              <w:rPr>
                <w:rFonts w:hint="eastAsia" w:ascii="宋体" w:hAnsi="宋体" w:eastAsia="宋体" w:cs="宋体"/>
                <w:b/>
                <w:bCs w:val="0"/>
                <w:color w:val="auto"/>
                <w:kern w:val="0"/>
                <w:sz w:val="21"/>
                <w:szCs w:val="21"/>
                <w:highlight w:val="none"/>
                <w:lang w:val="en-US" w:eastAsia="zh-CN" w:bidi="ar-SA"/>
              </w:rPr>
              <w:t>3</w:t>
            </w:r>
            <w:r>
              <w:rPr>
                <w:rFonts w:hint="default" w:ascii="宋体" w:hAnsi="宋体" w:eastAsia="宋体" w:cs="宋体"/>
                <w:b/>
                <w:bCs w:val="0"/>
                <w:color w:val="auto"/>
                <w:kern w:val="0"/>
                <w:sz w:val="21"/>
                <w:szCs w:val="21"/>
                <w:highlight w:val="none"/>
                <w:lang w:val="en-US" w:eastAsia="zh-CN" w:bidi="ar-SA"/>
              </w:rPr>
              <w:t>分</w:t>
            </w:r>
            <w:r>
              <w:rPr>
                <w:rFonts w:hint="default" w:ascii="宋体" w:hAnsi="宋体" w:eastAsia="宋体" w:cs="宋体"/>
                <w:bCs/>
                <w:color w:val="auto"/>
                <w:kern w:val="0"/>
                <w:sz w:val="21"/>
                <w:szCs w:val="21"/>
                <w:highlight w:val="none"/>
                <w:lang w:val="en-US" w:eastAsia="zh-CN" w:bidi="ar-SA"/>
              </w:rPr>
              <w:t>。</w:t>
            </w:r>
          </w:p>
          <w:p w14:paraId="65AB1A0D">
            <w:pPr>
              <w:pStyle w:val="11"/>
              <w:keepNext w:val="0"/>
              <w:keepLines w:val="0"/>
              <w:pageBreakBefore w:val="0"/>
              <w:widowControl/>
              <w:kinsoku/>
              <w:wordWrap w:val="0"/>
              <w:overflowPunct/>
              <w:topLinePunct w:val="0"/>
              <w:autoSpaceDE/>
              <w:autoSpaceDN/>
              <w:bidi w:val="0"/>
              <w:spacing w:line="400" w:lineRule="exact"/>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
                <w:bCs w:val="0"/>
                <w:color w:val="auto"/>
                <w:kern w:val="0"/>
                <w:sz w:val="21"/>
                <w:szCs w:val="21"/>
                <w:highlight w:val="none"/>
                <w:lang w:val="en-US" w:eastAsia="zh-CN" w:bidi="ar-SA"/>
              </w:rPr>
              <w:t>注明：需在投标文件中提供上述人员的相应的相关职称证书</w:t>
            </w:r>
            <w:r>
              <w:rPr>
                <w:rFonts w:hint="eastAsia" w:hAnsi="宋体" w:eastAsia="宋体" w:cs="宋体"/>
                <w:b/>
                <w:bCs w:val="0"/>
                <w:color w:val="auto"/>
                <w:kern w:val="0"/>
                <w:sz w:val="21"/>
                <w:szCs w:val="21"/>
                <w:highlight w:val="none"/>
                <w:lang w:val="en-US" w:eastAsia="zh-CN" w:bidi="ar-SA"/>
              </w:rPr>
              <w:t>、荣誉证书或获</w:t>
            </w:r>
            <w:r>
              <w:rPr>
                <w:rFonts w:hint="eastAsia" w:ascii="宋体" w:hAnsi="宋体" w:eastAsia="宋体" w:cs="宋体"/>
                <w:b/>
                <w:bCs w:val="0"/>
                <w:color w:val="auto"/>
                <w:kern w:val="0"/>
                <w:sz w:val="21"/>
                <w:szCs w:val="21"/>
                <w:highlight w:val="none"/>
                <w:lang w:val="en-US" w:eastAsia="zh-CN" w:bidi="ar-SA"/>
              </w:rPr>
              <w:t>奖</w:t>
            </w:r>
            <w:r>
              <w:rPr>
                <w:rFonts w:hint="eastAsia" w:hAnsi="宋体" w:eastAsia="宋体" w:cs="宋体"/>
                <w:b/>
                <w:bCs w:val="0"/>
                <w:color w:val="auto"/>
                <w:kern w:val="0"/>
                <w:sz w:val="21"/>
                <w:szCs w:val="21"/>
                <w:highlight w:val="none"/>
                <w:lang w:val="en-US" w:eastAsia="zh-CN" w:bidi="ar-SA"/>
              </w:rPr>
              <w:t>证明</w:t>
            </w:r>
            <w:r>
              <w:rPr>
                <w:rFonts w:hint="eastAsia" w:ascii="宋体" w:hAnsi="宋体" w:eastAsia="宋体" w:cs="宋体"/>
                <w:b/>
                <w:bCs w:val="0"/>
                <w:color w:val="auto"/>
                <w:kern w:val="0"/>
                <w:sz w:val="21"/>
                <w:szCs w:val="21"/>
                <w:highlight w:val="none"/>
                <w:lang w:val="en-US" w:eastAsia="zh-CN" w:bidi="ar-SA"/>
              </w:rPr>
              <w:t>复印件</w:t>
            </w:r>
            <w:r>
              <w:rPr>
                <w:rFonts w:hint="eastAsia" w:hAnsi="宋体" w:eastAsia="宋体" w:cs="宋体"/>
                <w:b/>
                <w:bCs w:val="0"/>
                <w:color w:val="auto"/>
                <w:kern w:val="0"/>
                <w:sz w:val="21"/>
                <w:szCs w:val="21"/>
                <w:highlight w:val="none"/>
                <w:lang w:val="en-US" w:eastAsia="zh-CN" w:bidi="ar-SA"/>
              </w:rPr>
              <w:t>（针对实施专家队伍人员按得分最高的分值仅记一次得分，不重复计分）</w:t>
            </w:r>
            <w:r>
              <w:rPr>
                <w:rFonts w:hint="eastAsia" w:ascii="宋体" w:hAnsi="宋体" w:eastAsia="宋体" w:cs="宋体"/>
                <w:b/>
                <w:bCs w:val="0"/>
                <w:color w:val="auto"/>
                <w:kern w:val="0"/>
                <w:sz w:val="21"/>
                <w:szCs w:val="21"/>
                <w:highlight w:val="none"/>
                <w:lang w:val="en-US" w:eastAsia="zh-CN" w:bidi="ar-SA"/>
              </w:rPr>
              <w:t>。</w:t>
            </w:r>
          </w:p>
        </w:tc>
        <w:tc>
          <w:tcPr>
            <w:tcW w:w="1355" w:type="dxa"/>
            <w:tcBorders>
              <w:top w:val="single" w:color="auto" w:sz="4" w:space="0"/>
              <w:left w:val="single" w:color="auto" w:sz="4" w:space="0"/>
              <w:bottom w:val="single" w:color="auto" w:sz="4" w:space="0"/>
              <w:right w:val="single" w:color="auto" w:sz="4" w:space="0"/>
            </w:tcBorders>
            <w:noWrap w:val="0"/>
            <w:vAlign w:val="center"/>
          </w:tcPr>
          <w:p w14:paraId="2A6DECA6">
            <w:pPr>
              <w:pStyle w:val="11"/>
              <w:keepNext w:val="0"/>
              <w:keepLines w:val="0"/>
              <w:pageBreakBefore w:val="0"/>
              <w:widowControl/>
              <w:kinsoku/>
              <w:wordWrap w:val="0"/>
              <w:overflowPunct/>
              <w:topLinePunct w:val="0"/>
              <w:autoSpaceDE/>
              <w:autoSpaceDN/>
              <w:bidi w:val="0"/>
              <w:spacing w:line="400" w:lineRule="exact"/>
              <w:jc w:val="center"/>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rPr>
              <w:t>0~</w:t>
            </w:r>
            <w:r>
              <w:rPr>
                <w:rFonts w:hint="eastAsia" w:ascii="宋体" w:hAnsi="宋体" w:eastAsia="宋体" w:cs="宋体"/>
                <w:bCs/>
                <w:color w:val="auto"/>
                <w:kern w:val="0"/>
                <w:sz w:val="21"/>
                <w:szCs w:val="21"/>
                <w:highlight w:val="none"/>
                <w:lang w:val="en-US" w:eastAsia="zh-CN"/>
              </w:rPr>
              <w:t>30</w:t>
            </w:r>
            <w:r>
              <w:rPr>
                <w:rFonts w:hint="eastAsia" w:ascii="宋体" w:hAnsi="宋体" w:eastAsia="宋体" w:cs="宋体"/>
                <w:bCs/>
                <w:color w:val="auto"/>
                <w:kern w:val="0"/>
                <w:sz w:val="21"/>
                <w:szCs w:val="21"/>
                <w:highlight w:val="none"/>
              </w:rPr>
              <w:t>分</w:t>
            </w:r>
          </w:p>
          <w:p w14:paraId="533C08CB">
            <w:pPr>
              <w:pStyle w:val="11"/>
              <w:keepNext w:val="0"/>
              <w:keepLines w:val="0"/>
              <w:pageBreakBefore w:val="0"/>
              <w:widowControl/>
              <w:kinsoku/>
              <w:wordWrap w:val="0"/>
              <w:overflowPunct/>
              <w:topLinePunct w:val="0"/>
              <w:autoSpaceDE/>
              <w:autoSpaceDN/>
              <w:bidi w:val="0"/>
              <w:spacing w:line="400" w:lineRule="exact"/>
              <w:jc w:val="center"/>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eastAsia="zh-CN"/>
              </w:rPr>
              <w:t>（</w:t>
            </w:r>
            <w:r>
              <w:rPr>
                <w:rFonts w:hint="eastAsia" w:ascii="宋体" w:hAnsi="宋体" w:eastAsia="宋体" w:cs="宋体"/>
                <w:bCs/>
                <w:color w:val="auto"/>
                <w:kern w:val="0"/>
                <w:sz w:val="21"/>
                <w:szCs w:val="21"/>
                <w:highlight w:val="none"/>
                <w:lang w:val="en-US" w:eastAsia="zh-CN"/>
              </w:rPr>
              <w:t>客观分</w:t>
            </w:r>
            <w:r>
              <w:rPr>
                <w:rFonts w:hint="eastAsia" w:ascii="宋体" w:hAnsi="宋体" w:eastAsia="宋体" w:cs="宋体"/>
                <w:bCs/>
                <w:color w:val="auto"/>
                <w:kern w:val="0"/>
                <w:sz w:val="21"/>
                <w:szCs w:val="21"/>
                <w:highlight w:val="none"/>
                <w:lang w:eastAsia="zh-CN"/>
              </w:rPr>
              <w:t>）</w:t>
            </w:r>
          </w:p>
        </w:tc>
      </w:tr>
      <w:tr w14:paraId="54803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719" w:type="dxa"/>
            <w:vMerge w:val="restart"/>
            <w:tcBorders>
              <w:top w:val="single" w:color="auto" w:sz="4" w:space="0"/>
              <w:left w:val="single" w:color="auto" w:sz="4" w:space="0"/>
              <w:right w:val="single" w:color="auto" w:sz="4" w:space="0"/>
            </w:tcBorders>
            <w:noWrap w:val="0"/>
            <w:vAlign w:val="center"/>
          </w:tcPr>
          <w:p w14:paraId="7408DFA9">
            <w:pPr>
              <w:pStyle w:val="11"/>
              <w:keepNext w:val="0"/>
              <w:keepLines w:val="0"/>
              <w:pageBreakBefore w:val="0"/>
              <w:widowControl/>
              <w:kinsoku/>
              <w:wordWrap w:val="0"/>
              <w:overflowPunct/>
              <w:topLinePunct w:val="0"/>
              <w:autoSpaceDE/>
              <w:autoSpaceDN/>
              <w:bidi w:val="0"/>
              <w:spacing w:line="400" w:lineRule="exact"/>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w:t>
            </w:r>
          </w:p>
        </w:tc>
        <w:tc>
          <w:tcPr>
            <w:tcW w:w="1437" w:type="dxa"/>
            <w:tcBorders>
              <w:top w:val="single" w:color="auto" w:sz="4" w:space="0"/>
              <w:left w:val="single" w:color="auto" w:sz="4" w:space="0"/>
              <w:bottom w:val="single" w:color="auto" w:sz="4" w:space="0"/>
              <w:right w:val="single" w:color="auto" w:sz="4" w:space="0"/>
            </w:tcBorders>
            <w:noWrap w:val="0"/>
            <w:vAlign w:val="top"/>
          </w:tcPr>
          <w:p w14:paraId="5C9EB911">
            <w:pPr>
              <w:pStyle w:val="11"/>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商务分</w:t>
            </w:r>
          </w:p>
        </w:tc>
        <w:tc>
          <w:tcPr>
            <w:tcW w:w="6149" w:type="dxa"/>
            <w:tcBorders>
              <w:top w:val="single" w:color="auto" w:sz="4" w:space="0"/>
              <w:left w:val="single" w:color="auto" w:sz="4" w:space="0"/>
              <w:bottom w:val="single" w:color="auto" w:sz="4" w:space="0"/>
              <w:right w:val="single" w:color="auto" w:sz="4" w:space="0"/>
            </w:tcBorders>
            <w:noWrap w:val="0"/>
            <w:vAlign w:val="top"/>
          </w:tcPr>
          <w:p w14:paraId="0BB7A986">
            <w:pPr>
              <w:pStyle w:val="11"/>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评审因素</w:t>
            </w:r>
          </w:p>
        </w:tc>
        <w:tc>
          <w:tcPr>
            <w:tcW w:w="1355" w:type="dxa"/>
            <w:tcBorders>
              <w:top w:val="single" w:color="auto" w:sz="4" w:space="0"/>
              <w:left w:val="single" w:color="auto" w:sz="4" w:space="0"/>
              <w:bottom w:val="single" w:color="auto" w:sz="4" w:space="0"/>
              <w:right w:val="single" w:color="auto" w:sz="4" w:space="0"/>
            </w:tcBorders>
            <w:noWrap w:val="0"/>
            <w:vAlign w:val="center"/>
          </w:tcPr>
          <w:p w14:paraId="0655F16C">
            <w:pPr>
              <w:pStyle w:val="11"/>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rPr>
              <w:t>分值</w:t>
            </w:r>
            <w:r>
              <w:rPr>
                <w:rFonts w:hint="eastAsia" w:hAnsi="宋体" w:eastAsia="宋体" w:cs="宋体"/>
                <w:b/>
                <w:color w:val="auto"/>
                <w:sz w:val="21"/>
                <w:szCs w:val="21"/>
                <w:highlight w:val="none"/>
                <w:lang w:eastAsia="zh-CN"/>
              </w:rPr>
              <w:t>（</w:t>
            </w:r>
            <w:r>
              <w:rPr>
                <w:rFonts w:hint="eastAsia" w:hAnsi="宋体" w:eastAsia="宋体" w:cs="宋体"/>
                <w:b/>
                <w:color w:val="auto"/>
                <w:sz w:val="21"/>
                <w:szCs w:val="21"/>
                <w:highlight w:val="none"/>
                <w:lang w:val="en-US" w:eastAsia="zh-CN"/>
              </w:rPr>
              <w:t>14分</w:t>
            </w:r>
            <w:r>
              <w:rPr>
                <w:rFonts w:hint="eastAsia" w:hAnsi="宋体" w:eastAsia="宋体" w:cs="宋体"/>
                <w:b/>
                <w:color w:val="auto"/>
                <w:sz w:val="21"/>
                <w:szCs w:val="21"/>
                <w:highlight w:val="none"/>
                <w:lang w:eastAsia="zh-CN"/>
              </w:rPr>
              <w:t>）</w:t>
            </w:r>
          </w:p>
        </w:tc>
      </w:tr>
      <w:tr w14:paraId="41EF5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8" w:hRule="atLeast"/>
        </w:trPr>
        <w:tc>
          <w:tcPr>
            <w:tcW w:w="719" w:type="dxa"/>
            <w:vMerge w:val="continue"/>
            <w:tcBorders>
              <w:left w:val="single" w:color="auto" w:sz="4" w:space="0"/>
              <w:right w:val="single" w:color="auto" w:sz="4" w:space="0"/>
            </w:tcBorders>
            <w:noWrap w:val="0"/>
            <w:vAlign w:val="top"/>
          </w:tcPr>
          <w:p w14:paraId="2767BA91">
            <w:pPr>
              <w:pStyle w:val="11"/>
              <w:keepNext w:val="0"/>
              <w:keepLines w:val="0"/>
              <w:pageBreakBefore w:val="0"/>
              <w:widowControl/>
              <w:kinsoku/>
              <w:wordWrap w:val="0"/>
              <w:overflowPunct/>
              <w:topLinePunct w:val="0"/>
              <w:autoSpaceDE/>
              <w:autoSpaceDN/>
              <w:bidi w:val="0"/>
              <w:spacing w:line="400" w:lineRule="exact"/>
              <w:rPr>
                <w:rFonts w:hint="eastAsia" w:ascii="宋体" w:hAnsi="宋体" w:eastAsia="宋体" w:cs="宋体"/>
                <w:bCs/>
                <w:color w:val="auto"/>
                <w:sz w:val="21"/>
                <w:szCs w:val="21"/>
                <w:highlight w:val="none"/>
              </w:rPr>
            </w:pPr>
          </w:p>
        </w:tc>
        <w:tc>
          <w:tcPr>
            <w:tcW w:w="7586" w:type="dxa"/>
            <w:gridSpan w:val="2"/>
            <w:tcBorders>
              <w:top w:val="single" w:color="auto" w:sz="4" w:space="0"/>
              <w:left w:val="single" w:color="auto" w:sz="4" w:space="0"/>
              <w:bottom w:val="single" w:color="auto" w:sz="4" w:space="0"/>
              <w:right w:val="single" w:color="auto" w:sz="4" w:space="0"/>
            </w:tcBorders>
            <w:noWrap w:val="0"/>
            <w:vAlign w:val="center"/>
          </w:tcPr>
          <w:p w14:paraId="0149974A">
            <w:pPr>
              <w:keepNext w:val="0"/>
              <w:keepLines w:val="0"/>
              <w:pageBreakBefore w:val="0"/>
              <w:kinsoku/>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（1）供应商具有202</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年1月1日以来</w:t>
            </w:r>
            <w:r>
              <w:rPr>
                <w:rFonts w:hint="eastAsia" w:ascii="宋体" w:hAnsi="宋体" w:eastAsia="宋体" w:cs="宋体"/>
                <w:color w:val="auto"/>
                <w:sz w:val="21"/>
                <w:szCs w:val="21"/>
                <w:highlight w:val="none"/>
                <w:lang w:val="en-US" w:eastAsia="zh-CN"/>
              </w:rPr>
              <w:t>同类项目</w:t>
            </w:r>
            <w:r>
              <w:rPr>
                <w:rFonts w:hint="eastAsia" w:ascii="宋体" w:hAnsi="宋体" w:eastAsia="宋体" w:cs="宋体"/>
                <w:color w:val="auto"/>
                <w:sz w:val="21"/>
                <w:szCs w:val="21"/>
                <w:highlight w:val="none"/>
              </w:rPr>
              <w:t>业绩，每提供1个得2分，满分8分。</w:t>
            </w:r>
            <w:r>
              <w:rPr>
                <w:rFonts w:hint="eastAsia" w:ascii="宋体" w:hAnsi="宋体" w:eastAsia="宋体" w:cs="宋体"/>
                <w:b/>
                <w:bCs w:val="0"/>
                <w:kern w:val="0"/>
                <w:sz w:val="21"/>
                <w:szCs w:val="21"/>
                <w:lang w:val="en-US" w:eastAsia="zh-CN" w:bidi="ar"/>
              </w:rPr>
              <w:t>注：投标时提供中标（成交）通知书或合同原件（或复印件）扫描件</w:t>
            </w:r>
            <w:r>
              <w:rPr>
                <w:rFonts w:hint="eastAsia"/>
                <w:b/>
                <w:bCs w:val="0"/>
                <w:lang w:eastAsia="zh-CN"/>
              </w:rPr>
              <w:t>。</w:t>
            </w:r>
          </w:p>
        </w:tc>
        <w:tc>
          <w:tcPr>
            <w:tcW w:w="1355" w:type="dxa"/>
            <w:tcBorders>
              <w:top w:val="single" w:color="auto" w:sz="4" w:space="0"/>
              <w:left w:val="single" w:color="auto" w:sz="4" w:space="0"/>
              <w:bottom w:val="single" w:color="auto" w:sz="4" w:space="0"/>
              <w:right w:val="single" w:color="auto" w:sz="4" w:space="0"/>
            </w:tcBorders>
            <w:noWrap w:val="0"/>
            <w:vAlign w:val="center"/>
          </w:tcPr>
          <w:p w14:paraId="7D48F43B">
            <w:pPr>
              <w:keepNext w:val="0"/>
              <w:keepLines w:val="0"/>
              <w:pageBreakBefore w:val="0"/>
              <w:kinsoku/>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0"/>
                <w:sz w:val="21"/>
                <w:szCs w:val="21"/>
                <w:highlight w:val="none"/>
                <w:lang w:eastAsia="zh-CN"/>
              </w:rPr>
            </w:pPr>
            <w:r>
              <w:rPr>
                <w:rFonts w:hint="eastAsia" w:ascii="宋体" w:hAnsi="宋体" w:eastAsia="宋体" w:cs="宋体"/>
                <w:bCs/>
                <w:color w:val="auto"/>
                <w:kern w:val="0"/>
                <w:sz w:val="21"/>
                <w:szCs w:val="21"/>
                <w:highlight w:val="none"/>
              </w:rPr>
              <w:t>0~</w:t>
            </w:r>
            <w:r>
              <w:rPr>
                <w:rFonts w:hint="eastAsia" w:ascii="宋体" w:hAnsi="宋体" w:eastAsia="宋体" w:cs="宋体"/>
                <w:bCs/>
                <w:color w:val="auto"/>
                <w:kern w:val="0"/>
                <w:sz w:val="21"/>
                <w:szCs w:val="21"/>
                <w:highlight w:val="none"/>
                <w:lang w:val="en-US" w:eastAsia="zh-CN"/>
              </w:rPr>
              <w:t>8</w:t>
            </w:r>
          </w:p>
          <w:p w14:paraId="0A519E00">
            <w:pPr>
              <w:keepNext w:val="0"/>
              <w:keepLines w:val="0"/>
              <w:pageBreakBefore w:val="0"/>
              <w:kinsoku/>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kern w:val="0"/>
                <w:sz w:val="21"/>
                <w:szCs w:val="21"/>
                <w:highlight w:val="none"/>
              </w:rPr>
              <w:t>（客观分）</w:t>
            </w:r>
          </w:p>
        </w:tc>
      </w:tr>
      <w:tr w14:paraId="2DFB5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2" w:hRule="atLeast"/>
        </w:trPr>
        <w:tc>
          <w:tcPr>
            <w:tcW w:w="719" w:type="dxa"/>
            <w:vMerge w:val="continue"/>
            <w:tcBorders>
              <w:left w:val="single" w:color="auto" w:sz="4" w:space="0"/>
              <w:right w:val="single" w:color="auto" w:sz="4" w:space="0"/>
            </w:tcBorders>
            <w:noWrap w:val="0"/>
            <w:vAlign w:val="top"/>
          </w:tcPr>
          <w:p w14:paraId="502499A9">
            <w:pPr>
              <w:pStyle w:val="11"/>
              <w:keepNext w:val="0"/>
              <w:keepLines w:val="0"/>
              <w:pageBreakBefore w:val="0"/>
              <w:widowControl/>
              <w:kinsoku/>
              <w:wordWrap w:val="0"/>
              <w:overflowPunct/>
              <w:topLinePunct w:val="0"/>
              <w:autoSpaceDE/>
              <w:autoSpaceDN/>
              <w:bidi w:val="0"/>
              <w:spacing w:line="400" w:lineRule="exact"/>
              <w:rPr>
                <w:rFonts w:hint="eastAsia" w:ascii="宋体" w:hAnsi="宋体" w:eastAsia="宋体" w:cs="宋体"/>
                <w:bCs/>
                <w:color w:val="auto"/>
                <w:sz w:val="21"/>
                <w:szCs w:val="21"/>
                <w:highlight w:val="none"/>
              </w:rPr>
            </w:pPr>
          </w:p>
        </w:tc>
        <w:tc>
          <w:tcPr>
            <w:tcW w:w="7586" w:type="dxa"/>
            <w:gridSpan w:val="2"/>
            <w:tcBorders>
              <w:top w:val="single" w:color="auto" w:sz="4" w:space="0"/>
              <w:left w:val="single" w:color="auto" w:sz="4" w:space="0"/>
              <w:bottom w:val="single" w:color="auto" w:sz="4" w:space="0"/>
              <w:right w:val="single" w:color="auto" w:sz="4" w:space="0"/>
            </w:tcBorders>
            <w:noWrap w:val="0"/>
            <w:vAlign w:val="center"/>
          </w:tcPr>
          <w:p w14:paraId="7C2BD89D">
            <w:pPr>
              <w:keepNext w:val="0"/>
              <w:keepLines w:val="0"/>
              <w:pageBreakBefore w:val="0"/>
              <w:kinsoku/>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Hans"/>
              </w:rPr>
            </w:pPr>
            <w:r>
              <w:rPr>
                <w:rFonts w:hint="eastAsia" w:ascii="宋体" w:hAnsi="宋体" w:eastAsia="宋体" w:cs="宋体"/>
                <w:color w:val="auto"/>
                <w:sz w:val="21"/>
                <w:szCs w:val="21"/>
                <w:highlight w:val="none"/>
                <w:lang w:eastAsia="zh-Hans"/>
              </w:rPr>
              <w:t>（2）综合实力分（满分</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eastAsia="zh-Hans"/>
              </w:rPr>
              <w:t>分）</w:t>
            </w:r>
          </w:p>
          <w:p w14:paraId="5ED57D19">
            <w:pPr>
              <w:keepNext w:val="0"/>
              <w:keepLines w:val="0"/>
              <w:pageBreakBefore w:val="0"/>
              <w:kinsoku/>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Hans"/>
              </w:rPr>
            </w:pPr>
            <w:r>
              <w:rPr>
                <w:rFonts w:hint="eastAsia" w:ascii="宋体" w:hAnsi="宋体" w:eastAsia="宋体" w:cs="宋体"/>
                <w:color w:val="auto"/>
                <w:sz w:val="21"/>
                <w:szCs w:val="21"/>
                <w:highlight w:val="none"/>
                <w:lang w:val="en-US" w:eastAsia="zh-CN"/>
              </w:rPr>
              <w:t>①</w:t>
            </w:r>
            <w:r>
              <w:rPr>
                <w:rFonts w:hint="eastAsia" w:ascii="宋体" w:hAnsi="宋体" w:eastAsia="宋体" w:cs="宋体"/>
                <w:color w:val="auto"/>
                <w:sz w:val="21"/>
                <w:szCs w:val="21"/>
                <w:highlight w:val="none"/>
                <w:lang w:val="en-US" w:eastAsia="zh-Hans"/>
              </w:rPr>
              <w:t>投标人具有</w:t>
            </w:r>
            <w:r>
              <w:rPr>
                <w:rFonts w:hint="eastAsia" w:ascii="宋体" w:hAnsi="宋体" w:eastAsia="宋体" w:cs="宋体"/>
                <w:color w:val="auto"/>
                <w:sz w:val="21"/>
                <w:szCs w:val="21"/>
                <w:highlight w:val="none"/>
                <w:lang w:val="en-US" w:eastAsia="zh-CN"/>
              </w:rPr>
              <w:t>中华人民共和国国家版权局颁发的课程建设作品登记证书的</w:t>
            </w:r>
            <w:r>
              <w:rPr>
                <w:rFonts w:hint="eastAsia" w:ascii="宋体" w:hAnsi="宋体" w:eastAsia="宋体" w:cs="宋体"/>
                <w:color w:val="auto"/>
                <w:sz w:val="21"/>
                <w:szCs w:val="21"/>
                <w:highlight w:val="none"/>
                <w:lang w:val="en-US" w:eastAsia="zh-Hans"/>
              </w:rPr>
              <w:t>，得</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Hans"/>
              </w:rPr>
              <w:t>分；</w:t>
            </w:r>
          </w:p>
          <w:p w14:paraId="202BB39A">
            <w:pPr>
              <w:keepNext w:val="0"/>
              <w:keepLines w:val="0"/>
              <w:pageBreakBefore w:val="0"/>
              <w:kinsoku/>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②</w:t>
            </w:r>
            <w:r>
              <w:rPr>
                <w:rFonts w:hint="eastAsia" w:ascii="宋体" w:hAnsi="宋体" w:eastAsia="宋体" w:cs="宋体"/>
                <w:color w:val="auto"/>
                <w:sz w:val="21"/>
                <w:szCs w:val="21"/>
                <w:highlight w:val="none"/>
                <w:lang w:val="en-US" w:eastAsia="zh-Hans"/>
              </w:rPr>
              <w:t>投标人具有</w:t>
            </w:r>
            <w:r>
              <w:rPr>
                <w:rFonts w:hint="eastAsia" w:ascii="宋体" w:hAnsi="宋体" w:eastAsia="宋体" w:cs="宋体"/>
                <w:color w:val="auto"/>
                <w:sz w:val="21"/>
                <w:szCs w:val="21"/>
                <w:highlight w:val="none"/>
                <w:lang w:val="en-US" w:eastAsia="zh-CN"/>
              </w:rPr>
              <w:t>中华人民共和国国家版权局颁发的教材编写指导作品登记证书的，得3分。</w:t>
            </w:r>
          </w:p>
          <w:p w14:paraId="1E30E284">
            <w:pPr>
              <w:pStyle w:val="20"/>
              <w:keepNext w:val="0"/>
              <w:keepLines w:val="0"/>
              <w:pageBreakBefore w:val="0"/>
              <w:kinsoku/>
              <w:overflowPunct/>
              <w:topLinePunct w:val="0"/>
              <w:autoSpaceDE/>
              <w:autoSpaceDN/>
              <w:bidi w:val="0"/>
              <w:spacing w:line="400" w:lineRule="exact"/>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注：</w:t>
            </w:r>
            <w:r>
              <w:rPr>
                <w:rFonts w:hint="eastAsia" w:ascii="宋体" w:hAnsi="宋体" w:eastAsia="宋体" w:cs="宋体"/>
                <w:b/>
                <w:bCs/>
                <w:color w:val="auto"/>
                <w:sz w:val="21"/>
                <w:szCs w:val="21"/>
                <w:highlight w:val="none"/>
                <w:lang w:eastAsia="zh-Hans"/>
              </w:rPr>
              <w:t>须提供以上有效的</w:t>
            </w:r>
            <w:r>
              <w:rPr>
                <w:rFonts w:hint="eastAsia" w:ascii="宋体" w:hAnsi="宋体" w:eastAsia="宋体" w:cs="宋体"/>
                <w:b/>
                <w:bCs/>
                <w:color w:val="auto"/>
                <w:sz w:val="21"/>
                <w:szCs w:val="21"/>
                <w:highlight w:val="none"/>
                <w:lang w:val="en-US" w:eastAsia="zh-CN"/>
              </w:rPr>
              <w:t>证明材料并</w:t>
            </w:r>
            <w:r>
              <w:rPr>
                <w:rFonts w:hint="eastAsia" w:ascii="宋体" w:hAnsi="宋体" w:eastAsia="宋体" w:cs="宋体"/>
                <w:b/>
                <w:bCs/>
                <w:color w:val="auto"/>
                <w:sz w:val="21"/>
                <w:szCs w:val="21"/>
                <w:highlight w:val="none"/>
                <w:lang w:eastAsia="zh-Hans"/>
              </w:rPr>
              <w:t>加盖供应商公章，未提供或者提供的资料不符合要求的则不得分</w:t>
            </w:r>
            <w:r>
              <w:rPr>
                <w:rFonts w:hint="eastAsia" w:ascii="宋体" w:hAnsi="宋体" w:eastAsia="宋体" w:cs="宋体"/>
                <w:color w:val="auto"/>
                <w:sz w:val="21"/>
                <w:szCs w:val="21"/>
                <w:highlight w:val="none"/>
                <w:lang w:eastAsia="zh-Hans"/>
              </w:rPr>
              <w:t>。</w:t>
            </w:r>
          </w:p>
        </w:tc>
        <w:tc>
          <w:tcPr>
            <w:tcW w:w="1355" w:type="dxa"/>
            <w:tcBorders>
              <w:top w:val="single" w:color="auto" w:sz="4" w:space="0"/>
              <w:left w:val="single" w:color="auto" w:sz="4" w:space="0"/>
              <w:bottom w:val="single" w:color="auto" w:sz="4" w:space="0"/>
              <w:right w:val="single" w:color="auto" w:sz="4" w:space="0"/>
            </w:tcBorders>
            <w:noWrap w:val="0"/>
            <w:vAlign w:val="center"/>
          </w:tcPr>
          <w:p w14:paraId="1C0EC9FC">
            <w:pPr>
              <w:keepNext w:val="0"/>
              <w:keepLines w:val="0"/>
              <w:pageBreakBefore w:val="0"/>
              <w:kinsoku/>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0"/>
                <w:sz w:val="21"/>
                <w:szCs w:val="21"/>
                <w:highlight w:val="none"/>
                <w:lang w:eastAsia="zh-CN"/>
              </w:rPr>
            </w:pPr>
            <w:r>
              <w:rPr>
                <w:rFonts w:hint="eastAsia" w:ascii="宋体" w:hAnsi="宋体" w:eastAsia="宋体" w:cs="宋体"/>
                <w:bCs/>
                <w:color w:val="auto"/>
                <w:kern w:val="0"/>
                <w:sz w:val="21"/>
                <w:szCs w:val="21"/>
                <w:highlight w:val="none"/>
              </w:rPr>
              <w:t>0~</w:t>
            </w:r>
            <w:r>
              <w:rPr>
                <w:rFonts w:hint="eastAsia" w:ascii="宋体" w:hAnsi="宋体" w:eastAsia="宋体" w:cs="宋体"/>
                <w:bCs/>
                <w:color w:val="auto"/>
                <w:kern w:val="0"/>
                <w:sz w:val="21"/>
                <w:szCs w:val="21"/>
                <w:highlight w:val="none"/>
                <w:lang w:val="en-US" w:eastAsia="zh-CN"/>
              </w:rPr>
              <w:t>6</w:t>
            </w:r>
          </w:p>
          <w:p w14:paraId="0E3B58BA">
            <w:pPr>
              <w:keepNext w:val="0"/>
              <w:keepLines w:val="0"/>
              <w:pageBreakBefore w:val="0"/>
              <w:kinsoku/>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rPr>
              <w:t>（客观分）</w:t>
            </w:r>
          </w:p>
        </w:tc>
      </w:tr>
      <w:bookmarkEnd w:id="155"/>
    </w:tbl>
    <w:p w14:paraId="30CF5458">
      <w:pPr>
        <w:pStyle w:val="3"/>
        <w:jc w:val="center"/>
        <w:rPr>
          <w:rFonts w:hint="eastAsia"/>
          <w:b w:val="0"/>
          <w:sz w:val="30"/>
          <w:szCs w:val="30"/>
        </w:rPr>
      </w:pPr>
      <w:bookmarkStart w:id="156" w:name="_Toc211960313"/>
      <w:r>
        <w:rPr>
          <w:rFonts w:hint="eastAsia"/>
          <w:b w:val="0"/>
          <w:sz w:val="30"/>
          <w:szCs w:val="30"/>
        </w:rPr>
        <w:br w:type="page"/>
      </w:r>
      <w:r>
        <w:rPr>
          <w:rFonts w:hint="eastAsia"/>
          <w:b w:val="0"/>
          <w:sz w:val="30"/>
          <w:szCs w:val="30"/>
        </w:rPr>
        <w:t>第四节</w:t>
      </w:r>
      <w:r>
        <w:rPr>
          <w:b w:val="0"/>
          <w:sz w:val="30"/>
          <w:szCs w:val="30"/>
        </w:rPr>
        <w:t xml:space="preserve"> </w:t>
      </w:r>
      <w:r>
        <w:rPr>
          <w:rFonts w:hint="eastAsia"/>
          <w:b w:val="0"/>
          <w:sz w:val="30"/>
          <w:szCs w:val="30"/>
        </w:rPr>
        <w:t>中标候选人推荐原则</w:t>
      </w:r>
      <w:bookmarkEnd w:id="156"/>
    </w:p>
    <w:p w14:paraId="469B2FA8">
      <w:pPr>
        <w:pStyle w:val="11"/>
        <w:spacing w:line="360" w:lineRule="auto"/>
        <w:ind w:firstLine="420" w:firstLineChars="200"/>
        <w:rPr>
          <w:rFonts w:hint="eastAsia" w:hAnsi="宋体"/>
        </w:rPr>
      </w:pPr>
      <w:r>
        <w:rPr>
          <w:rFonts w:hint="eastAsia" w:hAnsi="宋体"/>
        </w:rPr>
        <w:t>评标委员会将根据总得分由高到低排列次序并推荐中标候选人。总得分相同的，以投标报价由低到高顺序排列。得分相同且投标报价相同的并列，投标文件满足招标文件全部实质性要求，且按照评审因素的量化指标评审得分最高的投标人为排名第一的中标候选人。</w:t>
      </w:r>
    </w:p>
    <w:p w14:paraId="2C9DFCFC">
      <w:pPr>
        <w:pStyle w:val="3"/>
        <w:spacing w:before="0" w:after="0" w:line="360" w:lineRule="auto"/>
        <w:ind w:firstLine="600" w:firstLineChars="200"/>
        <w:jc w:val="center"/>
        <w:rPr>
          <w:rFonts w:hint="eastAsia"/>
          <w:b w:val="0"/>
          <w:sz w:val="30"/>
          <w:szCs w:val="30"/>
        </w:rPr>
      </w:pPr>
      <w:bookmarkStart w:id="157" w:name="_Toc211960314"/>
      <w:r>
        <w:rPr>
          <w:rFonts w:hint="eastAsia"/>
          <w:b w:val="0"/>
          <w:sz w:val="30"/>
          <w:szCs w:val="30"/>
        </w:rPr>
        <w:t>第五节</w:t>
      </w:r>
      <w:r>
        <w:rPr>
          <w:b w:val="0"/>
          <w:sz w:val="30"/>
          <w:szCs w:val="30"/>
        </w:rPr>
        <w:t xml:space="preserve"> </w:t>
      </w:r>
      <w:r>
        <w:rPr>
          <w:rFonts w:hint="eastAsia"/>
          <w:b w:val="0"/>
          <w:sz w:val="30"/>
          <w:szCs w:val="30"/>
        </w:rPr>
        <w:t>评标报告</w:t>
      </w:r>
      <w:bookmarkEnd w:id="157"/>
    </w:p>
    <w:p w14:paraId="53173FAD">
      <w:pPr>
        <w:pStyle w:val="23"/>
        <w:spacing w:before="0"/>
        <w:ind w:firstLine="482"/>
        <w:rPr>
          <w:rFonts w:ascii="宋体" w:hAnsi="宋体"/>
          <w:b/>
          <w:bCs/>
          <w:szCs w:val="24"/>
        </w:rPr>
      </w:pPr>
      <w:r>
        <w:rPr>
          <w:rFonts w:hint="eastAsia" w:ascii="宋体" w:hAnsi="宋体"/>
          <w:b/>
          <w:bCs/>
          <w:szCs w:val="24"/>
        </w:rPr>
        <w:t>（一）评标报告与推荐中标候选人</w:t>
      </w:r>
    </w:p>
    <w:p w14:paraId="69E834D4">
      <w:pPr>
        <w:pStyle w:val="11"/>
        <w:tabs>
          <w:tab w:val="left" w:pos="2472"/>
        </w:tabs>
        <w:spacing w:line="360" w:lineRule="auto"/>
        <w:ind w:firstLine="420" w:firstLineChars="200"/>
        <w:rPr>
          <w:rFonts w:hint="eastAsia" w:hAnsi="宋体"/>
        </w:rPr>
      </w:pPr>
      <w:r>
        <w:rPr>
          <w:rFonts w:hint="eastAsia" w:hAnsi="宋体"/>
        </w:rPr>
        <w:t>评标委员会根据原始评标记录和评标结果编写评标报告，并通过电子交易平台向采购人、采购代理机构提交。</w:t>
      </w:r>
    </w:p>
    <w:p w14:paraId="5AD68B42">
      <w:pPr>
        <w:widowControl/>
        <w:spacing w:line="360" w:lineRule="auto"/>
        <w:ind w:firstLine="482" w:firstLineChars="200"/>
        <w:jc w:val="left"/>
        <w:rPr>
          <w:rFonts w:hint="eastAsia" w:ascii="宋体" w:hAnsi="宋体"/>
          <w:b/>
          <w:bCs/>
          <w:sz w:val="24"/>
        </w:rPr>
      </w:pPr>
      <w:r>
        <w:rPr>
          <w:rFonts w:hint="eastAsia" w:ascii="宋体" w:hAnsi="宋体"/>
          <w:b/>
          <w:bCs/>
          <w:sz w:val="24"/>
        </w:rPr>
        <w:t>（二）评标争议事项处理</w:t>
      </w:r>
    </w:p>
    <w:p w14:paraId="40FF7209">
      <w:pPr>
        <w:pStyle w:val="11"/>
        <w:tabs>
          <w:tab w:val="left" w:pos="2472"/>
        </w:tabs>
        <w:spacing w:line="360" w:lineRule="auto"/>
        <w:ind w:firstLine="420" w:firstLineChars="200"/>
        <w:rPr>
          <w:rFonts w:hint="eastAsia" w:hAnsi="宋体"/>
        </w:rPr>
      </w:pPr>
      <w:r>
        <w:rPr>
          <w:rFonts w:hint="eastAsia" w:hAnsi="宋体"/>
        </w:rPr>
        <w:t>评标委员会成员对需要共同认定的事项存在争议的，应当按照少数服从多数的原则作出结论。持不同意见的评标委员会成员应当在评标报告上签署不同意见及理由，否则视为同意评标报告。</w:t>
      </w:r>
    </w:p>
    <w:p w14:paraId="7CF75501">
      <w:pPr>
        <w:widowControl/>
        <w:jc w:val="left"/>
        <w:rPr>
          <w:b/>
          <w:sz w:val="36"/>
          <w:szCs w:val="20"/>
        </w:rPr>
        <w:sectPr>
          <w:pgSz w:w="11906" w:h="16838"/>
          <w:pgMar w:top="1134" w:right="1134" w:bottom="1134" w:left="1134" w:header="720" w:footer="720" w:gutter="0"/>
          <w:cols w:space="720" w:num="1"/>
          <w:docGrid w:type="lines" w:linePitch="331" w:charSpace="0"/>
        </w:sectPr>
      </w:pPr>
    </w:p>
    <w:p w14:paraId="4534D45A">
      <w:pPr>
        <w:pStyle w:val="11"/>
        <w:tabs>
          <w:tab w:val="left" w:pos="2472"/>
        </w:tabs>
        <w:spacing w:line="460" w:lineRule="exact"/>
        <w:jc w:val="center"/>
        <w:rPr>
          <w:rFonts w:hint="eastAsia" w:ascii="Times New Roman" w:hAnsi="Times New Roman"/>
          <w:b/>
          <w:sz w:val="36"/>
        </w:rPr>
      </w:pPr>
    </w:p>
    <w:p w14:paraId="6569B949">
      <w:pPr>
        <w:pStyle w:val="11"/>
        <w:tabs>
          <w:tab w:val="left" w:pos="2472"/>
        </w:tabs>
        <w:spacing w:line="460" w:lineRule="exact"/>
        <w:jc w:val="center"/>
        <w:rPr>
          <w:rFonts w:ascii="Times New Roman" w:hAnsi="Times New Roman"/>
          <w:b/>
          <w:sz w:val="36"/>
        </w:rPr>
      </w:pPr>
    </w:p>
    <w:p w14:paraId="5DA3FCBD">
      <w:pPr>
        <w:pStyle w:val="11"/>
        <w:tabs>
          <w:tab w:val="left" w:pos="2472"/>
        </w:tabs>
        <w:spacing w:line="460" w:lineRule="exact"/>
        <w:jc w:val="center"/>
        <w:rPr>
          <w:rFonts w:ascii="Times New Roman" w:hAnsi="Times New Roman"/>
          <w:b/>
          <w:sz w:val="36"/>
        </w:rPr>
      </w:pPr>
    </w:p>
    <w:p w14:paraId="79AB6545">
      <w:pPr>
        <w:pStyle w:val="11"/>
        <w:tabs>
          <w:tab w:val="left" w:pos="2472"/>
        </w:tabs>
        <w:spacing w:line="460" w:lineRule="exact"/>
        <w:jc w:val="center"/>
        <w:rPr>
          <w:rFonts w:ascii="Times New Roman" w:hAnsi="Times New Roman"/>
          <w:b/>
          <w:sz w:val="36"/>
        </w:rPr>
      </w:pPr>
    </w:p>
    <w:p w14:paraId="626FD98A">
      <w:pPr>
        <w:pStyle w:val="11"/>
        <w:tabs>
          <w:tab w:val="left" w:pos="2472"/>
        </w:tabs>
        <w:spacing w:line="460" w:lineRule="exact"/>
        <w:jc w:val="center"/>
        <w:rPr>
          <w:rFonts w:ascii="Times New Roman" w:hAnsi="Times New Roman"/>
          <w:b/>
          <w:sz w:val="36"/>
        </w:rPr>
      </w:pPr>
    </w:p>
    <w:p w14:paraId="3F58C124">
      <w:pPr>
        <w:pStyle w:val="11"/>
        <w:tabs>
          <w:tab w:val="left" w:pos="2472"/>
        </w:tabs>
        <w:spacing w:line="460" w:lineRule="exact"/>
        <w:jc w:val="center"/>
        <w:rPr>
          <w:rFonts w:ascii="Times New Roman" w:hAnsi="Times New Roman"/>
          <w:b/>
          <w:sz w:val="36"/>
        </w:rPr>
      </w:pPr>
    </w:p>
    <w:p w14:paraId="2F074D05">
      <w:pPr>
        <w:pStyle w:val="11"/>
        <w:tabs>
          <w:tab w:val="left" w:pos="2472"/>
        </w:tabs>
        <w:spacing w:line="460" w:lineRule="exact"/>
        <w:jc w:val="center"/>
        <w:rPr>
          <w:rFonts w:ascii="Times New Roman" w:hAnsi="Times New Roman"/>
          <w:b/>
          <w:sz w:val="36"/>
        </w:rPr>
      </w:pPr>
    </w:p>
    <w:p w14:paraId="3124392E">
      <w:pPr>
        <w:pStyle w:val="11"/>
        <w:tabs>
          <w:tab w:val="left" w:pos="2472"/>
        </w:tabs>
        <w:spacing w:line="460" w:lineRule="exact"/>
        <w:jc w:val="center"/>
        <w:rPr>
          <w:rFonts w:ascii="Times New Roman" w:hAnsi="Times New Roman"/>
          <w:b/>
          <w:sz w:val="36"/>
        </w:rPr>
      </w:pPr>
    </w:p>
    <w:p w14:paraId="7C1E1974">
      <w:pPr>
        <w:pStyle w:val="11"/>
        <w:tabs>
          <w:tab w:val="left" w:pos="2472"/>
        </w:tabs>
        <w:spacing w:line="460" w:lineRule="exact"/>
        <w:jc w:val="center"/>
        <w:rPr>
          <w:rFonts w:ascii="Times New Roman" w:hAnsi="Times New Roman"/>
          <w:b/>
          <w:sz w:val="36"/>
        </w:rPr>
      </w:pPr>
    </w:p>
    <w:p w14:paraId="029F8507">
      <w:pPr>
        <w:pStyle w:val="11"/>
        <w:tabs>
          <w:tab w:val="left" w:pos="2472"/>
        </w:tabs>
        <w:spacing w:line="460" w:lineRule="exact"/>
        <w:jc w:val="center"/>
        <w:rPr>
          <w:rFonts w:ascii="Times New Roman" w:hAnsi="Times New Roman"/>
          <w:b/>
          <w:sz w:val="36"/>
        </w:rPr>
      </w:pPr>
    </w:p>
    <w:p w14:paraId="501195F5">
      <w:pPr>
        <w:pStyle w:val="11"/>
        <w:tabs>
          <w:tab w:val="left" w:pos="2472"/>
        </w:tabs>
        <w:spacing w:line="460" w:lineRule="exact"/>
        <w:jc w:val="center"/>
        <w:rPr>
          <w:rFonts w:ascii="Times New Roman" w:hAnsi="Times New Roman"/>
          <w:b/>
          <w:sz w:val="36"/>
        </w:rPr>
      </w:pPr>
    </w:p>
    <w:p w14:paraId="586A4124">
      <w:pPr>
        <w:pStyle w:val="11"/>
        <w:tabs>
          <w:tab w:val="left" w:pos="2472"/>
        </w:tabs>
        <w:spacing w:line="460" w:lineRule="exact"/>
        <w:jc w:val="center"/>
        <w:rPr>
          <w:rFonts w:ascii="Times New Roman" w:hAnsi="Times New Roman"/>
          <w:b/>
          <w:sz w:val="36"/>
        </w:rPr>
      </w:pPr>
    </w:p>
    <w:p w14:paraId="13F82B12">
      <w:pPr>
        <w:pStyle w:val="11"/>
        <w:tabs>
          <w:tab w:val="left" w:pos="2472"/>
        </w:tabs>
        <w:spacing w:line="460" w:lineRule="exact"/>
        <w:jc w:val="center"/>
        <w:rPr>
          <w:rFonts w:ascii="Times New Roman" w:hAnsi="Times New Roman"/>
          <w:b/>
          <w:sz w:val="36"/>
        </w:rPr>
      </w:pPr>
    </w:p>
    <w:p w14:paraId="36E10320">
      <w:pPr>
        <w:pStyle w:val="11"/>
        <w:tabs>
          <w:tab w:val="left" w:pos="2472"/>
        </w:tabs>
        <w:spacing w:line="460" w:lineRule="exact"/>
        <w:jc w:val="center"/>
        <w:outlineLvl w:val="0"/>
        <w:rPr>
          <w:rFonts w:ascii="Times New Roman" w:hAnsi="Times New Roman"/>
          <w:b/>
          <w:sz w:val="36"/>
        </w:rPr>
      </w:pPr>
      <w:bookmarkStart w:id="158" w:name="_Toc211960315"/>
      <w:r>
        <w:rPr>
          <w:rFonts w:hint="eastAsia" w:ascii="Times New Roman" w:hAnsi="Times New Roman"/>
          <w:b/>
          <w:sz w:val="36"/>
        </w:rPr>
        <w:t>第五章</w:t>
      </w:r>
      <w:r>
        <w:rPr>
          <w:rFonts w:ascii="Times New Roman" w:hAnsi="Times New Roman"/>
          <w:b/>
          <w:sz w:val="36"/>
        </w:rPr>
        <w:t xml:space="preserve"> </w:t>
      </w:r>
      <w:r>
        <w:rPr>
          <w:rFonts w:hint="eastAsia" w:ascii="Times New Roman" w:hAnsi="Times New Roman"/>
          <w:b/>
          <w:sz w:val="36"/>
        </w:rPr>
        <w:t>拟签订的合同文本</w:t>
      </w:r>
      <w:bookmarkEnd w:id="158"/>
    </w:p>
    <w:p w14:paraId="4D3DA7A9">
      <w:pPr>
        <w:widowControl/>
        <w:jc w:val="left"/>
        <w:rPr>
          <w:rFonts w:ascii="宋体" w:hAnsi="Courier New"/>
          <w:bCs/>
          <w:szCs w:val="20"/>
        </w:rPr>
        <w:sectPr>
          <w:pgSz w:w="11906" w:h="16838"/>
          <w:pgMar w:top="1134" w:right="1134" w:bottom="1134" w:left="1134" w:header="720" w:footer="720" w:gutter="0"/>
          <w:cols w:space="720" w:num="1"/>
          <w:docGrid w:type="lines" w:linePitch="331" w:charSpace="0"/>
        </w:sectPr>
      </w:pPr>
    </w:p>
    <w:p w14:paraId="6C9E6D9A">
      <w:pPr>
        <w:spacing w:line="360" w:lineRule="auto"/>
        <w:rPr>
          <w:rFonts w:hint="eastAsia" w:ascii="仿宋_GB2312" w:hAnsi="楷体" w:eastAsia="仿宋_GB2312"/>
          <w:color w:val="000000"/>
          <w:sz w:val="24"/>
          <w:u w:val="single"/>
        </w:rPr>
      </w:pPr>
      <w:r>
        <w:rPr>
          <w:rFonts w:ascii="Arial" w:hAnsi="Arial" w:cs="Arial"/>
          <w:bCs/>
          <w:color w:val="000000"/>
          <w:kern w:val="0"/>
          <w:sz w:val="24"/>
        </w:rPr>
        <w:t> </w:t>
      </w:r>
      <w:bookmarkStart w:id="159" w:name="_Toc7442"/>
      <w:r>
        <w:rPr>
          <w:rFonts w:hint="eastAsia" w:ascii="仿宋_GB2312" w:hAnsi="楷体" w:eastAsia="仿宋_GB2312"/>
          <w:color w:val="000000"/>
          <w:sz w:val="24"/>
        </w:rPr>
        <w:t>广西政府采购云平台合同编号：</w:t>
      </w:r>
      <w:r>
        <w:rPr>
          <w:rFonts w:hint="eastAsia" w:ascii="仿宋_GB2312" w:hAnsi="楷体" w:eastAsia="仿宋_GB2312"/>
          <w:color w:val="000000"/>
          <w:sz w:val="24"/>
          <w:u w:val="single"/>
        </w:rPr>
        <w:t xml:space="preserve">           </w:t>
      </w:r>
    </w:p>
    <w:p w14:paraId="0CD97098">
      <w:pPr>
        <w:spacing w:line="360" w:lineRule="auto"/>
        <w:jc w:val="center"/>
        <w:rPr>
          <w:rFonts w:hint="eastAsia" w:ascii="宋体"/>
          <w:b/>
          <w:bCs/>
          <w:color w:val="000000"/>
          <w:sz w:val="52"/>
        </w:rPr>
      </w:pPr>
    </w:p>
    <w:p w14:paraId="13ED34C1">
      <w:pPr>
        <w:spacing w:line="360" w:lineRule="auto"/>
        <w:jc w:val="center"/>
        <w:rPr>
          <w:rFonts w:hint="eastAsia" w:ascii="宋体"/>
          <w:b/>
          <w:bCs/>
          <w:color w:val="000000"/>
          <w:sz w:val="52"/>
        </w:rPr>
      </w:pPr>
      <w:r>
        <w:rPr>
          <w:rFonts w:hint="eastAsia" w:ascii="宋体"/>
          <w:b/>
          <w:bCs/>
          <w:color w:val="000000"/>
          <w:sz w:val="52"/>
        </w:rPr>
        <w:t>南 宁 市 政 府 采 购</w:t>
      </w:r>
    </w:p>
    <w:p w14:paraId="700B109A">
      <w:pPr>
        <w:spacing w:line="360" w:lineRule="auto"/>
        <w:ind w:firstLine="420" w:firstLineChars="200"/>
        <w:rPr>
          <w:rFonts w:hint="eastAsia" w:ascii="宋体"/>
          <w:color w:val="000000"/>
        </w:rPr>
      </w:pPr>
    </w:p>
    <w:p w14:paraId="597641FE">
      <w:pPr>
        <w:spacing w:line="360" w:lineRule="auto"/>
        <w:ind w:firstLine="420" w:firstLineChars="200"/>
        <w:rPr>
          <w:rFonts w:hint="eastAsia" w:ascii="宋体"/>
          <w:color w:val="000000"/>
        </w:rPr>
      </w:pPr>
      <w:r>
        <w:rPr>
          <w:rFonts w:hint="eastAsia" w:ascii="宋体"/>
          <w:color w:val="000000"/>
        </w:rPr>
        <w:t xml:space="preserve">                                                 </w:t>
      </w:r>
    </w:p>
    <w:p w14:paraId="2CEA34FA">
      <w:pPr>
        <w:spacing w:line="360" w:lineRule="auto"/>
        <w:jc w:val="center"/>
        <w:rPr>
          <w:rFonts w:hint="eastAsia" w:ascii="宋体"/>
          <w:b/>
          <w:bCs/>
          <w:color w:val="000000"/>
          <w:sz w:val="44"/>
        </w:rPr>
      </w:pPr>
      <w:r>
        <w:rPr>
          <w:rFonts w:hint="eastAsia" w:ascii="宋体"/>
          <w:b/>
          <w:bCs/>
          <w:color w:val="000000"/>
          <w:sz w:val="44"/>
          <w:u w:val="single"/>
          <w:lang w:val="en-US" w:eastAsia="zh-CN"/>
        </w:rPr>
        <w:t xml:space="preserve">           </w:t>
      </w:r>
      <w:r>
        <w:rPr>
          <w:rFonts w:hint="eastAsia" w:ascii="宋体"/>
          <w:b/>
          <w:bCs/>
          <w:color w:val="000000"/>
          <w:sz w:val="44"/>
        </w:rPr>
        <w:t>合同</w:t>
      </w:r>
    </w:p>
    <w:p w14:paraId="4F82DB65">
      <w:pPr>
        <w:spacing w:line="360" w:lineRule="auto"/>
        <w:jc w:val="center"/>
        <w:rPr>
          <w:rFonts w:hint="eastAsia" w:ascii="宋体"/>
          <w:b/>
          <w:bCs/>
          <w:color w:val="000000"/>
          <w:sz w:val="44"/>
        </w:rPr>
      </w:pPr>
    </w:p>
    <w:p w14:paraId="697C74F9">
      <w:pPr>
        <w:spacing w:line="360" w:lineRule="auto"/>
        <w:jc w:val="center"/>
        <w:rPr>
          <w:rFonts w:hint="eastAsia" w:ascii="宋体"/>
          <w:b/>
          <w:bCs/>
          <w:color w:val="000000"/>
          <w:sz w:val="44"/>
        </w:rPr>
      </w:pPr>
    </w:p>
    <w:p w14:paraId="456A79C8">
      <w:pPr>
        <w:spacing w:line="360" w:lineRule="auto"/>
        <w:ind w:firstLine="3507" w:firstLineChars="794"/>
        <w:rPr>
          <w:rFonts w:hint="eastAsia" w:ascii="宋体"/>
          <w:b/>
          <w:bCs/>
          <w:color w:val="000000"/>
          <w:sz w:val="44"/>
        </w:rPr>
      </w:pPr>
    </w:p>
    <w:p w14:paraId="38ADBA65">
      <w:pPr>
        <w:spacing w:line="360" w:lineRule="auto"/>
        <w:ind w:firstLine="3507" w:firstLineChars="794"/>
        <w:rPr>
          <w:rFonts w:hint="eastAsia" w:ascii="宋体"/>
          <w:b/>
          <w:bCs/>
          <w:color w:val="000000"/>
          <w:sz w:val="44"/>
        </w:rPr>
      </w:pPr>
    </w:p>
    <w:p w14:paraId="2254173E">
      <w:pPr>
        <w:ind w:firstLine="1995" w:firstLineChars="552"/>
        <w:rPr>
          <w:rFonts w:hint="eastAsia" w:ascii="宋体" w:hAnsi="宋体"/>
          <w:b/>
          <w:color w:val="000000"/>
          <w:sz w:val="36"/>
          <w:szCs w:val="36"/>
        </w:rPr>
      </w:pPr>
      <w:r>
        <w:rPr>
          <w:rFonts w:hint="eastAsia" w:ascii="宋体" w:hAnsi="宋体"/>
          <w:b/>
          <w:color w:val="000000"/>
          <w:sz w:val="36"/>
          <w:szCs w:val="36"/>
        </w:rPr>
        <w:t>项目编号：</w:t>
      </w:r>
      <w:r>
        <w:rPr>
          <w:rFonts w:ascii="宋体" w:hAnsi="宋体"/>
          <w:b/>
          <w:color w:val="000000"/>
          <w:sz w:val="36"/>
          <w:szCs w:val="36"/>
          <w:u w:val="single"/>
        </w:rPr>
        <w:t xml:space="preserve"> </w:t>
      </w:r>
      <w:r>
        <w:rPr>
          <w:rFonts w:hint="eastAsia" w:ascii="宋体" w:hAnsi="宋体"/>
          <w:b/>
          <w:color w:val="000000"/>
          <w:sz w:val="36"/>
          <w:szCs w:val="36"/>
          <w:u w:val="single"/>
          <w:lang w:val="en-US" w:eastAsia="zh-CN"/>
        </w:rPr>
        <w:t xml:space="preserve">               </w:t>
      </w:r>
      <w:r>
        <w:rPr>
          <w:rFonts w:ascii="宋体" w:hAnsi="宋体"/>
          <w:b/>
          <w:color w:val="000000"/>
          <w:sz w:val="36"/>
          <w:szCs w:val="36"/>
          <w:u w:val="single"/>
        </w:rPr>
        <w:t xml:space="preserve"> </w:t>
      </w:r>
    </w:p>
    <w:p w14:paraId="72E60462">
      <w:pPr>
        <w:ind w:firstLine="1995" w:firstLineChars="552"/>
        <w:rPr>
          <w:rFonts w:hint="eastAsia" w:ascii="宋体" w:hAnsi="宋体"/>
          <w:b/>
          <w:color w:val="000000"/>
          <w:sz w:val="36"/>
          <w:szCs w:val="36"/>
        </w:rPr>
      </w:pPr>
      <w:r>
        <w:rPr>
          <w:rFonts w:hint="eastAsia" w:ascii="宋体" w:hAnsi="宋体"/>
          <w:b/>
          <w:color w:val="000000"/>
          <w:sz w:val="36"/>
          <w:szCs w:val="36"/>
        </w:rPr>
        <w:t>计划编号：</w:t>
      </w:r>
      <w:r>
        <w:rPr>
          <w:rFonts w:hint="eastAsia" w:ascii="宋体" w:hAnsi="宋体"/>
          <w:b/>
          <w:color w:val="000000"/>
          <w:sz w:val="36"/>
          <w:szCs w:val="36"/>
          <w:u w:val="single"/>
        </w:rPr>
        <w:t xml:space="preserve">  [采购计划文号]  </w:t>
      </w:r>
    </w:p>
    <w:p w14:paraId="3E3ABB7E">
      <w:pPr>
        <w:ind w:firstLine="1970" w:firstLineChars="545"/>
        <w:rPr>
          <w:rFonts w:hint="eastAsia" w:ascii="宋体" w:hAnsi="宋体"/>
          <w:b/>
          <w:color w:val="000000"/>
          <w:sz w:val="36"/>
          <w:szCs w:val="36"/>
          <w:u w:val="single"/>
        </w:rPr>
      </w:pPr>
    </w:p>
    <w:p w14:paraId="75A1EF20">
      <w:pPr>
        <w:tabs>
          <w:tab w:val="left" w:pos="7200"/>
        </w:tabs>
        <w:spacing w:line="360" w:lineRule="auto"/>
        <w:ind w:firstLine="1995" w:firstLineChars="552"/>
        <w:rPr>
          <w:rFonts w:hint="eastAsia" w:ascii="宋体" w:hAnsi="宋体"/>
          <w:b/>
          <w:color w:val="000000"/>
          <w:sz w:val="36"/>
          <w:szCs w:val="36"/>
          <w:u w:val="single"/>
        </w:rPr>
      </w:pPr>
      <w:r>
        <w:rPr>
          <w:rFonts w:hint="eastAsia" w:ascii="宋体" w:hAnsi="宋体"/>
          <w:b/>
          <w:color w:val="000000"/>
          <w:sz w:val="36"/>
          <w:szCs w:val="36"/>
        </w:rPr>
        <w:t>采购人：</w:t>
      </w:r>
      <w:r>
        <w:rPr>
          <w:rFonts w:ascii="宋体" w:hAnsi="宋体"/>
          <w:b/>
          <w:color w:val="000000"/>
          <w:sz w:val="36"/>
          <w:szCs w:val="36"/>
          <w:u w:val="single"/>
        </w:rPr>
        <w:t>南宁市第三职业技术学校</w:t>
      </w:r>
      <w:r>
        <w:rPr>
          <w:rFonts w:hint="eastAsia" w:ascii="宋体" w:hAnsi="宋体"/>
          <w:b/>
          <w:color w:val="000000"/>
          <w:sz w:val="36"/>
          <w:szCs w:val="36"/>
          <w:u w:val="single"/>
        </w:rPr>
        <w:t xml:space="preserve"> </w:t>
      </w:r>
    </w:p>
    <w:p w14:paraId="78479DA3">
      <w:pPr>
        <w:tabs>
          <w:tab w:val="left" w:pos="7380"/>
        </w:tabs>
        <w:spacing w:line="360" w:lineRule="auto"/>
        <w:ind w:firstLine="1995" w:firstLineChars="552"/>
        <w:rPr>
          <w:rFonts w:hint="eastAsia" w:ascii="宋体"/>
          <w:b/>
          <w:bCs/>
          <w:color w:val="000000"/>
          <w:sz w:val="44"/>
        </w:rPr>
      </w:pPr>
      <w:r>
        <w:rPr>
          <w:rFonts w:hint="eastAsia" w:ascii="宋体" w:hAnsi="宋体"/>
          <w:b/>
          <w:color w:val="000000"/>
          <w:sz w:val="36"/>
          <w:szCs w:val="36"/>
        </w:rPr>
        <w:t>中标供应商：</w:t>
      </w:r>
      <w:r>
        <w:rPr>
          <w:rFonts w:hint="eastAsia" w:ascii="宋体" w:hAnsi="宋体"/>
          <w:b/>
          <w:color w:val="000000"/>
          <w:sz w:val="36"/>
          <w:szCs w:val="36"/>
          <w:u w:val="single"/>
        </w:rPr>
        <w:t xml:space="preserve">                   </w:t>
      </w:r>
    </w:p>
    <w:p w14:paraId="7A846A7D">
      <w:pPr>
        <w:tabs>
          <w:tab w:val="left" w:pos="7380"/>
        </w:tabs>
        <w:spacing w:line="360" w:lineRule="auto"/>
        <w:rPr>
          <w:rFonts w:hint="eastAsia" w:ascii="宋体"/>
          <w:b/>
          <w:bCs/>
          <w:color w:val="000000"/>
          <w:sz w:val="44"/>
        </w:rPr>
      </w:pPr>
    </w:p>
    <w:p w14:paraId="47DFACAA">
      <w:pPr>
        <w:spacing w:before="120" w:line="360" w:lineRule="auto"/>
        <w:ind w:firstLine="960" w:firstLineChars="400"/>
        <w:rPr>
          <w:rFonts w:hint="eastAsia" w:ascii="仿宋_GB2312" w:hAnsi="楷体" w:eastAsia="仿宋_GB2312"/>
          <w:color w:val="000000"/>
          <w:sz w:val="24"/>
        </w:rPr>
      </w:pPr>
    </w:p>
    <w:p w14:paraId="09651F92">
      <w:pPr>
        <w:spacing w:before="120" w:line="360" w:lineRule="auto"/>
        <w:ind w:firstLine="960" w:firstLineChars="400"/>
        <w:rPr>
          <w:rFonts w:hint="eastAsia" w:ascii="仿宋_GB2312" w:hAnsi="楷体" w:eastAsia="仿宋_GB2312"/>
          <w:color w:val="000000"/>
          <w:sz w:val="24"/>
        </w:rPr>
      </w:pPr>
    </w:p>
    <w:p w14:paraId="21DDBA2E">
      <w:pPr>
        <w:spacing w:before="120" w:line="360" w:lineRule="auto"/>
        <w:ind w:firstLine="2280" w:firstLineChars="950"/>
        <w:rPr>
          <w:rFonts w:hint="eastAsia" w:ascii="宋体"/>
          <w:b/>
          <w:bCs/>
          <w:color w:val="000000"/>
          <w:sz w:val="44"/>
        </w:rPr>
      </w:pPr>
      <w:r>
        <w:rPr>
          <w:rFonts w:hint="eastAsia" w:ascii="仿宋_GB2312" w:hAnsi="楷体" w:eastAsia="仿宋_GB2312"/>
          <w:color w:val="000000"/>
          <w:sz w:val="24"/>
        </w:rPr>
        <w:t>签订日期：</w:t>
      </w:r>
      <w:r>
        <w:rPr>
          <w:rFonts w:hint="eastAsia" w:ascii="仿宋_GB2312" w:hAnsi="楷体" w:eastAsia="仿宋_GB2312"/>
          <w:color w:val="000000"/>
          <w:sz w:val="24"/>
          <w:u w:val="single"/>
        </w:rPr>
        <w:t xml:space="preserve">               </w:t>
      </w:r>
      <w:r>
        <w:rPr>
          <w:rFonts w:hint="eastAsia" w:ascii="仿宋_GB2312" w:hAnsi="楷体" w:eastAsia="仿宋_GB2312"/>
          <w:color w:val="000000"/>
          <w:sz w:val="24"/>
        </w:rPr>
        <w:t>年</w:t>
      </w:r>
      <w:r>
        <w:rPr>
          <w:rFonts w:hint="eastAsia" w:ascii="仿宋_GB2312" w:hAnsi="楷体" w:eastAsia="仿宋_GB2312"/>
          <w:color w:val="000000"/>
          <w:sz w:val="24"/>
          <w:u w:val="single"/>
        </w:rPr>
        <w:t xml:space="preserve">       </w:t>
      </w:r>
      <w:r>
        <w:rPr>
          <w:rFonts w:hint="eastAsia" w:ascii="仿宋_GB2312" w:hAnsi="楷体" w:eastAsia="仿宋_GB2312"/>
          <w:color w:val="000000"/>
          <w:sz w:val="24"/>
        </w:rPr>
        <w:t>月</w:t>
      </w:r>
      <w:r>
        <w:rPr>
          <w:rFonts w:hint="eastAsia" w:ascii="仿宋_GB2312" w:hAnsi="楷体" w:eastAsia="仿宋_GB2312"/>
          <w:color w:val="000000"/>
          <w:sz w:val="24"/>
          <w:u w:val="single"/>
        </w:rPr>
        <w:t xml:space="preserve">       </w:t>
      </w:r>
      <w:r>
        <w:rPr>
          <w:rFonts w:hint="eastAsia" w:ascii="仿宋_GB2312" w:hAnsi="楷体" w:eastAsia="仿宋_GB2312"/>
          <w:color w:val="000000"/>
          <w:sz w:val="24"/>
        </w:rPr>
        <w:t>日</w:t>
      </w:r>
    </w:p>
    <w:p w14:paraId="2B93F027">
      <w:pPr>
        <w:snapToGrid w:val="0"/>
        <w:spacing w:line="360" w:lineRule="auto"/>
        <w:jc w:val="center"/>
        <w:rPr>
          <w:rFonts w:hint="eastAsia" w:ascii="仿宋_GB2312" w:hAnsi="楷体" w:eastAsia="仿宋_GB2312"/>
          <w:b/>
          <w:color w:val="000000"/>
          <w:sz w:val="30"/>
          <w:szCs w:val="30"/>
        </w:rPr>
      </w:pPr>
      <w:r>
        <w:rPr>
          <w:rFonts w:hint="eastAsia" w:ascii="宋体"/>
          <w:b/>
          <w:bCs/>
          <w:color w:val="000000"/>
          <w:sz w:val="44"/>
        </w:rPr>
        <w:br w:type="page"/>
      </w:r>
      <w:r>
        <w:rPr>
          <w:rFonts w:hint="eastAsia" w:ascii="仿宋_GB2312" w:hAnsi="楷体" w:eastAsia="仿宋_GB2312"/>
          <w:b/>
          <w:color w:val="000000"/>
          <w:sz w:val="30"/>
          <w:szCs w:val="30"/>
        </w:rPr>
        <w:t>合同目录</w:t>
      </w:r>
    </w:p>
    <w:p w14:paraId="0577A1DB">
      <w:pPr>
        <w:snapToGrid w:val="0"/>
        <w:spacing w:line="360" w:lineRule="auto"/>
        <w:jc w:val="center"/>
        <w:rPr>
          <w:rFonts w:hint="eastAsia" w:ascii="宋体"/>
          <w:b/>
          <w:bCs/>
          <w:color w:val="000000"/>
          <w:sz w:val="30"/>
          <w:szCs w:val="30"/>
        </w:rPr>
      </w:pPr>
    </w:p>
    <w:p w14:paraId="38379E83">
      <w:pPr>
        <w:snapToGrid w:val="0"/>
        <w:spacing w:line="360" w:lineRule="auto"/>
        <w:rPr>
          <w:rFonts w:hint="eastAsia" w:ascii="仿宋_GB2312" w:hAnsi="仿宋" w:eastAsia="仿宋_GB2312" w:cs="仿宋_GB2312"/>
          <w:color w:val="000000"/>
          <w:kern w:val="0"/>
          <w:sz w:val="24"/>
        </w:rPr>
      </w:pPr>
      <w:r>
        <w:rPr>
          <w:rFonts w:hint="eastAsia" w:ascii="仿宋_GB2312" w:hAnsi="仿宋" w:eastAsia="仿宋_GB2312" w:cs="仿宋_GB2312"/>
          <w:color w:val="000000"/>
          <w:kern w:val="0"/>
          <w:sz w:val="24"/>
        </w:rPr>
        <w:t>一、</w:t>
      </w:r>
      <w:r>
        <w:rPr>
          <w:rFonts w:hint="eastAsia" w:ascii="仿宋_GB2312" w:hAnsi="仿宋" w:eastAsia="仿宋_GB2312"/>
          <w:color w:val="000000"/>
          <w:sz w:val="24"/>
        </w:rPr>
        <w:t>第一部分 合同书</w:t>
      </w:r>
      <w:r>
        <w:rPr>
          <w:rFonts w:hint="eastAsia" w:ascii="仿宋_GB2312" w:hAnsi="仿宋" w:eastAsia="仿宋_GB2312" w:cs="仿宋_GB2312"/>
          <w:color w:val="000000"/>
          <w:kern w:val="0"/>
          <w:sz w:val="24"/>
        </w:rPr>
        <w:t>…………………………………………………………（页码）</w:t>
      </w:r>
    </w:p>
    <w:p w14:paraId="748AF123">
      <w:pPr>
        <w:snapToGrid w:val="0"/>
        <w:spacing w:line="360" w:lineRule="auto"/>
        <w:rPr>
          <w:rFonts w:hint="eastAsia" w:ascii="仿宋_GB2312" w:hAnsi="仿宋" w:eastAsia="仿宋_GB2312" w:cs="仿宋_GB2312"/>
          <w:color w:val="000000"/>
          <w:kern w:val="0"/>
          <w:sz w:val="24"/>
        </w:rPr>
      </w:pPr>
      <w:r>
        <w:rPr>
          <w:rFonts w:hint="eastAsia" w:ascii="仿宋_GB2312" w:hAnsi="仿宋" w:eastAsia="仿宋_GB2312" w:cs="仿宋_GB2312"/>
          <w:color w:val="000000"/>
          <w:kern w:val="0"/>
          <w:sz w:val="24"/>
        </w:rPr>
        <w:t>二、第二部分 合同一般条款…………………………………………………（页码）</w:t>
      </w:r>
    </w:p>
    <w:p w14:paraId="3C38D2CD">
      <w:pPr>
        <w:snapToGrid w:val="0"/>
        <w:spacing w:line="360" w:lineRule="auto"/>
        <w:rPr>
          <w:rFonts w:hint="eastAsia" w:ascii="仿宋_GB2312" w:hAnsi="仿宋" w:eastAsia="仿宋_GB2312" w:cs="仿宋_GB2312"/>
          <w:color w:val="000000"/>
          <w:kern w:val="0"/>
          <w:sz w:val="24"/>
        </w:rPr>
      </w:pPr>
      <w:r>
        <w:rPr>
          <w:rFonts w:hint="eastAsia" w:ascii="仿宋_GB2312" w:hAnsi="仿宋" w:eastAsia="仿宋_GB2312" w:cs="仿宋_GB2312"/>
          <w:color w:val="000000"/>
          <w:kern w:val="0"/>
          <w:sz w:val="24"/>
        </w:rPr>
        <w:t>三、第三部分 合同专用条款…………………………………………………（页码）</w:t>
      </w:r>
    </w:p>
    <w:p w14:paraId="3288EF74">
      <w:pPr>
        <w:snapToGrid w:val="0"/>
        <w:spacing w:line="360" w:lineRule="auto"/>
        <w:rPr>
          <w:rFonts w:hint="eastAsia" w:ascii="仿宋_GB2312" w:hAnsi="仿宋" w:eastAsia="仿宋_GB2312" w:cs="仿宋_GB2312"/>
          <w:color w:val="000000"/>
          <w:kern w:val="0"/>
          <w:sz w:val="24"/>
        </w:rPr>
      </w:pPr>
      <w:r>
        <w:rPr>
          <w:rFonts w:hint="eastAsia" w:ascii="仿宋_GB2312" w:hAnsi="仿宋" w:eastAsia="仿宋_GB2312" w:cs="仿宋_GB2312"/>
          <w:color w:val="000000"/>
          <w:kern w:val="0"/>
          <w:sz w:val="24"/>
        </w:rPr>
        <w:t>四、</w:t>
      </w:r>
      <w:r>
        <w:rPr>
          <w:rFonts w:hint="eastAsia" w:ascii="仿宋_GB2312" w:hAnsi="仿宋" w:eastAsia="仿宋_GB2312"/>
          <w:color w:val="000000"/>
          <w:sz w:val="24"/>
        </w:rPr>
        <w:t>第四部分 合同附件</w:t>
      </w:r>
      <w:r>
        <w:rPr>
          <w:rFonts w:hint="eastAsia" w:ascii="仿宋_GB2312" w:hAnsi="仿宋" w:eastAsia="仿宋_GB2312" w:cs="仿宋_GB2312"/>
          <w:color w:val="000000"/>
          <w:kern w:val="0"/>
          <w:sz w:val="24"/>
        </w:rPr>
        <w:t>………………………………………………………（页码）</w:t>
      </w:r>
    </w:p>
    <w:p w14:paraId="7C29CFD1">
      <w:pPr>
        <w:snapToGrid w:val="0"/>
        <w:spacing w:line="360" w:lineRule="auto"/>
        <w:rPr>
          <w:rFonts w:hint="eastAsia" w:ascii="仿宋_GB2312" w:hAnsi="仿宋" w:eastAsia="仿宋_GB2312" w:cs="仿宋_GB2312"/>
          <w:color w:val="000000"/>
          <w:kern w:val="0"/>
          <w:sz w:val="24"/>
        </w:rPr>
      </w:pPr>
      <w:r>
        <w:rPr>
          <w:rFonts w:hint="eastAsia" w:ascii="仿宋_GB2312" w:hAnsi="仿宋" w:eastAsia="仿宋_GB2312" w:cs="仿宋_GB2312"/>
          <w:color w:val="000000"/>
          <w:kern w:val="0"/>
          <w:sz w:val="24"/>
        </w:rPr>
        <w:t>4.1中标通知书 ………………………………………………………………（页码）</w:t>
      </w:r>
    </w:p>
    <w:p w14:paraId="29BF105B">
      <w:pPr>
        <w:snapToGrid w:val="0"/>
        <w:spacing w:line="360" w:lineRule="auto"/>
        <w:rPr>
          <w:rFonts w:hint="eastAsia" w:ascii="仿宋_GB2312" w:hAnsi="仿宋" w:eastAsia="仿宋_GB2312" w:cs="仿宋_GB2312"/>
          <w:color w:val="000000"/>
          <w:kern w:val="0"/>
          <w:sz w:val="24"/>
        </w:rPr>
      </w:pPr>
      <w:r>
        <w:rPr>
          <w:rFonts w:hint="eastAsia" w:ascii="仿宋_GB2312" w:hAnsi="仿宋" w:eastAsia="仿宋_GB2312" w:cs="仿宋_GB2312"/>
          <w:color w:val="000000"/>
          <w:kern w:val="0"/>
          <w:sz w:val="24"/>
        </w:rPr>
        <w:t>4.2招标文件服务需求一览表 ………………………………………………（页码）</w:t>
      </w:r>
    </w:p>
    <w:p w14:paraId="6B03DF28">
      <w:pPr>
        <w:snapToGrid w:val="0"/>
        <w:spacing w:line="360" w:lineRule="auto"/>
        <w:rPr>
          <w:rFonts w:hint="eastAsia" w:ascii="仿宋_GB2312" w:hAnsi="仿宋" w:eastAsia="仿宋_GB2312" w:cs="仿宋_GB2312"/>
          <w:color w:val="000000"/>
          <w:kern w:val="0"/>
          <w:sz w:val="24"/>
        </w:rPr>
      </w:pPr>
      <w:r>
        <w:rPr>
          <w:rFonts w:hint="eastAsia" w:ascii="仿宋_GB2312" w:hAnsi="仿宋" w:eastAsia="仿宋_GB2312" w:cs="仿宋_GB2312"/>
          <w:color w:val="000000"/>
          <w:kern w:val="0"/>
          <w:sz w:val="24"/>
        </w:rPr>
        <w:t>4.3招标文件的更改通知（如有） …………………………………………（页码）</w:t>
      </w:r>
    </w:p>
    <w:p w14:paraId="187A5401">
      <w:pPr>
        <w:snapToGrid w:val="0"/>
        <w:spacing w:line="360" w:lineRule="auto"/>
        <w:rPr>
          <w:rFonts w:hint="eastAsia" w:ascii="仿宋_GB2312" w:hAnsi="仿宋" w:eastAsia="仿宋_GB2312" w:cs="仿宋_GB2312"/>
          <w:color w:val="000000"/>
          <w:kern w:val="0"/>
          <w:sz w:val="24"/>
        </w:rPr>
      </w:pPr>
      <w:r>
        <w:rPr>
          <w:rFonts w:hint="eastAsia" w:ascii="仿宋_GB2312" w:hAnsi="仿宋" w:eastAsia="仿宋_GB2312" w:cs="仿宋_GB2312"/>
          <w:color w:val="000000"/>
          <w:kern w:val="0"/>
          <w:sz w:val="24"/>
        </w:rPr>
        <w:t>4.4投标函 ……………………………………………………………………（页码）</w:t>
      </w:r>
    </w:p>
    <w:p w14:paraId="207046A3">
      <w:pPr>
        <w:snapToGrid w:val="0"/>
        <w:spacing w:line="360" w:lineRule="auto"/>
        <w:rPr>
          <w:rFonts w:hint="eastAsia" w:ascii="仿宋_GB2312" w:hAnsi="仿宋" w:eastAsia="仿宋_GB2312" w:cs="仿宋_GB2312"/>
          <w:color w:val="000000"/>
          <w:kern w:val="0"/>
          <w:sz w:val="24"/>
        </w:rPr>
      </w:pPr>
      <w:r>
        <w:rPr>
          <w:rFonts w:hint="eastAsia" w:ascii="仿宋_GB2312" w:hAnsi="仿宋" w:eastAsia="仿宋_GB2312" w:cs="仿宋_GB2312"/>
          <w:color w:val="000000"/>
          <w:kern w:val="0"/>
          <w:sz w:val="24"/>
        </w:rPr>
        <w:t>4.5报价表 ……………………………………………………………………（页码）</w:t>
      </w:r>
    </w:p>
    <w:p w14:paraId="2D1BDC35">
      <w:pPr>
        <w:snapToGrid w:val="0"/>
        <w:spacing w:line="360" w:lineRule="auto"/>
        <w:rPr>
          <w:rFonts w:hint="eastAsia" w:ascii="仿宋_GB2312" w:hAnsi="仿宋" w:eastAsia="仿宋_GB2312" w:cs="仿宋_GB2312"/>
          <w:color w:val="000000"/>
          <w:kern w:val="0"/>
          <w:sz w:val="24"/>
        </w:rPr>
      </w:pPr>
      <w:r>
        <w:rPr>
          <w:rFonts w:hint="eastAsia" w:ascii="仿宋_GB2312" w:hAnsi="仿宋" w:eastAsia="仿宋_GB2312" w:cs="仿宋_GB2312"/>
          <w:color w:val="000000"/>
          <w:kern w:val="0"/>
          <w:sz w:val="24"/>
        </w:rPr>
        <w:t>4.6投标服务技术资料表 …………………………………………………（页码）</w:t>
      </w:r>
    </w:p>
    <w:p w14:paraId="16BA7E21">
      <w:pPr>
        <w:snapToGrid w:val="0"/>
        <w:spacing w:line="360" w:lineRule="auto"/>
        <w:rPr>
          <w:rFonts w:hint="eastAsia" w:ascii="仿宋_GB2312" w:hAnsi="仿宋" w:eastAsia="仿宋_GB2312" w:cs="仿宋_GB2312"/>
          <w:color w:val="000000"/>
          <w:kern w:val="0"/>
          <w:sz w:val="24"/>
        </w:rPr>
      </w:pPr>
      <w:r>
        <w:rPr>
          <w:rFonts w:hint="eastAsia" w:ascii="仿宋_GB2312" w:hAnsi="仿宋" w:eastAsia="仿宋_GB2312" w:cs="仿宋_GB2312"/>
          <w:color w:val="000000"/>
          <w:kern w:val="0"/>
          <w:sz w:val="24"/>
        </w:rPr>
        <w:t>4.7商务条款偏离表 …………………………………………………………（页码）</w:t>
      </w:r>
    </w:p>
    <w:p w14:paraId="7C798B3B">
      <w:pPr>
        <w:snapToGrid w:val="0"/>
        <w:spacing w:line="360" w:lineRule="auto"/>
        <w:rPr>
          <w:rFonts w:hint="eastAsia" w:ascii="仿宋_GB2312" w:hAnsi="仿宋" w:eastAsia="仿宋_GB2312" w:cs="仿宋_GB2312"/>
          <w:color w:val="000000"/>
          <w:kern w:val="0"/>
          <w:sz w:val="24"/>
        </w:rPr>
      </w:pPr>
      <w:r>
        <w:rPr>
          <w:rFonts w:hint="eastAsia" w:ascii="仿宋_GB2312" w:hAnsi="仿宋" w:eastAsia="仿宋_GB2312" w:cs="仿宋_GB2312"/>
          <w:color w:val="000000"/>
          <w:kern w:val="0"/>
          <w:sz w:val="24"/>
        </w:rPr>
        <w:t>4.8中标供应商澄清函（如有请提供） ……………………………………（页码）</w:t>
      </w:r>
    </w:p>
    <w:p w14:paraId="69EAB770">
      <w:pPr>
        <w:snapToGrid w:val="0"/>
        <w:spacing w:line="360" w:lineRule="auto"/>
        <w:rPr>
          <w:rFonts w:hint="eastAsia" w:ascii="仿宋_GB2312" w:hAnsi="仿宋" w:eastAsia="仿宋_GB2312" w:cs="仿宋_GB2312"/>
          <w:color w:val="000000"/>
          <w:kern w:val="0"/>
          <w:sz w:val="24"/>
        </w:rPr>
      </w:pPr>
      <w:r>
        <w:rPr>
          <w:rFonts w:hint="eastAsia" w:ascii="仿宋_GB2312" w:hAnsi="仿宋" w:eastAsia="仿宋_GB2312" w:cs="仿宋_GB2312"/>
          <w:color w:val="000000"/>
          <w:kern w:val="0"/>
          <w:sz w:val="24"/>
        </w:rPr>
        <w:t>4.9其他与本合同相关的资料（如有请提供） ……………………………（页码）</w:t>
      </w:r>
    </w:p>
    <w:p w14:paraId="4CBFBFE2">
      <w:pPr>
        <w:pStyle w:val="11"/>
        <w:spacing w:line="720" w:lineRule="auto"/>
        <w:ind w:right="420"/>
        <w:jc w:val="center"/>
        <w:outlineLvl w:val="0"/>
        <w:rPr>
          <w:rFonts w:hint="eastAsia" w:hAnsi="宋体" w:cs="宋体"/>
          <w:b/>
          <w:bCs/>
          <w:sz w:val="32"/>
          <w:szCs w:val="32"/>
        </w:rPr>
      </w:pPr>
    </w:p>
    <w:p w14:paraId="0E01C50D">
      <w:pPr>
        <w:pStyle w:val="11"/>
        <w:spacing w:line="720" w:lineRule="auto"/>
        <w:ind w:right="420"/>
        <w:jc w:val="center"/>
        <w:outlineLvl w:val="0"/>
        <w:rPr>
          <w:rFonts w:hint="eastAsia" w:hAnsi="宋体" w:cs="宋体"/>
          <w:b/>
          <w:bCs/>
          <w:sz w:val="32"/>
          <w:szCs w:val="32"/>
        </w:rPr>
      </w:pPr>
    </w:p>
    <w:p w14:paraId="1CE72216">
      <w:pPr>
        <w:pStyle w:val="11"/>
        <w:spacing w:line="720" w:lineRule="auto"/>
        <w:ind w:right="420"/>
        <w:jc w:val="center"/>
        <w:outlineLvl w:val="0"/>
        <w:rPr>
          <w:rFonts w:hint="eastAsia" w:hAnsi="宋体" w:cs="宋体"/>
          <w:b/>
          <w:bCs/>
          <w:sz w:val="32"/>
          <w:szCs w:val="32"/>
        </w:rPr>
      </w:pPr>
    </w:p>
    <w:p w14:paraId="2A86646B">
      <w:pPr>
        <w:pStyle w:val="11"/>
        <w:spacing w:line="720" w:lineRule="auto"/>
        <w:ind w:right="420"/>
        <w:jc w:val="center"/>
        <w:outlineLvl w:val="0"/>
        <w:rPr>
          <w:rFonts w:hint="eastAsia" w:hAnsi="宋体" w:cs="宋体"/>
          <w:b/>
          <w:bCs/>
          <w:sz w:val="32"/>
          <w:szCs w:val="32"/>
        </w:rPr>
      </w:pPr>
    </w:p>
    <w:p w14:paraId="63C6C36D">
      <w:pPr>
        <w:pStyle w:val="11"/>
        <w:spacing w:line="720" w:lineRule="auto"/>
        <w:ind w:right="420"/>
        <w:jc w:val="center"/>
        <w:outlineLvl w:val="0"/>
        <w:rPr>
          <w:rFonts w:hint="eastAsia" w:hAnsi="宋体" w:cs="宋体"/>
          <w:b/>
          <w:bCs/>
          <w:sz w:val="32"/>
          <w:szCs w:val="32"/>
        </w:rPr>
      </w:pPr>
    </w:p>
    <w:p w14:paraId="573E76A5">
      <w:pPr>
        <w:pStyle w:val="11"/>
        <w:spacing w:line="720" w:lineRule="auto"/>
        <w:ind w:right="420"/>
        <w:jc w:val="center"/>
        <w:outlineLvl w:val="0"/>
        <w:rPr>
          <w:rFonts w:hint="eastAsia" w:hAnsi="宋体" w:cs="宋体"/>
          <w:b/>
          <w:bCs/>
          <w:sz w:val="32"/>
          <w:szCs w:val="32"/>
        </w:rPr>
      </w:pPr>
    </w:p>
    <w:p w14:paraId="3FF101BD">
      <w:pPr>
        <w:pStyle w:val="11"/>
        <w:spacing w:line="720" w:lineRule="auto"/>
        <w:ind w:right="420"/>
        <w:jc w:val="center"/>
        <w:outlineLvl w:val="0"/>
        <w:rPr>
          <w:rFonts w:hint="eastAsia" w:hAnsi="宋体" w:cs="宋体"/>
          <w:b/>
          <w:bCs/>
          <w:sz w:val="32"/>
          <w:szCs w:val="32"/>
        </w:rPr>
      </w:pPr>
    </w:p>
    <w:p w14:paraId="17870131">
      <w:pPr>
        <w:autoSpaceDE w:val="0"/>
        <w:autoSpaceDN w:val="0"/>
        <w:adjustRightInd w:val="0"/>
        <w:snapToGrid w:val="0"/>
        <w:spacing w:after="120" w:line="360" w:lineRule="auto"/>
        <w:ind w:left="420" w:leftChars="200" w:firstLine="562" w:firstLineChars="200"/>
        <w:jc w:val="center"/>
        <w:rPr>
          <w:rFonts w:hint="eastAsia" w:ascii="仿宋_GB2312" w:hAnsi="楷体" w:eastAsia="仿宋_GB2312"/>
          <w:b/>
          <w:color w:val="000000"/>
          <w:sz w:val="28"/>
          <w:szCs w:val="28"/>
        </w:rPr>
      </w:pPr>
      <w:r>
        <w:rPr>
          <w:rFonts w:hint="eastAsia" w:ascii="仿宋_GB2312" w:hAnsi="楷体" w:eastAsia="仿宋_GB2312"/>
          <w:b/>
          <w:color w:val="000000"/>
          <w:sz w:val="28"/>
          <w:szCs w:val="28"/>
        </w:rPr>
        <w:br w:type="page"/>
      </w:r>
      <w:r>
        <w:rPr>
          <w:rFonts w:hint="eastAsia" w:ascii="仿宋_GB2312" w:hAnsi="楷体" w:eastAsia="仿宋_GB2312"/>
          <w:b/>
          <w:color w:val="000000"/>
          <w:sz w:val="28"/>
          <w:szCs w:val="28"/>
        </w:rPr>
        <w:t>第一部分 合同书</w:t>
      </w:r>
    </w:p>
    <w:p w14:paraId="5C7CAE2A">
      <w:pPr>
        <w:spacing w:line="360" w:lineRule="auto"/>
        <w:ind w:firstLine="420" w:firstLineChars="200"/>
        <w:rPr>
          <w:rFonts w:hint="eastAsia" w:ascii="宋体" w:hAnsi="宋体"/>
          <w:color w:val="000000"/>
          <w:szCs w:val="21"/>
        </w:rPr>
      </w:pPr>
      <w:r>
        <w:rPr>
          <w:rFonts w:hint="eastAsia" w:ascii="宋体" w:hAnsi="宋体"/>
          <w:color w:val="000000"/>
          <w:szCs w:val="21"/>
          <w:u w:val="single"/>
          <w:lang w:val="zh-CN"/>
        </w:rPr>
        <w:t xml:space="preserve">     </w:t>
      </w:r>
      <w:r>
        <w:rPr>
          <w:rFonts w:hint="eastAsia" w:ascii="宋体" w:hAnsi="宋体"/>
          <w:color w:val="000000"/>
          <w:szCs w:val="21"/>
          <w:lang w:val="zh-CN"/>
        </w:rPr>
        <w:t>年</w:t>
      </w:r>
      <w:r>
        <w:rPr>
          <w:rFonts w:hint="eastAsia" w:ascii="宋体" w:hAnsi="宋体"/>
          <w:color w:val="000000"/>
          <w:szCs w:val="21"/>
          <w:u w:val="single"/>
          <w:lang w:val="zh-CN"/>
        </w:rPr>
        <w:t xml:space="preserve">    </w:t>
      </w:r>
      <w:r>
        <w:rPr>
          <w:rFonts w:hint="eastAsia" w:ascii="宋体" w:hAnsi="宋体"/>
          <w:color w:val="000000"/>
          <w:szCs w:val="21"/>
          <w:lang w:val="zh-CN"/>
        </w:rPr>
        <w:t>月</w:t>
      </w:r>
      <w:r>
        <w:rPr>
          <w:rFonts w:hint="eastAsia" w:ascii="宋体" w:hAnsi="宋体"/>
          <w:color w:val="000000"/>
          <w:szCs w:val="21"/>
          <w:u w:val="single"/>
          <w:lang w:val="zh-CN"/>
        </w:rPr>
        <w:t xml:space="preserve">    </w:t>
      </w:r>
      <w:r>
        <w:rPr>
          <w:rFonts w:hint="eastAsia" w:ascii="宋体" w:hAnsi="宋体"/>
          <w:color w:val="000000"/>
          <w:szCs w:val="21"/>
          <w:lang w:val="zh-CN"/>
        </w:rPr>
        <w:t>日</w:t>
      </w:r>
      <w:r>
        <w:rPr>
          <w:rFonts w:hint="eastAsia" w:ascii="宋体" w:hAnsi="宋体"/>
          <w:color w:val="000000"/>
          <w:szCs w:val="21"/>
        </w:rPr>
        <w:t>，</w:t>
      </w:r>
      <w:r>
        <w:rPr>
          <w:rFonts w:hint="eastAsia" w:ascii="宋体" w:hAnsi="宋体"/>
          <w:color w:val="000000"/>
          <w:szCs w:val="21"/>
          <w:u w:val="single"/>
        </w:rPr>
        <w:t xml:space="preserve">  </w:t>
      </w:r>
      <w:r>
        <w:rPr>
          <w:rFonts w:ascii="宋体" w:hAnsi="宋体"/>
          <w:color w:val="000000"/>
          <w:szCs w:val="22"/>
          <w:u w:val="single"/>
        </w:rPr>
        <w:t>南宁市第三职业技术学校</w:t>
      </w:r>
      <w:r>
        <w:rPr>
          <w:rFonts w:hint="eastAsia" w:ascii="宋体" w:hAnsi="宋体"/>
          <w:color w:val="000000"/>
          <w:szCs w:val="21"/>
          <w:u w:val="single"/>
        </w:rPr>
        <w:t xml:space="preserve"> </w:t>
      </w:r>
      <w:r>
        <w:rPr>
          <w:rFonts w:hint="eastAsia" w:ascii="宋体" w:hAnsi="宋体"/>
          <w:color w:val="000000"/>
          <w:szCs w:val="21"/>
        </w:rPr>
        <w:t>以</w:t>
      </w:r>
      <w:r>
        <w:rPr>
          <w:rFonts w:hint="eastAsia" w:ascii="宋体" w:hAnsi="宋体"/>
          <w:color w:val="000000"/>
          <w:szCs w:val="21"/>
          <w:u w:val="single"/>
        </w:rPr>
        <w:t xml:space="preserve">   公开招标方式  </w:t>
      </w:r>
      <w:r>
        <w:rPr>
          <w:rFonts w:hint="eastAsia" w:ascii="宋体" w:hAnsi="宋体"/>
          <w:color w:val="000000"/>
          <w:szCs w:val="21"/>
        </w:rPr>
        <w:t>对</w:t>
      </w:r>
      <w:r>
        <w:rPr>
          <w:rFonts w:hint="eastAsia" w:ascii="宋体" w:hAnsi="宋体"/>
          <w:color w:val="000000"/>
          <w:szCs w:val="21"/>
          <w:u w:val="single"/>
        </w:rPr>
        <w:t xml:space="preserve"> </w:t>
      </w:r>
      <w:r>
        <w:rPr>
          <w:rFonts w:hint="eastAsia" w:ascii="宋体" w:hAnsi="宋体"/>
          <w:color w:val="000000"/>
          <w:szCs w:val="21"/>
          <w:u w:val="single"/>
          <w:lang w:val="en-US" w:eastAsia="zh-CN"/>
        </w:rPr>
        <w:t xml:space="preserve">              </w:t>
      </w:r>
      <w:r>
        <w:rPr>
          <w:rFonts w:hint="eastAsia" w:ascii="宋体" w:hAnsi="宋体"/>
          <w:color w:val="000000"/>
          <w:szCs w:val="21"/>
          <w:u w:val="single"/>
        </w:rPr>
        <w:t xml:space="preserve">  </w:t>
      </w:r>
      <w:r>
        <w:rPr>
          <w:rFonts w:hint="eastAsia" w:ascii="宋体" w:hAnsi="宋体"/>
          <w:color w:val="000000"/>
          <w:szCs w:val="21"/>
        </w:rPr>
        <w:t>项目进行了采购。经</w:t>
      </w:r>
      <w:r>
        <w:rPr>
          <w:rFonts w:hint="eastAsia" w:ascii="宋体" w:hAnsi="宋体"/>
          <w:color w:val="000000"/>
          <w:szCs w:val="21"/>
          <w:u w:val="single"/>
        </w:rPr>
        <w:t xml:space="preserve">   （相关评定主体名称）   </w:t>
      </w:r>
      <w:r>
        <w:rPr>
          <w:rFonts w:hint="eastAsia" w:ascii="宋体" w:hAnsi="宋体"/>
          <w:color w:val="000000"/>
          <w:szCs w:val="21"/>
        </w:rPr>
        <w:t>评定，</w:t>
      </w:r>
      <w:r>
        <w:rPr>
          <w:rFonts w:hint="eastAsia" w:ascii="宋体" w:hAnsi="宋体"/>
          <w:color w:val="000000"/>
          <w:szCs w:val="21"/>
          <w:u w:val="single"/>
        </w:rPr>
        <w:t xml:space="preserve">   （中标人名称）</w:t>
      </w:r>
      <w:r>
        <w:rPr>
          <w:rFonts w:hint="eastAsia" w:ascii="宋体" w:hAnsi="宋体"/>
          <w:color w:val="000000"/>
          <w:szCs w:val="21"/>
        </w:rPr>
        <w:t>为该项目中标人。现于中标通知书发出之日起</w:t>
      </w:r>
      <w:r>
        <w:rPr>
          <w:rFonts w:hint="eastAsia" w:ascii="宋体" w:hAnsi="宋体"/>
          <w:color w:val="000000"/>
          <w:szCs w:val="21"/>
          <w:u w:val="single"/>
        </w:rPr>
        <w:t xml:space="preserve">     </w:t>
      </w:r>
      <w:r>
        <w:rPr>
          <w:rFonts w:hint="eastAsia" w:ascii="宋体" w:hAnsi="宋体"/>
          <w:color w:val="000000"/>
          <w:szCs w:val="21"/>
        </w:rPr>
        <w:t>日内（根据项目实际情况填写，不能超过25日），按照采购文件确定的事项签订本合同。</w:t>
      </w:r>
    </w:p>
    <w:p w14:paraId="0E297809">
      <w:pPr>
        <w:spacing w:line="360" w:lineRule="auto"/>
        <w:ind w:firstLine="420" w:firstLineChars="200"/>
        <w:rPr>
          <w:rFonts w:hint="eastAsia" w:ascii="宋体" w:hAnsi="宋体"/>
          <w:color w:val="000000"/>
          <w:szCs w:val="21"/>
        </w:rPr>
      </w:pPr>
      <w:r>
        <w:rPr>
          <w:rFonts w:hint="eastAsia" w:ascii="宋体" w:hAnsi="宋体"/>
          <w:color w:val="000000"/>
          <w:szCs w:val="21"/>
          <w:lang w:val="zh-CN"/>
        </w:rPr>
        <w:t>根据《中华人民共和国民法典》、《中华人民共和国政府采购法》等相关法律法规之规定，按照平等、自愿、公平和诚实信用的原则，经</w:t>
      </w:r>
      <w:r>
        <w:rPr>
          <w:rFonts w:hint="eastAsia" w:ascii="宋体" w:hAnsi="宋体"/>
          <w:color w:val="000000"/>
          <w:szCs w:val="21"/>
          <w:u w:val="single"/>
          <w:lang w:val="en-US" w:eastAsia="zh-CN"/>
        </w:rPr>
        <w:t xml:space="preserve"> </w:t>
      </w:r>
      <w:r>
        <w:rPr>
          <w:rFonts w:ascii="宋体" w:hAnsi="宋体"/>
          <w:color w:val="000000"/>
          <w:szCs w:val="22"/>
          <w:u w:val="single"/>
        </w:rPr>
        <w:t>南宁市第三职业技术学校</w:t>
      </w:r>
      <w:r>
        <w:rPr>
          <w:rFonts w:hint="eastAsia" w:ascii="宋体" w:hAnsi="宋体"/>
          <w:color w:val="000000"/>
          <w:szCs w:val="22"/>
          <w:u w:val="single"/>
          <w:lang w:val="en-US" w:eastAsia="zh-CN"/>
        </w:rPr>
        <w:t xml:space="preserve"> </w:t>
      </w:r>
      <w:r>
        <w:rPr>
          <w:rFonts w:hint="eastAsia" w:ascii="宋体" w:hAnsi="宋体"/>
          <w:color w:val="000000"/>
          <w:szCs w:val="21"/>
          <w:lang w:val="zh-CN"/>
        </w:rPr>
        <w:t>(以下简称：甲方)和</w:t>
      </w:r>
      <w:r>
        <w:rPr>
          <w:rFonts w:hint="eastAsia" w:ascii="宋体" w:hAnsi="宋体"/>
          <w:color w:val="000000"/>
          <w:szCs w:val="21"/>
          <w:u w:val="single"/>
        </w:rPr>
        <w:t xml:space="preserve">   （中标人名称）   </w:t>
      </w:r>
      <w:r>
        <w:rPr>
          <w:rFonts w:hint="eastAsia" w:ascii="宋体" w:hAnsi="宋体"/>
          <w:color w:val="000000"/>
          <w:szCs w:val="21"/>
          <w:lang w:val="zh-CN"/>
        </w:rPr>
        <w:t>(以下简称：乙方)协商一致，约定以下合同</w:t>
      </w:r>
      <w:r>
        <w:rPr>
          <w:rFonts w:hint="eastAsia" w:ascii="宋体" w:hAnsi="宋体"/>
          <w:color w:val="000000"/>
          <w:szCs w:val="21"/>
        </w:rPr>
        <w:t>条款，以兹共同遵守、全面履行。</w:t>
      </w:r>
    </w:p>
    <w:p w14:paraId="55BA782C">
      <w:pPr>
        <w:spacing w:line="360" w:lineRule="auto"/>
        <w:ind w:firstLine="422" w:firstLineChars="200"/>
        <w:rPr>
          <w:rFonts w:hint="eastAsia" w:ascii="宋体" w:hAnsi="宋体"/>
          <w:b/>
          <w:color w:val="000000"/>
          <w:szCs w:val="21"/>
        </w:rPr>
      </w:pPr>
      <w:r>
        <w:rPr>
          <w:rFonts w:hint="eastAsia" w:ascii="宋体" w:hAnsi="宋体"/>
          <w:b/>
          <w:color w:val="000000"/>
          <w:szCs w:val="21"/>
        </w:rPr>
        <w:t>1.1 合同组成部分</w:t>
      </w:r>
    </w:p>
    <w:p w14:paraId="608EF021">
      <w:pPr>
        <w:spacing w:line="360" w:lineRule="auto"/>
        <w:ind w:firstLine="420" w:firstLineChars="200"/>
        <w:rPr>
          <w:rFonts w:hint="eastAsia" w:ascii="宋体" w:hAnsi="宋体"/>
          <w:color w:val="000000"/>
          <w:szCs w:val="21"/>
        </w:rPr>
      </w:pPr>
      <w:r>
        <w:rPr>
          <w:rFonts w:hint="eastAsia" w:ascii="宋体" w:hAnsi="宋体"/>
          <w:color w:val="000000"/>
          <w:szCs w:val="21"/>
        </w:rPr>
        <w:t>下列文件为本合同的组成部分，并构成一个整体，需综合解释、相互补充。如果下列文件内容出现不一致的情形，在保证按照采购文件确定的事项的前提下，组成本合同的多个文件的优先适用顺序如下：</w:t>
      </w:r>
    </w:p>
    <w:p w14:paraId="2DE4DB30">
      <w:pPr>
        <w:spacing w:line="360" w:lineRule="auto"/>
        <w:ind w:firstLine="420" w:firstLineChars="200"/>
        <w:rPr>
          <w:rFonts w:hint="eastAsia" w:ascii="宋体" w:hAnsi="宋体"/>
          <w:color w:val="000000"/>
          <w:szCs w:val="21"/>
        </w:rPr>
      </w:pPr>
      <w:r>
        <w:rPr>
          <w:rFonts w:hint="eastAsia" w:ascii="宋体" w:hAnsi="宋体"/>
          <w:color w:val="000000"/>
          <w:szCs w:val="21"/>
        </w:rPr>
        <w:t>1.1.1 本合同及其补充合同、变更协议；</w:t>
      </w:r>
    </w:p>
    <w:p w14:paraId="3B3F3E91">
      <w:pPr>
        <w:spacing w:line="360" w:lineRule="auto"/>
        <w:ind w:firstLine="420" w:firstLineChars="200"/>
        <w:rPr>
          <w:rFonts w:hint="eastAsia" w:ascii="宋体" w:hAnsi="宋体"/>
          <w:color w:val="000000"/>
          <w:szCs w:val="21"/>
        </w:rPr>
      </w:pPr>
      <w:r>
        <w:rPr>
          <w:rFonts w:hint="eastAsia" w:ascii="宋体" w:hAnsi="宋体"/>
          <w:color w:val="000000"/>
          <w:szCs w:val="21"/>
        </w:rPr>
        <w:t>1.1.2 中标通知书；</w:t>
      </w:r>
    </w:p>
    <w:p w14:paraId="17806591">
      <w:pPr>
        <w:spacing w:line="360" w:lineRule="auto"/>
        <w:ind w:firstLine="420" w:firstLineChars="200"/>
        <w:rPr>
          <w:rFonts w:hint="eastAsia" w:ascii="宋体" w:hAnsi="宋体"/>
          <w:color w:val="000000"/>
          <w:szCs w:val="21"/>
        </w:rPr>
      </w:pPr>
      <w:r>
        <w:rPr>
          <w:rFonts w:hint="eastAsia" w:ascii="宋体" w:hAnsi="宋体"/>
          <w:color w:val="000000"/>
          <w:szCs w:val="21"/>
        </w:rPr>
        <w:t>1.1.3 投标文件及“投标报价”（含澄清或者说明文件）；</w:t>
      </w:r>
    </w:p>
    <w:p w14:paraId="62D2B794">
      <w:pPr>
        <w:spacing w:line="360" w:lineRule="auto"/>
        <w:ind w:firstLine="420" w:firstLineChars="200"/>
        <w:rPr>
          <w:rFonts w:hint="eastAsia" w:ascii="宋体" w:hAnsi="宋体"/>
          <w:color w:val="000000"/>
          <w:szCs w:val="21"/>
        </w:rPr>
      </w:pPr>
      <w:r>
        <w:rPr>
          <w:rFonts w:hint="eastAsia" w:ascii="宋体" w:hAnsi="宋体"/>
          <w:color w:val="000000"/>
          <w:szCs w:val="21"/>
        </w:rPr>
        <w:t>1.1.4 招标文件（含澄清或者修改文件）；</w:t>
      </w:r>
    </w:p>
    <w:p w14:paraId="3C9AC3F2">
      <w:pPr>
        <w:spacing w:line="360" w:lineRule="auto"/>
        <w:ind w:firstLine="420" w:firstLineChars="200"/>
        <w:rPr>
          <w:rFonts w:hint="eastAsia" w:ascii="宋体" w:hAnsi="宋体"/>
          <w:color w:val="000000"/>
          <w:szCs w:val="21"/>
        </w:rPr>
      </w:pPr>
      <w:r>
        <w:rPr>
          <w:rFonts w:hint="eastAsia" w:ascii="宋体" w:hAnsi="宋体"/>
          <w:color w:val="000000"/>
          <w:szCs w:val="21"/>
        </w:rPr>
        <w:t>1.1.5 其他相关采购文件。</w:t>
      </w:r>
    </w:p>
    <w:p w14:paraId="15BA1176">
      <w:pPr>
        <w:spacing w:line="360" w:lineRule="auto"/>
        <w:ind w:firstLine="422" w:firstLineChars="200"/>
        <w:rPr>
          <w:rFonts w:hint="eastAsia" w:ascii="宋体" w:hAnsi="宋体"/>
          <w:b/>
          <w:color w:val="000000"/>
          <w:szCs w:val="21"/>
        </w:rPr>
      </w:pPr>
      <w:r>
        <w:rPr>
          <w:rFonts w:hint="eastAsia" w:ascii="宋体" w:hAnsi="宋体"/>
          <w:b/>
          <w:color w:val="000000"/>
          <w:szCs w:val="21"/>
        </w:rPr>
        <w:t>1.2 标的物</w:t>
      </w:r>
    </w:p>
    <w:p w14:paraId="479B96FC">
      <w:pPr>
        <w:spacing w:line="360" w:lineRule="auto"/>
        <w:ind w:firstLine="420" w:firstLineChars="200"/>
        <w:rPr>
          <w:rFonts w:hint="eastAsia" w:ascii="宋体" w:hAnsi="宋体"/>
          <w:color w:val="000000"/>
          <w:szCs w:val="21"/>
        </w:rPr>
      </w:pPr>
      <w:r>
        <w:rPr>
          <w:rFonts w:hint="eastAsia" w:ascii="宋体" w:hAnsi="宋体"/>
          <w:color w:val="000000"/>
          <w:szCs w:val="21"/>
        </w:rPr>
        <w:t>1.2.1 标的信息</w:t>
      </w:r>
    </w:p>
    <w:p w14:paraId="1006F342">
      <w:pPr>
        <w:keepNext w:val="0"/>
        <w:keepLines w:val="0"/>
        <w:pageBreakBefore w:val="0"/>
        <w:widowControl w:val="0"/>
        <w:kinsoku/>
        <w:wordWrap w:val="0"/>
        <w:overflowPunct/>
        <w:topLinePunct w:val="0"/>
        <w:autoSpaceDE/>
        <w:autoSpaceDN/>
        <w:bidi w:val="0"/>
        <w:adjustRightInd/>
        <w:snapToGrid/>
        <w:spacing w:line="440" w:lineRule="exact"/>
        <w:ind w:firstLine="420" w:firstLineChars="200"/>
        <w:textAlignment w:val="auto"/>
        <w:rPr>
          <w:rFonts w:ascii="宋体" w:hAnsi="宋体" w:cs="宋体"/>
          <w:color w:val="auto"/>
          <w:sz w:val="21"/>
          <w:szCs w:val="21"/>
          <w:highlight w:val="none"/>
          <w:u w:val="single"/>
        </w:rPr>
      </w:pPr>
      <w:r>
        <w:rPr>
          <w:rFonts w:hint="eastAsia" w:ascii="宋体" w:hAnsi="宋体" w:cs="宋体"/>
          <w:color w:val="auto"/>
          <w:sz w:val="21"/>
          <w:szCs w:val="21"/>
          <w:highlight w:val="none"/>
        </w:rPr>
        <w:t>1.2.1.1名称：</w:t>
      </w:r>
      <w:r>
        <w:rPr>
          <w:rFonts w:hint="eastAsia" w:ascii="宋体" w:hAnsi="宋体" w:cs="宋体"/>
          <w:sz w:val="21"/>
          <w:szCs w:val="21"/>
          <w:u w:val="single"/>
          <w:lang w:bidi="ar"/>
        </w:rPr>
        <w:t>详见合同附件开标一览表</w:t>
      </w:r>
      <w:r>
        <w:rPr>
          <w:rFonts w:hint="eastAsia" w:ascii="宋体" w:hAnsi="宋体" w:cs="宋体"/>
          <w:color w:val="auto"/>
          <w:sz w:val="21"/>
          <w:szCs w:val="21"/>
          <w:highlight w:val="none"/>
        </w:rPr>
        <w:t>；</w:t>
      </w:r>
    </w:p>
    <w:p w14:paraId="41FB7427">
      <w:pPr>
        <w:keepNext w:val="0"/>
        <w:keepLines w:val="0"/>
        <w:pageBreakBefore w:val="0"/>
        <w:widowControl w:val="0"/>
        <w:kinsoku/>
        <w:wordWrap w:val="0"/>
        <w:overflowPunct/>
        <w:topLinePunct w:val="0"/>
        <w:autoSpaceDE/>
        <w:autoSpaceDN/>
        <w:bidi w:val="0"/>
        <w:adjustRightInd/>
        <w:snapToGrid/>
        <w:spacing w:line="440" w:lineRule="exact"/>
        <w:ind w:firstLine="420" w:firstLineChars="200"/>
        <w:textAlignment w:val="auto"/>
        <w:rPr>
          <w:rFonts w:ascii="宋体" w:hAnsi="宋体" w:cs="宋体"/>
          <w:color w:val="auto"/>
          <w:sz w:val="21"/>
          <w:szCs w:val="21"/>
          <w:highlight w:val="none"/>
          <w:u w:val="single"/>
        </w:rPr>
      </w:pPr>
      <w:r>
        <w:rPr>
          <w:rFonts w:hint="eastAsia" w:ascii="宋体" w:hAnsi="宋体" w:cs="宋体"/>
          <w:color w:val="auto"/>
          <w:sz w:val="21"/>
          <w:szCs w:val="21"/>
          <w:highlight w:val="none"/>
        </w:rPr>
        <w:t>1.2.1.2数量：</w:t>
      </w:r>
      <w:r>
        <w:rPr>
          <w:rFonts w:hint="eastAsia" w:ascii="宋体" w:hAnsi="宋体" w:cs="宋体"/>
          <w:sz w:val="21"/>
          <w:szCs w:val="21"/>
          <w:u w:val="single"/>
          <w:lang w:bidi="ar"/>
        </w:rPr>
        <w:t>详见合同附件开标一览表</w:t>
      </w:r>
      <w:r>
        <w:rPr>
          <w:rFonts w:hint="eastAsia" w:ascii="宋体" w:hAnsi="宋体" w:cs="宋体"/>
          <w:color w:val="auto"/>
          <w:sz w:val="21"/>
          <w:szCs w:val="21"/>
          <w:highlight w:val="none"/>
        </w:rPr>
        <w:t>；</w:t>
      </w:r>
    </w:p>
    <w:p w14:paraId="1EDBC972">
      <w:pPr>
        <w:spacing w:line="360" w:lineRule="auto"/>
        <w:ind w:firstLine="420" w:firstLineChars="200"/>
        <w:rPr>
          <w:rFonts w:hint="eastAsia" w:ascii="宋体" w:hAnsi="宋体" w:eastAsia="宋体" w:cs="宋体"/>
          <w:color w:val="auto"/>
          <w:sz w:val="21"/>
          <w:szCs w:val="21"/>
          <w:highlight w:val="none"/>
          <w:u w:val="single"/>
          <w:lang w:eastAsia="zh-CN"/>
        </w:rPr>
      </w:pPr>
      <w:r>
        <w:rPr>
          <w:rFonts w:hint="eastAsia" w:ascii="宋体" w:hAnsi="宋体" w:cs="宋体"/>
          <w:color w:val="auto"/>
          <w:sz w:val="21"/>
          <w:szCs w:val="21"/>
          <w:highlight w:val="none"/>
        </w:rPr>
        <w:t>1.2.1.3质量：</w:t>
      </w:r>
      <w:r>
        <w:rPr>
          <w:rFonts w:hint="eastAsia" w:ascii="宋体" w:hAnsi="宋体" w:eastAsia="宋体" w:cs="宋体"/>
          <w:color w:val="auto"/>
          <w:sz w:val="21"/>
          <w:szCs w:val="21"/>
          <w:highlight w:val="none"/>
          <w:u w:val="single"/>
        </w:rPr>
        <w:t>按国家、行业相关标准及</w:t>
      </w:r>
      <w:r>
        <w:rPr>
          <w:rFonts w:hint="eastAsia" w:ascii="宋体" w:hAnsi="宋体" w:cs="宋体"/>
          <w:color w:val="auto"/>
          <w:sz w:val="21"/>
          <w:szCs w:val="21"/>
          <w:highlight w:val="none"/>
          <w:u w:val="single"/>
          <w:lang w:val="en-US" w:eastAsia="zh-CN"/>
        </w:rPr>
        <w:t>乙方</w:t>
      </w:r>
      <w:r>
        <w:rPr>
          <w:rFonts w:hint="eastAsia" w:ascii="宋体" w:hAnsi="宋体" w:eastAsia="宋体" w:cs="宋体"/>
          <w:color w:val="auto"/>
          <w:sz w:val="21"/>
          <w:szCs w:val="21"/>
          <w:highlight w:val="none"/>
          <w:u w:val="single"/>
        </w:rPr>
        <w:t>承诺进行验收</w:t>
      </w:r>
      <w:r>
        <w:rPr>
          <w:rFonts w:hint="eastAsia" w:ascii="宋体" w:hAnsi="宋体" w:eastAsia="宋体" w:cs="宋体"/>
          <w:color w:val="auto"/>
          <w:sz w:val="21"/>
          <w:szCs w:val="21"/>
          <w:highlight w:val="none"/>
          <w:u w:val="none"/>
          <w:lang w:eastAsia="zh-CN"/>
        </w:rPr>
        <w:t>。</w:t>
      </w:r>
    </w:p>
    <w:p w14:paraId="37B1A72D">
      <w:pPr>
        <w:spacing w:line="360" w:lineRule="auto"/>
        <w:ind w:firstLine="422" w:firstLineChars="200"/>
        <w:rPr>
          <w:rFonts w:hint="eastAsia" w:ascii="宋体" w:hAnsi="宋体"/>
          <w:b/>
          <w:color w:val="000000"/>
          <w:szCs w:val="21"/>
        </w:rPr>
      </w:pPr>
      <w:r>
        <w:rPr>
          <w:rFonts w:hint="eastAsia" w:ascii="宋体" w:hAnsi="宋体"/>
          <w:b/>
          <w:color w:val="000000"/>
          <w:szCs w:val="21"/>
        </w:rPr>
        <w:t>1.3 价款</w:t>
      </w:r>
    </w:p>
    <w:p w14:paraId="0B7CEFFA">
      <w:pPr>
        <w:spacing w:line="360" w:lineRule="auto"/>
        <w:ind w:firstLine="420" w:firstLineChars="200"/>
        <w:rPr>
          <w:rFonts w:hint="eastAsia" w:ascii="宋体" w:hAnsi="宋体"/>
          <w:color w:val="000000"/>
          <w:szCs w:val="21"/>
        </w:rPr>
      </w:pPr>
      <w:r>
        <w:rPr>
          <w:rFonts w:hint="eastAsia" w:ascii="宋体" w:hAnsi="宋体"/>
          <w:color w:val="000000"/>
          <w:szCs w:val="21"/>
        </w:rPr>
        <w:t>本合同总价为：人民币</w:t>
      </w:r>
      <w:r>
        <w:rPr>
          <w:rFonts w:hint="eastAsia" w:ascii="宋体" w:hAnsi="宋体"/>
          <w:color w:val="000000"/>
          <w:szCs w:val="21"/>
          <w:u w:val="single"/>
        </w:rPr>
        <w:t xml:space="preserve">           </w:t>
      </w:r>
      <w:r>
        <w:rPr>
          <w:rFonts w:hint="eastAsia" w:ascii="宋体" w:hAnsi="宋体"/>
          <w:color w:val="000000"/>
          <w:szCs w:val="21"/>
        </w:rPr>
        <w:t>元（大写：</w:t>
      </w:r>
      <w:r>
        <w:rPr>
          <w:rFonts w:hint="eastAsia" w:ascii="宋体" w:hAnsi="宋体"/>
          <w:color w:val="000000"/>
          <w:szCs w:val="21"/>
          <w:u w:val="single"/>
        </w:rPr>
        <w:t xml:space="preserve">                 </w:t>
      </w:r>
      <w:r>
        <w:rPr>
          <w:rFonts w:hint="eastAsia" w:ascii="宋体" w:hAnsi="宋体"/>
          <w:color w:val="000000"/>
          <w:szCs w:val="21"/>
        </w:rPr>
        <w:t>元人民币，含税）。</w:t>
      </w:r>
    </w:p>
    <w:p w14:paraId="0F4D21DC">
      <w:pPr>
        <w:spacing w:line="360" w:lineRule="auto"/>
        <w:ind w:firstLine="420" w:firstLineChars="200"/>
        <w:rPr>
          <w:rFonts w:hint="eastAsia" w:ascii="宋体" w:hAnsi="宋体"/>
          <w:color w:val="000000"/>
          <w:szCs w:val="21"/>
          <w:u w:val="single"/>
        </w:rPr>
      </w:pPr>
      <w:r>
        <w:rPr>
          <w:rFonts w:hint="eastAsia" w:ascii="宋体" w:hAnsi="宋体"/>
          <w:color w:val="000000"/>
          <w:szCs w:val="21"/>
        </w:rPr>
        <w:t>分项价格：</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920"/>
        <w:gridCol w:w="1936"/>
        <w:gridCol w:w="1918"/>
        <w:gridCol w:w="1936"/>
      </w:tblGrid>
      <w:tr w14:paraId="2F718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828" w:type="dxa"/>
            <w:noWrap w:val="0"/>
            <w:vAlign w:val="center"/>
          </w:tcPr>
          <w:p w14:paraId="2F64621C">
            <w:pPr>
              <w:spacing w:line="380" w:lineRule="exact"/>
              <w:jc w:val="center"/>
              <w:rPr>
                <w:kern w:val="0"/>
              </w:rPr>
            </w:pPr>
            <w:r>
              <w:rPr>
                <w:kern w:val="0"/>
              </w:rPr>
              <w:t>序号</w:t>
            </w:r>
          </w:p>
        </w:tc>
        <w:tc>
          <w:tcPr>
            <w:tcW w:w="2920" w:type="dxa"/>
            <w:noWrap w:val="0"/>
            <w:vAlign w:val="center"/>
          </w:tcPr>
          <w:p w14:paraId="555CD7DC">
            <w:pPr>
              <w:spacing w:line="380" w:lineRule="exact"/>
              <w:jc w:val="center"/>
              <w:rPr>
                <w:kern w:val="0"/>
              </w:rPr>
            </w:pPr>
            <w:r>
              <w:rPr>
                <w:rFonts w:hint="eastAsia"/>
                <w:kern w:val="0"/>
                <w:lang w:val="en-US" w:eastAsia="zh-CN"/>
              </w:rPr>
              <w:t>标的</w:t>
            </w:r>
            <w:r>
              <w:rPr>
                <w:rFonts w:hint="eastAsia"/>
                <w:kern w:val="0"/>
              </w:rPr>
              <w:t>名称</w:t>
            </w:r>
          </w:p>
        </w:tc>
        <w:tc>
          <w:tcPr>
            <w:tcW w:w="1936" w:type="dxa"/>
            <w:noWrap w:val="0"/>
            <w:vAlign w:val="center"/>
          </w:tcPr>
          <w:p w14:paraId="00465550">
            <w:pPr>
              <w:spacing w:line="380" w:lineRule="exact"/>
              <w:jc w:val="center"/>
              <w:rPr>
                <w:rFonts w:hint="default" w:eastAsia="宋体"/>
                <w:kern w:val="0"/>
                <w:lang w:val="en-US" w:eastAsia="zh-CN"/>
              </w:rPr>
            </w:pPr>
            <w:r>
              <w:rPr>
                <w:rFonts w:hint="eastAsia"/>
                <w:kern w:val="0"/>
                <w:lang w:val="en-US" w:eastAsia="zh-CN"/>
              </w:rPr>
              <w:t>数量①</w:t>
            </w:r>
          </w:p>
        </w:tc>
        <w:tc>
          <w:tcPr>
            <w:tcW w:w="1918" w:type="dxa"/>
            <w:noWrap w:val="0"/>
            <w:vAlign w:val="center"/>
          </w:tcPr>
          <w:p w14:paraId="792C515D">
            <w:pPr>
              <w:spacing w:line="380" w:lineRule="exact"/>
              <w:jc w:val="center"/>
              <w:rPr>
                <w:rFonts w:hint="default" w:eastAsia="宋体"/>
                <w:kern w:val="0"/>
                <w:lang w:val="en-US" w:eastAsia="zh-CN"/>
              </w:rPr>
            </w:pPr>
            <w:r>
              <w:rPr>
                <w:rFonts w:hint="eastAsia"/>
                <w:kern w:val="0"/>
                <w:lang w:val="en-US" w:eastAsia="zh-CN"/>
              </w:rPr>
              <w:t>单价（元）②</w:t>
            </w:r>
          </w:p>
        </w:tc>
        <w:tc>
          <w:tcPr>
            <w:tcW w:w="1936" w:type="dxa"/>
            <w:noWrap w:val="0"/>
            <w:vAlign w:val="center"/>
          </w:tcPr>
          <w:p w14:paraId="6FA2BD7C">
            <w:pPr>
              <w:spacing w:line="380" w:lineRule="exact"/>
              <w:jc w:val="center"/>
              <w:rPr>
                <w:rFonts w:hint="eastAsia" w:eastAsia="宋体"/>
                <w:kern w:val="0"/>
                <w:lang w:val="en-US" w:eastAsia="zh-CN"/>
              </w:rPr>
            </w:pPr>
            <w:r>
              <w:rPr>
                <w:rFonts w:hint="eastAsia" w:eastAsia="宋体"/>
                <w:kern w:val="0"/>
                <w:lang w:val="en-US" w:eastAsia="zh-CN"/>
              </w:rPr>
              <w:t>单项合价（元）</w:t>
            </w:r>
          </w:p>
          <w:p w14:paraId="49F5DF38">
            <w:pPr>
              <w:spacing w:line="380" w:lineRule="exact"/>
              <w:jc w:val="center"/>
              <w:rPr>
                <w:rFonts w:hint="default" w:eastAsia="宋体"/>
                <w:kern w:val="0"/>
                <w:lang w:val="en-US" w:eastAsia="zh-CN"/>
              </w:rPr>
            </w:pPr>
            <w:r>
              <w:rPr>
                <w:rFonts w:hint="eastAsia" w:hAnsi="宋体" w:cs="宋体"/>
              </w:rPr>
              <w:t>③=①×②</w:t>
            </w:r>
          </w:p>
        </w:tc>
      </w:tr>
      <w:tr w14:paraId="5FEEB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8" w:type="dxa"/>
            <w:noWrap w:val="0"/>
            <w:vAlign w:val="center"/>
          </w:tcPr>
          <w:p w14:paraId="5D75B281">
            <w:pPr>
              <w:spacing w:line="380" w:lineRule="exact"/>
              <w:jc w:val="center"/>
              <w:rPr>
                <w:kern w:val="0"/>
              </w:rPr>
            </w:pPr>
            <w:r>
              <w:rPr>
                <w:rFonts w:hint="eastAsia"/>
                <w:kern w:val="0"/>
              </w:rPr>
              <w:t>1</w:t>
            </w:r>
          </w:p>
        </w:tc>
        <w:tc>
          <w:tcPr>
            <w:tcW w:w="2920" w:type="dxa"/>
            <w:noWrap w:val="0"/>
            <w:vAlign w:val="center"/>
          </w:tcPr>
          <w:p w14:paraId="6B42937F">
            <w:pPr>
              <w:spacing w:line="380" w:lineRule="exact"/>
              <w:jc w:val="center"/>
              <w:rPr>
                <w:kern w:val="0"/>
              </w:rPr>
            </w:pPr>
          </w:p>
        </w:tc>
        <w:tc>
          <w:tcPr>
            <w:tcW w:w="1936" w:type="dxa"/>
            <w:noWrap w:val="0"/>
            <w:vAlign w:val="center"/>
          </w:tcPr>
          <w:p w14:paraId="769814C3">
            <w:pPr>
              <w:pStyle w:val="11"/>
              <w:ind w:left="560" w:leftChars="0" w:hanging="560" w:firstLineChars="0"/>
              <w:jc w:val="center"/>
              <w:rPr>
                <w:rFonts w:hint="default" w:eastAsia="宋体"/>
                <w:kern w:val="0"/>
                <w:lang w:val="en-US" w:eastAsia="zh-CN"/>
              </w:rPr>
            </w:pPr>
          </w:p>
        </w:tc>
        <w:tc>
          <w:tcPr>
            <w:tcW w:w="1918" w:type="dxa"/>
            <w:noWrap w:val="0"/>
            <w:vAlign w:val="center"/>
          </w:tcPr>
          <w:p w14:paraId="32E1F849">
            <w:pPr>
              <w:spacing w:line="380" w:lineRule="exact"/>
              <w:jc w:val="center"/>
              <w:rPr>
                <w:rFonts w:hint="default" w:ascii="宋体" w:hAnsi="宋体" w:eastAsia="宋体" w:cs="宋体"/>
                <w:kern w:val="2"/>
                <w:sz w:val="21"/>
                <w:szCs w:val="20"/>
                <w:lang w:val="en-US" w:eastAsia="zh-CN" w:bidi="ar-SA"/>
              </w:rPr>
            </w:pPr>
          </w:p>
        </w:tc>
        <w:tc>
          <w:tcPr>
            <w:tcW w:w="1936" w:type="dxa"/>
            <w:noWrap w:val="0"/>
            <w:vAlign w:val="center"/>
          </w:tcPr>
          <w:p w14:paraId="0EF9DFA8">
            <w:pPr>
              <w:spacing w:line="380" w:lineRule="exact"/>
              <w:jc w:val="center"/>
              <w:rPr>
                <w:kern w:val="0"/>
              </w:rPr>
            </w:pPr>
          </w:p>
        </w:tc>
      </w:tr>
      <w:tr w14:paraId="2FE3C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8" w:type="dxa"/>
            <w:noWrap w:val="0"/>
            <w:vAlign w:val="center"/>
          </w:tcPr>
          <w:p w14:paraId="20EEAEC1">
            <w:pPr>
              <w:spacing w:line="380" w:lineRule="exact"/>
              <w:jc w:val="center"/>
              <w:rPr>
                <w:kern w:val="0"/>
              </w:rPr>
            </w:pPr>
            <w:r>
              <w:rPr>
                <w:rFonts w:hint="eastAsia"/>
                <w:kern w:val="0"/>
              </w:rPr>
              <w:t>2</w:t>
            </w:r>
          </w:p>
        </w:tc>
        <w:tc>
          <w:tcPr>
            <w:tcW w:w="2920" w:type="dxa"/>
            <w:noWrap w:val="0"/>
            <w:vAlign w:val="center"/>
          </w:tcPr>
          <w:p w14:paraId="48279C3E">
            <w:pPr>
              <w:spacing w:line="380" w:lineRule="exact"/>
              <w:jc w:val="center"/>
              <w:rPr>
                <w:kern w:val="0"/>
              </w:rPr>
            </w:pPr>
          </w:p>
        </w:tc>
        <w:tc>
          <w:tcPr>
            <w:tcW w:w="1936" w:type="dxa"/>
            <w:noWrap w:val="0"/>
            <w:vAlign w:val="center"/>
          </w:tcPr>
          <w:p w14:paraId="261AE44A">
            <w:pPr>
              <w:ind w:left="560" w:leftChars="0" w:hanging="560" w:firstLineChars="0"/>
              <w:jc w:val="center"/>
              <w:rPr>
                <w:kern w:val="0"/>
              </w:rPr>
            </w:pPr>
          </w:p>
        </w:tc>
        <w:tc>
          <w:tcPr>
            <w:tcW w:w="1918" w:type="dxa"/>
            <w:noWrap w:val="0"/>
            <w:vAlign w:val="center"/>
          </w:tcPr>
          <w:p w14:paraId="6F4154BC">
            <w:pPr>
              <w:spacing w:line="380" w:lineRule="exact"/>
              <w:jc w:val="center"/>
              <w:rPr>
                <w:rFonts w:hint="default" w:ascii="宋体" w:hAnsi="宋体" w:eastAsia="宋体" w:cs="宋体"/>
                <w:kern w:val="2"/>
                <w:sz w:val="21"/>
                <w:szCs w:val="20"/>
                <w:lang w:val="en-US" w:eastAsia="zh-CN" w:bidi="ar-SA"/>
              </w:rPr>
            </w:pPr>
          </w:p>
        </w:tc>
        <w:tc>
          <w:tcPr>
            <w:tcW w:w="1936" w:type="dxa"/>
            <w:noWrap w:val="0"/>
            <w:vAlign w:val="center"/>
          </w:tcPr>
          <w:p w14:paraId="54809332">
            <w:pPr>
              <w:spacing w:line="380" w:lineRule="exact"/>
              <w:jc w:val="center"/>
              <w:rPr>
                <w:kern w:val="0"/>
              </w:rPr>
            </w:pPr>
          </w:p>
        </w:tc>
      </w:tr>
      <w:tr w14:paraId="16841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8" w:type="dxa"/>
            <w:noWrap w:val="0"/>
            <w:vAlign w:val="center"/>
          </w:tcPr>
          <w:p w14:paraId="3D7CD84F">
            <w:pPr>
              <w:spacing w:line="380" w:lineRule="exact"/>
              <w:jc w:val="center"/>
              <w:rPr>
                <w:rFonts w:hint="eastAsia" w:eastAsia="宋体"/>
                <w:kern w:val="0"/>
                <w:lang w:eastAsia="zh-CN"/>
              </w:rPr>
            </w:pPr>
            <w:r>
              <w:rPr>
                <w:rFonts w:hint="eastAsia"/>
                <w:kern w:val="0"/>
                <w:lang w:val="en-US" w:eastAsia="zh-CN"/>
              </w:rPr>
              <w:t>3</w:t>
            </w:r>
          </w:p>
        </w:tc>
        <w:tc>
          <w:tcPr>
            <w:tcW w:w="2920" w:type="dxa"/>
            <w:noWrap w:val="0"/>
            <w:vAlign w:val="center"/>
          </w:tcPr>
          <w:p w14:paraId="1409407B">
            <w:pPr>
              <w:spacing w:line="380" w:lineRule="exact"/>
              <w:jc w:val="center"/>
              <w:rPr>
                <w:kern w:val="0"/>
              </w:rPr>
            </w:pPr>
          </w:p>
        </w:tc>
        <w:tc>
          <w:tcPr>
            <w:tcW w:w="1936" w:type="dxa"/>
            <w:noWrap w:val="0"/>
            <w:vAlign w:val="center"/>
          </w:tcPr>
          <w:p w14:paraId="71B2C655">
            <w:pPr>
              <w:ind w:left="560" w:leftChars="0" w:hanging="560" w:firstLineChars="0"/>
              <w:jc w:val="center"/>
              <w:rPr>
                <w:kern w:val="0"/>
              </w:rPr>
            </w:pPr>
          </w:p>
        </w:tc>
        <w:tc>
          <w:tcPr>
            <w:tcW w:w="1918" w:type="dxa"/>
            <w:noWrap w:val="0"/>
            <w:vAlign w:val="center"/>
          </w:tcPr>
          <w:p w14:paraId="73DB2FFD">
            <w:pPr>
              <w:spacing w:line="380" w:lineRule="exact"/>
              <w:jc w:val="center"/>
              <w:rPr>
                <w:rFonts w:hint="default" w:ascii="宋体" w:hAnsi="宋体" w:eastAsia="宋体" w:cs="宋体"/>
                <w:kern w:val="2"/>
                <w:sz w:val="21"/>
                <w:szCs w:val="20"/>
                <w:lang w:val="en-US" w:eastAsia="zh-CN" w:bidi="ar-SA"/>
              </w:rPr>
            </w:pPr>
          </w:p>
        </w:tc>
        <w:tc>
          <w:tcPr>
            <w:tcW w:w="1936" w:type="dxa"/>
            <w:noWrap w:val="0"/>
            <w:vAlign w:val="center"/>
          </w:tcPr>
          <w:p w14:paraId="599910F6">
            <w:pPr>
              <w:spacing w:line="380" w:lineRule="exact"/>
              <w:jc w:val="center"/>
              <w:rPr>
                <w:kern w:val="0"/>
              </w:rPr>
            </w:pPr>
          </w:p>
        </w:tc>
      </w:tr>
      <w:tr w14:paraId="70DB3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8" w:type="dxa"/>
            <w:noWrap w:val="0"/>
            <w:vAlign w:val="center"/>
          </w:tcPr>
          <w:p w14:paraId="7626D7BD">
            <w:pPr>
              <w:spacing w:line="380" w:lineRule="exact"/>
              <w:jc w:val="center"/>
              <w:rPr>
                <w:rFonts w:hint="eastAsia" w:eastAsia="宋体"/>
                <w:kern w:val="0"/>
                <w:lang w:val="en-US" w:eastAsia="zh-CN"/>
              </w:rPr>
            </w:pPr>
            <w:r>
              <w:rPr>
                <w:rFonts w:hint="eastAsia"/>
                <w:kern w:val="0"/>
                <w:lang w:val="en-US" w:eastAsia="zh-CN"/>
              </w:rPr>
              <w:t>4</w:t>
            </w:r>
          </w:p>
        </w:tc>
        <w:tc>
          <w:tcPr>
            <w:tcW w:w="2920" w:type="dxa"/>
            <w:noWrap w:val="0"/>
            <w:vAlign w:val="center"/>
          </w:tcPr>
          <w:p w14:paraId="634AC773">
            <w:pPr>
              <w:spacing w:line="380" w:lineRule="exact"/>
              <w:jc w:val="center"/>
              <w:rPr>
                <w:kern w:val="0"/>
              </w:rPr>
            </w:pPr>
          </w:p>
        </w:tc>
        <w:tc>
          <w:tcPr>
            <w:tcW w:w="1936" w:type="dxa"/>
            <w:noWrap w:val="0"/>
            <w:vAlign w:val="center"/>
          </w:tcPr>
          <w:p w14:paraId="3655F776">
            <w:pPr>
              <w:pStyle w:val="11"/>
              <w:ind w:left="560" w:leftChars="0" w:hanging="560" w:firstLineChars="0"/>
              <w:jc w:val="center"/>
              <w:rPr>
                <w:kern w:val="0"/>
              </w:rPr>
            </w:pPr>
          </w:p>
        </w:tc>
        <w:tc>
          <w:tcPr>
            <w:tcW w:w="1918" w:type="dxa"/>
            <w:noWrap w:val="0"/>
            <w:vAlign w:val="center"/>
          </w:tcPr>
          <w:p w14:paraId="712970CA">
            <w:pPr>
              <w:spacing w:line="380" w:lineRule="exact"/>
              <w:jc w:val="center"/>
              <w:rPr>
                <w:rFonts w:hint="default" w:ascii="宋体" w:hAnsi="宋体" w:eastAsia="宋体" w:cs="宋体"/>
                <w:kern w:val="2"/>
                <w:sz w:val="21"/>
                <w:szCs w:val="20"/>
                <w:lang w:val="en-US" w:eastAsia="zh-CN" w:bidi="ar-SA"/>
              </w:rPr>
            </w:pPr>
          </w:p>
        </w:tc>
        <w:tc>
          <w:tcPr>
            <w:tcW w:w="1936" w:type="dxa"/>
            <w:noWrap w:val="0"/>
            <w:vAlign w:val="center"/>
          </w:tcPr>
          <w:p w14:paraId="66E0B29F">
            <w:pPr>
              <w:spacing w:line="380" w:lineRule="exact"/>
              <w:jc w:val="center"/>
              <w:rPr>
                <w:kern w:val="0"/>
              </w:rPr>
            </w:pPr>
          </w:p>
        </w:tc>
      </w:tr>
      <w:tr w14:paraId="0236A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8" w:type="dxa"/>
            <w:noWrap w:val="0"/>
            <w:vAlign w:val="center"/>
          </w:tcPr>
          <w:p w14:paraId="37CDD81C">
            <w:pPr>
              <w:spacing w:line="380" w:lineRule="exact"/>
              <w:jc w:val="center"/>
              <w:rPr>
                <w:rFonts w:hint="eastAsia" w:eastAsia="宋体"/>
                <w:kern w:val="0"/>
                <w:lang w:val="en-US" w:eastAsia="zh-CN"/>
              </w:rPr>
            </w:pPr>
            <w:r>
              <w:rPr>
                <w:rFonts w:hint="eastAsia"/>
                <w:kern w:val="0"/>
                <w:lang w:val="en-US" w:eastAsia="zh-CN"/>
              </w:rPr>
              <w:t>5</w:t>
            </w:r>
          </w:p>
        </w:tc>
        <w:tc>
          <w:tcPr>
            <w:tcW w:w="2920" w:type="dxa"/>
            <w:noWrap w:val="0"/>
            <w:vAlign w:val="center"/>
          </w:tcPr>
          <w:p w14:paraId="778FDBD3">
            <w:pPr>
              <w:spacing w:line="380" w:lineRule="exact"/>
              <w:jc w:val="center"/>
              <w:rPr>
                <w:kern w:val="0"/>
              </w:rPr>
            </w:pPr>
          </w:p>
        </w:tc>
        <w:tc>
          <w:tcPr>
            <w:tcW w:w="1936" w:type="dxa"/>
            <w:noWrap w:val="0"/>
            <w:vAlign w:val="center"/>
          </w:tcPr>
          <w:p w14:paraId="39E78311">
            <w:pPr>
              <w:pStyle w:val="11"/>
              <w:ind w:left="560" w:leftChars="0" w:hanging="560" w:firstLineChars="0"/>
              <w:jc w:val="center"/>
              <w:rPr>
                <w:kern w:val="0"/>
              </w:rPr>
            </w:pPr>
          </w:p>
        </w:tc>
        <w:tc>
          <w:tcPr>
            <w:tcW w:w="1918" w:type="dxa"/>
            <w:noWrap w:val="0"/>
            <w:vAlign w:val="center"/>
          </w:tcPr>
          <w:p w14:paraId="41EBD824">
            <w:pPr>
              <w:spacing w:line="380" w:lineRule="exact"/>
              <w:jc w:val="center"/>
              <w:rPr>
                <w:rFonts w:hint="default" w:ascii="宋体" w:hAnsi="宋体" w:eastAsia="宋体" w:cs="宋体"/>
                <w:kern w:val="2"/>
                <w:sz w:val="21"/>
                <w:szCs w:val="20"/>
                <w:lang w:val="en-US" w:eastAsia="zh-CN" w:bidi="ar-SA"/>
              </w:rPr>
            </w:pPr>
          </w:p>
        </w:tc>
        <w:tc>
          <w:tcPr>
            <w:tcW w:w="1936" w:type="dxa"/>
            <w:noWrap w:val="0"/>
            <w:vAlign w:val="center"/>
          </w:tcPr>
          <w:p w14:paraId="1555B641">
            <w:pPr>
              <w:spacing w:line="380" w:lineRule="exact"/>
              <w:jc w:val="center"/>
              <w:rPr>
                <w:kern w:val="0"/>
              </w:rPr>
            </w:pPr>
          </w:p>
        </w:tc>
      </w:tr>
    </w:tbl>
    <w:p w14:paraId="0B8DB2BA">
      <w:pPr>
        <w:spacing w:line="360" w:lineRule="auto"/>
        <w:ind w:firstLine="420" w:firstLineChars="200"/>
        <w:rPr>
          <w:rFonts w:hint="eastAsia" w:ascii="宋体" w:hAnsi="宋体"/>
          <w:color w:val="000000"/>
          <w:szCs w:val="21"/>
          <w:u w:val="single"/>
        </w:rPr>
      </w:pPr>
    </w:p>
    <w:p w14:paraId="1BF659A3">
      <w:pPr>
        <w:spacing w:line="360" w:lineRule="auto"/>
        <w:ind w:firstLine="422" w:firstLineChars="200"/>
        <w:rPr>
          <w:rFonts w:hint="eastAsia" w:ascii="宋体" w:hAnsi="宋体"/>
          <w:b/>
          <w:color w:val="000000"/>
          <w:szCs w:val="21"/>
        </w:rPr>
      </w:pPr>
      <w:r>
        <w:rPr>
          <w:rFonts w:hint="eastAsia" w:ascii="宋体" w:hAnsi="宋体"/>
          <w:b/>
          <w:color w:val="000000"/>
          <w:szCs w:val="21"/>
        </w:rPr>
        <w:t>1.4 付款方式和发票开具方式</w:t>
      </w:r>
    </w:p>
    <w:p w14:paraId="75C501EF">
      <w:pPr>
        <w:keepNext w:val="0"/>
        <w:keepLines w:val="0"/>
        <w:pageBreakBefore w:val="0"/>
        <w:widowControl w:val="0"/>
        <w:kinsoku/>
        <w:wordWrap w:val="0"/>
        <w:overflowPunct/>
        <w:topLinePunct w:val="0"/>
        <w:autoSpaceDE/>
        <w:autoSpaceDN/>
        <w:bidi w:val="0"/>
        <w:adjustRightInd/>
        <w:snapToGrid/>
        <w:spacing w:line="440" w:lineRule="exact"/>
        <w:ind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1.4.1 付款方式：</w:t>
      </w:r>
      <w:r>
        <w:rPr>
          <w:rFonts w:hint="eastAsia" w:ascii="宋体" w:hAnsi="宋体" w:cs="宋体"/>
          <w:color w:val="auto"/>
          <w:sz w:val="21"/>
          <w:szCs w:val="21"/>
          <w:highlight w:val="none"/>
          <w:u w:val="single"/>
        </w:rPr>
        <w:t>项目通过采购人书面验收合格，且按采购人要求提交项目请款函及有关请款资料，市财政局批复用款计划后10个工作日内一次性支付合同款</w:t>
      </w:r>
      <w:r>
        <w:rPr>
          <w:rFonts w:hint="eastAsia" w:ascii="宋体" w:hAnsi="宋体" w:cs="宋体"/>
          <w:color w:val="auto"/>
          <w:sz w:val="21"/>
          <w:szCs w:val="21"/>
          <w:highlight w:val="none"/>
        </w:rPr>
        <w:t>；</w:t>
      </w:r>
    </w:p>
    <w:p w14:paraId="4C7CF56C">
      <w:pPr>
        <w:keepNext w:val="0"/>
        <w:keepLines w:val="0"/>
        <w:pageBreakBefore w:val="0"/>
        <w:widowControl w:val="0"/>
        <w:kinsoku/>
        <w:wordWrap w:val="0"/>
        <w:overflowPunct/>
        <w:topLinePunct w:val="0"/>
        <w:autoSpaceDE/>
        <w:autoSpaceDN/>
        <w:bidi w:val="0"/>
        <w:adjustRightInd/>
        <w:snapToGrid/>
        <w:spacing w:line="440" w:lineRule="exact"/>
        <w:ind w:firstLine="420" w:firstLineChars="200"/>
        <w:textAlignment w:val="auto"/>
        <w:rPr>
          <w:rFonts w:hint="eastAsia" w:ascii="宋体" w:hAnsi="宋体"/>
          <w:color w:val="000000"/>
          <w:szCs w:val="21"/>
        </w:rPr>
      </w:pPr>
      <w:r>
        <w:rPr>
          <w:rFonts w:hint="eastAsia" w:ascii="宋体" w:hAnsi="宋体" w:cs="宋体"/>
          <w:color w:val="auto"/>
          <w:sz w:val="21"/>
          <w:szCs w:val="21"/>
          <w:highlight w:val="none"/>
        </w:rPr>
        <w:t>1.4.2 发票开具方式：</w:t>
      </w:r>
      <w:r>
        <w:rPr>
          <w:rFonts w:hint="eastAsia" w:ascii="宋体" w:hAnsi="宋体" w:cs="宋体"/>
          <w:color w:val="auto"/>
          <w:sz w:val="21"/>
          <w:szCs w:val="21"/>
          <w:u w:val="single"/>
        </w:rPr>
        <w:t>乙方开具对应金额发票给甲方，见票付款</w:t>
      </w:r>
      <w:r>
        <w:rPr>
          <w:rFonts w:hint="eastAsia" w:ascii="宋体" w:hAnsi="宋体" w:cs="宋体"/>
          <w:color w:val="auto"/>
          <w:sz w:val="21"/>
          <w:szCs w:val="21"/>
          <w:u w:val="single"/>
          <w:lang w:eastAsia="zh-CN"/>
        </w:rPr>
        <w:t>。甲方未收到发票的，有权不予支付相应款项直至乙方提供合格发票，并不承担延迟付款责任。发票认证通过是付款的必要前提之一</w:t>
      </w:r>
      <w:r>
        <w:rPr>
          <w:rFonts w:hint="eastAsia" w:ascii="宋体" w:hAnsi="宋体" w:cs="宋体"/>
          <w:color w:val="auto"/>
          <w:sz w:val="21"/>
          <w:szCs w:val="21"/>
          <w:u w:val="none"/>
          <w:lang w:eastAsia="zh-CN"/>
        </w:rPr>
        <w:t>。</w:t>
      </w:r>
    </w:p>
    <w:p w14:paraId="252AFD24">
      <w:pPr>
        <w:spacing w:line="360" w:lineRule="auto"/>
        <w:ind w:firstLine="422" w:firstLineChars="200"/>
        <w:rPr>
          <w:rFonts w:hint="eastAsia" w:ascii="宋体" w:hAnsi="宋体"/>
          <w:b/>
          <w:color w:val="000000"/>
          <w:szCs w:val="21"/>
        </w:rPr>
      </w:pPr>
      <w:r>
        <w:rPr>
          <w:rFonts w:hint="eastAsia" w:ascii="宋体" w:hAnsi="宋体"/>
          <w:b/>
          <w:color w:val="000000"/>
          <w:szCs w:val="21"/>
        </w:rPr>
        <w:t>1.5 标的物交付期限、地点、方式和服务期限</w:t>
      </w:r>
    </w:p>
    <w:p w14:paraId="0179E42D">
      <w:pPr>
        <w:spacing w:line="360" w:lineRule="auto"/>
        <w:ind w:firstLine="420" w:firstLineChars="200"/>
        <w:rPr>
          <w:rFonts w:hint="eastAsia" w:ascii="宋体" w:hAnsi="宋体"/>
          <w:color w:val="000000"/>
          <w:szCs w:val="21"/>
          <w:u w:val="single"/>
        </w:rPr>
      </w:pPr>
      <w:r>
        <w:rPr>
          <w:rFonts w:hint="eastAsia" w:ascii="宋体" w:hAnsi="宋体"/>
          <w:color w:val="000000"/>
          <w:szCs w:val="21"/>
        </w:rPr>
        <w:t>1.5.1 交付期限：</w:t>
      </w:r>
      <w:r>
        <w:rPr>
          <w:rFonts w:hint="eastAsia" w:ascii="宋体" w:hAnsi="宋体"/>
          <w:color w:val="000000"/>
          <w:szCs w:val="21"/>
          <w:u w:val="single"/>
        </w:rPr>
        <w:t xml:space="preserve">                                                 </w:t>
      </w:r>
      <w:r>
        <w:rPr>
          <w:rFonts w:hint="eastAsia" w:ascii="宋体" w:hAnsi="宋体"/>
          <w:color w:val="000000"/>
          <w:szCs w:val="21"/>
          <w:u w:val="none"/>
        </w:rPr>
        <w:t>；</w:t>
      </w:r>
    </w:p>
    <w:p w14:paraId="3B9ACBDA">
      <w:pPr>
        <w:spacing w:line="360" w:lineRule="auto"/>
        <w:ind w:firstLine="420" w:firstLineChars="200"/>
        <w:rPr>
          <w:rFonts w:hint="eastAsia" w:ascii="宋体" w:hAnsi="宋体"/>
          <w:color w:val="000000"/>
          <w:szCs w:val="21"/>
        </w:rPr>
      </w:pPr>
      <w:r>
        <w:rPr>
          <w:rFonts w:hint="eastAsia" w:ascii="宋体" w:hAnsi="宋体"/>
          <w:color w:val="000000"/>
          <w:szCs w:val="21"/>
        </w:rPr>
        <w:t>1.5.2 交付地点：</w:t>
      </w:r>
      <w:r>
        <w:rPr>
          <w:rFonts w:hint="eastAsia" w:ascii="宋体" w:hAnsi="宋体"/>
          <w:color w:val="000000"/>
          <w:szCs w:val="21"/>
          <w:u w:val="single"/>
        </w:rPr>
        <w:t xml:space="preserve">                                                </w:t>
      </w:r>
      <w:r>
        <w:rPr>
          <w:rFonts w:hint="eastAsia" w:ascii="宋体" w:hAnsi="宋体"/>
          <w:color w:val="000000"/>
          <w:szCs w:val="21"/>
        </w:rPr>
        <w:t>；</w:t>
      </w:r>
    </w:p>
    <w:p w14:paraId="43D687CF">
      <w:pPr>
        <w:spacing w:line="360" w:lineRule="auto"/>
        <w:ind w:firstLine="420" w:firstLineChars="200"/>
        <w:rPr>
          <w:rFonts w:hint="eastAsia" w:ascii="宋体" w:hAnsi="宋体"/>
          <w:color w:val="000000"/>
          <w:szCs w:val="21"/>
        </w:rPr>
      </w:pPr>
      <w:r>
        <w:rPr>
          <w:rFonts w:hint="eastAsia" w:ascii="宋体" w:hAnsi="宋体"/>
          <w:color w:val="000000"/>
          <w:szCs w:val="21"/>
        </w:rPr>
        <w:t>1.5.3 交付方式：</w:t>
      </w:r>
      <w:r>
        <w:rPr>
          <w:rFonts w:hint="eastAsia" w:ascii="宋体" w:hAnsi="宋体"/>
          <w:color w:val="000000"/>
          <w:szCs w:val="21"/>
          <w:u w:val="single"/>
        </w:rPr>
        <w:t xml:space="preserve">                                        　      </w:t>
      </w:r>
      <w:r>
        <w:rPr>
          <w:rFonts w:hint="eastAsia" w:ascii="宋体" w:hAnsi="宋体"/>
          <w:color w:val="000000"/>
          <w:szCs w:val="21"/>
        </w:rPr>
        <w:t>；</w:t>
      </w:r>
    </w:p>
    <w:p w14:paraId="57B95AE4">
      <w:pPr>
        <w:spacing w:line="360" w:lineRule="auto"/>
        <w:ind w:firstLine="420" w:firstLineChars="200"/>
        <w:rPr>
          <w:rFonts w:hint="eastAsia" w:ascii="宋体" w:hAnsi="宋体"/>
          <w:color w:val="000000"/>
          <w:szCs w:val="21"/>
        </w:rPr>
      </w:pPr>
      <w:r>
        <w:rPr>
          <w:rFonts w:hint="eastAsia" w:ascii="宋体" w:hAnsi="宋体"/>
          <w:color w:val="000000"/>
          <w:szCs w:val="21"/>
        </w:rPr>
        <w:t>1.5.4 服务及质保期限：</w:t>
      </w:r>
      <w:r>
        <w:rPr>
          <w:rFonts w:hint="eastAsia" w:ascii="宋体" w:hAnsi="宋体"/>
          <w:color w:val="000000"/>
          <w:szCs w:val="21"/>
          <w:u w:val="single"/>
        </w:rPr>
        <w:t xml:space="preserve">                                           </w:t>
      </w:r>
      <w:r>
        <w:rPr>
          <w:rFonts w:hint="eastAsia" w:ascii="宋体" w:hAnsi="宋体"/>
          <w:color w:val="000000"/>
          <w:szCs w:val="21"/>
        </w:rPr>
        <w:t>。</w:t>
      </w:r>
    </w:p>
    <w:p w14:paraId="48A84AC9">
      <w:pPr>
        <w:spacing w:line="360" w:lineRule="auto"/>
        <w:ind w:firstLine="422" w:firstLineChars="200"/>
        <w:rPr>
          <w:rFonts w:hint="eastAsia" w:ascii="宋体" w:hAnsi="宋体"/>
          <w:b/>
          <w:color w:val="000000"/>
          <w:szCs w:val="21"/>
          <w:highlight w:val="none"/>
        </w:rPr>
      </w:pPr>
      <w:r>
        <w:rPr>
          <w:rFonts w:hint="eastAsia" w:ascii="宋体" w:hAnsi="宋体"/>
          <w:b/>
          <w:color w:val="000000"/>
          <w:szCs w:val="21"/>
          <w:highlight w:val="none"/>
        </w:rPr>
        <w:t>1.6 违约责任</w:t>
      </w:r>
    </w:p>
    <w:p w14:paraId="2ADA4F85">
      <w:pPr>
        <w:spacing w:line="360" w:lineRule="auto"/>
        <w:ind w:firstLine="420" w:firstLineChars="200"/>
        <w:rPr>
          <w:rFonts w:hint="eastAsia" w:ascii="宋体" w:hAnsi="宋体"/>
          <w:color w:val="000000"/>
          <w:szCs w:val="21"/>
          <w:highlight w:val="none"/>
        </w:rPr>
      </w:pPr>
      <w:r>
        <w:rPr>
          <w:rFonts w:hint="eastAsia" w:ascii="宋体" w:hAnsi="宋体"/>
          <w:color w:val="000000"/>
          <w:szCs w:val="21"/>
        </w:rPr>
        <w:t xml:space="preserve">1.6.1 </w:t>
      </w:r>
      <w:r>
        <w:rPr>
          <w:rFonts w:hint="eastAsia" w:ascii="宋体" w:hAnsi="宋体"/>
          <w:color w:val="000000"/>
          <w:szCs w:val="21"/>
          <w:lang w:eastAsia="zh-CN"/>
        </w:rPr>
        <w:t>中标供应商在项目实施要求的服务期内因自身原因不能按时完成项目的，每逾期1天采购人对中标供应商处罚合同总金额的1‰作为违约金；逾期超过10天，采购人有权上报相关监督部门，因此给采购人造成的经济损失由中标供应商自行承担。由于不可抗力原因导致的项目延期，不在违约处罚范围内</w:t>
      </w:r>
      <w:r>
        <w:rPr>
          <w:rFonts w:hint="eastAsia" w:ascii="宋体" w:hAnsi="宋体"/>
          <w:color w:val="000000"/>
          <w:szCs w:val="21"/>
          <w:highlight w:val="none"/>
        </w:rPr>
        <w:t>；</w:t>
      </w:r>
    </w:p>
    <w:p w14:paraId="67A05AC3">
      <w:pPr>
        <w:spacing w:line="360" w:lineRule="auto"/>
        <w:ind w:firstLine="420" w:firstLineChars="200"/>
        <w:rPr>
          <w:rFonts w:hint="eastAsia" w:ascii="宋体" w:hAnsi="宋体"/>
          <w:color w:val="000000"/>
          <w:szCs w:val="21"/>
        </w:rPr>
      </w:pPr>
      <w:r>
        <w:rPr>
          <w:rFonts w:hint="eastAsia" w:ascii="宋体" w:hAnsi="宋体"/>
          <w:color w:val="000000"/>
          <w:szCs w:val="21"/>
          <w:highlight w:val="none"/>
        </w:rPr>
        <w:t>1.6.2 除不可抗力外，如果甲方没有按照本合同约定的付款方式付款，乙方可要求甲方支付违约金，违约金按每迟延付款一日的应付而未付款的</w:t>
      </w:r>
      <w:r>
        <w:rPr>
          <w:rFonts w:hint="eastAsia" w:ascii="宋体" w:hAnsi="宋体"/>
          <w:color w:val="000000"/>
          <w:szCs w:val="21"/>
          <w:highlight w:val="yellow"/>
          <w:u w:val="single"/>
        </w:rPr>
        <w:t xml:space="preserve">   万分之五   </w:t>
      </w:r>
      <w:r>
        <w:rPr>
          <w:rFonts w:hint="eastAsia" w:ascii="宋体" w:hAnsi="宋体"/>
          <w:color w:val="000000"/>
          <w:szCs w:val="21"/>
          <w:highlight w:val="none"/>
        </w:rPr>
        <w:t>计算，最高限额</w:t>
      </w:r>
      <w:r>
        <w:rPr>
          <w:rFonts w:hint="eastAsia" w:ascii="宋体" w:hAnsi="宋体"/>
          <w:color w:val="000000"/>
          <w:szCs w:val="21"/>
        </w:rPr>
        <w:t>为欠付金额的</w:t>
      </w:r>
      <w:r>
        <w:rPr>
          <w:rFonts w:hint="eastAsia" w:ascii="宋体" w:hAnsi="宋体"/>
          <w:color w:val="000000"/>
          <w:szCs w:val="21"/>
          <w:highlight w:val="yellow"/>
          <w:u w:val="single"/>
        </w:rPr>
        <w:t xml:space="preserve">  </w:t>
      </w:r>
      <w:r>
        <w:rPr>
          <w:rFonts w:hint="eastAsia" w:ascii="宋体" w:hAnsi="宋体"/>
          <w:color w:val="000000"/>
          <w:szCs w:val="21"/>
          <w:highlight w:val="yellow"/>
          <w:u w:val="single"/>
          <w:lang w:val="en-US" w:eastAsia="zh-CN"/>
        </w:rPr>
        <w:t>20</w:t>
      </w:r>
      <w:r>
        <w:rPr>
          <w:rFonts w:hint="eastAsia" w:ascii="宋体" w:hAnsi="宋体"/>
          <w:color w:val="000000"/>
          <w:szCs w:val="21"/>
          <w:highlight w:val="yellow"/>
          <w:u w:val="single"/>
        </w:rPr>
        <w:t xml:space="preserve">  </w:t>
      </w:r>
      <w:r>
        <w:rPr>
          <w:rFonts w:hint="eastAsia" w:ascii="宋体" w:hAnsi="宋体"/>
          <w:color w:val="000000"/>
          <w:szCs w:val="21"/>
          <w:highlight w:val="yellow"/>
        </w:rPr>
        <w:t>%</w:t>
      </w:r>
      <w:r>
        <w:rPr>
          <w:rFonts w:hint="eastAsia" w:ascii="宋体" w:hAnsi="宋体"/>
          <w:color w:val="000000"/>
          <w:szCs w:val="21"/>
        </w:rPr>
        <w:t>；迟延付款的违约金计算数额达到前述最高限额之日起，乙方有权在要求甲方支付违约金的同时，书面通知甲方解除本合同；</w:t>
      </w:r>
    </w:p>
    <w:p w14:paraId="59547E9E">
      <w:pPr>
        <w:spacing w:line="360" w:lineRule="auto"/>
        <w:ind w:firstLine="420" w:firstLineChars="200"/>
        <w:rPr>
          <w:rFonts w:hint="eastAsia" w:ascii="宋体" w:hAnsi="宋体"/>
          <w:color w:val="000000"/>
          <w:szCs w:val="21"/>
        </w:rPr>
      </w:pPr>
      <w:r>
        <w:rPr>
          <w:rFonts w:hint="eastAsia" w:ascii="宋体" w:hAnsi="宋体"/>
          <w:color w:val="000000"/>
          <w:szCs w:val="21"/>
        </w:rPr>
        <w:t>1.6.3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5DE7070A">
      <w:pPr>
        <w:spacing w:line="360" w:lineRule="auto"/>
        <w:ind w:firstLine="420" w:firstLineChars="200"/>
        <w:rPr>
          <w:rFonts w:hint="eastAsia" w:ascii="宋体" w:hAnsi="宋体"/>
          <w:color w:val="000000"/>
          <w:szCs w:val="21"/>
        </w:rPr>
      </w:pPr>
      <w:r>
        <w:rPr>
          <w:rFonts w:hint="eastAsia" w:ascii="宋体" w:hAnsi="宋体"/>
          <w:color w:val="000000"/>
          <w:szCs w:val="21"/>
        </w:rPr>
        <w:t>1.6.4乙方在质保期内未按承诺提供售后等服务的，每发生一次向甲方支付违约金额</w:t>
      </w:r>
      <w:r>
        <w:rPr>
          <w:rFonts w:hint="eastAsia" w:ascii="宋体" w:hAnsi="宋体"/>
          <w:color w:val="000000"/>
          <w:szCs w:val="21"/>
          <w:highlight w:val="yellow"/>
          <w:u w:val="single"/>
        </w:rPr>
        <w:t xml:space="preserve"> </w:t>
      </w:r>
      <w:r>
        <w:rPr>
          <w:rFonts w:hint="eastAsia" w:ascii="宋体" w:hAnsi="宋体"/>
          <w:color w:val="000000"/>
          <w:szCs w:val="21"/>
          <w:highlight w:val="yellow"/>
          <w:u w:val="single"/>
          <w:lang w:val="en-US" w:eastAsia="zh-CN"/>
        </w:rPr>
        <w:t>100</w:t>
      </w:r>
      <w:r>
        <w:rPr>
          <w:rFonts w:hint="eastAsia" w:ascii="宋体" w:hAnsi="宋体"/>
          <w:color w:val="000000"/>
          <w:szCs w:val="21"/>
          <w:highlight w:val="yellow"/>
        </w:rPr>
        <w:t>元</w:t>
      </w:r>
      <w:r>
        <w:rPr>
          <w:rFonts w:hint="eastAsia" w:ascii="宋体" w:hAnsi="宋体"/>
          <w:color w:val="000000"/>
          <w:szCs w:val="21"/>
        </w:rPr>
        <w:t>。</w:t>
      </w:r>
    </w:p>
    <w:p w14:paraId="6C330AA8">
      <w:pPr>
        <w:spacing w:line="360" w:lineRule="auto"/>
        <w:ind w:firstLine="420" w:firstLineChars="200"/>
        <w:rPr>
          <w:rFonts w:hint="eastAsia" w:ascii="宋体" w:hAnsi="宋体"/>
          <w:color w:val="000000"/>
          <w:szCs w:val="21"/>
        </w:rPr>
      </w:pPr>
      <w:r>
        <w:rPr>
          <w:rFonts w:hint="eastAsia" w:ascii="宋体" w:hAnsi="宋体"/>
          <w:color w:val="000000"/>
          <w:szCs w:val="21"/>
        </w:rPr>
        <w:t>1.6.5 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4E376838">
      <w:pPr>
        <w:spacing w:line="360" w:lineRule="auto"/>
        <w:ind w:firstLine="420" w:firstLineChars="200"/>
        <w:rPr>
          <w:rFonts w:hint="eastAsia" w:ascii="宋体" w:hAnsi="宋体"/>
          <w:color w:val="000000"/>
          <w:szCs w:val="21"/>
        </w:rPr>
      </w:pPr>
      <w:r>
        <w:rPr>
          <w:rFonts w:hint="eastAsia" w:ascii="宋体" w:hAnsi="宋体"/>
          <w:color w:val="000000"/>
          <w:szCs w:val="21"/>
        </w:rPr>
        <w:t>1.6.6 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01D82450">
      <w:pPr>
        <w:spacing w:line="360" w:lineRule="auto"/>
        <w:ind w:firstLine="420" w:firstLineChars="200"/>
        <w:rPr>
          <w:rFonts w:hint="eastAsia" w:ascii="宋体" w:hAnsi="宋体"/>
          <w:color w:val="000000"/>
          <w:szCs w:val="21"/>
        </w:rPr>
      </w:pPr>
      <w:r>
        <w:rPr>
          <w:rFonts w:hint="eastAsia" w:ascii="宋体" w:hAnsi="宋体"/>
          <w:color w:val="000000"/>
          <w:szCs w:val="21"/>
        </w:rPr>
        <w:t>1.6.7 如果出现政府采购监督管理部门在处理投诉事项期间，书面通知甲方暂停采购活动的情形，或者询问或质疑事项可能影响中标结果的，导致甲方中止履行合同的情形，均不视为甲方违约。</w:t>
      </w:r>
    </w:p>
    <w:p w14:paraId="6E2F1548">
      <w:pPr>
        <w:spacing w:line="360" w:lineRule="auto"/>
        <w:ind w:firstLine="422" w:firstLineChars="200"/>
        <w:rPr>
          <w:rFonts w:hint="eastAsia" w:ascii="宋体" w:hAnsi="宋体"/>
          <w:b/>
          <w:color w:val="000000"/>
          <w:szCs w:val="21"/>
        </w:rPr>
      </w:pPr>
      <w:r>
        <w:rPr>
          <w:rFonts w:hint="eastAsia" w:ascii="宋体" w:hAnsi="宋体"/>
          <w:b/>
          <w:color w:val="000000"/>
          <w:szCs w:val="21"/>
        </w:rPr>
        <w:t>1.7 合同争议的解决</w:t>
      </w:r>
    </w:p>
    <w:p w14:paraId="1D60CA9E">
      <w:pPr>
        <w:spacing w:line="360" w:lineRule="auto"/>
        <w:ind w:firstLine="420" w:firstLineChars="200"/>
        <w:rPr>
          <w:rFonts w:hint="eastAsia" w:ascii="宋体" w:hAnsi="宋体"/>
          <w:color w:val="000000"/>
          <w:szCs w:val="21"/>
        </w:rPr>
      </w:pPr>
      <w:r>
        <w:rPr>
          <w:rFonts w:hint="eastAsia" w:ascii="宋体" w:hAnsi="宋体"/>
          <w:color w:val="000000"/>
          <w:szCs w:val="21"/>
        </w:rPr>
        <w:t>本合同履行过程中发生的任何争议，双方当事人均应通过友好协商的方式和解或者调解解决；不愿和解、调解或者和解、调解不成的，可以选择下列第</w:t>
      </w:r>
      <w:r>
        <w:rPr>
          <w:rFonts w:hint="eastAsia" w:ascii="宋体" w:hAnsi="宋体"/>
          <w:color w:val="000000"/>
          <w:szCs w:val="21"/>
          <w:u w:val="single"/>
        </w:rPr>
        <w:t xml:space="preserve"> </w:t>
      </w:r>
      <w:r>
        <w:rPr>
          <w:rFonts w:hint="eastAsia" w:ascii="宋体" w:hAnsi="宋体"/>
          <w:color w:val="000000"/>
          <w:szCs w:val="21"/>
          <w:u w:val="single"/>
          <w:lang w:val="en-US" w:eastAsia="zh-CN"/>
        </w:rPr>
        <w:t>1.7.2</w:t>
      </w:r>
      <w:r>
        <w:rPr>
          <w:rFonts w:hint="eastAsia" w:ascii="宋体" w:hAnsi="宋体"/>
          <w:color w:val="000000"/>
          <w:szCs w:val="21"/>
          <w:u w:val="single"/>
        </w:rPr>
        <w:t xml:space="preserve"> </w:t>
      </w:r>
      <w:r>
        <w:rPr>
          <w:rFonts w:hint="eastAsia" w:ascii="宋体" w:hAnsi="宋体"/>
          <w:color w:val="000000"/>
          <w:szCs w:val="21"/>
        </w:rPr>
        <w:t>种方式解决：</w:t>
      </w:r>
    </w:p>
    <w:p w14:paraId="7EDFE0C6">
      <w:pPr>
        <w:spacing w:line="360" w:lineRule="auto"/>
        <w:ind w:firstLine="420" w:firstLineChars="200"/>
        <w:rPr>
          <w:rFonts w:hint="eastAsia" w:ascii="宋体" w:hAnsi="宋体"/>
          <w:color w:val="000000"/>
          <w:szCs w:val="21"/>
        </w:rPr>
      </w:pPr>
      <w:r>
        <w:rPr>
          <w:rFonts w:hint="eastAsia" w:ascii="宋体" w:hAnsi="宋体"/>
          <w:color w:val="000000"/>
          <w:szCs w:val="21"/>
        </w:rPr>
        <w:t>1.7.1 将争议提交</w:t>
      </w:r>
      <w:r>
        <w:rPr>
          <w:rFonts w:hint="eastAsia" w:ascii="宋体" w:hAnsi="宋体"/>
          <w:color w:val="000000"/>
          <w:szCs w:val="21"/>
          <w:u w:val="single"/>
        </w:rPr>
        <w:t>南宁市</w:t>
      </w:r>
      <w:r>
        <w:rPr>
          <w:rFonts w:hint="eastAsia" w:ascii="宋体" w:hAnsi="宋体"/>
          <w:color w:val="000000"/>
          <w:szCs w:val="21"/>
        </w:rPr>
        <w:t>仲裁委员会依申请仲裁时其现行有效的仲裁规则裁决；</w:t>
      </w:r>
    </w:p>
    <w:p w14:paraId="1DFB1038">
      <w:pPr>
        <w:spacing w:line="360" w:lineRule="auto"/>
        <w:ind w:firstLine="420" w:firstLineChars="200"/>
        <w:rPr>
          <w:rFonts w:hint="eastAsia" w:ascii="宋体" w:hAnsi="宋体"/>
          <w:color w:val="000000"/>
          <w:szCs w:val="21"/>
        </w:rPr>
      </w:pPr>
      <w:r>
        <w:rPr>
          <w:rFonts w:hint="eastAsia" w:ascii="宋体" w:hAnsi="宋体"/>
          <w:color w:val="000000"/>
          <w:szCs w:val="21"/>
        </w:rPr>
        <w:t>1.7.2 向</w:t>
      </w:r>
      <w:r>
        <w:rPr>
          <w:rFonts w:hint="eastAsia" w:ascii="宋体" w:hAnsi="宋体"/>
          <w:color w:val="000000"/>
          <w:szCs w:val="21"/>
          <w:u w:val="single"/>
        </w:rPr>
        <w:t xml:space="preserve">   甲方所在地    </w:t>
      </w:r>
      <w:r>
        <w:rPr>
          <w:rFonts w:hint="eastAsia" w:ascii="宋体" w:hAnsi="宋体"/>
          <w:color w:val="000000"/>
          <w:szCs w:val="21"/>
          <w:u w:val="none"/>
        </w:rPr>
        <w:t>有管辖权的</w:t>
      </w:r>
      <w:r>
        <w:rPr>
          <w:rFonts w:hint="eastAsia" w:ascii="宋体" w:hAnsi="宋体"/>
          <w:color w:val="000000"/>
          <w:szCs w:val="21"/>
        </w:rPr>
        <w:t>人民法院起诉。</w:t>
      </w:r>
    </w:p>
    <w:p w14:paraId="65C55133">
      <w:pPr>
        <w:spacing w:line="360" w:lineRule="auto"/>
        <w:ind w:firstLine="422" w:firstLineChars="200"/>
        <w:rPr>
          <w:rFonts w:hint="eastAsia" w:ascii="宋体" w:hAnsi="宋体"/>
          <w:b/>
          <w:color w:val="000000"/>
          <w:szCs w:val="21"/>
        </w:rPr>
      </w:pPr>
      <w:r>
        <w:rPr>
          <w:rFonts w:hint="eastAsia" w:ascii="宋体" w:hAnsi="宋体"/>
          <w:b/>
          <w:color w:val="000000"/>
          <w:szCs w:val="21"/>
        </w:rPr>
        <w:t>1.8 合同生效</w:t>
      </w:r>
    </w:p>
    <w:p w14:paraId="41B35892">
      <w:pPr>
        <w:spacing w:line="360" w:lineRule="auto"/>
        <w:ind w:firstLine="420" w:firstLineChars="200"/>
        <w:rPr>
          <w:rFonts w:hint="eastAsia" w:ascii="宋体" w:hAnsi="宋体"/>
          <w:color w:val="000000"/>
          <w:szCs w:val="21"/>
        </w:rPr>
      </w:pPr>
      <w:r>
        <w:rPr>
          <w:rFonts w:hint="eastAsia" w:ascii="宋体" w:hAnsi="宋体"/>
          <w:color w:val="000000"/>
          <w:szCs w:val="21"/>
        </w:rPr>
        <w:t>本合同自双方当事人加盖有效公章时生效。</w:t>
      </w:r>
    </w:p>
    <w:p w14:paraId="19D4017B">
      <w:pPr>
        <w:spacing w:line="360" w:lineRule="auto"/>
        <w:ind w:firstLine="422" w:firstLineChars="200"/>
        <w:rPr>
          <w:rFonts w:hint="default" w:ascii="宋体" w:hAnsi="宋体" w:eastAsia="宋体"/>
          <w:color w:val="000000"/>
          <w:szCs w:val="21"/>
          <w:lang w:val="en-US" w:eastAsia="zh-CN"/>
        </w:rPr>
      </w:pPr>
      <w:r>
        <w:rPr>
          <w:rFonts w:hint="eastAsia" w:ascii="宋体" w:hAnsi="宋体"/>
          <w:b/>
          <w:bCs/>
          <w:color w:val="000000"/>
          <w:szCs w:val="21"/>
          <w:lang w:val="en-US" w:eastAsia="zh-CN"/>
        </w:rPr>
        <w:t>1.9合同延续年限、条件和方式</w:t>
      </w:r>
      <w:r>
        <w:rPr>
          <w:rFonts w:hint="eastAsia" w:ascii="宋体" w:hAnsi="宋体"/>
          <w:color w:val="000000"/>
          <w:szCs w:val="21"/>
          <w:lang w:val="en-US" w:eastAsia="zh-CN"/>
        </w:rPr>
        <w:t>：本项目合同到期后不续签。</w:t>
      </w:r>
    </w:p>
    <w:tbl>
      <w:tblPr>
        <w:tblStyle w:val="16"/>
        <w:tblpPr w:leftFromText="180" w:rightFromText="180" w:vertAnchor="text" w:horzAnchor="page" w:tblpX="1030" w:tblpY="437"/>
        <w:tblOverlap w:val="never"/>
        <w:tblW w:w="10429" w:type="dxa"/>
        <w:tblInd w:w="0" w:type="dxa"/>
        <w:tblLayout w:type="autofit"/>
        <w:tblCellMar>
          <w:top w:w="0" w:type="dxa"/>
          <w:left w:w="108" w:type="dxa"/>
          <w:bottom w:w="0" w:type="dxa"/>
          <w:right w:w="108" w:type="dxa"/>
        </w:tblCellMar>
      </w:tblPr>
      <w:tblGrid>
        <w:gridCol w:w="4338"/>
        <w:gridCol w:w="6091"/>
      </w:tblGrid>
      <w:tr w14:paraId="5535047D">
        <w:tblPrEx>
          <w:tblCellMar>
            <w:top w:w="0" w:type="dxa"/>
            <w:left w:w="108" w:type="dxa"/>
            <w:bottom w:w="0" w:type="dxa"/>
            <w:right w:w="108" w:type="dxa"/>
          </w:tblCellMar>
        </w:tblPrEx>
        <w:trPr>
          <w:trHeight w:val="542" w:hRule="atLeast"/>
        </w:trPr>
        <w:tc>
          <w:tcPr>
            <w:tcW w:w="4338" w:type="dxa"/>
            <w:noWrap w:val="0"/>
            <w:vAlign w:val="top"/>
          </w:tcPr>
          <w:p w14:paraId="55F82185">
            <w:pPr>
              <w:autoSpaceDE w:val="0"/>
              <w:autoSpaceDN w:val="0"/>
              <w:adjustRightInd w:val="0"/>
              <w:snapToGrid w:val="0"/>
              <w:spacing w:after="120" w:line="360" w:lineRule="auto"/>
              <w:ind w:right="-210" w:rightChars="-100"/>
              <w:outlineLvl w:val="1"/>
              <w:rPr>
                <w:rFonts w:hint="eastAsia" w:ascii="宋体" w:hAnsi="宋体" w:eastAsia="宋体" w:cs="HMGX"/>
                <w:b/>
                <w:sz w:val="21"/>
                <w:szCs w:val="21"/>
              </w:rPr>
            </w:pPr>
            <w:bookmarkStart w:id="160" w:name="_Toc134805655"/>
            <w:bookmarkStart w:id="161" w:name="_Toc5424"/>
            <w:bookmarkStart w:id="162" w:name="_Toc6260"/>
            <w:bookmarkStart w:id="163" w:name="_Toc116141143"/>
            <w:bookmarkStart w:id="164" w:name="_Toc30963"/>
            <w:bookmarkStart w:id="165" w:name="_Toc116199112"/>
            <w:bookmarkStart w:id="166" w:name="_Toc116141318"/>
            <w:bookmarkStart w:id="167" w:name="_Toc8673"/>
            <w:bookmarkStart w:id="168" w:name="_Toc6654"/>
            <w:bookmarkStart w:id="169" w:name="_Toc7437"/>
            <w:bookmarkStart w:id="170" w:name="_Toc4858"/>
            <w:r>
              <w:rPr>
                <w:rFonts w:hint="eastAsia" w:ascii="宋体" w:hAnsi="宋体" w:eastAsia="宋体" w:cs="HMGX"/>
                <w:sz w:val="21"/>
                <w:szCs w:val="21"/>
                <w:lang w:val="zh-CN"/>
              </w:rPr>
              <w:t>甲方：</w:t>
            </w:r>
            <w:bookmarkEnd w:id="160"/>
            <w:bookmarkEnd w:id="161"/>
            <w:bookmarkEnd w:id="162"/>
            <w:bookmarkEnd w:id="163"/>
            <w:bookmarkEnd w:id="164"/>
            <w:bookmarkEnd w:id="165"/>
            <w:bookmarkEnd w:id="166"/>
            <w:bookmarkEnd w:id="167"/>
            <w:bookmarkEnd w:id="168"/>
            <w:bookmarkEnd w:id="169"/>
            <w:bookmarkEnd w:id="170"/>
          </w:p>
        </w:tc>
        <w:tc>
          <w:tcPr>
            <w:tcW w:w="6091" w:type="dxa"/>
            <w:noWrap w:val="0"/>
            <w:vAlign w:val="top"/>
          </w:tcPr>
          <w:p w14:paraId="474D4F12">
            <w:pPr>
              <w:autoSpaceDE w:val="0"/>
              <w:autoSpaceDN w:val="0"/>
              <w:adjustRightInd w:val="0"/>
              <w:snapToGrid w:val="0"/>
              <w:spacing w:after="120" w:line="360" w:lineRule="auto"/>
              <w:ind w:right="-210" w:rightChars="-100"/>
              <w:outlineLvl w:val="1"/>
              <w:rPr>
                <w:rFonts w:hint="eastAsia" w:ascii="宋体" w:hAnsi="宋体" w:eastAsia="宋体" w:cs="HMGX"/>
                <w:b/>
                <w:sz w:val="21"/>
                <w:szCs w:val="21"/>
              </w:rPr>
            </w:pPr>
            <w:bookmarkStart w:id="171" w:name="_Toc134805656"/>
            <w:bookmarkStart w:id="172" w:name="_Toc21891"/>
            <w:bookmarkStart w:id="173" w:name="_Toc25885"/>
            <w:bookmarkStart w:id="174" w:name="_Toc9927"/>
            <w:bookmarkStart w:id="175" w:name="_Toc19995"/>
            <w:bookmarkStart w:id="176" w:name="_Toc8048"/>
            <w:bookmarkStart w:id="177" w:name="_Toc14249"/>
            <w:bookmarkStart w:id="178" w:name="_Toc24507"/>
            <w:r>
              <w:rPr>
                <w:rFonts w:hint="eastAsia" w:ascii="宋体" w:hAnsi="宋体" w:eastAsia="宋体" w:cs="HMGX"/>
                <w:sz w:val="21"/>
                <w:szCs w:val="21"/>
                <w:lang w:val="zh-CN"/>
              </w:rPr>
              <w:t>乙方：</w:t>
            </w:r>
            <w:bookmarkEnd w:id="171"/>
            <w:bookmarkEnd w:id="172"/>
            <w:bookmarkEnd w:id="173"/>
            <w:bookmarkEnd w:id="174"/>
            <w:bookmarkEnd w:id="175"/>
            <w:bookmarkEnd w:id="176"/>
            <w:bookmarkEnd w:id="177"/>
            <w:bookmarkEnd w:id="178"/>
          </w:p>
        </w:tc>
      </w:tr>
      <w:tr w14:paraId="42294F0D">
        <w:tblPrEx>
          <w:tblCellMar>
            <w:top w:w="0" w:type="dxa"/>
            <w:left w:w="108" w:type="dxa"/>
            <w:bottom w:w="0" w:type="dxa"/>
            <w:right w:w="108" w:type="dxa"/>
          </w:tblCellMar>
        </w:tblPrEx>
        <w:trPr>
          <w:trHeight w:val="573" w:hRule="atLeast"/>
        </w:trPr>
        <w:tc>
          <w:tcPr>
            <w:tcW w:w="4338" w:type="dxa"/>
            <w:noWrap w:val="0"/>
            <w:vAlign w:val="top"/>
          </w:tcPr>
          <w:p w14:paraId="3FC18ADB">
            <w:pPr>
              <w:autoSpaceDE w:val="0"/>
              <w:autoSpaceDN w:val="0"/>
              <w:adjustRightInd w:val="0"/>
              <w:snapToGrid w:val="0"/>
              <w:spacing w:after="120" w:line="360" w:lineRule="auto"/>
              <w:ind w:right="-210" w:rightChars="-100"/>
              <w:outlineLvl w:val="1"/>
              <w:rPr>
                <w:rFonts w:hint="eastAsia" w:ascii="宋体" w:hAnsi="宋体" w:eastAsia="宋体" w:cs="HMGX"/>
                <w:sz w:val="21"/>
                <w:szCs w:val="21"/>
                <w:lang w:val="zh-CN"/>
              </w:rPr>
            </w:pPr>
            <w:bookmarkStart w:id="179" w:name="_Toc29108"/>
            <w:bookmarkStart w:id="180" w:name="_Toc4992"/>
            <w:bookmarkStart w:id="181" w:name="_Toc27252"/>
            <w:bookmarkStart w:id="182" w:name="_Toc116141145"/>
            <w:bookmarkStart w:id="183" w:name="_Toc134805657"/>
            <w:bookmarkStart w:id="184" w:name="_Toc1597"/>
            <w:bookmarkStart w:id="185" w:name="_Toc170"/>
            <w:bookmarkStart w:id="186" w:name="_Toc4214"/>
            <w:bookmarkStart w:id="187" w:name="_Toc15434"/>
            <w:bookmarkStart w:id="188" w:name="_Toc116141320"/>
            <w:bookmarkStart w:id="189" w:name="_Toc116199114"/>
            <w:r>
              <w:rPr>
                <w:rFonts w:hint="eastAsia" w:ascii="宋体" w:hAnsi="宋体" w:eastAsia="宋体" w:cs="HMGX"/>
                <w:sz w:val="21"/>
                <w:szCs w:val="21"/>
                <w:lang w:val="zh-CN"/>
              </w:rPr>
              <w:t>统一社会信用代码：</w:t>
            </w:r>
            <w:bookmarkEnd w:id="179"/>
            <w:bookmarkEnd w:id="180"/>
            <w:bookmarkEnd w:id="181"/>
            <w:bookmarkEnd w:id="182"/>
            <w:bookmarkEnd w:id="183"/>
            <w:bookmarkEnd w:id="184"/>
            <w:bookmarkEnd w:id="185"/>
            <w:bookmarkEnd w:id="186"/>
            <w:bookmarkEnd w:id="187"/>
            <w:bookmarkEnd w:id="188"/>
            <w:bookmarkEnd w:id="189"/>
          </w:p>
          <w:p w14:paraId="746F6EE9">
            <w:pPr>
              <w:autoSpaceDE w:val="0"/>
              <w:autoSpaceDN w:val="0"/>
              <w:adjustRightInd w:val="0"/>
              <w:snapToGrid w:val="0"/>
              <w:spacing w:after="120" w:line="360" w:lineRule="auto"/>
              <w:ind w:right="-210" w:rightChars="-100"/>
              <w:outlineLvl w:val="1"/>
              <w:rPr>
                <w:rFonts w:hint="eastAsia" w:ascii="宋体" w:hAnsi="宋体" w:eastAsia="宋体" w:cs="HMGX"/>
                <w:b/>
                <w:sz w:val="21"/>
                <w:szCs w:val="21"/>
              </w:rPr>
            </w:pPr>
            <w:r>
              <w:rPr>
                <w:rFonts w:hint="eastAsia" w:ascii="宋体" w:hAnsi="宋体" w:eastAsia="宋体" w:cs="HMGX"/>
                <w:b/>
                <w:sz w:val="21"/>
                <w:szCs w:val="21"/>
              </w:rPr>
              <w:t xml:space="preserve"> </w:t>
            </w:r>
          </w:p>
        </w:tc>
        <w:tc>
          <w:tcPr>
            <w:tcW w:w="6091" w:type="dxa"/>
            <w:noWrap w:val="0"/>
            <w:vAlign w:val="top"/>
          </w:tcPr>
          <w:p w14:paraId="6A615CCA">
            <w:pPr>
              <w:autoSpaceDE w:val="0"/>
              <w:autoSpaceDN w:val="0"/>
              <w:adjustRightInd w:val="0"/>
              <w:snapToGrid w:val="0"/>
              <w:spacing w:after="120" w:line="360" w:lineRule="auto"/>
              <w:ind w:right="-210" w:rightChars="-100"/>
              <w:outlineLvl w:val="1"/>
              <w:rPr>
                <w:rFonts w:hint="eastAsia" w:ascii="宋体" w:hAnsi="宋体" w:eastAsia="宋体" w:cs="HMGX"/>
                <w:b/>
                <w:sz w:val="21"/>
                <w:szCs w:val="21"/>
              </w:rPr>
            </w:pPr>
            <w:bookmarkStart w:id="190" w:name="_Toc30019"/>
            <w:bookmarkStart w:id="191" w:name="_Toc23605"/>
            <w:bookmarkStart w:id="192" w:name="_Toc6937"/>
            <w:bookmarkStart w:id="193" w:name="_Toc17278"/>
            <w:bookmarkStart w:id="194" w:name="_Toc2854"/>
            <w:bookmarkStart w:id="195" w:name="_Toc4568"/>
            <w:bookmarkStart w:id="196" w:name="_Toc134805658"/>
            <w:bookmarkStart w:id="197" w:name="_Toc25370"/>
            <w:r>
              <w:rPr>
                <w:rFonts w:hint="eastAsia" w:ascii="宋体" w:hAnsi="宋体" w:eastAsia="宋体" w:cs="HMGX"/>
                <w:sz w:val="21"/>
                <w:szCs w:val="21"/>
                <w:lang w:val="zh-CN"/>
              </w:rPr>
              <w:t>统一社会信用代码或身份证号码：</w:t>
            </w:r>
            <w:bookmarkEnd w:id="190"/>
            <w:bookmarkEnd w:id="191"/>
            <w:bookmarkEnd w:id="192"/>
            <w:bookmarkEnd w:id="193"/>
            <w:bookmarkEnd w:id="194"/>
            <w:bookmarkEnd w:id="195"/>
            <w:bookmarkEnd w:id="196"/>
            <w:bookmarkEnd w:id="197"/>
          </w:p>
        </w:tc>
      </w:tr>
      <w:tr w14:paraId="6EEA0573">
        <w:tblPrEx>
          <w:tblCellMar>
            <w:top w:w="0" w:type="dxa"/>
            <w:left w:w="108" w:type="dxa"/>
            <w:bottom w:w="0" w:type="dxa"/>
            <w:right w:w="108" w:type="dxa"/>
          </w:tblCellMar>
        </w:tblPrEx>
        <w:trPr>
          <w:trHeight w:val="690" w:hRule="atLeast"/>
        </w:trPr>
        <w:tc>
          <w:tcPr>
            <w:tcW w:w="4338" w:type="dxa"/>
            <w:noWrap w:val="0"/>
            <w:vAlign w:val="top"/>
          </w:tcPr>
          <w:p w14:paraId="494A9E5D">
            <w:pPr>
              <w:autoSpaceDE w:val="0"/>
              <w:autoSpaceDN w:val="0"/>
              <w:adjustRightInd w:val="0"/>
              <w:snapToGrid w:val="0"/>
              <w:spacing w:after="120" w:line="360" w:lineRule="auto"/>
              <w:ind w:right="-210" w:rightChars="-100"/>
              <w:outlineLvl w:val="1"/>
              <w:rPr>
                <w:rFonts w:hint="eastAsia" w:ascii="宋体" w:hAnsi="宋体" w:eastAsia="宋体" w:cs="HMGX"/>
                <w:b/>
                <w:sz w:val="21"/>
                <w:szCs w:val="21"/>
              </w:rPr>
            </w:pPr>
            <w:bookmarkStart w:id="198" w:name="_Toc116141147"/>
            <w:bookmarkStart w:id="199" w:name="_Toc18805"/>
            <w:bookmarkStart w:id="200" w:name="_Toc116141322"/>
            <w:bookmarkStart w:id="201" w:name="_Toc134805659"/>
            <w:bookmarkStart w:id="202" w:name="_Toc13275"/>
            <w:bookmarkStart w:id="203" w:name="_Toc11764"/>
            <w:bookmarkStart w:id="204" w:name="_Toc7074"/>
            <w:bookmarkStart w:id="205" w:name="_Toc14731"/>
            <w:bookmarkStart w:id="206" w:name="_Toc116199116"/>
            <w:bookmarkStart w:id="207" w:name="_Toc17141"/>
            <w:bookmarkStart w:id="208" w:name="_Toc13051"/>
            <w:r>
              <w:rPr>
                <w:rFonts w:hint="eastAsia" w:ascii="宋体" w:hAnsi="宋体" w:eastAsia="宋体" w:cs="HMGX"/>
                <w:sz w:val="21"/>
                <w:szCs w:val="21"/>
                <w:lang w:val="zh-CN"/>
              </w:rPr>
              <w:t>住所：</w:t>
            </w:r>
            <w:bookmarkEnd w:id="198"/>
            <w:bookmarkEnd w:id="199"/>
            <w:bookmarkEnd w:id="200"/>
            <w:bookmarkEnd w:id="201"/>
            <w:bookmarkEnd w:id="202"/>
            <w:bookmarkEnd w:id="203"/>
            <w:bookmarkEnd w:id="204"/>
            <w:bookmarkEnd w:id="205"/>
            <w:bookmarkEnd w:id="206"/>
            <w:bookmarkEnd w:id="207"/>
            <w:bookmarkEnd w:id="208"/>
          </w:p>
        </w:tc>
        <w:tc>
          <w:tcPr>
            <w:tcW w:w="6091" w:type="dxa"/>
            <w:noWrap w:val="0"/>
            <w:vAlign w:val="top"/>
          </w:tcPr>
          <w:p w14:paraId="0A769BC8">
            <w:pPr>
              <w:autoSpaceDE w:val="0"/>
              <w:autoSpaceDN w:val="0"/>
              <w:adjustRightInd w:val="0"/>
              <w:snapToGrid w:val="0"/>
              <w:spacing w:after="120" w:line="360" w:lineRule="auto"/>
              <w:ind w:right="-210" w:rightChars="-100"/>
              <w:outlineLvl w:val="1"/>
              <w:rPr>
                <w:rFonts w:hint="eastAsia" w:ascii="宋体" w:hAnsi="宋体" w:eastAsia="宋体" w:cs="HMGX"/>
                <w:sz w:val="21"/>
                <w:szCs w:val="21"/>
              </w:rPr>
            </w:pPr>
            <w:bookmarkStart w:id="209" w:name="_Toc22372"/>
            <w:bookmarkStart w:id="210" w:name="_Toc28793"/>
            <w:bookmarkStart w:id="211" w:name="_Toc10229"/>
            <w:bookmarkStart w:id="212" w:name="_Toc21941"/>
            <w:bookmarkStart w:id="213" w:name="_Toc1449"/>
            <w:bookmarkStart w:id="214" w:name="_Toc134805660"/>
            <w:bookmarkStart w:id="215" w:name="_Toc27638"/>
            <w:bookmarkStart w:id="216" w:name="_Toc15908"/>
            <w:r>
              <w:rPr>
                <w:rFonts w:hint="eastAsia" w:ascii="宋体" w:hAnsi="宋体" w:eastAsia="宋体" w:cs="HMGX"/>
                <w:sz w:val="21"/>
                <w:szCs w:val="21"/>
                <w:lang w:val="zh-CN"/>
              </w:rPr>
              <w:t>住所：</w:t>
            </w:r>
            <w:bookmarkEnd w:id="209"/>
            <w:bookmarkEnd w:id="210"/>
            <w:bookmarkEnd w:id="211"/>
            <w:bookmarkEnd w:id="212"/>
            <w:bookmarkEnd w:id="213"/>
            <w:bookmarkEnd w:id="214"/>
            <w:bookmarkEnd w:id="215"/>
            <w:bookmarkEnd w:id="216"/>
          </w:p>
        </w:tc>
      </w:tr>
      <w:tr w14:paraId="20AEFEE3">
        <w:tblPrEx>
          <w:tblCellMar>
            <w:top w:w="0" w:type="dxa"/>
            <w:left w:w="108" w:type="dxa"/>
            <w:bottom w:w="0" w:type="dxa"/>
            <w:right w:w="108" w:type="dxa"/>
          </w:tblCellMar>
        </w:tblPrEx>
        <w:trPr>
          <w:trHeight w:val="648" w:hRule="atLeast"/>
        </w:trPr>
        <w:tc>
          <w:tcPr>
            <w:tcW w:w="4338" w:type="dxa"/>
            <w:noWrap w:val="0"/>
            <w:vAlign w:val="top"/>
          </w:tcPr>
          <w:p w14:paraId="2DDEB46B">
            <w:pPr>
              <w:autoSpaceDE w:val="0"/>
              <w:autoSpaceDN w:val="0"/>
              <w:adjustRightInd w:val="0"/>
              <w:snapToGrid w:val="0"/>
              <w:spacing w:after="120" w:line="360" w:lineRule="auto"/>
              <w:ind w:right="-210" w:rightChars="-100"/>
              <w:outlineLvl w:val="1"/>
              <w:rPr>
                <w:rFonts w:hint="eastAsia" w:ascii="宋体" w:hAnsi="宋体" w:eastAsia="宋体" w:cs="HMGX"/>
                <w:b/>
                <w:sz w:val="21"/>
                <w:szCs w:val="21"/>
              </w:rPr>
            </w:pPr>
            <w:bookmarkStart w:id="217" w:name="_Toc6055"/>
            <w:bookmarkStart w:id="218" w:name="_Toc10517"/>
            <w:bookmarkStart w:id="219" w:name="_Toc30365"/>
            <w:bookmarkStart w:id="220" w:name="_Toc116199119"/>
            <w:bookmarkStart w:id="221" w:name="_Toc116141150"/>
            <w:bookmarkStart w:id="222" w:name="_Toc17260"/>
            <w:bookmarkStart w:id="223" w:name="_Toc8423"/>
            <w:bookmarkStart w:id="224" w:name="_Toc15183"/>
            <w:bookmarkStart w:id="225" w:name="_Toc116141325"/>
            <w:bookmarkStart w:id="226" w:name="_Toc1353"/>
            <w:bookmarkStart w:id="227" w:name="_Toc134805661"/>
            <w:r>
              <w:rPr>
                <w:rFonts w:hint="eastAsia" w:ascii="宋体" w:hAnsi="宋体" w:eastAsia="宋体" w:cs="HMGX"/>
                <w:sz w:val="21"/>
                <w:szCs w:val="21"/>
                <w:lang w:val="zh-CN"/>
              </w:rPr>
              <w:t>法定代表人或</w:t>
            </w:r>
            <w:bookmarkEnd w:id="217"/>
            <w:bookmarkEnd w:id="218"/>
            <w:bookmarkEnd w:id="219"/>
            <w:bookmarkEnd w:id="220"/>
            <w:bookmarkEnd w:id="221"/>
            <w:bookmarkEnd w:id="222"/>
            <w:bookmarkEnd w:id="223"/>
            <w:bookmarkEnd w:id="224"/>
            <w:bookmarkEnd w:id="225"/>
            <w:bookmarkEnd w:id="226"/>
            <w:bookmarkEnd w:id="227"/>
          </w:p>
        </w:tc>
        <w:tc>
          <w:tcPr>
            <w:tcW w:w="6091" w:type="dxa"/>
            <w:noWrap w:val="0"/>
            <w:vAlign w:val="top"/>
          </w:tcPr>
          <w:p w14:paraId="0C8DBB1F">
            <w:pPr>
              <w:spacing w:line="360" w:lineRule="auto"/>
              <w:ind w:right="-210" w:rightChars="-100"/>
              <w:rPr>
                <w:rFonts w:hint="eastAsia" w:ascii="宋体" w:hAnsi="宋体" w:eastAsia="宋体" w:cs="HMGX"/>
                <w:sz w:val="21"/>
                <w:szCs w:val="21"/>
                <w:lang w:val="zh-CN"/>
              </w:rPr>
            </w:pPr>
            <w:r>
              <w:rPr>
                <w:rFonts w:hint="eastAsia" w:ascii="宋体" w:hAnsi="宋体" w:eastAsia="宋体" w:cs="HMGX"/>
                <w:sz w:val="21"/>
                <w:szCs w:val="21"/>
                <w:lang w:val="zh-CN"/>
              </w:rPr>
              <w:t>法定代表人或</w:t>
            </w:r>
          </w:p>
        </w:tc>
      </w:tr>
      <w:tr w14:paraId="1B59F3BD">
        <w:tblPrEx>
          <w:tblCellMar>
            <w:top w:w="0" w:type="dxa"/>
            <w:left w:w="108" w:type="dxa"/>
            <w:bottom w:w="0" w:type="dxa"/>
            <w:right w:w="108" w:type="dxa"/>
          </w:tblCellMar>
        </w:tblPrEx>
        <w:trPr>
          <w:trHeight w:val="936" w:hRule="atLeast"/>
        </w:trPr>
        <w:tc>
          <w:tcPr>
            <w:tcW w:w="4338" w:type="dxa"/>
            <w:noWrap w:val="0"/>
            <w:vAlign w:val="top"/>
          </w:tcPr>
          <w:p w14:paraId="0F139B02">
            <w:pPr>
              <w:autoSpaceDE w:val="0"/>
              <w:autoSpaceDN w:val="0"/>
              <w:adjustRightInd w:val="0"/>
              <w:snapToGrid w:val="0"/>
              <w:spacing w:after="120" w:line="360" w:lineRule="auto"/>
              <w:ind w:right="-210" w:rightChars="-100"/>
              <w:outlineLvl w:val="1"/>
              <w:rPr>
                <w:rFonts w:hint="eastAsia" w:ascii="宋体" w:hAnsi="宋体" w:eastAsia="宋体" w:cs="HMGX"/>
                <w:b/>
                <w:sz w:val="21"/>
                <w:szCs w:val="21"/>
              </w:rPr>
            </w:pPr>
            <w:bookmarkStart w:id="228" w:name="_Toc116141152"/>
            <w:bookmarkStart w:id="229" w:name="_Toc23806"/>
            <w:bookmarkStart w:id="230" w:name="_Toc116141327"/>
            <w:bookmarkStart w:id="231" w:name="_Toc23305"/>
            <w:bookmarkStart w:id="232" w:name="_Toc14676"/>
            <w:bookmarkStart w:id="233" w:name="_Toc23871"/>
            <w:bookmarkStart w:id="234" w:name="_Toc116199121"/>
            <w:bookmarkStart w:id="235" w:name="_Toc12634"/>
            <w:bookmarkStart w:id="236" w:name="_Toc28875"/>
            <w:bookmarkStart w:id="237" w:name="_Toc134805662"/>
            <w:bookmarkStart w:id="238" w:name="_Toc16831"/>
            <w:r>
              <w:rPr>
                <w:rFonts w:hint="eastAsia" w:ascii="宋体" w:hAnsi="宋体" w:eastAsia="宋体" w:cs="HMGX"/>
                <w:sz w:val="21"/>
                <w:szCs w:val="21"/>
                <w:lang w:val="zh-CN"/>
              </w:rPr>
              <w:t>授权代表（签字或盖章）:</w:t>
            </w:r>
            <w:bookmarkEnd w:id="228"/>
            <w:bookmarkEnd w:id="229"/>
            <w:bookmarkEnd w:id="230"/>
            <w:bookmarkEnd w:id="231"/>
            <w:bookmarkEnd w:id="232"/>
            <w:bookmarkEnd w:id="233"/>
            <w:bookmarkEnd w:id="234"/>
            <w:bookmarkEnd w:id="235"/>
            <w:bookmarkEnd w:id="236"/>
            <w:bookmarkEnd w:id="237"/>
            <w:bookmarkEnd w:id="238"/>
          </w:p>
        </w:tc>
        <w:tc>
          <w:tcPr>
            <w:tcW w:w="6091" w:type="dxa"/>
            <w:noWrap w:val="0"/>
            <w:vAlign w:val="top"/>
          </w:tcPr>
          <w:p w14:paraId="101ED32F">
            <w:pPr>
              <w:spacing w:line="360" w:lineRule="auto"/>
              <w:ind w:right="-210" w:rightChars="-100"/>
              <w:rPr>
                <w:rFonts w:hint="eastAsia" w:ascii="宋体" w:hAnsi="宋体" w:eastAsia="宋体" w:cs="HMGX"/>
                <w:sz w:val="21"/>
                <w:szCs w:val="21"/>
                <w:lang w:val="zh-CN"/>
              </w:rPr>
            </w:pPr>
            <w:r>
              <w:rPr>
                <w:rFonts w:hint="eastAsia" w:ascii="宋体" w:hAnsi="宋体" w:eastAsia="宋体" w:cs="HMGX"/>
                <w:sz w:val="21"/>
                <w:szCs w:val="21"/>
                <w:lang w:val="zh-CN"/>
              </w:rPr>
              <w:t>授权代表（签字或盖章）:</w:t>
            </w:r>
          </w:p>
        </w:tc>
      </w:tr>
      <w:tr w14:paraId="2CB18725">
        <w:tblPrEx>
          <w:tblCellMar>
            <w:top w:w="0" w:type="dxa"/>
            <w:left w:w="108" w:type="dxa"/>
            <w:bottom w:w="0" w:type="dxa"/>
            <w:right w:w="108" w:type="dxa"/>
          </w:tblCellMar>
        </w:tblPrEx>
        <w:trPr>
          <w:trHeight w:val="690" w:hRule="atLeast"/>
        </w:trPr>
        <w:tc>
          <w:tcPr>
            <w:tcW w:w="4338" w:type="dxa"/>
            <w:noWrap w:val="0"/>
            <w:vAlign w:val="top"/>
          </w:tcPr>
          <w:p w14:paraId="0DA4D24B">
            <w:pPr>
              <w:autoSpaceDE w:val="0"/>
              <w:autoSpaceDN w:val="0"/>
              <w:adjustRightInd w:val="0"/>
              <w:snapToGrid w:val="0"/>
              <w:spacing w:after="120" w:line="360" w:lineRule="auto"/>
              <w:ind w:right="-210" w:rightChars="-100"/>
              <w:outlineLvl w:val="1"/>
              <w:rPr>
                <w:rFonts w:hint="eastAsia" w:ascii="宋体" w:hAnsi="宋体" w:eastAsia="宋体" w:cs="HMGX"/>
                <w:b/>
                <w:sz w:val="21"/>
                <w:szCs w:val="21"/>
              </w:rPr>
            </w:pPr>
            <w:bookmarkStart w:id="239" w:name="_Toc28639"/>
            <w:bookmarkStart w:id="240" w:name="_Toc21156"/>
            <w:bookmarkStart w:id="241" w:name="_Toc11305"/>
            <w:bookmarkStart w:id="242" w:name="_Toc5339"/>
            <w:bookmarkStart w:id="243" w:name="_Toc24159"/>
            <w:bookmarkStart w:id="244" w:name="_Toc11292"/>
            <w:bookmarkStart w:id="245" w:name="_Toc116199123"/>
            <w:bookmarkStart w:id="246" w:name="_Toc7539"/>
            <w:bookmarkStart w:id="247" w:name="_Toc134805663"/>
            <w:bookmarkStart w:id="248" w:name="_Toc116141329"/>
            <w:bookmarkStart w:id="249" w:name="_Toc116141154"/>
            <w:r>
              <w:rPr>
                <w:rFonts w:hint="eastAsia" w:ascii="宋体" w:hAnsi="宋体" w:eastAsia="宋体" w:cs="HMGX"/>
                <w:sz w:val="21"/>
                <w:szCs w:val="21"/>
                <w:lang w:val="zh-CN"/>
              </w:rPr>
              <w:t>联系人：</w:t>
            </w:r>
            <w:bookmarkEnd w:id="239"/>
            <w:bookmarkEnd w:id="240"/>
            <w:bookmarkEnd w:id="241"/>
            <w:bookmarkEnd w:id="242"/>
            <w:bookmarkEnd w:id="243"/>
            <w:bookmarkEnd w:id="244"/>
            <w:bookmarkEnd w:id="245"/>
            <w:bookmarkEnd w:id="246"/>
            <w:bookmarkEnd w:id="247"/>
            <w:bookmarkEnd w:id="248"/>
            <w:bookmarkEnd w:id="249"/>
            <w:r>
              <w:rPr>
                <w:rFonts w:hint="eastAsia" w:ascii="宋体" w:hAnsi="宋体" w:eastAsia="宋体" w:cs="HMGX"/>
                <w:b/>
                <w:sz w:val="21"/>
                <w:szCs w:val="21"/>
              </w:rPr>
              <w:t xml:space="preserve"> </w:t>
            </w:r>
          </w:p>
        </w:tc>
        <w:tc>
          <w:tcPr>
            <w:tcW w:w="6091" w:type="dxa"/>
            <w:noWrap w:val="0"/>
            <w:vAlign w:val="top"/>
          </w:tcPr>
          <w:p w14:paraId="596E5550">
            <w:pPr>
              <w:autoSpaceDE w:val="0"/>
              <w:autoSpaceDN w:val="0"/>
              <w:adjustRightInd w:val="0"/>
              <w:snapToGrid w:val="0"/>
              <w:spacing w:after="120" w:line="360" w:lineRule="auto"/>
              <w:ind w:right="-210" w:rightChars="-100"/>
              <w:outlineLvl w:val="1"/>
              <w:rPr>
                <w:rFonts w:hint="eastAsia" w:ascii="宋体" w:hAnsi="宋体" w:eastAsia="宋体" w:cs="HMGX"/>
                <w:b/>
                <w:sz w:val="21"/>
                <w:szCs w:val="21"/>
              </w:rPr>
            </w:pPr>
            <w:bookmarkStart w:id="250" w:name="_Toc3924"/>
            <w:bookmarkStart w:id="251" w:name="_Toc27000"/>
            <w:bookmarkStart w:id="252" w:name="_Toc28084"/>
            <w:bookmarkStart w:id="253" w:name="_Toc26153"/>
            <w:bookmarkStart w:id="254" w:name="_Toc134805664"/>
            <w:bookmarkStart w:id="255" w:name="_Toc19051"/>
            <w:bookmarkStart w:id="256" w:name="_Toc3786"/>
            <w:bookmarkStart w:id="257" w:name="_Toc4245"/>
            <w:r>
              <w:rPr>
                <w:rFonts w:hint="eastAsia" w:ascii="宋体" w:hAnsi="宋体" w:eastAsia="宋体" w:cs="HMGX"/>
                <w:sz w:val="21"/>
                <w:szCs w:val="21"/>
                <w:lang w:val="zh-CN"/>
              </w:rPr>
              <w:t>联系人：</w:t>
            </w:r>
            <w:bookmarkEnd w:id="250"/>
            <w:bookmarkEnd w:id="251"/>
            <w:bookmarkEnd w:id="252"/>
            <w:bookmarkEnd w:id="253"/>
            <w:bookmarkEnd w:id="254"/>
            <w:bookmarkEnd w:id="255"/>
            <w:bookmarkEnd w:id="256"/>
            <w:bookmarkEnd w:id="257"/>
            <w:r>
              <w:rPr>
                <w:rFonts w:hint="eastAsia" w:ascii="宋体" w:hAnsi="宋体" w:eastAsia="宋体" w:cs="HMGX"/>
                <w:sz w:val="21"/>
                <w:szCs w:val="21"/>
              </w:rPr>
              <w:t xml:space="preserve"> </w:t>
            </w:r>
            <w:r>
              <w:rPr>
                <w:rFonts w:hint="eastAsia" w:ascii="宋体" w:hAnsi="宋体" w:eastAsia="宋体" w:cs="HMGX"/>
                <w:b/>
                <w:sz w:val="21"/>
                <w:szCs w:val="21"/>
              </w:rPr>
              <w:t xml:space="preserve"> </w:t>
            </w:r>
          </w:p>
        </w:tc>
      </w:tr>
      <w:tr w14:paraId="6DA7D490">
        <w:tblPrEx>
          <w:tblCellMar>
            <w:top w:w="0" w:type="dxa"/>
            <w:left w:w="108" w:type="dxa"/>
            <w:bottom w:w="0" w:type="dxa"/>
            <w:right w:w="108" w:type="dxa"/>
          </w:tblCellMar>
        </w:tblPrEx>
        <w:trPr>
          <w:trHeight w:val="759" w:hRule="atLeast"/>
        </w:trPr>
        <w:tc>
          <w:tcPr>
            <w:tcW w:w="4338" w:type="dxa"/>
            <w:noWrap w:val="0"/>
            <w:vAlign w:val="top"/>
          </w:tcPr>
          <w:p w14:paraId="3D79487C">
            <w:pPr>
              <w:autoSpaceDE w:val="0"/>
              <w:autoSpaceDN w:val="0"/>
              <w:adjustRightInd w:val="0"/>
              <w:snapToGrid w:val="0"/>
              <w:spacing w:after="120" w:line="360" w:lineRule="auto"/>
              <w:ind w:right="-210" w:rightChars="-100"/>
              <w:outlineLvl w:val="1"/>
              <w:rPr>
                <w:rFonts w:hint="eastAsia" w:ascii="宋体" w:hAnsi="宋体" w:eastAsia="宋体" w:cs="HMGX"/>
                <w:b/>
                <w:sz w:val="21"/>
                <w:szCs w:val="21"/>
              </w:rPr>
            </w:pPr>
            <w:bookmarkStart w:id="258" w:name="_Toc116141331"/>
            <w:bookmarkStart w:id="259" w:name="_Toc11220"/>
            <w:bookmarkStart w:id="260" w:name="_Toc134805665"/>
            <w:bookmarkStart w:id="261" w:name="_Toc21468"/>
            <w:bookmarkStart w:id="262" w:name="_Toc28130"/>
            <w:bookmarkStart w:id="263" w:name="_Toc116141156"/>
            <w:bookmarkStart w:id="264" w:name="_Toc3824"/>
            <w:bookmarkStart w:id="265" w:name="_Toc116199125"/>
            <w:bookmarkStart w:id="266" w:name="_Toc32564"/>
            <w:bookmarkStart w:id="267" w:name="_Toc11870"/>
            <w:bookmarkStart w:id="268" w:name="_Toc3913"/>
            <w:r>
              <w:rPr>
                <w:rFonts w:hint="eastAsia" w:ascii="宋体" w:hAnsi="宋体" w:eastAsia="宋体" w:cs="HMGX"/>
                <w:sz w:val="21"/>
                <w:szCs w:val="21"/>
                <w:lang w:val="zh-CN"/>
              </w:rPr>
              <w:t>约定送达地址：</w:t>
            </w:r>
            <w:bookmarkEnd w:id="258"/>
            <w:bookmarkEnd w:id="259"/>
            <w:bookmarkEnd w:id="260"/>
            <w:bookmarkEnd w:id="261"/>
            <w:bookmarkEnd w:id="262"/>
            <w:bookmarkEnd w:id="263"/>
            <w:bookmarkEnd w:id="264"/>
            <w:bookmarkEnd w:id="265"/>
            <w:bookmarkEnd w:id="266"/>
            <w:bookmarkEnd w:id="267"/>
            <w:bookmarkEnd w:id="268"/>
            <w:r>
              <w:rPr>
                <w:rFonts w:hint="eastAsia" w:ascii="宋体" w:hAnsi="宋体" w:eastAsia="宋体" w:cs="HMGX"/>
                <w:sz w:val="21"/>
                <w:szCs w:val="21"/>
              </w:rPr>
              <w:t xml:space="preserve"> </w:t>
            </w:r>
          </w:p>
        </w:tc>
        <w:tc>
          <w:tcPr>
            <w:tcW w:w="6091" w:type="dxa"/>
            <w:noWrap w:val="0"/>
            <w:vAlign w:val="top"/>
          </w:tcPr>
          <w:p w14:paraId="6D1F9EEE">
            <w:pPr>
              <w:autoSpaceDE w:val="0"/>
              <w:autoSpaceDN w:val="0"/>
              <w:adjustRightInd w:val="0"/>
              <w:snapToGrid w:val="0"/>
              <w:spacing w:after="120" w:line="360" w:lineRule="auto"/>
              <w:ind w:right="-210" w:rightChars="-100"/>
              <w:outlineLvl w:val="1"/>
              <w:rPr>
                <w:rFonts w:hint="eastAsia" w:ascii="宋体" w:hAnsi="宋体" w:eastAsia="宋体" w:cs="HMGX"/>
                <w:sz w:val="21"/>
                <w:szCs w:val="21"/>
              </w:rPr>
            </w:pPr>
            <w:bookmarkStart w:id="269" w:name="_Toc5533"/>
            <w:bookmarkStart w:id="270" w:name="_Toc19389"/>
            <w:bookmarkStart w:id="271" w:name="_Toc13234"/>
            <w:bookmarkStart w:id="272" w:name="_Toc19451"/>
            <w:bookmarkStart w:id="273" w:name="_Toc2893"/>
            <w:r>
              <w:rPr>
                <w:rFonts w:hint="eastAsia" w:ascii="宋体" w:hAnsi="宋体" w:eastAsia="宋体" w:cs="HMGX"/>
                <w:sz w:val="21"/>
                <w:szCs w:val="21"/>
                <w:lang w:val="zh-CN"/>
              </w:rPr>
              <w:t>约定送达地址：</w:t>
            </w:r>
            <w:bookmarkEnd w:id="269"/>
            <w:bookmarkEnd w:id="270"/>
            <w:bookmarkEnd w:id="271"/>
            <w:bookmarkEnd w:id="272"/>
            <w:bookmarkEnd w:id="273"/>
            <w:r>
              <w:rPr>
                <w:rFonts w:hint="eastAsia" w:ascii="宋体" w:hAnsi="宋体" w:eastAsia="宋体" w:cs="HMGX"/>
                <w:sz w:val="21"/>
                <w:szCs w:val="21"/>
              </w:rPr>
              <w:t xml:space="preserve"> </w:t>
            </w:r>
          </w:p>
        </w:tc>
      </w:tr>
      <w:tr w14:paraId="467043EC">
        <w:tblPrEx>
          <w:tblCellMar>
            <w:top w:w="0" w:type="dxa"/>
            <w:left w:w="108" w:type="dxa"/>
            <w:bottom w:w="0" w:type="dxa"/>
            <w:right w:w="108" w:type="dxa"/>
          </w:tblCellMar>
        </w:tblPrEx>
        <w:trPr>
          <w:trHeight w:val="690" w:hRule="atLeast"/>
        </w:trPr>
        <w:tc>
          <w:tcPr>
            <w:tcW w:w="4338" w:type="dxa"/>
            <w:noWrap w:val="0"/>
            <w:vAlign w:val="top"/>
          </w:tcPr>
          <w:p w14:paraId="445BC0D2">
            <w:pPr>
              <w:autoSpaceDE w:val="0"/>
              <w:autoSpaceDN w:val="0"/>
              <w:adjustRightInd w:val="0"/>
              <w:snapToGrid w:val="0"/>
              <w:spacing w:after="120" w:line="360" w:lineRule="auto"/>
              <w:ind w:right="-210" w:rightChars="-100"/>
              <w:outlineLvl w:val="1"/>
              <w:rPr>
                <w:rFonts w:hint="eastAsia" w:ascii="宋体" w:hAnsi="宋体" w:eastAsia="宋体" w:cs="HMGX"/>
                <w:b/>
                <w:sz w:val="21"/>
                <w:szCs w:val="21"/>
              </w:rPr>
            </w:pPr>
            <w:bookmarkStart w:id="274" w:name="_Toc116141334"/>
            <w:bookmarkStart w:id="275" w:name="_Toc543"/>
            <w:bookmarkStart w:id="276" w:name="_Toc134805667"/>
            <w:bookmarkStart w:id="277" w:name="_Toc2464"/>
            <w:bookmarkStart w:id="278" w:name="_Toc14603"/>
            <w:bookmarkStart w:id="279" w:name="_Toc116141159"/>
            <w:bookmarkStart w:id="280" w:name="_Toc25120"/>
            <w:bookmarkStart w:id="281" w:name="_Toc116199128"/>
            <w:bookmarkStart w:id="282" w:name="_Toc11912"/>
            <w:bookmarkStart w:id="283" w:name="_Toc19772"/>
            <w:bookmarkStart w:id="284" w:name="_Toc2038"/>
            <w:r>
              <w:rPr>
                <w:rFonts w:hint="eastAsia" w:ascii="宋体" w:hAnsi="宋体" w:eastAsia="宋体" w:cs="HMGX"/>
                <w:sz w:val="21"/>
                <w:szCs w:val="21"/>
                <w:lang w:val="zh-CN"/>
              </w:rPr>
              <w:t>邮政编码：</w:t>
            </w:r>
            <w:bookmarkEnd w:id="274"/>
            <w:bookmarkEnd w:id="275"/>
            <w:bookmarkEnd w:id="276"/>
            <w:bookmarkEnd w:id="277"/>
            <w:bookmarkEnd w:id="278"/>
            <w:bookmarkEnd w:id="279"/>
            <w:bookmarkEnd w:id="280"/>
            <w:bookmarkEnd w:id="281"/>
            <w:bookmarkEnd w:id="282"/>
            <w:bookmarkEnd w:id="283"/>
            <w:bookmarkEnd w:id="284"/>
            <w:r>
              <w:rPr>
                <w:rFonts w:hint="eastAsia" w:ascii="宋体" w:hAnsi="宋体" w:eastAsia="宋体" w:cs="HMGX"/>
                <w:sz w:val="21"/>
                <w:szCs w:val="21"/>
              </w:rPr>
              <w:t xml:space="preserve"> </w:t>
            </w:r>
          </w:p>
        </w:tc>
        <w:tc>
          <w:tcPr>
            <w:tcW w:w="6091" w:type="dxa"/>
            <w:noWrap w:val="0"/>
            <w:vAlign w:val="top"/>
          </w:tcPr>
          <w:p w14:paraId="06A91768">
            <w:pPr>
              <w:autoSpaceDE w:val="0"/>
              <w:autoSpaceDN w:val="0"/>
              <w:adjustRightInd w:val="0"/>
              <w:snapToGrid w:val="0"/>
              <w:spacing w:after="120" w:line="360" w:lineRule="auto"/>
              <w:ind w:right="-210" w:rightChars="-100"/>
              <w:outlineLvl w:val="1"/>
              <w:rPr>
                <w:rFonts w:hint="eastAsia" w:ascii="宋体" w:hAnsi="宋体" w:eastAsia="宋体" w:cs="HMGX"/>
                <w:b/>
                <w:sz w:val="21"/>
                <w:szCs w:val="21"/>
              </w:rPr>
            </w:pPr>
            <w:bookmarkStart w:id="285" w:name="_Toc4315"/>
            <w:bookmarkStart w:id="286" w:name="_Toc903"/>
            <w:bookmarkStart w:id="287" w:name="_Toc3010"/>
            <w:bookmarkStart w:id="288" w:name="_Toc25011"/>
            <w:bookmarkStart w:id="289" w:name="_Toc31147"/>
            <w:bookmarkStart w:id="290" w:name="_Toc134805668"/>
            <w:bookmarkStart w:id="291" w:name="_Toc3629"/>
            <w:bookmarkStart w:id="292" w:name="_Toc20967"/>
            <w:r>
              <w:rPr>
                <w:rFonts w:hint="eastAsia" w:ascii="宋体" w:hAnsi="宋体" w:eastAsia="宋体" w:cs="HMGX"/>
                <w:sz w:val="21"/>
                <w:szCs w:val="21"/>
                <w:lang w:val="zh-CN"/>
              </w:rPr>
              <w:t>邮政编码：</w:t>
            </w:r>
            <w:bookmarkEnd w:id="285"/>
            <w:bookmarkEnd w:id="286"/>
            <w:bookmarkEnd w:id="287"/>
            <w:bookmarkEnd w:id="288"/>
            <w:bookmarkEnd w:id="289"/>
            <w:bookmarkEnd w:id="290"/>
            <w:bookmarkEnd w:id="291"/>
            <w:bookmarkEnd w:id="292"/>
          </w:p>
        </w:tc>
      </w:tr>
      <w:tr w14:paraId="6C22D5EA">
        <w:tblPrEx>
          <w:tblCellMar>
            <w:top w:w="0" w:type="dxa"/>
            <w:left w:w="108" w:type="dxa"/>
            <w:bottom w:w="0" w:type="dxa"/>
            <w:right w:w="108" w:type="dxa"/>
          </w:tblCellMar>
        </w:tblPrEx>
        <w:trPr>
          <w:trHeight w:val="690" w:hRule="atLeast"/>
        </w:trPr>
        <w:tc>
          <w:tcPr>
            <w:tcW w:w="4338" w:type="dxa"/>
            <w:noWrap w:val="0"/>
            <w:vAlign w:val="top"/>
          </w:tcPr>
          <w:p w14:paraId="0870E30B">
            <w:pPr>
              <w:autoSpaceDE w:val="0"/>
              <w:autoSpaceDN w:val="0"/>
              <w:adjustRightInd w:val="0"/>
              <w:snapToGrid w:val="0"/>
              <w:spacing w:after="120" w:line="360" w:lineRule="auto"/>
              <w:ind w:right="-210" w:rightChars="-100"/>
              <w:outlineLvl w:val="1"/>
              <w:rPr>
                <w:rFonts w:hint="eastAsia" w:ascii="宋体" w:hAnsi="宋体" w:eastAsia="宋体" w:cs="HMGX"/>
                <w:b/>
                <w:sz w:val="21"/>
                <w:szCs w:val="21"/>
              </w:rPr>
            </w:pPr>
            <w:bookmarkStart w:id="293" w:name="_Toc116199130"/>
            <w:bookmarkStart w:id="294" w:name="_Toc26908"/>
            <w:bookmarkStart w:id="295" w:name="_Toc134805669"/>
            <w:bookmarkStart w:id="296" w:name="_Toc28583"/>
            <w:bookmarkStart w:id="297" w:name="_Toc15050"/>
            <w:bookmarkStart w:id="298" w:name="_Toc20259"/>
            <w:bookmarkStart w:id="299" w:name="_Toc116141336"/>
            <w:bookmarkStart w:id="300" w:name="_Toc116141161"/>
            <w:bookmarkStart w:id="301" w:name="_Toc24226"/>
            <w:bookmarkStart w:id="302" w:name="_Toc31028"/>
            <w:bookmarkStart w:id="303" w:name="_Toc25016"/>
            <w:r>
              <w:rPr>
                <w:rFonts w:hint="eastAsia" w:ascii="宋体" w:hAnsi="宋体" w:eastAsia="宋体" w:cs="HMGX"/>
                <w:sz w:val="21"/>
                <w:szCs w:val="21"/>
                <w:lang w:val="zh-CN"/>
              </w:rPr>
              <w:t>电话:</w:t>
            </w:r>
            <w:bookmarkEnd w:id="293"/>
            <w:bookmarkEnd w:id="294"/>
            <w:bookmarkEnd w:id="295"/>
            <w:bookmarkEnd w:id="296"/>
            <w:bookmarkEnd w:id="297"/>
            <w:bookmarkEnd w:id="298"/>
            <w:bookmarkEnd w:id="299"/>
            <w:bookmarkEnd w:id="300"/>
            <w:bookmarkEnd w:id="301"/>
            <w:bookmarkEnd w:id="302"/>
            <w:bookmarkEnd w:id="303"/>
          </w:p>
        </w:tc>
        <w:tc>
          <w:tcPr>
            <w:tcW w:w="6091" w:type="dxa"/>
            <w:noWrap w:val="0"/>
            <w:vAlign w:val="top"/>
          </w:tcPr>
          <w:p w14:paraId="65DC032D">
            <w:pPr>
              <w:autoSpaceDE w:val="0"/>
              <w:autoSpaceDN w:val="0"/>
              <w:adjustRightInd w:val="0"/>
              <w:snapToGrid w:val="0"/>
              <w:spacing w:after="120" w:line="360" w:lineRule="auto"/>
              <w:ind w:right="-210" w:rightChars="-100"/>
              <w:outlineLvl w:val="1"/>
              <w:rPr>
                <w:rFonts w:hint="eastAsia" w:ascii="宋体" w:hAnsi="宋体" w:eastAsia="宋体" w:cs="HMGX"/>
                <w:sz w:val="21"/>
                <w:szCs w:val="21"/>
                <w:lang w:val="zh-CN"/>
              </w:rPr>
            </w:pPr>
            <w:bookmarkStart w:id="304" w:name="_Toc26545"/>
            <w:bookmarkStart w:id="305" w:name="_Toc19045"/>
            <w:bookmarkStart w:id="306" w:name="_Toc26107"/>
            <w:bookmarkStart w:id="307" w:name="_Toc28526"/>
            <w:bookmarkStart w:id="308" w:name="_Toc31973"/>
            <w:bookmarkStart w:id="309" w:name="_Toc134805670"/>
            <w:bookmarkStart w:id="310" w:name="_Toc21081"/>
            <w:bookmarkStart w:id="311" w:name="_Toc16382"/>
            <w:r>
              <w:rPr>
                <w:rFonts w:hint="eastAsia" w:ascii="宋体" w:hAnsi="宋体" w:eastAsia="宋体" w:cs="HMGX"/>
                <w:sz w:val="21"/>
                <w:szCs w:val="21"/>
                <w:lang w:val="zh-CN"/>
              </w:rPr>
              <w:t>电话:</w:t>
            </w:r>
            <w:bookmarkEnd w:id="304"/>
            <w:bookmarkEnd w:id="305"/>
            <w:bookmarkEnd w:id="306"/>
            <w:bookmarkEnd w:id="307"/>
            <w:bookmarkEnd w:id="308"/>
            <w:r>
              <w:rPr>
                <w:rFonts w:hint="eastAsia" w:ascii="宋体" w:hAnsi="宋体" w:eastAsia="宋体" w:cs="HMGX"/>
                <w:sz w:val="21"/>
                <w:szCs w:val="21"/>
                <w:lang w:val="zh-CN"/>
              </w:rPr>
              <w:t xml:space="preserve"> </w:t>
            </w:r>
            <w:bookmarkEnd w:id="309"/>
            <w:bookmarkEnd w:id="310"/>
            <w:bookmarkEnd w:id="311"/>
            <w:r>
              <w:rPr>
                <w:rFonts w:hint="eastAsia" w:ascii="宋体" w:hAnsi="宋体" w:eastAsia="宋体" w:cs="HMGX"/>
                <w:sz w:val="21"/>
                <w:szCs w:val="21"/>
              </w:rPr>
              <w:t xml:space="preserve"> </w:t>
            </w:r>
          </w:p>
        </w:tc>
      </w:tr>
      <w:tr w14:paraId="11C3CB1E">
        <w:tblPrEx>
          <w:tblCellMar>
            <w:top w:w="0" w:type="dxa"/>
            <w:left w:w="108" w:type="dxa"/>
            <w:bottom w:w="0" w:type="dxa"/>
            <w:right w:w="108" w:type="dxa"/>
          </w:tblCellMar>
        </w:tblPrEx>
        <w:trPr>
          <w:trHeight w:val="690" w:hRule="atLeast"/>
        </w:trPr>
        <w:tc>
          <w:tcPr>
            <w:tcW w:w="4338" w:type="dxa"/>
            <w:noWrap w:val="0"/>
            <w:vAlign w:val="top"/>
          </w:tcPr>
          <w:p w14:paraId="00062DE3">
            <w:pPr>
              <w:autoSpaceDE w:val="0"/>
              <w:autoSpaceDN w:val="0"/>
              <w:adjustRightInd w:val="0"/>
              <w:snapToGrid w:val="0"/>
              <w:spacing w:after="120" w:line="360" w:lineRule="auto"/>
              <w:ind w:right="-210" w:rightChars="-100"/>
              <w:outlineLvl w:val="1"/>
              <w:rPr>
                <w:rFonts w:hint="eastAsia" w:ascii="宋体" w:hAnsi="宋体" w:eastAsia="宋体" w:cs="HMGX"/>
                <w:b/>
                <w:sz w:val="21"/>
                <w:szCs w:val="21"/>
              </w:rPr>
            </w:pPr>
            <w:bookmarkStart w:id="312" w:name="_Toc134805671"/>
            <w:bookmarkStart w:id="313" w:name="_Toc116199132"/>
            <w:bookmarkStart w:id="314" w:name="_Toc25975"/>
            <w:bookmarkStart w:id="315" w:name="_Toc1321"/>
            <w:bookmarkStart w:id="316" w:name="_Toc11411"/>
            <w:bookmarkStart w:id="317" w:name="_Toc19131"/>
            <w:bookmarkStart w:id="318" w:name="_Toc16032"/>
            <w:bookmarkStart w:id="319" w:name="_Toc13117"/>
            <w:bookmarkStart w:id="320" w:name="_Toc2146"/>
            <w:bookmarkStart w:id="321" w:name="_Toc116141338"/>
            <w:bookmarkStart w:id="322" w:name="_Toc116141163"/>
            <w:r>
              <w:rPr>
                <w:rFonts w:hint="eastAsia" w:ascii="宋体" w:hAnsi="宋体" w:eastAsia="宋体" w:cs="HMGX"/>
                <w:sz w:val="21"/>
                <w:szCs w:val="21"/>
                <w:lang w:val="zh-CN"/>
              </w:rPr>
              <w:t>传真:</w:t>
            </w:r>
            <w:bookmarkEnd w:id="312"/>
            <w:bookmarkEnd w:id="313"/>
            <w:bookmarkEnd w:id="314"/>
            <w:bookmarkEnd w:id="315"/>
            <w:bookmarkEnd w:id="316"/>
            <w:bookmarkEnd w:id="317"/>
            <w:bookmarkEnd w:id="318"/>
            <w:bookmarkEnd w:id="319"/>
            <w:bookmarkEnd w:id="320"/>
            <w:bookmarkEnd w:id="321"/>
            <w:bookmarkEnd w:id="322"/>
          </w:p>
        </w:tc>
        <w:tc>
          <w:tcPr>
            <w:tcW w:w="6091" w:type="dxa"/>
            <w:noWrap w:val="0"/>
            <w:vAlign w:val="top"/>
          </w:tcPr>
          <w:p w14:paraId="22EE492D">
            <w:pPr>
              <w:autoSpaceDE w:val="0"/>
              <w:autoSpaceDN w:val="0"/>
              <w:adjustRightInd w:val="0"/>
              <w:snapToGrid w:val="0"/>
              <w:spacing w:after="120" w:line="360" w:lineRule="auto"/>
              <w:ind w:right="-210" w:rightChars="-100"/>
              <w:outlineLvl w:val="1"/>
              <w:rPr>
                <w:rFonts w:hint="eastAsia" w:ascii="宋体" w:hAnsi="宋体" w:eastAsia="宋体" w:cs="HMGX"/>
                <w:sz w:val="21"/>
                <w:szCs w:val="21"/>
                <w:lang w:val="zh-CN"/>
              </w:rPr>
            </w:pPr>
            <w:bookmarkStart w:id="323" w:name="_Toc12807"/>
            <w:bookmarkStart w:id="324" w:name="_Toc20953"/>
            <w:bookmarkStart w:id="325" w:name="_Toc10856"/>
            <w:bookmarkStart w:id="326" w:name="_Toc24282"/>
            <w:bookmarkStart w:id="327" w:name="_Toc13195"/>
            <w:bookmarkStart w:id="328" w:name="_Toc15784"/>
            <w:bookmarkStart w:id="329" w:name="_Toc134805672"/>
            <w:bookmarkStart w:id="330" w:name="_Toc28623"/>
            <w:r>
              <w:rPr>
                <w:rFonts w:hint="eastAsia" w:ascii="宋体" w:hAnsi="宋体" w:eastAsia="宋体" w:cs="HMGX"/>
                <w:sz w:val="21"/>
                <w:szCs w:val="21"/>
                <w:lang w:val="zh-CN"/>
              </w:rPr>
              <w:t>传真:</w:t>
            </w:r>
            <w:bookmarkEnd w:id="323"/>
            <w:bookmarkEnd w:id="324"/>
            <w:bookmarkEnd w:id="325"/>
            <w:bookmarkEnd w:id="326"/>
            <w:bookmarkEnd w:id="327"/>
            <w:bookmarkEnd w:id="328"/>
            <w:bookmarkEnd w:id="329"/>
            <w:bookmarkEnd w:id="330"/>
            <w:r>
              <w:rPr>
                <w:rFonts w:hint="eastAsia" w:ascii="宋体" w:hAnsi="宋体" w:eastAsia="宋体" w:cs="HMGX"/>
                <w:sz w:val="21"/>
                <w:szCs w:val="21"/>
              </w:rPr>
              <w:t xml:space="preserve"> </w:t>
            </w:r>
          </w:p>
        </w:tc>
      </w:tr>
      <w:tr w14:paraId="0A26C772">
        <w:tblPrEx>
          <w:tblCellMar>
            <w:top w:w="0" w:type="dxa"/>
            <w:left w:w="108" w:type="dxa"/>
            <w:bottom w:w="0" w:type="dxa"/>
            <w:right w:w="108" w:type="dxa"/>
          </w:tblCellMar>
        </w:tblPrEx>
        <w:trPr>
          <w:trHeight w:val="690" w:hRule="atLeast"/>
        </w:trPr>
        <w:tc>
          <w:tcPr>
            <w:tcW w:w="4338" w:type="dxa"/>
            <w:noWrap w:val="0"/>
            <w:vAlign w:val="top"/>
          </w:tcPr>
          <w:p w14:paraId="531F5743">
            <w:pPr>
              <w:autoSpaceDE w:val="0"/>
              <w:autoSpaceDN w:val="0"/>
              <w:adjustRightInd w:val="0"/>
              <w:snapToGrid w:val="0"/>
              <w:spacing w:after="120" w:line="360" w:lineRule="auto"/>
              <w:ind w:right="-210" w:rightChars="-100"/>
              <w:outlineLvl w:val="1"/>
              <w:rPr>
                <w:rFonts w:hint="eastAsia" w:ascii="宋体" w:hAnsi="宋体" w:eastAsia="宋体" w:cs="HMGX"/>
                <w:b/>
                <w:sz w:val="21"/>
                <w:szCs w:val="21"/>
              </w:rPr>
            </w:pPr>
            <w:bookmarkStart w:id="331" w:name="_Toc28017"/>
            <w:bookmarkStart w:id="332" w:name="_Toc134805673"/>
            <w:bookmarkStart w:id="333" w:name="_Toc116141165"/>
            <w:bookmarkStart w:id="334" w:name="_Toc18009"/>
            <w:bookmarkStart w:id="335" w:name="_Toc25575"/>
            <w:bookmarkStart w:id="336" w:name="_Toc116141340"/>
            <w:bookmarkStart w:id="337" w:name="_Toc19956"/>
            <w:bookmarkStart w:id="338" w:name="_Toc2018"/>
            <w:bookmarkStart w:id="339" w:name="_Toc9059"/>
            <w:bookmarkStart w:id="340" w:name="_Toc116199134"/>
            <w:bookmarkStart w:id="341" w:name="_Toc15692"/>
            <w:r>
              <w:rPr>
                <w:rFonts w:hint="eastAsia" w:ascii="宋体" w:hAnsi="宋体" w:eastAsia="宋体" w:cs="HMGX"/>
                <w:sz w:val="21"/>
                <w:szCs w:val="21"/>
                <w:lang w:val="zh-CN"/>
              </w:rPr>
              <w:t>电子邮箱：</w:t>
            </w:r>
            <w:bookmarkEnd w:id="331"/>
            <w:bookmarkEnd w:id="332"/>
            <w:bookmarkEnd w:id="333"/>
            <w:bookmarkEnd w:id="334"/>
            <w:bookmarkEnd w:id="335"/>
            <w:bookmarkEnd w:id="336"/>
            <w:bookmarkEnd w:id="337"/>
            <w:bookmarkEnd w:id="338"/>
            <w:bookmarkEnd w:id="339"/>
            <w:bookmarkEnd w:id="340"/>
            <w:bookmarkEnd w:id="341"/>
          </w:p>
        </w:tc>
        <w:tc>
          <w:tcPr>
            <w:tcW w:w="6091" w:type="dxa"/>
            <w:noWrap w:val="0"/>
            <w:vAlign w:val="top"/>
          </w:tcPr>
          <w:p w14:paraId="2F7B8730">
            <w:pPr>
              <w:autoSpaceDE w:val="0"/>
              <w:autoSpaceDN w:val="0"/>
              <w:adjustRightInd w:val="0"/>
              <w:snapToGrid w:val="0"/>
              <w:spacing w:after="120" w:line="360" w:lineRule="auto"/>
              <w:ind w:right="-210" w:rightChars="-100"/>
              <w:outlineLvl w:val="1"/>
              <w:rPr>
                <w:rFonts w:hint="eastAsia" w:ascii="宋体" w:hAnsi="宋体" w:eastAsia="宋体" w:cs="HMGX"/>
                <w:sz w:val="21"/>
                <w:szCs w:val="21"/>
              </w:rPr>
            </w:pPr>
            <w:bookmarkStart w:id="342" w:name="_Toc29950"/>
            <w:bookmarkStart w:id="343" w:name="_Toc10362"/>
            <w:bookmarkStart w:id="344" w:name="_Toc30950"/>
            <w:bookmarkStart w:id="345" w:name="_Toc5333"/>
            <w:bookmarkStart w:id="346" w:name="_Toc3420"/>
            <w:bookmarkStart w:id="347" w:name="_Toc6363"/>
            <w:bookmarkStart w:id="348" w:name="_Toc9285"/>
            <w:bookmarkStart w:id="349" w:name="_Toc134805674"/>
            <w:r>
              <w:rPr>
                <w:rFonts w:hint="eastAsia" w:ascii="宋体" w:hAnsi="宋体" w:eastAsia="宋体" w:cs="HMGX"/>
                <w:sz w:val="21"/>
                <w:szCs w:val="21"/>
                <w:lang w:val="zh-CN"/>
              </w:rPr>
              <w:t>电子邮箱：</w:t>
            </w:r>
            <w:bookmarkEnd w:id="342"/>
            <w:bookmarkEnd w:id="343"/>
            <w:bookmarkEnd w:id="344"/>
            <w:bookmarkEnd w:id="345"/>
            <w:bookmarkEnd w:id="346"/>
            <w:bookmarkEnd w:id="347"/>
            <w:bookmarkEnd w:id="348"/>
            <w:bookmarkEnd w:id="349"/>
          </w:p>
        </w:tc>
      </w:tr>
      <w:tr w14:paraId="2660DBC8">
        <w:tblPrEx>
          <w:tblCellMar>
            <w:top w:w="0" w:type="dxa"/>
            <w:left w:w="108" w:type="dxa"/>
            <w:bottom w:w="0" w:type="dxa"/>
            <w:right w:w="108" w:type="dxa"/>
          </w:tblCellMar>
        </w:tblPrEx>
        <w:trPr>
          <w:trHeight w:val="558" w:hRule="atLeast"/>
        </w:trPr>
        <w:tc>
          <w:tcPr>
            <w:tcW w:w="4338" w:type="dxa"/>
            <w:noWrap w:val="0"/>
            <w:vAlign w:val="top"/>
          </w:tcPr>
          <w:p w14:paraId="43373CF7">
            <w:pPr>
              <w:autoSpaceDE w:val="0"/>
              <w:autoSpaceDN w:val="0"/>
              <w:adjustRightInd w:val="0"/>
              <w:snapToGrid w:val="0"/>
              <w:spacing w:after="120" w:line="360" w:lineRule="auto"/>
              <w:ind w:right="-210" w:rightChars="-100"/>
              <w:outlineLvl w:val="1"/>
              <w:rPr>
                <w:rFonts w:hint="eastAsia" w:ascii="宋体" w:hAnsi="宋体" w:eastAsia="宋体" w:cs="HMGX"/>
                <w:b/>
                <w:sz w:val="21"/>
                <w:szCs w:val="21"/>
              </w:rPr>
            </w:pPr>
            <w:bookmarkStart w:id="350" w:name="_Toc14863"/>
            <w:bookmarkStart w:id="351" w:name="_Toc14385"/>
            <w:bookmarkStart w:id="352" w:name="_Toc653"/>
            <w:bookmarkStart w:id="353" w:name="_Toc31043"/>
            <w:bookmarkStart w:id="354" w:name="_Toc116141342"/>
            <w:bookmarkStart w:id="355" w:name="_Toc116141167"/>
            <w:bookmarkStart w:id="356" w:name="_Toc10656"/>
            <w:bookmarkStart w:id="357" w:name="_Toc14613"/>
            <w:bookmarkStart w:id="358" w:name="_Toc31424"/>
            <w:bookmarkStart w:id="359" w:name="_Toc134805675"/>
            <w:bookmarkStart w:id="360" w:name="_Toc116199136"/>
            <w:r>
              <w:rPr>
                <w:rFonts w:hint="eastAsia" w:ascii="宋体" w:hAnsi="宋体" w:eastAsia="宋体" w:cs="HMGX"/>
                <w:sz w:val="21"/>
                <w:szCs w:val="21"/>
              </w:rPr>
              <w:t>开户银行：</w:t>
            </w:r>
            <w:bookmarkEnd w:id="350"/>
            <w:bookmarkEnd w:id="351"/>
            <w:bookmarkEnd w:id="352"/>
            <w:bookmarkEnd w:id="353"/>
            <w:bookmarkEnd w:id="354"/>
            <w:bookmarkEnd w:id="355"/>
            <w:bookmarkEnd w:id="356"/>
            <w:bookmarkEnd w:id="357"/>
            <w:bookmarkEnd w:id="358"/>
            <w:bookmarkEnd w:id="359"/>
            <w:bookmarkEnd w:id="360"/>
          </w:p>
        </w:tc>
        <w:tc>
          <w:tcPr>
            <w:tcW w:w="6091" w:type="dxa"/>
            <w:noWrap w:val="0"/>
            <w:vAlign w:val="top"/>
          </w:tcPr>
          <w:p w14:paraId="415B3084">
            <w:pPr>
              <w:autoSpaceDE w:val="0"/>
              <w:autoSpaceDN w:val="0"/>
              <w:adjustRightInd w:val="0"/>
              <w:snapToGrid w:val="0"/>
              <w:spacing w:after="120" w:line="360" w:lineRule="auto"/>
              <w:ind w:right="-210" w:rightChars="-100"/>
              <w:outlineLvl w:val="1"/>
              <w:rPr>
                <w:rFonts w:hint="eastAsia" w:ascii="宋体" w:hAnsi="宋体" w:eastAsia="宋体" w:cs="HMGX"/>
                <w:sz w:val="21"/>
                <w:szCs w:val="21"/>
                <w:lang w:val="zh-CN"/>
              </w:rPr>
            </w:pPr>
            <w:bookmarkStart w:id="361" w:name="_Toc31070"/>
            <w:bookmarkStart w:id="362" w:name="_Toc29229"/>
            <w:bookmarkStart w:id="363" w:name="_Toc16547"/>
            <w:bookmarkStart w:id="364" w:name="_Toc11157"/>
            <w:bookmarkStart w:id="365" w:name="_Toc28860"/>
            <w:bookmarkStart w:id="366" w:name="_Toc708"/>
            <w:bookmarkStart w:id="367" w:name="_Toc134805676"/>
            <w:bookmarkStart w:id="368" w:name="_Toc28692"/>
            <w:r>
              <w:rPr>
                <w:rFonts w:hint="eastAsia" w:ascii="宋体" w:hAnsi="宋体" w:eastAsia="宋体" w:cs="HMGX"/>
                <w:sz w:val="21"/>
                <w:szCs w:val="21"/>
                <w:lang w:val="zh-CN"/>
              </w:rPr>
              <w:t>开户银行：</w:t>
            </w:r>
            <w:bookmarkEnd w:id="361"/>
            <w:bookmarkEnd w:id="362"/>
            <w:bookmarkEnd w:id="363"/>
            <w:bookmarkEnd w:id="364"/>
            <w:bookmarkEnd w:id="365"/>
            <w:bookmarkEnd w:id="366"/>
            <w:bookmarkEnd w:id="367"/>
            <w:bookmarkEnd w:id="368"/>
          </w:p>
        </w:tc>
      </w:tr>
      <w:tr w14:paraId="02B3209D">
        <w:tblPrEx>
          <w:tblCellMar>
            <w:top w:w="0" w:type="dxa"/>
            <w:left w:w="108" w:type="dxa"/>
            <w:bottom w:w="0" w:type="dxa"/>
            <w:right w:w="108" w:type="dxa"/>
          </w:tblCellMar>
        </w:tblPrEx>
        <w:trPr>
          <w:trHeight w:val="524" w:hRule="atLeast"/>
        </w:trPr>
        <w:tc>
          <w:tcPr>
            <w:tcW w:w="4338" w:type="dxa"/>
            <w:noWrap w:val="0"/>
            <w:vAlign w:val="top"/>
          </w:tcPr>
          <w:p w14:paraId="40AF8131">
            <w:pPr>
              <w:autoSpaceDE w:val="0"/>
              <w:autoSpaceDN w:val="0"/>
              <w:adjustRightInd w:val="0"/>
              <w:snapToGrid w:val="0"/>
              <w:spacing w:after="120" w:line="360" w:lineRule="auto"/>
              <w:ind w:right="-210" w:rightChars="-100"/>
              <w:outlineLvl w:val="1"/>
              <w:rPr>
                <w:rFonts w:hint="eastAsia" w:ascii="宋体" w:hAnsi="宋体" w:eastAsia="宋体" w:cs="HMGX"/>
                <w:b/>
                <w:sz w:val="21"/>
                <w:szCs w:val="21"/>
              </w:rPr>
            </w:pPr>
            <w:bookmarkStart w:id="369" w:name="_Toc18565"/>
            <w:bookmarkStart w:id="370" w:name="_Toc11393"/>
            <w:bookmarkStart w:id="371" w:name="_Toc10840"/>
            <w:bookmarkStart w:id="372" w:name="_Toc5560"/>
            <w:bookmarkStart w:id="373" w:name="_Toc116141170"/>
            <w:bookmarkStart w:id="374" w:name="_Toc116141345"/>
            <w:bookmarkStart w:id="375" w:name="_Toc5674"/>
            <w:bookmarkStart w:id="376" w:name="_Toc134805677"/>
            <w:bookmarkStart w:id="377" w:name="_Toc116199139"/>
            <w:bookmarkStart w:id="378" w:name="_Toc15804"/>
            <w:bookmarkStart w:id="379" w:name="_Toc19641"/>
            <w:r>
              <w:rPr>
                <w:rFonts w:hint="eastAsia" w:ascii="宋体" w:hAnsi="宋体" w:eastAsia="宋体" w:cs="HMGX"/>
                <w:sz w:val="21"/>
                <w:szCs w:val="21"/>
              </w:rPr>
              <w:t>开户名称：</w:t>
            </w:r>
            <w:bookmarkEnd w:id="369"/>
            <w:bookmarkEnd w:id="370"/>
            <w:bookmarkEnd w:id="371"/>
            <w:bookmarkEnd w:id="372"/>
            <w:bookmarkEnd w:id="373"/>
            <w:bookmarkEnd w:id="374"/>
            <w:bookmarkEnd w:id="375"/>
            <w:bookmarkEnd w:id="376"/>
            <w:bookmarkEnd w:id="377"/>
            <w:bookmarkEnd w:id="378"/>
            <w:bookmarkEnd w:id="379"/>
          </w:p>
        </w:tc>
        <w:tc>
          <w:tcPr>
            <w:tcW w:w="6091" w:type="dxa"/>
            <w:noWrap w:val="0"/>
            <w:vAlign w:val="top"/>
          </w:tcPr>
          <w:p w14:paraId="48110BB9">
            <w:pPr>
              <w:spacing w:line="360" w:lineRule="auto"/>
              <w:ind w:right="-210" w:rightChars="-100"/>
              <w:rPr>
                <w:rFonts w:hint="eastAsia" w:ascii="宋体" w:hAnsi="宋体" w:eastAsia="宋体" w:cs="HMGX"/>
                <w:sz w:val="21"/>
                <w:szCs w:val="21"/>
              </w:rPr>
            </w:pPr>
            <w:r>
              <w:rPr>
                <w:rFonts w:hint="eastAsia" w:ascii="宋体" w:hAnsi="宋体" w:eastAsia="宋体" w:cs="HMGX"/>
                <w:sz w:val="21"/>
                <w:szCs w:val="21"/>
                <w:lang w:val="zh-CN"/>
              </w:rPr>
              <w:t>开户名称：</w:t>
            </w:r>
          </w:p>
        </w:tc>
      </w:tr>
      <w:tr w14:paraId="651E9F58">
        <w:tblPrEx>
          <w:tblCellMar>
            <w:top w:w="0" w:type="dxa"/>
            <w:left w:w="108" w:type="dxa"/>
            <w:bottom w:w="0" w:type="dxa"/>
            <w:right w:w="108" w:type="dxa"/>
          </w:tblCellMar>
        </w:tblPrEx>
        <w:trPr>
          <w:trHeight w:val="490" w:hRule="atLeast"/>
        </w:trPr>
        <w:tc>
          <w:tcPr>
            <w:tcW w:w="4338" w:type="dxa"/>
            <w:noWrap w:val="0"/>
            <w:vAlign w:val="top"/>
          </w:tcPr>
          <w:p w14:paraId="3461CDEB">
            <w:pPr>
              <w:autoSpaceDE w:val="0"/>
              <w:autoSpaceDN w:val="0"/>
              <w:adjustRightInd w:val="0"/>
              <w:snapToGrid w:val="0"/>
              <w:spacing w:after="120" w:line="360" w:lineRule="auto"/>
              <w:ind w:right="-210" w:rightChars="-100"/>
              <w:outlineLvl w:val="1"/>
              <w:rPr>
                <w:rFonts w:hint="eastAsia" w:ascii="宋体" w:hAnsi="宋体" w:eastAsia="宋体" w:cs="HMGX"/>
                <w:b/>
                <w:sz w:val="21"/>
                <w:szCs w:val="21"/>
              </w:rPr>
            </w:pPr>
            <w:bookmarkStart w:id="380" w:name="_Toc28730"/>
            <w:bookmarkStart w:id="381" w:name="_Toc17314"/>
            <w:bookmarkStart w:id="382" w:name="_Toc116199142"/>
            <w:bookmarkStart w:id="383" w:name="_Toc10696"/>
            <w:bookmarkStart w:id="384" w:name="_Toc116141348"/>
            <w:bookmarkStart w:id="385" w:name="_Toc26835"/>
            <w:bookmarkStart w:id="386" w:name="_Toc134805678"/>
            <w:bookmarkStart w:id="387" w:name="_Toc28965"/>
            <w:bookmarkStart w:id="388" w:name="_Toc5918"/>
            <w:bookmarkStart w:id="389" w:name="_Toc116141173"/>
            <w:bookmarkStart w:id="390" w:name="_Toc254"/>
            <w:r>
              <w:rPr>
                <w:rFonts w:hint="eastAsia" w:ascii="宋体" w:hAnsi="宋体" w:eastAsia="宋体" w:cs="HMGX"/>
                <w:sz w:val="21"/>
                <w:szCs w:val="21"/>
              </w:rPr>
              <w:t>开户账号：</w:t>
            </w:r>
            <w:bookmarkEnd w:id="380"/>
            <w:bookmarkEnd w:id="381"/>
            <w:bookmarkEnd w:id="382"/>
            <w:bookmarkEnd w:id="383"/>
            <w:bookmarkEnd w:id="384"/>
            <w:bookmarkEnd w:id="385"/>
            <w:bookmarkEnd w:id="386"/>
            <w:bookmarkEnd w:id="387"/>
            <w:bookmarkEnd w:id="388"/>
            <w:bookmarkEnd w:id="389"/>
            <w:bookmarkEnd w:id="390"/>
          </w:p>
        </w:tc>
        <w:tc>
          <w:tcPr>
            <w:tcW w:w="6091" w:type="dxa"/>
            <w:noWrap w:val="0"/>
            <w:vAlign w:val="top"/>
          </w:tcPr>
          <w:p w14:paraId="092F2D4C">
            <w:pPr>
              <w:autoSpaceDE w:val="0"/>
              <w:autoSpaceDN w:val="0"/>
              <w:adjustRightInd w:val="0"/>
              <w:snapToGrid w:val="0"/>
              <w:spacing w:after="120" w:line="360" w:lineRule="auto"/>
              <w:ind w:right="-210" w:rightChars="-100"/>
              <w:outlineLvl w:val="1"/>
              <w:rPr>
                <w:rFonts w:hint="eastAsia" w:ascii="宋体" w:hAnsi="宋体" w:eastAsia="宋体" w:cs="HMGX"/>
                <w:sz w:val="21"/>
                <w:szCs w:val="21"/>
              </w:rPr>
            </w:pPr>
            <w:bookmarkStart w:id="391" w:name="_Toc134805679"/>
            <w:bookmarkStart w:id="392" w:name="_Toc20352"/>
            <w:bookmarkStart w:id="393" w:name="_Toc20083"/>
            <w:bookmarkStart w:id="394" w:name="_Toc1703"/>
            <w:bookmarkStart w:id="395" w:name="_Toc24856"/>
            <w:bookmarkStart w:id="396" w:name="_Toc4900"/>
            <w:bookmarkStart w:id="397" w:name="_Toc4635"/>
            <w:bookmarkStart w:id="398" w:name="_Toc1965"/>
            <w:r>
              <w:rPr>
                <w:rFonts w:hint="eastAsia" w:ascii="宋体" w:hAnsi="宋体" w:eastAsia="宋体" w:cs="HMGX"/>
                <w:sz w:val="21"/>
                <w:szCs w:val="21"/>
                <w:lang w:val="zh-CN"/>
              </w:rPr>
              <w:t>开户账号：</w:t>
            </w:r>
            <w:bookmarkEnd w:id="391"/>
            <w:bookmarkEnd w:id="392"/>
            <w:bookmarkEnd w:id="393"/>
            <w:bookmarkEnd w:id="394"/>
            <w:bookmarkEnd w:id="395"/>
            <w:bookmarkEnd w:id="396"/>
            <w:bookmarkEnd w:id="397"/>
            <w:bookmarkEnd w:id="398"/>
          </w:p>
        </w:tc>
      </w:tr>
    </w:tbl>
    <w:p w14:paraId="51D75FF2">
      <w:pPr>
        <w:spacing w:line="360" w:lineRule="auto"/>
        <w:ind w:firstLine="200"/>
        <w:jc w:val="center"/>
        <w:rPr>
          <w:rFonts w:hint="eastAsia" w:ascii="仿宋_GB2312" w:hAnsi="楷体" w:eastAsia="仿宋_GB2312"/>
          <w:b/>
          <w:color w:val="000000"/>
          <w:sz w:val="28"/>
          <w:szCs w:val="28"/>
        </w:rPr>
      </w:pPr>
      <w:r>
        <w:rPr>
          <w:rFonts w:hint="eastAsia" w:ascii="宋体" w:hAnsi="宋体"/>
          <w:b/>
          <w:color w:val="000000"/>
          <w:szCs w:val="21"/>
        </w:rPr>
        <w:br w:type="page"/>
      </w:r>
      <w:r>
        <w:rPr>
          <w:rFonts w:hint="eastAsia" w:ascii="仿宋_GB2312" w:hAnsi="楷体" w:eastAsia="仿宋_GB2312"/>
          <w:b/>
          <w:color w:val="000000"/>
          <w:sz w:val="28"/>
          <w:szCs w:val="28"/>
        </w:rPr>
        <w:t>第二部分 合同一般条款</w:t>
      </w:r>
    </w:p>
    <w:p w14:paraId="1F8CCE18">
      <w:pPr>
        <w:spacing w:line="360" w:lineRule="auto"/>
        <w:ind w:firstLine="422" w:firstLineChars="200"/>
        <w:rPr>
          <w:rFonts w:hint="eastAsia" w:ascii="宋体" w:hAnsi="宋体"/>
          <w:b/>
          <w:color w:val="000000"/>
          <w:szCs w:val="21"/>
        </w:rPr>
      </w:pPr>
      <w:r>
        <w:rPr>
          <w:rFonts w:hint="eastAsia" w:ascii="宋体" w:hAnsi="宋体"/>
          <w:b/>
          <w:color w:val="000000"/>
          <w:szCs w:val="21"/>
        </w:rPr>
        <w:t>2.1 定义</w:t>
      </w:r>
    </w:p>
    <w:p w14:paraId="51F74711">
      <w:pPr>
        <w:spacing w:line="360" w:lineRule="auto"/>
        <w:ind w:firstLine="420" w:firstLineChars="200"/>
        <w:rPr>
          <w:rFonts w:hint="eastAsia" w:ascii="宋体" w:hAnsi="宋体"/>
          <w:color w:val="000000"/>
          <w:szCs w:val="21"/>
        </w:rPr>
      </w:pPr>
      <w:r>
        <w:rPr>
          <w:rFonts w:hint="eastAsia" w:ascii="宋体" w:hAnsi="宋体"/>
          <w:color w:val="000000"/>
          <w:szCs w:val="21"/>
        </w:rPr>
        <w:t>本合同中的下列词语应按以下内容进行解释：</w:t>
      </w:r>
    </w:p>
    <w:p w14:paraId="7281F7EB">
      <w:pPr>
        <w:spacing w:line="360" w:lineRule="auto"/>
        <w:ind w:firstLine="420" w:firstLineChars="200"/>
        <w:rPr>
          <w:rFonts w:hint="eastAsia" w:ascii="宋体" w:hAnsi="宋体"/>
          <w:color w:val="000000"/>
          <w:szCs w:val="21"/>
        </w:rPr>
      </w:pPr>
      <w:r>
        <w:rPr>
          <w:rFonts w:hint="eastAsia" w:ascii="宋体" w:hAnsi="宋体"/>
          <w:color w:val="000000"/>
          <w:szCs w:val="21"/>
        </w:rPr>
        <w:t>2.1.1 “合同”系指采购人和中标人签订的载明双方当事人所达成的协议，并包括所有的附件、附录和构成合同的其他文件。</w:t>
      </w:r>
    </w:p>
    <w:p w14:paraId="776EBEEA">
      <w:pPr>
        <w:spacing w:line="360" w:lineRule="auto"/>
        <w:ind w:firstLine="420" w:firstLineChars="200"/>
        <w:rPr>
          <w:rFonts w:hint="eastAsia" w:ascii="宋体" w:hAnsi="宋体"/>
          <w:color w:val="000000"/>
          <w:szCs w:val="21"/>
        </w:rPr>
      </w:pPr>
      <w:r>
        <w:rPr>
          <w:rFonts w:hint="eastAsia" w:ascii="宋体" w:hAnsi="宋体"/>
          <w:color w:val="000000"/>
          <w:szCs w:val="21"/>
        </w:rPr>
        <w:t>2.1.2 “合同价”系指根据合同约定，中标人在完全履行合同义务后，采购人应支付给中标人的价格。</w:t>
      </w:r>
    </w:p>
    <w:p w14:paraId="016B4F52">
      <w:pPr>
        <w:spacing w:line="360" w:lineRule="auto"/>
        <w:ind w:firstLine="420" w:firstLineChars="200"/>
        <w:rPr>
          <w:rFonts w:hint="eastAsia" w:ascii="宋体" w:hAnsi="宋体"/>
          <w:color w:val="000000"/>
          <w:szCs w:val="21"/>
        </w:rPr>
      </w:pPr>
      <w:r>
        <w:rPr>
          <w:rFonts w:hint="eastAsia" w:ascii="宋体" w:hAnsi="宋体"/>
          <w:color w:val="000000"/>
          <w:szCs w:val="21"/>
        </w:rPr>
        <w:t>2.1.3 “标的物”系指中标人根据合同约定应向采购人交付的一切各种形态和种类的货物、服务和工程，包括但不限于原材料、燃料、设备、机械、仪表、备件、计算机软件、信息化系统、信息化维保、物业服务、产品等，并包括工具、手册等其他相关资料。</w:t>
      </w:r>
    </w:p>
    <w:p w14:paraId="6AB0CE38">
      <w:pPr>
        <w:spacing w:line="360" w:lineRule="auto"/>
        <w:ind w:firstLine="420" w:firstLineChars="200"/>
        <w:rPr>
          <w:rFonts w:hint="eastAsia" w:ascii="宋体" w:hAnsi="宋体"/>
          <w:color w:val="000000"/>
          <w:szCs w:val="21"/>
        </w:rPr>
      </w:pPr>
      <w:r>
        <w:rPr>
          <w:rFonts w:hint="eastAsia" w:ascii="宋体" w:hAnsi="宋体"/>
          <w:color w:val="000000"/>
          <w:szCs w:val="21"/>
        </w:rPr>
        <w:t>2.1.4 “甲方”系指与中标人签署合同的采购人；采购人委托采购机构代表其与乙方签订合同的，采购人的授权委托书作为合同附件。</w:t>
      </w:r>
    </w:p>
    <w:p w14:paraId="05BD0348">
      <w:pPr>
        <w:spacing w:line="360" w:lineRule="auto"/>
        <w:ind w:firstLine="420" w:firstLineChars="200"/>
        <w:rPr>
          <w:rFonts w:hint="eastAsia" w:ascii="宋体" w:hAnsi="宋体"/>
          <w:color w:val="000000"/>
          <w:szCs w:val="21"/>
        </w:rPr>
      </w:pPr>
      <w:r>
        <w:rPr>
          <w:rFonts w:hint="eastAsia" w:ascii="宋体" w:hAnsi="宋体"/>
          <w:color w:val="000000"/>
          <w:szCs w:val="21"/>
        </w:rPr>
        <w:t>2.1.5 “乙方”系指根据合同约定交付标的物的中标人；两个以上的自然人、法人或者其他组织组成一个联合体，以一个供应商的身份共同参加政府采购的，联合体各方均应为乙方或者与乙方相同地位的合同当事人，并就合同约定的事项对甲方承担连带责任。</w:t>
      </w:r>
    </w:p>
    <w:p w14:paraId="59722BFC">
      <w:pPr>
        <w:spacing w:line="360" w:lineRule="auto"/>
        <w:ind w:firstLine="420" w:firstLineChars="200"/>
        <w:rPr>
          <w:rFonts w:hint="eastAsia" w:ascii="宋体" w:hAnsi="宋体"/>
          <w:color w:val="000000"/>
          <w:szCs w:val="21"/>
        </w:rPr>
      </w:pPr>
      <w:r>
        <w:rPr>
          <w:rFonts w:hint="eastAsia" w:ascii="宋体" w:hAnsi="宋体"/>
          <w:color w:val="000000"/>
          <w:szCs w:val="21"/>
        </w:rPr>
        <w:t>2.1.6 “现场”系指合同约定标的物将要运至或者实施或者安装的地点。</w:t>
      </w:r>
    </w:p>
    <w:p w14:paraId="4C4A3C8A">
      <w:pPr>
        <w:spacing w:line="360" w:lineRule="auto"/>
        <w:ind w:firstLine="422" w:firstLineChars="200"/>
        <w:rPr>
          <w:rFonts w:hint="eastAsia" w:ascii="宋体" w:hAnsi="宋体"/>
          <w:b/>
          <w:color w:val="000000"/>
          <w:szCs w:val="21"/>
        </w:rPr>
      </w:pPr>
      <w:r>
        <w:rPr>
          <w:rFonts w:hint="eastAsia" w:ascii="宋体" w:hAnsi="宋体"/>
          <w:b/>
          <w:color w:val="000000"/>
          <w:szCs w:val="21"/>
        </w:rPr>
        <w:t>2.2 技术规范</w:t>
      </w:r>
    </w:p>
    <w:p w14:paraId="50796E97">
      <w:pPr>
        <w:spacing w:line="360" w:lineRule="auto"/>
        <w:ind w:firstLine="420" w:firstLineChars="200"/>
        <w:rPr>
          <w:rFonts w:hint="eastAsia" w:ascii="宋体" w:hAnsi="宋体"/>
          <w:color w:val="000000"/>
          <w:szCs w:val="21"/>
        </w:rPr>
      </w:pPr>
      <w:r>
        <w:rPr>
          <w:rFonts w:hint="eastAsia" w:ascii="宋体" w:hAnsi="宋体"/>
          <w:color w:val="000000"/>
          <w:szCs w:val="21"/>
        </w:rPr>
        <w:t>标的物所应遵守的技术规范应与采购文件规定的技术规范和技术规范附件(如果有的话)及其技术规范偏差表(如果被甲方接受的话)相一致；如果采购文件中没有技术规范的相应说明，应以国家有关部门最新颁布的相应标准和规范为准。</w:t>
      </w:r>
    </w:p>
    <w:p w14:paraId="245CD997">
      <w:pPr>
        <w:spacing w:line="360" w:lineRule="auto"/>
        <w:ind w:firstLine="422" w:firstLineChars="200"/>
        <w:rPr>
          <w:rFonts w:hint="eastAsia" w:ascii="宋体" w:hAnsi="宋体"/>
          <w:b/>
          <w:color w:val="000000"/>
          <w:szCs w:val="21"/>
        </w:rPr>
      </w:pPr>
      <w:r>
        <w:rPr>
          <w:rFonts w:hint="eastAsia" w:ascii="宋体" w:hAnsi="宋体"/>
          <w:b/>
          <w:color w:val="000000"/>
          <w:szCs w:val="21"/>
        </w:rPr>
        <w:t>2.3 知识产权</w:t>
      </w:r>
    </w:p>
    <w:p w14:paraId="4278AD14">
      <w:pPr>
        <w:spacing w:line="360" w:lineRule="auto"/>
        <w:ind w:firstLine="420" w:firstLineChars="200"/>
        <w:rPr>
          <w:rFonts w:hint="eastAsia" w:ascii="宋体" w:hAnsi="宋体"/>
          <w:color w:val="000000"/>
          <w:szCs w:val="21"/>
        </w:rPr>
      </w:pPr>
      <w:r>
        <w:rPr>
          <w:rFonts w:hint="eastAsia" w:ascii="宋体" w:hAnsi="宋体"/>
          <w:color w:val="000000"/>
          <w:szCs w:val="21"/>
        </w:rPr>
        <w:t>2.3.1 乙方应保证甲方在使用该标的物或其任何一部分时不受任何第三方提出的侵犯其著作权、商标权、专利权等知识产权方面的起诉；如果任何第三方提出侵权指控，乙方须与该第三方交涉并承担由此发生的一切责任、费用和赔偿；</w:t>
      </w:r>
    </w:p>
    <w:p w14:paraId="31FFC0DA">
      <w:pPr>
        <w:spacing w:line="360" w:lineRule="auto"/>
        <w:ind w:firstLine="420" w:firstLineChars="200"/>
        <w:rPr>
          <w:rFonts w:hint="eastAsia" w:ascii="宋体" w:hAnsi="宋体"/>
          <w:color w:val="000000"/>
          <w:szCs w:val="21"/>
        </w:rPr>
      </w:pPr>
      <w:r>
        <w:rPr>
          <w:rFonts w:hint="eastAsia" w:ascii="宋体" w:hAnsi="宋体"/>
          <w:color w:val="000000"/>
          <w:szCs w:val="21"/>
        </w:rPr>
        <w:t>2.3.2具有知识产权的计算机软件等标的物的知识产权归属，详见</w:t>
      </w:r>
      <w:r>
        <w:rPr>
          <w:rFonts w:hint="eastAsia" w:ascii="宋体" w:hAnsi="宋体"/>
          <w:b/>
          <w:i/>
          <w:color w:val="000000"/>
          <w:szCs w:val="21"/>
          <w:u w:val="single"/>
        </w:rPr>
        <w:t>合同专用条款</w:t>
      </w:r>
      <w:r>
        <w:rPr>
          <w:rFonts w:hint="eastAsia" w:ascii="宋体" w:hAnsi="宋体"/>
          <w:color w:val="000000"/>
          <w:szCs w:val="21"/>
        </w:rPr>
        <w:t>。</w:t>
      </w:r>
    </w:p>
    <w:p w14:paraId="1C4DB345">
      <w:pPr>
        <w:spacing w:line="360" w:lineRule="auto"/>
        <w:ind w:firstLine="422" w:firstLineChars="200"/>
        <w:rPr>
          <w:rFonts w:hint="eastAsia" w:ascii="宋体" w:hAnsi="宋体"/>
          <w:b/>
          <w:color w:val="000000"/>
          <w:szCs w:val="21"/>
        </w:rPr>
      </w:pPr>
      <w:r>
        <w:rPr>
          <w:rFonts w:hint="eastAsia" w:ascii="宋体" w:hAnsi="宋体"/>
          <w:b/>
          <w:color w:val="000000"/>
          <w:szCs w:val="21"/>
        </w:rPr>
        <w:t>2.4 包装和装运</w:t>
      </w:r>
    </w:p>
    <w:p w14:paraId="6847F6DB">
      <w:pPr>
        <w:spacing w:line="360" w:lineRule="auto"/>
        <w:ind w:firstLine="420" w:firstLineChars="200"/>
        <w:rPr>
          <w:rFonts w:hint="eastAsia" w:ascii="宋体" w:hAnsi="宋体"/>
          <w:color w:val="000000"/>
          <w:szCs w:val="21"/>
        </w:rPr>
      </w:pPr>
      <w:r>
        <w:rPr>
          <w:rFonts w:hint="eastAsia" w:ascii="宋体" w:hAnsi="宋体"/>
          <w:color w:val="000000"/>
          <w:szCs w:val="21"/>
        </w:rPr>
        <w:t>2.4.1除</w:t>
      </w:r>
      <w:r>
        <w:rPr>
          <w:rFonts w:hint="eastAsia" w:ascii="宋体" w:hAnsi="宋体"/>
          <w:b/>
          <w:i/>
          <w:color w:val="000000"/>
          <w:szCs w:val="21"/>
          <w:u w:val="single"/>
        </w:rPr>
        <w:t>合同专用条款</w:t>
      </w:r>
      <w:r>
        <w:rPr>
          <w:rFonts w:hint="eastAsia" w:ascii="宋体" w:hAnsi="宋体"/>
          <w:color w:val="000000"/>
          <w:szCs w:val="21"/>
        </w:rPr>
        <w:t>另有约定外,乙方交付的全部标的物,均应采用本行业通用的方式进行包装，没有通用方式的，应当采取足以保护标的物的包装方式，且该包装应符合国家有关包装的法律、法规的规定。如有必要，包装应适用于远距离运输、防潮、防震、防锈和防粗暴装卸，确保标的物安全无损地运抵现场。由于包装不善所引起的标的物锈蚀、损坏和损失等一切风险均由乙方承担。</w:t>
      </w:r>
    </w:p>
    <w:p w14:paraId="1A21E886">
      <w:pPr>
        <w:spacing w:line="360" w:lineRule="auto"/>
        <w:ind w:firstLine="420" w:firstLineChars="200"/>
        <w:rPr>
          <w:rFonts w:hint="eastAsia" w:ascii="宋体" w:hAnsi="宋体"/>
          <w:color w:val="000000"/>
          <w:szCs w:val="21"/>
        </w:rPr>
      </w:pPr>
      <w:r>
        <w:rPr>
          <w:rFonts w:hint="eastAsia" w:ascii="宋体" w:hAnsi="宋体"/>
          <w:color w:val="000000"/>
          <w:szCs w:val="21"/>
        </w:rPr>
        <w:t>2.4.2 装运标的物的要求和通知，详见</w:t>
      </w:r>
      <w:r>
        <w:rPr>
          <w:rFonts w:hint="eastAsia" w:ascii="宋体" w:hAnsi="宋体"/>
          <w:b/>
          <w:i/>
          <w:color w:val="000000"/>
          <w:szCs w:val="21"/>
          <w:u w:val="single"/>
        </w:rPr>
        <w:t>合同专用条款</w:t>
      </w:r>
      <w:r>
        <w:rPr>
          <w:rFonts w:hint="eastAsia" w:ascii="宋体" w:hAnsi="宋体"/>
          <w:color w:val="000000"/>
          <w:szCs w:val="21"/>
        </w:rPr>
        <w:t>。</w:t>
      </w:r>
    </w:p>
    <w:p w14:paraId="36505F83">
      <w:pPr>
        <w:spacing w:line="360" w:lineRule="auto"/>
        <w:ind w:firstLine="422" w:firstLineChars="200"/>
        <w:rPr>
          <w:rFonts w:hint="eastAsia" w:ascii="宋体" w:hAnsi="宋体"/>
          <w:b/>
          <w:color w:val="000000"/>
          <w:szCs w:val="21"/>
        </w:rPr>
      </w:pPr>
      <w:r>
        <w:rPr>
          <w:rFonts w:hint="eastAsia" w:ascii="宋体" w:hAnsi="宋体"/>
          <w:b/>
          <w:color w:val="000000"/>
          <w:szCs w:val="21"/>
        </w:rPr>
        <w:t>2.5 履约检查和问题反馈</w:t>
      </w:r>
    </w:p>
    <w:p w14:paraId="5601046A">
      <w:pPr>
        <w:spacing w:line="360" w:lineRule="auto"/>
        <w:ind w:firstLine="420" w:firstLineChars="200"/>
        <w:rPr>
          <w:rFonts w:hint="eastAsia" w:ascii="宋体" w:hAnsi="宋体"/>
          <w:color w:val="000000"/>
          <w:szCs w:val="21"/>
        </w:rPr>
      </w:pPr>
      <w:r>
        <w:rPr>
          <w:rFonts w:hint="eastAsia" w:ascii="宋体" w:hAnsi="宋体"/>
          <w:color w:val="000000"/>
          <w:szCs w:val="21"/>
        </w:rPr>
        <w:t>2.5.1甲方有权在其认为必要时，对乙方是否能够按照合同约定交付标的物进行履约检查，以确保乙方所交付的标的物能够依约满足甲方之项目需求，但不得因履约检查妨碍乙方的正常工作，乙方应予积极配合；</w:t>
      </w:r>
    </w:p>
    <w:p w14:paraId="19A47874">
      <w:pPr>
        <w:spacing w:line="360" w:lineRule="auto"/>
        <w:ind w:firstLine="420" w:firstLineChars="200"/>
        <w:rPr>
          <w:rFonts w:hint="eastAsia" w:ascii="宋体" w:hAnsi="宋体"/>
          <w:color w:val="000000"/>
          <w:szCs w:val="21"/>
        </w:rPr>
      </w:pPr>
      <w:r>
        <w:rPr>
          <w:rFonts w:hint="eastAsia" w:ascii="宋体" w:hAnsi="宋体"/>
          <w:color w:val="000000"/>
          <w:szCs w:val="21"/>
        </w:rPr>
        <w:t>2.5.2 合同履行期间，甲方有权将履行过程中出现的问题反馈给乙方，双方当事人应以书面形式约定需要完善和改进的内容。</w:t>
      </w:r>
    </w:p>
    <w:p w14:paraId="49BFCE94">
      <w:pPr>
        <w:spacing w:line="360" w:lineRule="auto"/>
        <w:ind w:firstLine="422" w:firstLineChars="200"/>
        <w:rPr>
          <w:rFonts w:hint="eastAsia" w:ascii="宋体" w:hAnsi="宋体"/>
          <w:b/>
          <w:color w:val="000000"/>
          <w:szCs w:val="21"/>
        </w:rPr>
      </w:pPr>
      <w:r>
        <w:rPr>
          <w:rFonts w:hint="eastAsia" w:ascii="宋体" w:hAnsi="宋体"/>
          <w:b/>
          <w:color w:val="000000"/>
          <w:szCs w:val="21"/>
        </w:rPr>
        <w:t>2.6 结算方式和付款条件</w:t>
      </w:r>
    </w:p>
    <w:p w14:paraId="1B7340B0">
      <w:pPr>
        <w:spacing w:line="360" w:lineRule="auto"/>
        <w:ind w:firstLine="420" w:firstLineChars="200"/>
        <w:rPr>
          <w:rFonts w:hint="eastAsia" w:ascii="宋体" w:hAnsi="宋体"/>
          <w:color w:val="000000"/>
          <w:szCs w:val="21"/>
        </w:rPr>
      </w:pPr>
      <w:r>
        <w:rPr>
          <w:rFonts w:hint="eastAsia" w:ascii="宋体" w:hAnsi="宋体"/>
          <w:color w:val="000000"/>
          <w:szCs w:val="21"/>
        </w:rPr>
        <w:t>详见</w:t>
      </w:r>
      <w:r>
        <w:rPr>
          <w:rFonts w:hint="eastAsia" w:ascii="宋体" w:hAnsi="宋体"/>
          <w:b/>
          <w:i/>
          <w:color w:val="000000"/>
          <w:szCs w:val="21"/>
          <w:u w:val="single"/>
        </w:rPr>
        <w:t>合同专用条款</w:t>
      </w:r>
      <w:r>
        <w:rPr>
          <w:rFonts w:hint="eastAsia" w:ascii="宋体" w:hAnsi="宋体"/>
          <w:color w:val="000000"/>
          <w:szCs w:val="21"/>
        </w:rPr>
        <w:t>。</w:t>
      </w:r>
    </w:p>
    <w:p w14:paraId="356174A7">
      <w:pPr>
        <w:spacing w:line="360" w:lineRule="auto"/>
        <w:ind w:firstLine="422" w:firstLineChars="200"/>
        <w:rPr>
          <w:rFonts w:hint="eastAsia" w:ascii="宋体" w:hAnsi="宋体"/>
          <w:b/>
          <w:color w:val="000000"/>
          <w:szCs w:val="21"/>
        </w:rPr>
      </w:pPr>
      <w:r>
        <w:rPr>
          <w:rFonts w:hint="eastAsia" w:ascii="宋体" w:hAnsi="宋体"/>
          <w:b/>
          <w:color w:val="000000"/>
          <w:szCs w:val="21"/>
        </w:rPr>
        <w:t>2.7 技术资料和保密义务</w:t>
      </w:r>
    </w:p>
    <w:p w14:paraId="13CFE5A0">
      <w:pPr>
        <w:spacing w:line="360" w:lineRule="auto"/>
        <w:ind w:firstLine="420" w:firstLineChars="200"/>
        <w:rPr>
          <w:rFonts w:hint="eastAsia" w:ascii="宋体" w:hAnsi="宋体"/>
          <w:color w:val="000000"/>
          <w:szCs w:val="21"/>
        </w:rPr>
      </w:pPr>
      <w:r>
        <w:rPr>
          <w:rFonts w:hint="eastAsia" w:ascii="宋体" w:hAnsi="宋体"/>
          <w:color w:val="000000"/>
          <w:szCs w:val="21"/>
        </w:rPr>
        <w:t>2.7.1 乙方有权依据合同约定和项目需要，向甲方了解有关情况，调阅有关资料等，甲方应予积极配合；</w:t>
      </w:r>
    </w:p>
    <w:p w14:paraId="47B496BC">
      <w:pPr>
        <w:spacing w:line="360" w:lineRule="auto"/>
        <w:ind w:firstLine="420" w:firstLineChars="200"/>
        <w:rPr>
          <w:rFonts w:hint="eastAsia" w:ascii="宋体" w:hAnsi="宋体"/>
          <w:color w:val="000000"/>
          <w:szCs w:val="21"/>
        </w:rPr>
      </w:pPr>
      <w:r>
        <w:rPr>
          <w:rFonts w:hint="eastAsia" w:ascii="宋体" w:hAnsi="宋体"/>
          <w:color w:val="000000"/>
          <w:szCs w:val="21"/>
        </w:rPr>
        <w:t>2.7.2 乙方有义务妥善保管和保护由甲方提供的前款信息和资料等；</w:t>
      </w:r>
    </w:p>
    <w:p w14:paraId="0AA6C4A1">
      <w:pPr>
        <w:spacing w:line="360" w:lineRule="auto"/>
        <w:ind w:firstLine="420" w:firstLineChars="200"/>
        <w:rPr>
          <w:rFonts w:hint="eastAsia" w:ascii="宋体" w:hAnsi="宋体"/>
          <w:color w:val="000000"/>
          <w:szCs w:val="21"/>
        </w:rPr>
      </w:pPr>
      <w:r>
        <w:rPr>
          <w:rFonts w:hint="eastAsia" w:ascii="宋体" w:hAnsi="宋体"/>
          <w:color w:val="000000"/>
          <w:szCs w:val="21"/>
        </w:rPr>
        <w:t>2.7.3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及方式防止任何第三方接触到对方当事人的上述保密信息和资料。</w:t>
      </w:r>
    </w:p>
    <w:p w14:paraId="31A8F1D7">
      <w:pPr>
        <w:spacing w:line="360" w:lineRule="auto"/>
        <w:ind w:firstLine="422" w:firstLineChars="200"/>
        <w:rPr>
          <w:rFonts w:hint="eastAsia" w:ascii="宋体" w:hAnsi="宋体"/>
          <w:b/>
          <w:color w:val="000000"/>
          <w:szCs w:val="21"/>
        </w:rPr>
      </w:pPr>
      <w:r>
        <w:rPr>
          <w:rFonts w:hint="eastAsia" w:ascii="宋体" w:hAnsi="宋体"/>
          <w:b/>
          <w:color w:val="000000"/>
          <w:szCs w:val="21"/>
        </w:rPr>
        <w:t>2.8 质量保证</w:t>
      </w:r>
    </w:p>
    <w:p w14:paraId="354396F9">
      <w:pPr>
        <w:spacing w:line="360" w:lineRule="auto"/>
        <w:ind w:firstLine="420" w:firstLineChars="200"/>
        <w:rPr>
          <w:rFonts w:hint="eastAsia" w:ascii="宋体" w:hAnsi="宋体"/>
          <w:color w:val="000000"/>
          <w:szCs w:val="21"/>
        </w:rPr>
      </w:pPr>
      <w:r>
        <w:rPr>
          <w:rFonts w:hint="eastAsia" w:ascii="宋体" w:hAnsi="宋体"/>
          <w:color w:val="000000"/>
          <w:szCs w:val="21"/>
        </w:rPr>
        <w:t>2.8.1 乙方应建立和完善履行合同的内部质量保证体系，并提供相关内部规章制度给甲方，以便甲方进行监督检查；</w:t>
      </w:r>
    </w:p>
    <w:p w14:paraId="79A500D1">
      <w:pPr>
        <w:spacing w:line="360" w:lineRule="auto"/>
        <w:ind w:firstLine="420" w:firstLineChars="200"/>
        <w:rPr>
          <w:rFonts w:hint="eastAsia" w:ascii="宋体" w:hAnsi="宋体"/>
          <w:color w:val="000000"/>
          <w:szCs w:val="21"/>
        </w:rPr>
      </w:pPr>
      <w:r>
        <w:rPr>
          <w:rFonts w:hint="eastAsia" w:ascii="宋体" w:hAnsi="宋体"/>
          <w:color w:val="000000"/>
          <w:szCs w:val="21"/>
        </w:rPr>
        <w:t>2.8.2 乙方应保证履行合同的人员数量和素质、软件和硬件设备的配置、场地、环境和设施等满足全面履行合同的要求，并应接受甲方的监督检查。</w:t>
      </w:r>
    </w:p>
    <w:p w14:paraId="300F8218">
      <w:pPr>
        <w:spacing w:line="360" w:lineRule="auto"/>
        <w:ind w:firstLine="420" w:firstLineChars="200"/>
        <w:rPr>
          <w:rFonts w:hint="eastAsia" w:ascii="宋体" w:hAnsi="宋体" w:cs="仿宋_GB2312"/>
          <w:color w:val="000000"/>
          <w:kern w:val="0"/>
          <w:szCs w:val="21"/>
        </w:rPr>
      </w:pPr>
      <w:r>
        <w:rPr>
          <w:rFonts w:hint="eastAsia" w:ascii="宋体" w:hAnsi="宋体"/>
          <w:color w:val="000000"/>
          <w:szCs w:val="21"/>
        </w:rPr>
        <w:t>2.8.3乙方应确保项目技术人员的数量和水平与投标文件一致。未经甲方书面同意，乙方不得擅自更换投标文件中注明的项目经理和技术负责人。否则</w:t>
      </w:r>
      <w:r>
        <w:rPr>
          <w:rFonts w:hint="eastAsia" w:ascii="宋体" w:hAnsi="宋体" w:cs="仿宋_GB2312"/>
          <w:color w:val="000000"/>
          <w:kern w:val="0"/>
          <w:szCs w:val="21"/>
        </w:rPr>
        <w:t>甲方有权放弃或终止合同，并没收履约保证金。</w:t>
      </w:r>
    </w:p>
    <w:p w14:paraId="48419A92">
      <w:pPr>
        <w:spacing w:line="360" w:lineRule="auto"/>
        <w:ind w:firstLine="420" w:firstLineChars="200"/>
        <w:rPr>
          <w:rFonts w:hint="eastAsia" w:ascii="宋体" w:hAnsi="宋体"/>
          <w:color w:val="000000"/>
          <w:szCs w:val="21"/>
        </w:rPr>
      </w:pPr>
      <w:r>
        <w:rPr>
          <w:rFonts w:hint="eastAsia" w:ascii="宋体" w:hAnsi="宋体"/>
          <w:color w:val="000000"/>
          <w:szCs w:val="21"/>
        </w:rPr>
        <w:t>2.8.4因乙方原因造成甲方其他系统不能正常运行，酿成重大事故（工作日系统中断一天以上）的，乙方应承担全部法律责任，并赔偿经济损失，赔偿金额为项目总价的</w:t>
      </w:r>
      <w:r>
        <w:rPr>
          <w:rFonts w:hint="eastAsia" w:ascii="宋体" w:hAnsi="宋体"/>
          <w:color w:val="000000"/>
          <w:szCs w:val="21"/>
          <w:highlight w:val="yellow"/>
          <w:u w:val="single"/>
        </w:rPr>
        <w:t xml:space="preserve">  </w:t>
      </w:r>
      <w:r>
        <w:rPr>
          <w:rFonts w:hint="eastAsia" w:ascii="宋体" w:hAnsi="宋体"/>
          <w:color w:val="000000"/>
          <w:szCs w:val="21"/>
          <w:highlight w:val="yellow"/>
          <w:u w:val="single"/>
          <w:lang w:val="en-US" w:eastAsia="zh-CN"/>
        </w:rPr>
        <w:t>20</w:t>
      </w:r>
      <w:r>
        <w:rPr>
          <w:rFonts w:hint="eastAsia" w:ascii="宋体" w:hAnsi="宋体"/>
          <w:color w:val="000000"/>
          <w:szCs w:val="21"/>
          <w:highlight w:val="yellow"/>
          <w:u w:val="single"/>
        </w:rPr>
        <w:t xml:space="preserve">   </w:t>
      </w:r>
      <w:r>
        <w:rPr>
          <w:rFonts w:hint="eastAsia" w:ascii="宋体" w:hAnsi="宋体"/>
          <w:color w:val="000000"/>
          <w:szCs w:val="21"/>
          <w:highlight w:val="yellow"/>
        </w:rPr>
        <w:t>%</w:t>
      </w:r>
      <w:r>
        <w:rPr>
          <w:rFonts w:hint="eastAsia" w:ascii="宋体" w:hAnsi="宋体"/>
          <w:color w:val="000000"/>
          <w:szCs w:val="21"/>
        </w:rPr>
        <w:t>。</w:t>
      </w:r>
    </w:p>
    <w:p w14:paraId="4E4760A7">
      <w:pPr>
        <w:spacing w:line="360" w:lineRule="auto"/>
        <w:ind w:firstLine="422" w:firstLineChars="200"/>
        <w:rPr>
          <w:rFonts w:hint="eastAsia" w:ascii="宋体" w:hAnsi="宋体"/>
          <w:b/>
          <w:color w:val="000000"/>
          <w:szCs w:val="21"/>
        </w:rPr>
      </w:pPr>
      <w:r>
        <w:rPr>
          <w:rFonts w:hint="eastAsia" w:ascii="宋体" w:hAnsi="宋体"/>
          <w:b/>
          <w:color w:val="000000"/>
          <w:szCs w:val="21"/>
        </w:rPr>
        <w:t>2.9 标的物的风险负担</w:t>
      </w:r>
    </w:p>
    <w:p w14:paraId="3CA68118">
      <w:pPr>
        <w:spacing w:line="360" w:lineRule="auto"/>
        <w:ind w:firstLine="420" w:firstLineChars="200"/>
        <w:rPr>
          <w:rFonts w:hint="eastAsia" w:ascii="宋体" w:hAnsi="宋体"/>
          <w:b/>
          <w:color w:val="000000"/>
          <w:szCs w:val="21"/>
        </w:rPr>
      </w:pPr>
      <w:r>
        <w:rPr>
          <w:rFonts w:hint="eastAsia" w:ascii="宋体" w:hAnsi="宋体"/>
          <w:color w:val="000000"/>
          <w:szCs w:val="21"/>
        </w:rPr>
        <w:t>标的物或者在途标的物或者交付给第一承运人后的标的物毁损、灭失的风险负担详见</w:t>
      </w:r>
      <w:r>
        <w:rPr>
          <w:rFonts w:hint="eastAsia" w:ascii="宋体" w:hAnsi="宋体"/>
          <w:b/>
          <w:i/>
          <w:color w:val="000000"/>
          <w:szCs w:val="21"/>
          <w:u w:val="single"/>
        </w:rPr>
        <w:t>合同专用条款</w:t>
      </w:r>
      <w:r>
        <w:rPr>
          <w:rFonts w:hint="eastAsia" w:ascii="宋体" w:hAnsi="宋体"/>
          <w:color w:val="000000"/>
          <w:szCs w:val="21"/>
        </w:rPr>
        <w:t>。</w:t>
      </w:r>
    </w:p>
    <w:p w14:paraId="1FBB5482">
      <w:pPr>
        <w:spacing w:line="360" w:lineRule="auto"/>
        <w:ind w:firstLine="422" w:firstLineChars="200"/>
        <w:rPr>
          <w:rFonts w:hint="eastAsia" w:ascii="宋体" w:hAnsi="宋体"/>
          <w:b/>
          <w:color w:val="000000"/>
          <w:szCs w:val="21"/>
        </w:rPr>
      </w:pPr>
      <w:r>
        <w:rPr>
          <w:rFonts w:hint="eastAsia" w:ascii="宋体" w:hAnsi="宋体"/>
          <w:b/>
          <w:color w:val="000000"/>
          <w:szCs w:val="21"/>
        </w:rPr>
        <w:t>2.10 延迟交货/交付</w:t>
      </w:r>
    </w:p>
    <w:p w14:paraId="3054C7B7">
      <w:pPr>
        <w:spacing w:line="360" w:lineRule="auto"/>
        <w:ind w:firstLine="420" w:firstLineChars="200"/>
        <w:rPr>
          <w:rFonts w:hint="eastAsia" w:ascii="宋体" w:hAnsi="宋体"/>
          <w:color w:val="000000"/>
          <w:szCs w:val="21"/>
        </w:rPr>
      </w:pPr>
      <w:r>
        <w:rPr>
          <w:rFonts w:hint="eastAsia" w:ascii="宋体" w:hAnsi="宋体"/>
          <w:color w:val="000000"/>
          <w:szCs w:val="21"/>
        </w:rPr>
        <w:t>在合同履行过程中，如果乙方遇到不能按时交付标的物的情况，应及时以书面形式将不能按时交付标的物的理由、预期延误时间通知甲方；甲方收到乙方通知后，认为其理由正当的，可以书面形式酌情同意乙方可以延长交货的具体时间。</w:t>
      </w:r>
    </w:p>
    <w:p w14:paraId="0117D5AA">
      <w:pPr>
        <w:spacing w:line="360" w:lineRule="auto"/>
        <w:ind w:firstLine="422" w:firstLineChars="200"/>
        <w:rPr>
          <w:rFonts w:hint="eastAsia" w:ascii="宋体" w:hAnsi="宋体"/>
          <w:b/>
          <w:color w:val="000000"/>
          <w:szCs w:val="21"/>
        </w:rPr>
      </w:pPr>
      <w:r>
        <w:rPr>
          <w:rFonts w:hint="eastAsia" w:ascii="宋体" w:hAnsi="宋体"/>
          <w:b/>
          <w:color w:val="000000"/>
          <w:szCs w:val="21"/>
        </w:rPr>
        <w:t>2.11 合同变更</w:t>
      </w:r>
    </w:p>
    <w:p w14:paraId="386AB40A">
      <w:pPr>
        <w:spacing w:line="360" w:lineRule="auto"/>
        <w:ind w:firstLine="420" w:firstLineChars="200"/>
        <w:rPr>
          <w:rFonts w:hint="eastAsia" w:ascii="宋体" w:hAnsi="宋体"/>
          <w:color w:val="000000"/>
          <w:szCs w:val="21"/>
        </w:rPr>
      </w:pPr>
      <w:r>
        <w:rPr>
          <w:rFonts w:hint="eastAsia" w:ascii="宋体" w:hAnsi="宋体"/>
          <w:color w:val="000000"/>
          <w:szCs w:val="21"/>
        </w:rPr>
        <w:t>2.11.1双方当事人协商一致，可以签订书面补充合同的形式变更合同，但不得违背采购文件确定的事项。如果系追加与合同标的相同的标的物的，那么需经采购监督管理部门同意，且所有补充合同的采购金额不得超过原合同价的10%；</w:t>
      </w:r>
    </w:p>
    <w:p w14:paraId="72F0A211">
      <w:pPr>
        <w:spacing w:line="360" w:lineRule="auto"/>
        <w:ind w:firstLine="420" w:firstLineChars="200"/>
        <w:rPr>
          <w:rFonts w:hint="eastAsia" w:ascii="宋体" w:hAnsi="宋体"/>
          <w:color w:val="000000"/>
          <w:szCs w:val="21"/>
        </w:rPr>
      </w:pPr>
      <w:r>
        <w:rPr>
          <w:rFonts w:hint="eastAsia" w:ascii="宋体" w:hAnsi="宋体"/>
          <w:color w:val="000000"/>
          <w:szCs w:val="21"/>
        </w:rPr>
        <w:t>2.11.2 合同继续履行将损害国家利益和社会公共利益的，双方当事人应当以书面形式变更合同。有过错的一方应当承担赔偿责任，双方当事人都有过错的，各自承担相应的责任。</w:t>
      </w:r>
    </w:p>
    <w:p w14:paraId="02A93DBD">
      <w:pPr>
        <w:spacing w:line="360" w:lineRule="auto"/>
        <w:ind w:firstLine="422" w:firstLineChars="200"/>
        <w:rPr>
          <w:rFonts w:hint="eastAsia" w:ascii="宋体" w:hAnsi="宋体"/>
          <w:b/>
          <w:color w:val="000000"/>
          <w:szCs w:val="21"/>
        </w:rPr>
      </w:pPr>
      <w:r>
        <w:rPr>
          <w:rFonts w:hint="eastAsia" w:ascii="宋体" w:hAnsi="宋体"/>
          <w:b/>
          <w:color w:val="000000"/>
          <w:szCs w:val="21"/>
        </w:rPr>
        <w:t>2.12 合同转让和分包</w:t>
      </w:r>
    </w:p>
    <w:p w14:paraId="7453662C">
      <w:pPr>
        <w:spacing w:line="360" w:lineRule="auto"/>
        <w:ind w:firstLine="420" w:firstLineChars="200"/>
        <w:rPr>
          <w:rFonts w:hint="eastAsia" w:ascii="宋体" w:hAnsi="宋体"/>
          <w:color w:val="000000"/>
          <w:szCs w:val="21"/>
        </w:rPr>
      </w:pPr>
      <w:r>
        <w:rPr>
          <w:rFonts w:hint="eastAsia" w:ascii="宋体" w:hAnsi="宋体"/>
          <w:color w:val="000000"/>
          <w:szCs w:val="21"/>
        </w:rPr>
        <w:t>合同的权利义务依法不得转让，但经甲方书面同意，乙方可以依法采取分包方式履行合同，即：依法可以将合同项下的部分非主体、非关键性工作分包给他人完成，接受分包的供应商应当具备相应的资格条件，并不得再次分包，且乙方应就分包项目向甲方负责，并与分包供应商就分包项目向甲方承担连带责任。</w:t>
      </w:r>
    </w:p>
    <w:p w14:paraId="4A155023">
      <w:pPr>
        <w:spacing w:line="360" w:lineRule="auto"/>
        <w:ind w:firstLine="422" w:firstLineChars="200"/>
        <w:rPr>
          <w:rFonts w:hint="eastAsia" w:ascii="宋体" w:hAnsi="宋体"/>
          <w:b/>
          <w:color w:val="000000"/>
          <w:szCs w:val="21"/>
        </w:rPr>
      </w:pPr>
      <w:r>
        <w:rPr>
          <w:rFonts w:hint="eastAsia" w:ascii="宋体" w:hAnsi="宋体"/>
          <w:b/>
          <w:color w:val="000000"/>
          <w:szCs w:val="21"/>
        </w:rPr>
        <w:t>2.13 不可抗力</w:t>
      </w:r>
    </w:p>
    <w:p w14:paraId="0EE03AE2">
      <w:pPr>
        <w:spacing w:line="360" w:lineRule="auto"/>
        <w:ind w:firstLine="420" w:firstLineChars="200"/>
        <w:rPr>
          <w:rFonts w:hint="eastAsia" w:ascii="宋体" w:hAnsi="宋体"/>
          <w:color w:val="000000"/>
          <w:szCs w:val="21"/>
        </w:rPr>
      </w:pPr>
      <w:r>
        <w:rPr>
          <w:rFonts w:hint="eastAsia" w:ascii="宋体" w:hAnsi="宋体"/>
          <w:color w:val="000000"/>
          <w:szCs w:val="21"/>
        </w:rPr>
        <w:t>2.13.1如果任何一方遭遇法律规定的不可抗力，致使合同履行受阻时，履行合同的期限应予延长，延长的期限应相当于不可抗力所影响的时间；</w:t>
      </w:r>
    </w:p>
    <w:p w14:paraId="1C8CD0C4">
      <w:pPr>
        <w:spacing w:line="360" w:lineRule="auto"/>
        <w:ind w:firstLine="420" w:firstLineChars="200"/>
        <w:rPr>
          <w:rFonts w:hint="eastAsia" w:ascii="宋体" w:hAnsi="宋体"/>
          <w:color w:val="000000"/>
          <w:szCs w:val="21"/>
        </w:rPr>
      </w:pPr>
      <w:r>
        <w:rPr>
          <w:rFonts w:hint="eastAsia" w:ascii="宋体" w:hAnsi="宋体"/>
          <w:color w:val="000000"/>
          <w:szCs w:val="21"/>
        </w:rPr>
        <w:t>2.13.2受不可抗力影响的一方在不可抗力发生后，应在</w:t>
      </w:r>
      <w:r>
        <w:rPr>
          <w:rFonts w:hint="eastAsia" w:ascii="宋体" w:hAnsi="宋体"/>
          <w:b/>
          <w:i/>
          <w:color w:val="000000"/>
          <w:szCs w:val="21"/>
          <w:u w:val="single"/>
        </w:rPr>
        <w:t>合同专用条款</w:t>
      </w:r>
      <w:r>
        <w:rPr>
          <w:rFonts w:hint="eastAsia" w:ascii="宋体" w:hAnsi="宋体"/>
          <w:color w:val="000000"/>
          <w:szCs w:val="21"/>
        </w:rPr>
        <w:t>约定时间内以书面形式通知对方当事人，并在</w:t>
      </w:r>
      <w:r>
        <w:rPr>
          <w:rFonts w:hint="eastAsia" w:ascii="宋体" w:hAnsi="宋体"/>
          <w:b/>
          <w:i/>
          <w:color w:val="000000"/>
          <w:szCs w:val="21"/>
          <w:u w:val="single"/>
        </w:rPr>
        <w:t>合同专用条款</w:t>
      </w:r>
      <w:r>
        <w:rPr>
          <w:rFonts w:hint="eastAsia" w:ascii="宋体" w:hAnsi="宋体"/>
          <w:color w:val="000000"/>
          <w:szCs w:val="21"/>
        </w:rPr>
        <w:t>约定时间内，将有关部门出具的证明文件送达对方当事人。</w:t>
      </w:r>
    </w:p>
    <w:p w14:paraId="6A531EEB">
      <w:pPr>
        <w:spacing w:line="360" w:lineRule="auto"/>
        <w:ind w:firstLine="420" w:firstLineChars="200"/>
        <w:rPr>
          <w:rFonts w:hint="eastAsia" w:ascii="宋体" w:hAnsi="宋体"/>
          <w:color w:val="000000"/>
          <w:szCs w:val="21"/>
        </w:rPr>
      </w:pPr>
      <w:r>
        <w:rPr>
          <w:rFonts w:hint="eastAsia" w:ascii="宋体" w:hAnsi="宋体"/>
          <w:color w:val="000000"/>
          <w:szCs w:val="21"/>
        </w:rPr>
        <w:t>2.13.3 因不可抗力致使不能实现合同目的的，当事人可以解除合同；</w:t>
      </w:r>
    </w:p>
    <w:p w14:paraId="5C7CB506">
      <w:pPr>
        <w:spacing w:line="360" w:lineRule="auto"/>
        <w:ind w:firstLine="420" w:firstLineChars="200"/>
        <w:rPr>
          <w:rFonts w:hint="eastAsia" w:ascii="宋体" w:hAnsi="宋体"/>
          <w:color w:val="000000"/>
          <w:szCs w:val="21"/>
        </w:rPr>
      </w:pPr>
      <w:r>
        <w:rPr>
          <w:rFonts w:hint="eastAsia" w:ascii="宋体" w:hAnsi="宋体"/>
          <w:color w:val="000000"/>
          <w:szCs w:val="21"/>
        </w:rPr>
        <w:t>2.13.4 因不可抗力致使合同有变更必要的，双方当事人应在</w:t>
      </w:r>
      <w:r>
        <w:rPr>
          <w:rFonts w:hint="eastAsia" w:ascii="宋体" w:hAnsi="宋体"/>
          <w:b/>
          <w:i/>
          <w:color w:val="000000"/>
          <w:szCs w:val="21"/>
          <w:u w:val="single"/>
        </w:rPr>
        <w:t>合同专用条款</w:t>
      </w:r>
      <w:r>
        <w:rPr>
          <w:rFonts w:hint="eastAsia" w:ascii="宋体" w:hAnsi="宋体"/>
          <w:color w:val="000000"/>
          <w:szCs w:val="21"/>
        </w:rPr>
        <w:t>约定时间内以书面形式变更合同；</w:t>
      </w:r>
    </w:p>
    <w:p w14:paraId="1B4FDEC9">
      <w:pPr>
        <w:spacing w:line="360" w:lineRule="auto"/>
        <w:ind w:firstLine="422" w:firstLineChars="200"/>
        <w:rPr>
          <w:rFonts w:hint="eastAsia" w:ascii="宋体" w:hAnsi="宋体"/>
          <w:b/>
          <w:color w:val="000000"/>
          <w:szCs w:val="21"/>
        </w:rPr>
      </w:pPr>
      <w:r>
        <w:rPr>
          <w:rFonts w:hint="eastAsia" w:ascii="宋体" w:hAnsi="宋体"/>
          <w:b/>
          <w:color w:val="000000"/>
          <w:szCs w:val="21"/>
        </w:rPr>
        <w:t>2.14 税费</w:t>
      </w:r>
    </w:p>
    <w:p w14:paraId="2503722E">
      <w:pPr>
        <w:spacing w:line="360" w:lineRule="auto"/>
        <w:ind w:firstLine="420" w:firstLineChars="200"/>
        <w:rPr>
          <w:rFonts w:hint="eastAsia" w:ascii="宋体" w:hAnsi="宋体"/>
          <w:color w:val="000000"/>
          <w:szCs w:val="21"/>
        </w:rPr>
      </w:pPr>
      <w:r>
        <w:rPr>
          <w:rFonts w:hint="eastAsia" w:ascii="宋体" w:hAnsi="宋体"/>
          <w:color w:val="000000"/>
          <w:szCs w:val="21"/>
        </w:rPr>
        <w:t>与合同有关的一切税费，均按照中华人民共和国法律的相关规定执行。</w:t>
      </w:r>
    </w:p>
    <w:p w14:paraId="2A54AF75">
      <w:pPr>
        <w:spacing w:line="360" w:lineRule="auto"/>
        <w:ind w:firstLine="422" w:firstLineChars="200"/>
        <w:rPr>
          <w:rFonts w:hint="eastAsia" w:ascii="宋体" w:hAnsi="宋体"/>
          <w:b/>
          <w:color w:val="000000"/>
          <w:szCs w:val="21"/>
        </w:rPr>
      </w:pPr>
      <w:r>
        <w:rPr>
          <w:rFonts w:hint="eastAsia" w:ascii="宋体" w:hAnsi="宋体"/>
          <w:b/>
          <w:color w:val="000000"/>
          <w:szCs w:val="21"/>
        </w:rPr>
        <w:t>2.15 乙方破产</w:t>
      </w:r>
    </w:p>
    <w:p w14:paraId="1805278D">
      <w:pPr>
        <w:spacing w:line="360" w:lineRule="auto"/>
        <w:ind w:firstLine="420" w:firstLineChars="200"/>
        <w:rPr>
          <w:rFonts w:hint="eastAsia" w:ascii="宋体" w:hAnsi="宋体"/>
          <w:color w:val="000000"/>
          <w:szCs w:val="21"/>
        </w:rPr>
      </w:pPr>
      <w:r>
        <w:rPr>
          <w:rFonts w:hint="eastAsia" w:ascii="宋体" w:hAnsi="宋体"/>
          <w:color w:val="000000"/>
          <w:szCs w:val="21"/>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1679FA06">
      <w:pPr>
        <w:spacing w:line="360" w:lineRule="auto"/>
        <w:ind w:firstLine="422" w:firstLineChars="200"/>
        <w:rPr>
          <w:rFonts w:hint="eastAsia" w:ascii="宋体" w:hAnsi="宋体"/>
          <w:b/>
          <w:color w:val="000000"/>
          <w:szCs w:val="21"/>
        </w:rPr>
      </w:pPr>
      <w:r>
        <w:rPr>
          <w:rFonts w:hint="eastAsia" w:ascii="宋体" w:hAnsi="宋体"/>
          <w:b/>
          <w:color w:val="000000"/>
          <w:szCs w:val="21"/>
        </w:rPr>
        <w:t>2.16 合同中止、终止</w:t>
      </w:r>
    </w:p>
    <w:p w14:paraId="2054F8EC">
      <w:pPr>
        <w:spacing w:line="360" w:lineRule="auto"/>
        <w:ind w:firstLine="420" w:firstLineChars="200"/>
        <w:rPr>
          <w:rFonts w:hint="eastAsia" w:ascii="宋体" w:hAnsi="宋体"/>
          <w:color w:val="000000"/>
          <w:szCs w:val="21"/>
        </w:rPr>
      </w:pPr>
      <w:r>
        <w:rPr>
          <w:rFonts w:hint="eastAsia" w:ascii="宋体" w:hAnsi="宋体"/>
          <w:color w:val="000000"/>
          <w:szCs w:val="21"/>
        </w:rPr>
        <w:t>2.16.1 双方当事人不得擅自中止或者终止合同；</w:t>
      </w:r>
    </w:p>
    <w:p w14:paraId="7A31F12A">
      <w:pPr>
        <w:spacing w:line="360" w:lineRule="auto"/>
        <w:ind w:firstLine="420" w:firstLineChars="200"/>
        <w:rPr>
          <w:rFonts w:hint="eastAsia" w:ascii="宋体" w:hAnsi="宋体"/>
          <w:color w:val="000000"/>
          <w:szCs w:val="21"/>
        </w:rPr>
      </w:pPr>
      <w:r>
        <w:rPr>
          <w:rFonts w:hint="eastAsia" w:ascii="宋体" w:hAnsi="宋体"/>
          <w:color w:val="000000"/>
          <w:szCs w:val="21"/>
        </w:rPr>
        <w:t>2.16.2合同继续履行将损害国家利益和社会公共利益的，双方当事人应当中止或者终止合同。有过错的一方应当承担赔偿责任，双方当事人都有过错的，各自承担相应的责任。</w:t>
      </w:r>
    </w:p>
    <w:p w14:paraId="2C5C4BE3">
      <w:pPr>
        <w:spacing w:line="360" w:lineRule="auto"/>
        <w:ind w:firstLine="422" w:firstLineChars="200"/>
        <w:rPr>
          <w:rFonts w:hint="eastAsia" w:ascii="宋体" w:hAnsi="宋体"/>
          <w:b/>
          <w:color w:val="000000"/>
          <w:szCs w:val="21"/>
        </w:rPr>
      </w:pPr>
      <w:r>
        <w:rPr>
          <w:rFonts w:hint="eastAsia" w:ascii="宋体" w:hAnsi="宋体"/>
          <w:b/>
          <w:color w:val="000000"/>
          <w:szCs w:val="21"/>
        </w:rPr>
        <w:t>2.17 检验和验收</w:t>
      </w:r>
    </w:p>
    <w:p w14:paraId="0796483D">
      <w:pPr>
        <w:spacing w:line="360" w:lineRule="auto"/>
        <w:ind w:firstLine="420" w:firstLineChars="200"/>
        <w:rPr>
          <w:rFonts w:hint="eastAsia" w:ascii="宋体" w:hAnsi="宋体"/>
          <w:color w:val="000000"/>
          <w:szCs w:val="21"/>
        </w:rPr>
      </w:pPr>
      <w:r>
        <w:rPr>
          <w:rFonts w:hint="eastAsia" w:ascii="宋体" w:hAnsi="宋体"/>
          <w:color w:val="000000"/>
          <w:szCs w:val="21"/>
        </w:rPr>
        <w:t>2.17.1标的物交付前，乙方应对标的物的质量、数量等方面进行详细、全面的检验，并向甲方出具证明标的物符合合同约定的文件；标的物交付时，乙方在</w:t>
      </w:r>
      <w:r>
        <w:rPr>
          <w:rFonts w:hint="eastAsia" w:ascii="宋体" w:hAnsi="宋体"/>
          <w:b/>
          <w:i/>
          <w:color w:val="000000"/>
          <w:szCs w:val="21"/>
          <w:u w:val="single"/>
        </w:rPr>
        <w:t>合同专用条款</w:t>
      </w:r>
      <w:r>
        <w:rPr>
          <w:rFonts w:hint="eastAsia" w:ascii="宋体" w:hAnsi="宋体"/>
          <w:color w:val="000000"/>
          <w:szCs w:val="21"/>
        </w:rPr>
        <w:t>约定时间内组织验收，并可依法邀请相关方参加，验收应出具验收书。</w:t>
      </w:r>
    </w:p>
    <w:p w14:paraId="585D4BB1">
      <w:pPr>
        <w:spacing w:line="360" w:lineRule="auto"/>
        <w:ind w:firstLine="420" w:firstLineChars="200"/>
        <w:rPr>
          <w:rFonts w:hint="eastAsia" w:ascii="宋体" w:hAnsi="宋体"/>
          <w:color w:val="000000"/>
          <w:szCs w:val="21"/>
        </w:rPr>
      </w:pPr>
      <w:r>
        <w:rPr>
          <w:rFonts w:hint="eastAsia" w:ascii="宋体" w:hAnsi="宋体"/>
          <w:color w:val="000000"/>
          <w:szCs w:val="21"/>
        </w:rPr>
        <w:t>2.17.2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2BD99B76">
      <w:pPr>
        <w:spacing w:line="360" w:lineRule="auto"/>
        <w:ind w:firstLine="420" w:firstLineChars="200"/>
        <w:rPr>
          <w:rFonts w:hint="eastAsia" w:ascii="宋体" w:hAnsi="宋体"/>
          <w:color w:val="000000"/>
          <w:szCs w:val="21"/>
        </w:rPr>
      </w:pPr>
      <w:r>
        <w:rPr>
          <w:rFonts w:hint="eastAsia" w:ascii="宋体" w:hAnsi="宋体"/>
          <w:color w:val="000000"/>
          <w:szCs w:val="21"/>
        </w:rPr>
        <w:t>2.17.3 检验和验收标准、程序等具体内容以及前述验收书的效力详见</w:t>
      </w:r>
      <w:r>
        <w:rPr>
          <w:rFonts w:hint="eastAsia" w:ascii="宋体" w:hAnsi="宋体"/>
          <w:b/>
          <w:i/>
          <w:color w:val="000000"/>
          <w:szCs w:val="21"/>
          <w:u w:val="single"/>
        </w:rPr>
        <w:t>合同专用条款</w:t>
      </w:r>
      <w:r>
        <w:rPr>
          <w:rFonts w:hint="eastAsia" w:ascii="宋体" w:hAnsi="宋体"/>
          <w:i/>
          <w:color w:val="000000"/>
          <w:szCs w:val="21"/>
        </w:rPr>
        <w:t>。</w:t>
      </w:r>
    </w:p>
    <w:p w14:paraId="613ED6EC">
      <w:pPr>
        <w:spacing w:line="360" w:lineRule="auto"/>
        <w:ind w:firstLine="422" w:firstLineChars="200"/>
        <w:rPr>
          <w:rFonts w:hint="eastAsia" w:ascii="宋体" w:hAnsi="宋体"/>
          <w:b/>
          <w:color w:val="000000"/>
          <w:szCs w:val="21"/>
        </w:rPr>
      </w:pPr>
      <w:r>
        <w:rPr>
          <w:rFonts w:hint="eastAsia" w:ascii="宋体" w:hAnsi="宋体"/>
          <w:b/>
          <w:color w:val="000000"/>
          <w:szCs w:val="21"/>
        </w:rPr>
        <w:t>2.18 通知和送达</w:t>
      </w:r>
    </w:p>
    <w:p w14:paraId="6D61B995">
      <w:pPr>
        <w:spacing w:line="360" w:lineRule="auto"/>
        <w:ind w:firstLine="420" w:firstLineChars="200"/>
        <w:rPr>
          <w:rFonts w:hint="eastAsia" w:ascii="宋体" w:hAnsi="宋体"/>
          <w:color w:val="000000"/>
          <w:szCs w:val="21"/>
        </w:rPr>
      </w:pPr>
      <w:r>
        <w:rPr>
          <w:rFonts w:hint="eastAsia" w:ascii="宋体" w:hAnsi="宋体"/>
          <w:color w:val="000000"/>
          <w:szCs w:val="21"/>
        </w:rPr>
        <w:t>2.18.1 任何一方因履行合同而以合同第一部分尾部所列明的</w:t>
      </w:r>
      <w:r>
        <w:rPr>
          <w:rFonts w:hint="eastAsia" w:ascii="宋体" w:hAnsi="宋体"/>
          <w:color w:val="000000"/>
          <w:szCs w:val="21"/>
          <w:u w:val="single"/>
        </w:rPr>
        <w:t>“约定送达地址”</w:t>
      </w:r>
      <w:r>
        <w:rPr>
          <w:rFonts w:hint="eastAsia" w:ascii="宋体" w:hAnsi="宋体"/>
          <w:color w:val="000000"/>
          <w:szCs w:val="21"/>
        </w:rPr>
        <w:t>为收件地址的所有通知、文件、材料，均视为已向对方当事人送达；任何一方变更上述送达方式或者地址的，应于</w:t>
      </w:r>
      <w:r>
        <w:rPr>
          <w:rFonts w:hint="eastAsia" w:ascii="宋体" w:hAnsi="宋体"/>
          <w:color w:val="000000"/>
          <w:szCs w:val="21"/>
          <w:u w:val="single"/>
        </w:rPr>
        <w:t xml:space="preserve">  </w:t>
      </w:r>
      <w:r>
        <w:rPr>
          <w:rFonts w:hint="eastAsia" w:ascii="宋体" w:hAnsi="宋体"/>
          <w:color w:val="000000"/>
          <w:szCs w:val="21"/>
          <w:u w:val="single"/>
          <w:lang w:val="en-US" w:eastAsia="zh-CN"/>
        </w:rPr>
        <w:t>3</w:t>
      </w:r>
      <w:r>
        <w:rPr>
          <w:rFonts w:hint="eastAsia" w:ascii="宋体" w:hAnsi="宋体"/>
          <w:color w:val="000000"/>
          <w:szCs w:val="21"/>
          <w:u w:val="single"/>
        </w:rPr>
        <w:t xml:space="preserve">  </w:t>
      </w:r>
      <w:r>
        <w:rPr>
          <w:rFonts w:hint="eastAsia" w:ascii="宋体" w:hAnsi="宋体"/>
          <w:color w:val="000000"/>
          <w:szCs w:val="21"/>
        </w:rPr>
        <w:t>个工作日（根据项目实际情况填写）内书面通知对方当事人，在对方当事人收到有关变更通知之前，变更前的约定送达方式或者地址仍视为有效。</w:t>
      </w:r>
    </w:p>
    <w:p w14:paraId="392BC39B">
      <w:pPr>
        <w:spacing w:line="360" w:lineRule="auto"/>
        <w:ind w:firstLine="420" w:firstLineChars="200"/>
        <w:rPr>
          <w:rFonts w:hint="eastAsia" w:ascii="宋体" w:hAnsi="宋体"/>
          <w:color w:val="000000"/>
          <w:szCs w:val="21"/>
        </w:rPr>
      </w:pPr>
      <w:r>
        <w:rPr>
          <w:rFonts w:hint="eastAsia" w:ascii="宋体" w:hAnsi="宋体"/>
          <w:color w:val="000000"/>
          <w:szCs w:val="21"/>
        </w:rPr>
        <w:t>2.18.2以当面交付方式送达的，交付之时视为送达；以电子邮件方式送达的，发出电子邮件之时视为送达；以传真方式送达的，发出传真之时视为送达；以邮寄方式送达的，邮件挂号寄出或者交邮之日之次日视为送达。</w:t>
      </w:r>
    </w:p>
    <w:p w14:paraId="4A011945">
      <w:pPr>
        <w:spacing w:line="360" w:lineRule="auto"/>
        <w:ind w:firstLine="422" w:firstLineChars="200"/>
        <w:rPr>
          <w:rFonts w:hint="eastAsia" w:ascii="宋体" w:hAnsi="宋体"/>
          <w:b/>
          <w:color w:val="000000"/>
          <w:szCs w:val="21"/>
        </w:rPr>
      </w:pPr>
      <w:r>
        <w:rPr>
          <w:rFonts w:hint="eastAsia" w:ascii="宋体" w:hAnsi="宋体"/>
          <w:b/>
          <w:color w:val="000000"/>
          <w:szCs w:val="21"/>
        </w:rPr>
        <w:t>2.19 计量单位</w:t>
      </w:r>
    </w:p>
    <w:p w14:paraId="59EE083D">
      <w:pPr>
        <w:spacing w:line="360" w:lineRule="auto"/>
        <w:ind w:firstLine="420" w:firstLineChars="200"/>
        <w:rPr>
          <w:rFonts w:hint="eastAsia" w:ascii="宋体" w:hAnsi="宋体"/>
          <w:color w:val="000000"/>
          <w:szCs w:val="21"/>
        </w:rPr>
      </w:pPr>
      <w:r>
        <w:rPr>
          <w:rFonts w:hint="eastAsia" w:ascii="宋体" w:hAnsi="宋体"/>
          <w:color w:val="000000"/>
          <w:szCs w:val="21"/>
        </w:rPr>
        <w:t>除技术规范中另有规定外,合同的计量单位均使用国家法定计量单位。</w:t>
      </w:r>
    </w:p>
    <w:p w14:paraId="45FF97F9">
      <w:pPr>
        <w:spacing w:line="360" w:lineRule="auto"/>
        <w:ind w:firstLine="422" w:firstLineChars="200"/>
        <w:rPr>
          <w:rFonts w:hint="eastAsia" w:ascii="宋体" w:hAnsi="宋体"/>
          <w:b/>
          <w:color w:val="000000"/>
          <w:szCs w:val="21"/>
        </w:rPr>
      </w:pPr>
      <w:r>
        <w:rPr>
          <w:rFonts w:hint="eastAsia" w:ascii="宋体" w:hAnsi="宋体"/>
          <w:b/>
          <w:color w:val="000000"/>
          <w:szCs w:val="21"/>
        </w:rPr>
        <w:t>2.20 合同使用的文字和适用的法律</w:t>
      </w:r>
    </w:p>
    <w:p w14:paraId="42B6C95D">
      <w:pPr>
        <w:spacing w:line="360" w:lineRule="auto"/>
        <w:ind w:firstLine="420" w:firstLineChars="200"/>
        <w:rPr>
          <w:rFonts w:hint="eastAsia" w:ascii="宋体" w:hAnsi="宋体"/>
          <w:color w:val="000000"/>
          <w:szCs w:val="21"/>
        </w:rPr>
      </w:pPr>
      <w:r>
        <w:rPr>
          <w:rFonts w:hint="eastAsia" w:ascii="宋体" w:hAnsi="宋体"/>
          <w:color w:val="000000"/>
          <w:szCs w:val="21"/>
        </w:rPr>
        <w:t>2.20.1 合同使用汉语书就、变更和解释；</w:t>
      </w:r>
    </w:p>
    <w:p w14:paraId="29AAB829">
      <w:pPr>
        <w:spacing w:line="360" w:lineRule="auto"/>
        <w:ind w:firstLine="420" w:firstLineChars="200"/>
        <w:rPr>
          <w:rFonts w:hint="eastAsia" w:ascii="宋体" w:hAnsi="宋体"/>
          <w:color w:val="000000"/>
          <w:szCs w:val="21"/>
        </w:rPr>
      </w:pPr>
      <w:r>
        <w:rPr>
          <w:rFonts w:hint="eastAsia" w:ascii="宋体" w:hAnsi="宋体"/>
          <w:color w:val="000000"/>
          <w:szCs w:val="21"/>
        </w:rPr>
        <w:t>2.20.2 合同适用中华人民共和国法律。</w:t>
      </w:r>
    </w:p>
    <w:p w14:paraId="3279C7E1">
      <w:pPr>
        <w:spacing w:line="360" w:lineRule="auto"/>
        <w:ind w:firstLine="422" w:firstLineChars="200"/>
        <w:rPr>
          <w:rFonts w:hint="eastAsia" w:ascii="宋体" w:hAnsi="宋体"/>
          <w:b/>
          <w:color w:val="000000"/>
          <w:szCs w:val="21"/>
        </w:rPr>
      </w:pPr>
      <w:r>
        <w:rPr>
          <w:rFonts w:hint="eastAsia" w:ascii="宋体" w:hAnsi="宋体"/>
          <w:b/>
          <w:color w:val="000000"/>
          <w:szCs w:val="21"/>
        </w:rPr>
        <w:t>2.21 履约保证金</w:t>
      </w:r>
    </w:p>
    <w:p w14:paraId="5667D8EE">
      <w:pPr>
        <w:spacing w:line="360" w:lineRule="auto"/>
        <w:ind w:firstLine="420" w:firstLineChars="200"/>
        <w:rPr>
          <w:rFonts w:hint="eastAsia" w:ascii="宋体" w:hAnsi="宋体" w:cs="Arial"/>
          <w:snapToGrid w:val="0"/>
          <w:color w:val="000000"/>
          <w:kern w:val="0"/>
          <w:szCs w:val="21"/>
        </w:rPr>
      </w:pPr>
      <w:r>
        <w:rPr>
          <w:rFonts w:hint="eastAsia" w:ascii="宋体" w:hAnsi="宋体"/>
          <w:color w:val="000000"/>
          <w:szCs w:val="21"/>
        </w:rPr>
        <w:t>本项目不收取履约保证金</w:t>
      </w:r>
    </w:p>
    <w:p w14:paraId="3914F8D7">
      <w:pPr>
        <w:spacing w:line="360" w:lineRule="auto"/>
        <w:ind w:firstLine="422" w:firstLineChars="200"/>
        <w:rPr>
          <w:rFonts w:hint="eastAsia" w:ascii="宋体" w:hAnsi="宋体"/>
          <w:color w:val="000000"/>
          <w:kern w:val="0"/>
          <w:szCs w:val="21"/>
          <w:lang w:val="zh-CN"/>
        </w:rPr>
      </w:pPr>
      <w:r>
        <w:rPr>
          <w:rFonts w:hint="eastAsia" w:ascii="宋体" w:hAnsi="宋体"/>
          <w:b/>
          <w:color w:val="000000"/>
          <w:szCs w:val="21"/>
        </w:rPr>
        <w:t>2.22 中小企业政策</w:t>
      </w:r>
    </w:p>
    <w:p w14:paraId="3BA549AD">
      <w:pPr>
        <w:spacing w:line="360" w:lineRule="auto"/>
        <w:ind w:firstLine="420" w:firstLineChars="200"/>
        <w:rPr>
          <w:rFonts w:hint="eastAsia" w:ascii="宋体" w:hAnsi="宋体"/>
          <w:color w:val="000000"/>
          <w:kern w:val="0"/>
          <w:szCs w:val="21"/>
          <w:lang w:val="zh-CN"/>
        </w:rPr>
      </w:pPr>
      <w:r>
        <w:rPr>
          <w:rFonts w:hint="eastAsia" w:ascii="宋体" w:hAnsi="宋体"/>
          <w:color w:val="000000"/>
          <w:kern w:val="0"/>
          <w:szCs w:val="21"/>
          <w:lang w:val="zh-CN"/>
        </w:rPr>
        <w:t>2.22.1本合同（□是  ☑否）为中小企业“政采贷”可融资合同，关于中小企业信用融资事项见采购文件“投标人须知正文”。</w:t>
      </w:r>
    </w:p>
    <w:p w14:paraId="7186F226">
      <w:pPr>
        <w:spacing w:line="360" w:lineRule="auto"/>
        <w:ind w:firstLine="420" w:firstLineChars="200"/>
        <w:rPr>
          <w:rFonts w:hint="eastAsia" w:ascii="宋体" w:hAnsi="宋体"/>
          <w:color w:val="000000"/>
          <w:kern w:val="0"/>
          <w:szCs w:val="21"/>
          <w:lang w:val="zh-CN"/>
        </w:rPr>
      </w:pPr>
      <w:r>
        <w:rPr>
          <w:rFonts w:hint="eastAsia" w:ascii="宋体" w:hAnsi="宋体"/>
          <w:color w:val="000000"/>
          <w:kern w:val="0"/>
          <w:szCs w:val="21"/>
          <w:lang w:val="zh-CN"/>
        </w:rPr>
        <w:t>2.22.2本合同（☑是  □否）为中小企业预留合同。</w:t>
      </w:r>
    </w:p>
    <w:p w14:paraId="54C59B1E">
      <w:pPr>
        <w:spacing w:line="360" w:lineRule="auto"/>
        <w:ind w:firstLine="422" w:firstLineChars="200"/>
        <w:rPr>
          <w:rFonts w:hint="eastAsia" w:ascii="宋体" w:hAnsi="宋体"/>
          <w:b/>
          <w:color w:val="000000"/>
          <w:szCs w:val="21"/>
        </w:rPr>
      </w:pPr>
      <w:r>
        <w:rPr>
          <w:rFonts w:hint="eastAsia" w:ascii="宋体" w:hAnsi="宋体"/>
          <w:b/>
          <w:color w:val="000000"/>
          <w:szCs w:val="21"/>
        </w:rPr>
        <w:t>2.23 合同份数</w:t>
      </w:r>
    </w:p>
    <w:p w14:paraId="6A388523">
      <w:pPr>
        <w:keepNext w:val="0"/>
        <w:keepLines w:val="0"/>
        <w:pageBreakBefore w:val="0"/>
        <w:kinsoku/>
        <w:wordWrap w:val="0"/>
        <w:overflowPunct/>
        <w:topLinePunct w:val="0"/>
        <w:autoSpaceDE/>
        <w:autoSpaceDN/>
        <w:bidi w:val="0"/>
        <w:spacing w:line="440" w:lineRule="exact"/>
        <w:ind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合同壹式</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陆</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份，甲方执</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贰</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份，乙方执</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贰</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份，采购代理机构</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贰</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份。每份均具有同等法律效力。</w:t>
      </w:r>
    </w:p>
    <w:p w14:paraId="5759AE77">
      <w:pPr>
        <w:spacing w:line="360" w:lineRule="auto"/>
        <w:jc w:val="center"/>
        <w:rPr>
          <w:rFonts w:hint="eastAsia" w:ascii="仿宋_GB2312" w:hAnsi="楷体" w:eastAsia="仿宋_GB2312"/>
          <w:b/>
          <w:color w:val="000000"/>
          <w:sz w:val="28"/>
          <w:szCs w:val="28"/>
        </w:rPr>
      </w:pPr>
      <w:r>
        <w:rPr>
          <w:rFonts w:hint="eastAsia" w:ascii="宋体" w:hAnsi="宋体"/>
          <w:color w:val="000000"/>
          <w:szCs w:val="21"/>
        </w:rPr>
        <w:br w:type="page"/>
      </w:r>
      <w:r>
        <w:rPr>
          <w:rFonts w:hint="eastAsia" w:ascii="仿宋_GB2312" w:hAnsi="楷体" w:eastAsia="仿宋_GB2312"/>
          <w:b/>
          <w:color w:val="000000"/>
          <w:sz w:val="28"/>
          <w:szCs w:val="28"/>
        </w:rPr>
        <w:t>第三部分  合同专用条款</w:t>
      </w:r>
    </w:p>
    <w:p w14:paraId="4DB94E65">
      <w:pPr>
        <w:spacing w:line="360" w:lineRule="auto"/>
        <w:ind w:firstLine="420" w:firstLineChars="200"/>
        <w:rPr>
          <w:rFonts w:hint="eastAsia" w:ascii="宋体" w:hAnsi="宋体"/>
          <w:color w:val="000000"/>
          <w:szCs w:val="21"/>
        </w:rPr>
      </w:pPr>
      <w:r>
        <w:rPr>
          <w:rFonts w:hint="eastAsia" w:ascii="宋体" w:hAnsi="宋体"/>
          <w:color w:val="000000"/>
          <w:szCs w:val="21"/>
        </w:rPr>
        <w:t>本部分是对前两部分的补充和修改，如果前两部分和本部分的约定不一致，应以本部分的约定为准。本部分的条款号应与前两部分的条款号保持对应；与前两部分无对应关系的内容可另行编制条款号。</w:t>
      </w:r>
    </w:p>
    <w:p w14:paraId="282065AF">
      <w:pPr>
        <w:spacing w:line="360" w:lineRule="auto"/>
        <w:ind w:firstLine="420" w:firstLineChars="200"/>
        <w:rPr>
          <w:rFonts w:hint="eastAsia" w:ascii="宋体" w:hAnsi="宋体"/>
          <w:color w:val="000000"/>
          <w:szCs w:val="21"/>
        </w:rPr>
      </w:pPr>
      <w:r>
        <w:rPr>
          <w:rFonts w:hint="eastAsia" w:ascii="宋体" w:hAnsi="宋体"/>
          <w:color w:val="000000"/>
          <w:szCs w:val="21"/>
        </w:rPr>
        <w:t>3.1具有知识产权的标的物知识产权归属：</w:t>
      </w:r>
    </w:p>
    <w:p w14:paraId="4C3C6783">
      <w:pPr>
        <w:spacing w:line="360" w:lineRule="auto"/>
        <w:ind w:firstLine="420" w:firstLineChars="200"/>
        <w:rPr>
          <w:rFonts w:hint="eastAsia" w:ascii="宋体" w:hAnsi="宋体"/>
          <w:color w:val="000000"/>
          <w:szCs w:val="21"/>
        </w:rPr>
      </w:pPr>
    </w:p>
    <w:p w14:paraId="7C4A9555">
      <w:pPr>
        <w:spacing w:line="360" w:lineRule="auto"/>
        <w:ind w:firstLine="420" w:firstLineChars="200"/>
        <w:rPr>
          <w:rFonts w:hint="eastAsia" w:ascii="宋体" w:hAnsi="宋体"/>
          <w:color w:val="000000"/>
          <w:szCs w:val="21"/>
        </w:rPr>
      </w:pPr>
      <w:r>
        <w:rPr>
          <w:rFonts w:hint="eastAsia" w:ascii="宋体" w:hAnsi="宋体"/>
          <w:color w:val="000000"/>
          <w:szCs w:val="21"/>
        </w:rPr>
        <w:t>3.2包装和装运专用条款（如果有）：</w:t>
      </w:r>
    </w:p>
    <w:p w14:paraId="68F1B285">
      <w:pPr>
        <w:spacing w:line="360" w:lineRule="auto"/>
        <w:ind w:firstLine="420" w:firstLineChars="200"/>
        <w:rPr>
          <w:rFonts w:hint="eastAsia" w:ascii="宋体" w:hAnsi="宋体"/>
          <w:color w:val="000000"/>
          <w:szCs w:val="21"/>
        </w:rPr>
      </w:pPr>
    </w:p>
    <w:p w14:paraId="17D5F030">
      <w:pPr>
        <w:spacing w:line="360" w:lineRule="auto"/>
        <w:ind w:firstLine="420" w:firstLineChars="200"/>
        <w:rPr>
          <w:rFonts w:hint="eastAsia" w:ascii="宋体" w:hAnsi="宋体"/>
          <w:color w:val="000000"/>
          <w:szCs w:val="21"/>
        </w:rPr>
      </w:pPr>
      <w:r>
        <w:rPr>
          <w:rFonts w:hint="eastAsia" w:ascii="宋体" w:hAnsi="宋体"/>
          <w:color w:val="000000"/>
          <w:szCs w:val="21"/>
        </w:rPr>
        <w:t>3.3装运标的物的要求和通知：</w:t>
      </w:r>
    </w:p>
    <w:p w14:paraId="225EE5C8">
      <w:pPr>
        <w:spacing w:line="360" w:lineRule="auto"/>
        <w:ind w:firstLine="420" w:firstLineChars="200"/>
        <w:rPr>
          <w:rFonts w:hint="eastAsia" w:ascii="宋体" w:hAnsi="宋体"/>
          <w:color w:val="000000"/>
          <w:szCs w:val="21"/>
        </w:rPr>
      </w:pPr>
    </w:p>
    <w:p w14:paraId="66EA80CB">
      <w:pPr>
        <w:spacing w:line="360" w:lineRule="auto"/>
        <w:ind w:firstLine="420" w:firstLineChars="200"/>
        <w:rPr>
          <w:rFonts w:hint="eastAsia" w:ascii="宋体" w:hAnsi="宋体"/>
          <w:b/>
          <w:color w:val="000000"/>
          <w:szCs w:val="21"/>
        </w:rPr>
      </w:pPr>
      <w:r>
        <w:rPr>
          <w:rFonts w:hint="eastAsia" w:ascii="宋体" w:hAnsi="宋体"/>
          <w:color w:val="000000"/>
          <w:szCs w:val="21"/>
        </w:rPr>
        <w:t>3.4</w:t>
      </w:r>
      <w:r>
        <w:rPr>
          <w:rFonts w:hint="eastAsia" w:ascii="宋体" w:hAnsi="宋体"/>
          <w:b/>
          <w:color w:val="000000"/>
          <w:szCs w:val="21"/>
        </w:rPr>
        <w:t>结算方式和付款条件</w:t>
      </w:r>
    </w:p>
    <w:p w14:paraId="5C86C6F4">
      <w:pPr>
        <w:spacing w:line="360" w:lineRule="auto"/>
        <w:ind w:firstLine="420" w:firstLineChars="200"/>
        <w:rPr>
          <w:rFonts w:hint="eastAsia" w:ascii="宋体" w:hAnsi="宋体" w:cs="仿宋_GB2312"/>
          <w:color w:val="000000"/>
          <w:kern w:val="0"/>
          <w:szCs w:val="21"/>
          <w:lang w:val="zh-CN"/>
        </w:rPr>
      </w:pPr>
      <w:r>
        <w:rPr>
          <w:rFonts w:hint="eastAsia" w:ascii="宋体" w:hAnsi="宋体" w:cs="仿宋_GB2312"/>
          <w:color w:val="000000"/>
          <w:kern w:val="0"/>
          <w:szCs w:val="21"/>
          <w:lang w:val="zh-CN"/>
        </w:rPr>
        <w:t>本次项目合同总价为大写人民币</w:t>
      </w:r>
      <w:r>
        <w:rPr>
          <w:rFonts w:hint="eastAsia" w:ascii="宋体" w:hAnsi="宋体" w:cs="仿宋_GB2312"/>
          <w:color w:val="000000"/>
          <w:kern w:val="0"/>
          <w:szCs w:val="21"/>
          <w:u w:val="single"/>
          <w:lang w:val="zh-CN"/>
        </w:rPr>
        <w:t xml:space="preserve">            （￥    元）</w:t>
      </w:r>
      <w:r>
        <w:rPr>
          <w:rFonts w:hint="eastAsia" w:ascii="宋体" w:hAnsi="宋体" w:cs="仿宋_GB2312"/>
          <w:color w:val="000000"/>
          <w:kern w:val="0"/>
          <w:szCs w:val="21"/>
          <w:lang w:val="zh-CN"/>
        </w:rPr>
        <w:t>。本项目采用以下勾选结算方式进行支付：</w:t>
      </w:r>
    </w:p>
    <w:p w14:paraId="7B7E6F7E">
      <w:pPr>
        <w:spacing w:line="360" w:lineRule="auto"/>
        <w:ind w:firstLine="420" w:firstLineChars="200"/>
        <w:rPr>
          <w:rFonts w:hint="eastAsia" w:ascii="宋体" w:hAnsi="宋体" w:cs="仿宋_GB2312"/>
          <w:color w:val="000000"/>
          <w:kern w:val="0"/>
          <w:szCs w:val="21"/>
          <w:lang w:val="zh-CN"/>
        </w:rPr>
      </w:pPr>
      <w:r>
        <w:rPr>
          <w:rFonts w:hint="eastAsia" w:ascii="宋体" w:hAnsi="宋体" w:cs="仿宋_GB2312"/>
          <w:color w:val="000000"/>
          <w:kern w:val="0"/>
          <w:szCs w:val="21"/>
          <w:lang w:val="zh-CN"/>
        </w:rPr>
        <w:t>□采用一次性支付方式，付款条件为：</w:t>
      </w:r>
      <w:r>
        <w:rPr>
          <w:rFonts w:hint="eastAsia" w:ascii="宋体" w:hAnsi="宋体" w:cs="仿宋_GB2312"/>
          <w:color w:val="000000"/>
          <w:kern w:val="0"/>
          <w:szCs w:val="21"/>
          <w:u w:val="single"/>
        </w:rPr>
        <w:t xml:space="preserve">           </w:t>
      </w:r>
    </w:p>
    <w:p w14:paraId="2DD4C9C6">
      <w:pPr>
        <w:spacing w:line="360" w:lineRule="auto"/>
        <w:ind w:firstLine="420" w:firstLineChars="200"/>
        <w:rPr>
          <w:rFonts w:hint="eastAsia" w:ascii="宋体" w:hAnsi="宋体" w:cs="仿宋_GB2312"/>
          <w:color w:val="000000"/>
          <w:kern w:val="0"/>
          <w:szCs w:val="21"/>
        </w:rPr>
      </w:pPr>
      <w:r>
        <w:rPr>
          <w:rFonts w:hint="eastAsia" w:ascii="宋体" w:hAnsi="宋体" w:cs="仿宋_GB2312"/>
          <w:color w:val="000000"/>
          <w:kern w:val="0"/>
          <w:szCs w:val="21"/>
          <w:lang w:val="zh-CN"/>
        </w:rPr>
        <w:t>□采用分期付款方式，付款条件为</w:t>
      </w:r>
      <w:r>
        <w:rPr>
          <w:rFonts w:hint="eastAsia" w:ascii="宋体" w:hAnsi="宋体" w:cs="仿宋_GB2312"/>
          <w:color w:val="000000"/>
          <w:kern w:val="0"/>
          <w:szCs w:val="21"/>
        </w:rPr>
        <w:t>：</w:t>
      </w:r>
    </w:p>
    <w:p w14:paraId="5DC7855A">
      <w:pPr>
        <w:spacing w:line="360" w:lineRule="auto"/>
        <w:ind w:firstLine="420" w:firstLineChars="200"/>
        <w:rPr>
          <w:rFonts w:hint="eastAsia" w:ascii="宋体" w:hAnsi="宋体" w:cs="仿宋_GB2312"/>
          <w:color w:val="000000"/>
          <w:kern w:val="0"/>
          <w:szCs w:val="21"/>
        </w:rPr>
      </w:pPr>
      <w:r>
        <w:rPr>
          <w:rFonts w:hint="eastAsia" w:ascii="宋体" w:hAnsi="宋体" w:cs="仿宋_GB2312"/>
          <w:color w:val="000000"/>
          <w:kern w:val="0"/>
          <w:szCs w:val="21"/>
          <w:lang w:val="zh-CN"/>
        </w:rPr>
        <w:t>第一期付款</w:t>
      </w:r>
      <w:r>
        <w:rPr>
          <w:rFonts w:hint="eastAsia" w:ascii="宋体" w:hAnsi="宋体" w:cs="仿宋_GB2312"/>
          <w:color w:val="000000"/>
          <w:kern w:val="0"/>
          <w:szCs w:val="21"/>
        </w:rPr>
        <w:t>：</w:t>
      </w:r>
      <w:r>
        <w:rPr>
          <w:rFonts w:hint="eastAsia" w:ascii="宋体" w:hAnsi="宋体" w:cs="仿宋_GB2312"/>
          <w:color w:val="000000"/>
          <w:kern w:val="0"/>
          <w:szCs w:val="21"/>
          <w:u w:val="single"/>
        </w:rPr>
        <w:t xml:space="preserve">                                        </w:t>
      </w:r>
    </w:p>
    <w:p w14:paraId="50F5F5F5">
      <w:pPr>
        <w:spacing w:line="360" w:lineRule="auto"/>
        <w:ind w:firstLine="420" w:firstLineChars="200"/>
        <w:rPr>
          <w:rFonts w:hint="eastAsia" w:ascii="宋体" w:hAnsi="宋体" w:cs="仿宋_GB2312"/>
          <w:color w:val="000000"/>
          <w:kern w:val="0"/>
          <w:szCs w:val="21"/>
          <w:u w:val="single"/>
        </w:rPr>
      </w:pPr>
      <w:r>
        <w:rPr>
          <w:rFonts w:hint="eastAsia" w:ascii="宋体" w:hAnsi="宋体" w:cs="仿宋_GB2312"/>
          <w:color w:val="000000"/>
          <w:kern w:val="0"/>
          <w:szCs w:val="21"/>
          <w:lang w:val="zh-CN"/>
        </w:rPr>
        <w:t>第</w:t>
      </w:r>
      <w:r>
        <w:rPr>
          <w:rFonts w:hint="eastAsia" w:ascii="宋体" w:hAnsi="宋体" w:cs="仿宋_GB2312"/>
          <w:color w:val="000000"/>
          <w:kern w:val="0"/>
          <w:szCs w:val="21"/>
        </w:rPr>
        <w:t>二</w:t>
      </w:r>
      <w:r>
        <w:rPr>
          <w:rFonts w:hint="eastAsia" w:ascii="宋体" w:hAnsi="宋体" w:cs="仿宋_GB2312"/>
          <w:color w:val="000000"/>
          <w:kern w:val="0"/>
          <w:szCs w:val="21"/>
          <w:lang w:val="zh-CN"/>
        </w:rPr>
        <w:t>期付款</w:t>
      </w:r>
      <w:r>
        <w:rPr>
          <w:rFonts w:hint="eastAsia" w:ascii="宋体" w:hAnsi="宋体" w:cs="仿宋_GB2312"/>
          <w:color w:val="000000"/>
          <w:kern w:val="0"/>
          <w:szCs w:val="21"/>
        </w:rPr>
        <w:t>：</w:t>
      </w:r>
      <w:r>
        <w:rPr>
          <w:rFonts w:hint="eastAsia" w:ascii="宋体" w:hAnsi="宋体" w:cs="仿宋_GB2312"/>
          <w:color w:val="000000"/>
          <w:kern w:val="0"/>
          <w:szCs w:val="21"/>
          <w:u w:val="single"/>
        </w:rPr>
        <w:t xml:space="preserve">                                        </w:t>
      </w:r>
    </w:p>
    <w:p w14:paraId="2234D5C1">
      <w:pPr>
        <w:spacing w:line="360" w:lineRule="auto"/>
        <w:ind w:firstLine="420" w:firstLineChars="200"/>
        <w:rPr>
          <w:rFonts w:hint="eastAsia" w:ascii="宋体" w:hAnsi="宋体" w:cs="仿宋_GB2312"/>
          <w:color w:val="000000"/>
          <w:kern w:val="0"/>
          <w:szCs w:val="21"/>
        </w:rPr>
      </w:pPr>
      <w:r>
        <w:rPr>
          <w:rFonts w:hint="eastAsia" w:ascii="宋体" w:hAnsi="宋体" w:cs="仿宋_GB2312"/>
          <w:color w:val="000000"/>
          <w:kern w:val="0"/>
          <w:szCs w:val="21"/>
        </w:rPr>
        <w:t>……</w:t>
      </w:r>
    </w:p>
    <w:p w14:paraId="451BC531">
      <w:pPr>
        <w:spacing w:line="360" w:lineRule="auto"/>
        <w:ind w:firstLine="420" w:firstLineChars="200"/>
        <w:rPr>
          <w:rFonts w:hint="eastAsia" w:ascii="宋体" w:hAnsi="宋体"/>
          <w:color w:val="000000"/>
          <w:szCs w:val="21"/>
        </w:rPr>
      </w:pPr>
      <w:r>
        <w:rPr>
          <w:rFonts w:hint="eastAsia" w:ascii="宋体" w:hAnsi="宋体"/>
          <w:color w:val="000000"/>
          <w:szCs w:val="21"/>
        </w:rPr>
        <w:t>甲方无故逾期支付服务费用的，按照每逾期一日支付欠付服务费额度的（根据项目实际填写，一般为万分之五）</w:t>
      </w:r>
      <w:r>
        <w:rPr>
          <w:rFonts w:hint="eastAsia" w:ascii="宋体" w:hAnsi="宋体"/>
          <w:color w:val="000000"/>
          <w:szCs w:val="21"/>
          <w:u w:val="single"/>
        </w:rPr>
        <w:t xml:space="preserve">     </w:t>
      </w:r>
      <w:r>
        <w:rPr>
          <w:rFonts w:hint="eastAsia" w:ascii="宋体" w:hAnsi="宋体"/>
          <w:color w:val="000000"/>
          <w:szCs w:val="21"/>
        </w:rPr>
        <w:t>承担违约责任，违约金上限按照《合同书》约定执行。</w:t>
      </w:r>
    </w:p>
    <w:p w14:paraId="46AEFEF2">
      <w:pPr>
        <w:spacing w:line="360" w:lineRule="auto"/>
        <w:ind w:firstLine="480" w:firstLineChars="200"/>
        <w:rPr>
          <w:rFonts w:hint="eastAsia" w:ascii="宋体" w:hAnsi="宋体"/>
          <w:color w:val="000000"/>
          <w:szCs w:val="21"/>
          <w:lang w:val="zh-CN"/>
        </w:rPr>
      </w:pPr>
      <w:r>
        <w:rPr>
          <w:rFonts w:hint="eastAsia" w:ascii="仿宋_GB2312" w:hAnsi="仿宋" w:eastAsia="仿宋_GB2312"/>
          <w:sz w:val="24"/>
          <w:lang w:val="zh-CN"/>
        </w:rPr>
        <w:t>（温馨提示：根据《广西壮族自治区财政厅关于进一步发挥政府采购政策功能促进企业发展的通知》（桂财采〔2022〕30号）及《2023年广西优化营商环境行动方案》等规定，政府采购货物和服务的采购人在政府采购合同中约定预付款比例的，采购合同履行期超过30天，对中小企业合同预付款比例应不低于合同金额的30％，不高于合同金额的50%；项目分年度安排预算的，每年预付款比例不低于项目年度计划支付金额的30％；采购项目以人工投入为主的，可降低预付款比例，但不得低于10%。采购文件和采购合同没有约定预付款的，经供应商申请采购人可支付预付款。对于未实行预付款的政府采购项目，鼓励采购人在合同中明确首付款支付比例。）</w:t>
      </w:r>
    </w:p>
    <w:p w14:paraId="663C1AE8">
      <w:pPr>
        <w:spacing w:line="360" w:lineRule="auto"/>
        <w:ind w:firstLine="420" w:firstLineChars="200"/>
        <w:rPr>
          <w:rFonts w:hint="eastAsia" w:ascii="宋体" w:hAnsi="宋体"/>
          <w:b/>
          <w:color w:val="000000"/>
          <w:szCs w:val="21"/>
        </w:rPr>
      </w:pPr>
      <w:r>
        <w:rPr>
          <w:rFonts w:hint="eastAsia" w:ascii="宋体" w:hAnsi="宋体"/>
          <w:color w:val="000000"/>
          <w:szCs w:val="21"/>
        </w:rPr>
        <w:t>3.5</w:t>
      </w:r>
      <w:r>
        <w:rPr>
          <w:rFonts w:hint="eastAsia" w:ascii="宋体" w:hAnsi="宋体"/>
          <w:b/>
          <w:color w:val="000000"/>
          <w:szCs w:val="21"/>
        </w:rPr>
        <w:t>标的物的风险负担</w:t>
      </w:r>
    </w:p>
    <w:p w14:paraId="5666FC4A">
      <w:pPr>
        <w:spacing w:line="360" w:lineRule="auto"/>
        <w:ind w:firstLine="420" w:firstLineChars="200"/>
        <w:rPr>
          <w:rFonts w:hint="eastAsia" w:ascii="宋体" w:hAnsi="宋体"/>
          <w:color w:val="000000"/>
          <w:szCs w:val="21"/>
        </w:rPr>
      </w:pPr>
      <w:r>
        <w:rPr>
          <w:rFonts w:hint="eastAsia" w:ascii="宋体" w:hAnsi="宋体"/>
          <w:color w:val="000000"/>
          <w:szCs w:val="21"/>
        </w:rPr>
        <w:t>标的物或者在途标的物或者交付给第一承运人后的标的物毁损、灭失的风险负担：</w:t>
      </w:r>
    </w:p>
    <w:p w14:paraId="71566EF9">
      <w:pPr>
        <w:spacing w:line="360" w:lineRule="auto"/>
        <w:ind w:firstLine="420" w:firstLineChars="200"/>
        <w:rPr>
          <w:rFonts w:hint="eastAsia" w:ascii="宋体" w:hAnsi="宋体"/>
          <w:color w:val="000000"/>
          <w:szCs w:val="21"/>
          <w:u w:val="single"/>
        </w:rPr>
      </w:pPr>
      <w:r>
        <w:rPr>
          <w:rFonts w:hint="eastAsia" w:ascii="宋体" w:hAnsi="宋体"/>
          <w:color w:val="000000"/>
          <w:szCs w:val="21"/>
          <w:u w:val="single"/>
        </w:rPr>
        <w:t xml:space="preserve">乙方                                                                       </w:t>
      </w:r>
    </w:p>
    <w:p w14:paraId="2A3018F2">
      <w:pPr>
        <w:spacing w:line="360" w:lineRule="auto"/>
        <w:ind w:firstLine="420" w:firstLineChars="200"/>
        <w:rPr>
          <w:rFonts w:hint="eastAsia" w:ascii="宋体" w:hAnsi="宋体"/>
          <w:color w:val="000000"/>
          <w:szCs w:val="21"/>
        </w:rPr>
      </w:pPr>
      <w:r>
        <w:rPr>
          <w:rFonts w:hint="eastAsia" w:ascii="宋体" w:hAnsi="宋体"/>
          <w:color w:val="000000"/>
          <w:szCs w:val="21"/>
        </w:rPr>
        <w:t>3.5.1受不可抗力影响的一方在不可抗力发生后，应在日内（根据项目实际填写）以书面形式通知对方当事人，并在日内，将有关部门出具的证明文件送达对方当事人。</w:t>
      </w:r>
    </w:p>
    <w:p w14:paraId="6A80861A">
      <w:pPr>
        <w:spacing w:line="360" w:lineRule="auto"/>
        <w:ind w:firstLine="420" w:firstLineChars="200"/>
        <w:rPr>
          <w:rFonts w:hint="eastAsia" w:ascii="宋体" w:hAnsi="宋体"/>
          <w:color w:val="000000"/>
          <w:szCs w:val="21"/>
        </w:rPr>
      </w:pPr>
      <w:r>
        <w:rPr>
          <w:rFonts w:hint="eastAsia" w:ascii="宋体" w:hAnsi="宋体"/>
          <w:color w:val="000000"/>
          <w:szCs w:val="21"/>
        </w:rPr>
        <w:t>3.5.2因不可抗力致使合同有变更必要的，双方当事人应在日内（根据项目实际填写）以书面形式变更合同；</w:t>
      </w:r>
    </w:p>
    <w:p w14:paraId="656752FF">
      <w:pPr>
        <w:spacing w:line="360" w:lineRule="auto"/>
        <w:ind w:firstLine="420" w:firstLineChars="200"/>
        <w:rPr>
          <w:rFonts w:hint="eastAsia" w:ascii="宋体" w:hAnsi="宋体"/>
          <w:color w:val="000000"/>
          <w:szCs w:val="21"/>
        </w:rPr>
      </w:pPr>
      <w:r>
        <w:rPr>
          <w:rFonts w:hint="eastAsia" w:ascii="宋体" w:hAnsi="宋体"/>
          <w:color w:val="000000"/>
          <w:szCs w:val="21"/>
        </w:rPr>
        <w:t>3.5.3标的物交付前，乙方应对标的物的质量、数量等方面进行详细、全面的检验，并向甲方出具证明标的物符合合同约定的文件；标的物交付时，乙方在日内发（根据项目实际填写）起验收，并可依法邀请相关方参加，验收应出具验收书。</w:t>
      </w:r>
    </w:p>
    <w:p w14:paraId="3973D0E4">
      <w:pPr>
        <w:spacing w:line="360" w:lineRule="auto"/>
        <w:ind w:firstLine="420" w:firstLineChars="200"/>
        <w:rPr>
          <w:rFonts w:hint="eastAsia" w:ascii="宋体" w:hAnsi="宋体"/>
          <w:color w:val="000000"/>
          <w:szCs w:val="21"/>
        </w:rPr>
      </w:pPr>
      <w:r>
        <w:rPr>
          <w:rFonts w:hint="eastAsia" w:ascii="宋体" w:hAnsi="宋体"/>
          <w:color w:val="000000"/>
          <w:szCs w:val="21"/>
        </w:rPr>
        <w:t>3.5.4 检验和验收标准、程序等具体内容以及前述验收书的效力：</w:t>
      </w:r>
    </w:p>
    <w:p w14:paraId="1FA94474">
      <w:pPr>
        <w:spacing w:line="360" w:lineRule="auto"/>
        <w:ind w:firstLine="420" w:firstLineChars="200"/>
        <w:rPr>
          <w:rFonts w:hint="eastAsia" w:ascii="宋体" w:hAnsi="宋体"/>
          <w:color w:val="000000"/>
          <w:szCs w:val="21"/>
        </w:rPr>
      </w:pPr>
    </w:p>
    <w:p w14:paraId="3771DA17">
      <w:pPr>
        <w:spacing w:line="360" w:lineRule="auto"/>
        <w:ind w:firstLine="420" w:firstLineChars="200"/>
        <w:rPr>
          <w:rFonts w:hint="eastAsia" w:ascii="宋体" w:hAnsi="宋体"/>
          <w:color w:val="000000"/>
          <w:szCs w:val="21"/>
        </w:rPr>
      </w:pPr>
      <w:r>
        <w:rPr>
          <w:rFonts w:hint="eastAsia" w:ascii="宋体" w:hAnsi="宋体"/>
          <w:color w:val="000000"/>
          <w:szCs w:val="21"/>
        </w:rPr>
        <w:t>3.5.5 其他：</w:t>
      </w:r>
    </w:p>
    <w:p w14:paraId="0099D4B7">
      <w:pPr>
        <w:spacing w:line="360" w:lineRule="auto"/>
        <w:ind w:firstLine="420" w:firstLineChars="200"/>
        <w:rPr>
          <w:rFonts w:hint="eastAsia" w:ascii="宋体" w:hAnsi="宋体" w:cs="仿宋"/>
          <w:b/>
          <w:color w:val="000000"/>
          <w:szCs w:val="21"/>
        </w:rPr>
      </w:pPr>
      <w:r>
        <w:rPr>
          <w:rFonts w:hint="eastAsia" w:ascii="宋体" w:hAnsi="宋体"/>
          <w:color w:val="000000"/>
          <w:szCs w:val="21"/>
        </w:rPr>
        <w:t>3.6</w:t>
      </w:r>
      <w:r>
        <w:rPr>
          <w:rFonts w:hint="eastAsia" w:ascii="宋体" w:hAnsi="宋体" w:cs="仿宋"/>
          <w:b/>
          <w:color w:val="000000"/>
          <w:szCs w:val="21"/>
        </w:rPr>
        <w:t>项目验收：</w:t>
      </w:r>
    </w:p>
    <w:p w14:paraId="1CFC7901">
      <w:pPr>
        <w:tabs>
          <w:tab w:val="left" w:pos="904"/>
        </w:tabs>
        <w:snapToGrid w:val="0"/>
        <w:spacing w:line="360" w:lineRule="auto"/>
        <w:ind w:firstLine="420" w:firstLineChars="200"/>
        <w:jc w:val="left"/>
        <w:rPr>
          <w:rFonts w:hint="eastAsia" w:ascii="宋体" w:hAnsi="宋体" w:cs="仿宋"/>
          <w:color w:val="000000"/>
          <w:kern w:val="0"/>
          <w:szCs w:val="21"/>
        </w:rPr>
      </w:pPr>
      <w:r>
        <w:rPr>
          <w:rFonts w:hint="eastAsia" w:ascii="宋体" w:hAnsi="宋体" w:cs="仿宋"/>
          <w:color w:val="000000"/>
          <w:kern w:val="0"/>
          <w:szCs w:val="21"/>
        </w:rPr>
        <w:t>3.6.1甲方参照《南宁市政府采购供应商履约验收评价管理办法》（南财采[2019]217号）规定组织对乙方履约的验收。验收方成员应当在验收书上签字，并承担相应的法律责任。如果发现与合同中要求不符，乙方须承担由此发生的一切损失和费用，并接受相应的处理。</w:t>
      </w:r>
    </w:p>
    <w:p w14:paraId="79BF7A0D">
      <w:pPr>
        <w:tabs>
          <w:tab w:val="left" w:pos="904"/>
        </w:tabs>
        <w:snapToGrid w:val="0"/>
        <w:spacing w:line="360" w:lineRule="auto"/>
        <w:ind w:firstLine="420" w:firstLineChars="200"/>
        <w:jc w:val="left"/>
        <w:rPr>
          <w:rFonts w:hint="eastAsia" w:ascii="宋体" w:hAnsi="宋体" w:cs="仿宋"/>
          <w:color w:val="000000"/>
          <w:kern w:val="0"/>
          <w:szCs w:val="21"/>
        </w:rPr>
      </w:pPr>
      <w:r>
        <w:rPr>
          <w:rFonts w:hint="eastAsia" w:ascii="宋体" w:hAnsi="宋体" w:cs="仿宋"/>
          <w:color w:val="000000"/>
          <w:kern w:val="0"/>
          <w:szCs w:val="21"/>
        </w:rPr>
        <w:t>3.6.2严格按照采购合同开展履约验收。甲方成立验收小组，按照采购合同的约定对供应商履约情况进行验收，验收时，按照采购合同的约定对每一项技术、服务、安全标准的履约情况进行确认，出具验收报告并经验收小组全体成员签字。甲方根据验收报告形成验收意见并经甲方与乙方签字盖章生效。验收结果与采购合同约定的资金支付条件挂钩。履约验收的各项资料应当存档备查。</w:t>
      </w:r>
    </w:p>
    <w:p w14:paraId="5D369125">
      <w:pPr>
        <w:tabs>
          <w:tab w:val="left" w:pos="904"/>
        </w:tabs>
        <w:snapToGrid w:val="0"/>
        <w:spacing w:line="360" w:lineRule="auto"/>
        <w:ind w:firstLine="420" w:firstLineChars="200"/>
        <w:jc w:val="left"/>
        <w:rPr>
          <w:rFonts w:hint="eastAsia" w:ascii="宋体" w:hAnsi="宋体" w:cs="仿宋"/>
          <w:color w:val="000000"/>
          <w:kern w:val="0"/>
          <w:szCs w:val="21"/>
        </w:rPr>
      </w:pPr>
      <w:r>
        <w:rPr>
          <w:rFonts w:hint="eastAsia" w:ascii="宋体" w:hAnsi="宋体" w:cs="仿宋"/>
          <w:color w:val="000000"/>
          <w:kern w:val="0"/>
          <w:szCs w:val="21"/>
        </w:rPr>
        <w:t>3.6.3验收合格的项目，甲方将根据采购合同的约定及时向供应商支付采购资金。验收不合格的项目，甲方将依法及时处理。采购合同的履行、违约责任和解决争议的方式等适用《中华人民共和国民法典》，并按照《合同书》约定执行。</w:t>
      </w:r>
    </w:p>
    <w:p w14:paraId="1EC6407F">
      <w:pPr>
        <w:tabs>
          <w:tab w:val="left" w:pos="904"/>
        </w:tabs>
        <w:snapToGrid w:val="0"/>
        <w:spacing w:line="360" w:lineRule="auto"/>
        <w:ind w:firstLine="420" w:firstLineChars="200"/>
        <w:jc w:val="left"/>
        <w:rPr>
          <w:rFonts w:hint="eastAsia" w:ascii="宋体" w:hAnsi="宋体" w:cs="仿宋"/>
          <w:color w:val="000000"/>
          <w:kern w:val="0"/>
          <w:szCs w:val="21"/>
          <w:highlight w:val="none"/>
        </w:rPr>
      </w:pPr>
      <w:r>
        <w:rPr>
          <w:rFonts w:hint="eastAsia" w:ascii="宋体" w:hAnsi="宋体" w:cs="仿宋"/>
          <w:color w:val="000000"/>
          <w:kern w:val="0"/>
          <w:szCs w:val="21"/>
          <w:highlight w:val="none"/>
        </w:rPr>
        <w:t>3.6.4首次验收费用由</w:t>
      </w:r>
      <w:r>
        <w:rPr>
          <w:rFonts w:hint="eastAsia" w:ascii="宋体" w:hAnsi="宋体" w:cs="仿宋"/>
          <w:color w:val="000000"/>
          <w:kern w:val="0"/>
          <w:szCs w:val="21"/>
          <w:highlight w:val="yellow"/>
          <w:u w:val="single"/>
        </w:rPr>
        <w:t xml:space="preserve"> </w:t>
      </w:r>
      <w:r>
        <w:rPr>
          <w:rFonts w:hint="eastAsia" w:ascii="宋体" w:hAnsi="宋体" w:cs="仿宋"/>
          <w:color w:val="000000"/>
          <w:kern w:val="0"/>
          <w:szCs w:val="21"/>
          <w:highlight w:val="yellow"/>
          <w:u w:val="single"/>
          <w:lang w:val="en-US" w:eastAsia="zh-CN"/>
        </w:rPr>
        <w:t>甲方</w:t>
      </w:r>
      <w:r>
        <w:rPr>
          <w:rFonts w:hint="eastAsia" w:ascii="宋体" w:hAnsi="宋体" w:cs="仿宋"/>
          <w:color w:val="000000"/>
          <w:kern w:val="0"/>
          <w:szCs w:val="21"/>
          <w:highlight w:val="yellow"/>
          <w:u w:val="single"/>
        </w:rPr>
        <w:t xml:space="preserve"> </w:t>
      </w:r>
      <w:r>
        <w:rPr>
          <w:rFonts w:hint="eastAsia" w:ascii="宋体" w:hAnsi="宋体" w:cs="仿宋"/>
          <w:color w:val="000000"/>
          <w:kern w:val="0"/>
          <w:szCs w:val="21"/>
          <w:highlight w:val="none"/>
        </w:rPr>
        <w:t>承担，如首次验收不合格，后续验收费用由</w:t>
      </w:r>
      <w:r>
        <w:rPr>
          <w:rFonts w:hint="eastAsia" w:ascii="宋体" w:hAnsi="宋体" w:cs="仿宋"/>
          <w:color w:val="000000"/>
          <w:kern w:val="0"/>
          <w:szCs w:val="21"/>
          <w:highlight w:val="yellow"/>
          <w:u w:val="single"/>
          <w:lang w:val="en-US" w:eastAsia="zh-CN"/>
        </w:rPr>
        <w:t xml:space="preserve"> 乙方</w:t>
      </w:r>
      <w:r>
        <w:rPr>
          <w:rFonts w:hint="eastAsia" w:ascii="宋体" w:hAnsi="宋体" w:cs="仿宋"/>
          <w:color w:val="000000"/>
          <w:kern w:val="0"/>
          <w:szCs w:val="21"/>
          <w:highlight w:val="yellow"/>
          <w:u w:val="single"/>
        </w:rPr>
        <w:t xml:space="preserve"> </w:t>
      </w:r>
      <w:r>
        <w:rPr>
          <w:rFonts w:hint="eastAsia" w:ascii="宋体" w:hAnsi="宋体" w:cs="仿宋"/>
          <w:color w:val="000000"/>
          <w:kern w:val="0"/>
          <w:szCs w:val="21"/>
          <w:highlight w:val="none"/>
        </w:rPr>
        <w:t>支付。</w:t>
      </w:r>
    </w:p>
    <w:p w14:paraId="4919BE95">
      <w:pPr>
        <w:tabs>
          <w:tab w:val="left" w:pos="904"/>
        </w:tabs>
        <w:snapToGrid w:val="0"/>
        <w:spacing w:line="360" w:lineRule="auto"/>
        <w:ind w:firstLine="420" w:firstLineChars="200"/>
        <w:jc w:val="left"/>
        <w:rPr>
          <w:rFonts w:hint="eastAsia" w:ascii="宋体" w:hAnsi="宋体" w:cs="仿宋"/>
          <w:color w:val="000000"/>
          <w:kern w:val="0"/>
          <w:szCs w:val="21"/>
        </w:rPr>
      </w:pPr>
      <w:r>
        <w:rPr>
          <w:rFonts w:hint="eastAsia" w:ascii="宋体" w:hAnsi="宋体" w:cs="仿宋"/>
          <w:color w:val="000000"/>
          <w:kern w:val="0"/>
          <w:szCs w:val="21"/>
        </w:rPr>
        <w:t>3.6.5验收内容及资料要求：</w:t>
      </w:r>
    </w:p>
    <w:p w14:paraId="71E031D4">
      <w:pPr>
        <w:tabs>
          <w:tab w:val="left" w:pos="904"/>
        </w:tabs>
        <w:snapToGrid w:val="0"/>
        <w:spacing w:line="360" w:lineRule="auto"/>
        <w:ind w:firstLine="420" w:firstLineChars="200"/>
        <w:jc w:val="left"/>
        <w:rPr>
          <w:rFonts w:hint="eastAsia" w:ascii="宋体" w:hAnsi="宋体" w:cs="仿宋"/>
          <w:color w:val="000000"/>
          <w:kern w:val="0"/>
          <w:szCs w:val="21"/>
        </w:rPr>
      </w:pPr>
      <w:r>
        <w:rPr>
          <w:rFonts w:hint="eastAsia" w:ascii="宋体" w:hAnsi="宋体" w:cs="仿宋"/>
          <w:color w:val="000000"/>
          <w:kern w:val="0"/>
          <w:szCs w:val="21"/>
        </w:rPr>
        <w:t>根根据采购文件确定的技术指标或者服务要求确定验收指标和标准。未进行相应约定的，应当符合国家强制性规定、政策要求、安全标准、行业或企业有关标准等。</w:t>
      </w:r>
    </w:p>
    <w:p w14:paraId="5279A2F1">
      <w:pPr>
        <w:tabs>
          <w:tab w:val="left" w:pos="904"/>
        </w:tabs>
        <w:snapToGrid w:val="0"/>
        <w:spacing w:line="360" w:lineRule="auto"/>
        <w:ind w:firstLine="420" w:firstLineChars="200"/>
        <w:jc w:val="left"/>
        <w:rPr>
          <w:rFonts w:hint="eastAsia" w:ascii="宋体" w:hAnsi="宋体" w:cs="仿宋"/>
          <w:color w:val="000000"/>
          <w:szCs w:val="21"/>
        </w:rPr>
      </w:pPr>
      <w:r>
        <w:rPr>
          <w:rFonts w:hint="eastAsia" w:ascii="宋体" w:hAnsi="宋体" w:cs="仿宋"/>
          <w:color w:val="000000"/>
          <w:kern w:val="0"/>
          <w:szCs w:val="21"/>
        </w:rPr>
        <w:t>3.6.6</w:t>
      </w:r>
      <w:r>
        <w:rPr>
          <w:rFonts w:hint="eastAsia" w:ascii="宋体" w:hAnsi="宋体" w:cs="仿宋"/>
          <w:color w:val="000000"/>
          <w:szCs w:val="21"/>
        </w:rPr>
        <w:t>验收内容</w:t>
      </w:r>
    </w:p>
    <w:tbl>
      <w:tblPr>
        <w:tblStyle w:val="16"/>
        <w:tblW w:w="95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2791"/>
        <w:gridCol w:w="6009"/>
      </w:tblGrid>
      <w:tr w14:paraId="1E546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4" w:type="dxa"/>
            <w:tcBorders>
              <w:top w:val="single" w:color="auto" w:sz="4" w:space="0"/>
              <w:left w:val="single" w:color="auto" w:sz="4" w:space="0"/>
              <w:bottom w:val="single" w:color="auto" w:sz="4" w:space="0"/>
              <w:right w:val="single" w:color="auto" w:sz="4" w:space="0"/>
            </w:tcBorders>
            <w:noWrap w:val="0"/>
            <w:vAlign w:val="center"/>
          </w:tcPr>
          <w:p w14:paraId="14614B38">
            <w:pPr>
              <w:widowControl/>
              <w:spacing w:line="360" w:lineRule="auto"/>
              <w:jc w:val="center"/>
              <w:rPr>
                <w:rFonts w:hint="eastAsia" w:ascii="宋体" w:hAnsi="宋体" w:cs="仿宋"/>
                <w:bCs/>
                <w:color w:val="000000"/>
                <w:kern w:val="0"/>
                <w:szCs w:val="21"/>
              </w:rPr>
            </w:pPr>
            <w:r>
              <w:rPr>
                <w:rFonts w:hint="eastAsia" w:ascii="宋体" w:hAnsi="宋体" w:cs="仿宋"/>
                <w:bCs/>
                <w:color w:val="000000"/>
                <w:kern w:val="0"/>
                <w:szCs w:val="21"/>
              </w:rPr>
              <w:t>序号</w:t>
            </w:r>
          </w:p>
        </w:tc>
        <w:tc>
          <w:tcPr>
            <w:tcW w:w="2791" w:type="dxa"/>
            <w:tcBorders>
              <w:top w:val="single" w:color="auto" w:sz="4" w:space="0"/>
              <w:left w:val="single" w:color="auto" w:sz="4" w:space="0"/>
              <w:bottom w:val="single" w:color="auto" w:sz="4" w:space="0"/>
              <w:right w:val="single" w:color="auto" w:sz="4" w:space="0"/>
            </w:tcBorders>
            <w:noWrap w:val="0"/>
            <w:vAlign w:val="center"/>
          </w:tcPr>
          <w:p w14:paraId="75482BB3">
            <w:pPr>
              <w:widowControl/>
              <w:spacing w:line="360" w:lineRule="auto"/>
              <w:ind w:firstLine="200"/>
              <w:jc w:val="center"/>
              <w:rPr>
                <w:rFonts w:hint="eastAsia" w:ascii="宋体" w:hAnsi="宋体" w:cs="仿宋"/>
                <w:bCs/>
                <w:color w:val="000000"/>
                <w:kern w:val="0"/>
                <w:szCs w:val="21"/>
              </w:rPr>
            </w:pPr>
            <w:r>
              <w:rPr>
                <w:rFonts w:hint="eastAsia" w:ascii="宋体" w:hAnsi="宋体" w:cs="仿宋"/>
                <w:bCs/>
                <w:color w:val="000000"/>
                <w:kern w:val="0"/>
                <w:szCs w:val="21"/>
              </w:rPr>
              <w:t>验收内容</w:t>
            </w:r>
          </w:p>
        </w:tc>
        <w:tc>
          <w:tcPr>
            <w:tcW w:w="6009" w:type="dxa"/>
            <w:tcBorders>
              <w:top w:val="single" w:color="auto" w:sz="4" w:space="0"/>
              <w:left w:val="single" w:color="auto" w:sz="4" w:space="0"/>
              <w:bottom w:val="single" w:color="auto" w:sz="4" w:space="0"/>
              <w:right w:val="single" w:color="auto" w:sz="4" w:space="0"/>
            </w:tcBorders>
            <w:noWrap w:val="0"/>
            <w:vAlign w:val="center"/>
          </w:tcPr>
          <w:p w14:paraId="22905318">
            <w:pPr>
              <w:widowControl/>
              <w:spacing w:line="360" w:lineRule="auto"/>
              <w:ind w:firstLine="200"/>
              <w:jc w:val="center"/>
              <w:rPr>
                <w:rFonts w:hint="eastAsia" w:ascii="宋体" w:hAnsi="宋体" w:cs="仿宋"/>
                <w:bCs/>
                <w:color w:val="000000"/>
                <w:kern w:val="0"/>
                <w:szCs w:val="21"/>
              </w:rPr>
            </w:pPr>
            <w:r>
              <w:rPr>
                <w:rFonts w:hint="eastAsia" w:ascii="宋体" w:hAnsi="宋体" w:cs="仿宋"/>
                <w:bCs/>
                <w:color w:val="000000"/>
                <w:kern w:val="0"/>
                <w:szCs w:val="21"/>
              </w:rPr>
              <w:t xml:space="preserve"> 验收标准</w:t>
            </w:r>
          </w:p>
        </w:tc>
      </w:tr>
      <w:tr w14:paraId="69D3A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724" w:type="dxa"/>
            <w:tcBorders>
              <w:top w:val="single" w:color="auto" w:sz="4" w:space="0"/>
              <w:left w:val="single" w:color="auto" w:sz="4" w:space="0"/>
              <w:bottom w:val="single" w:color="auto" w:sz="4" w:space="0"/>
              <w:right w:val="single" w:color="auto" w:sz="4" w:space="0"/>
            </w:tcBorders>
            <w:noWrap w:val="0"/>
            <w:vAlign w:val="center"/>
          </w:tcPr>
          <w:p w14:paraId="163798E2">
            <w:pPr>
              <w:widowControl/>
              <w:spacing w:line="360" w:lineRule="auto"/>
              <w:jc w:val="center"/>
              <w:rPr>
                <w:rFonts w:hint="eastAsia" w:ascii="宋体" w:hAnsi="宋体" w:cs="仿宋"/>
                <w:bCs/>
                <w:color w:val="000000"/>
                <w:kern w:val="0"/>
                <w:szCs w:val="21"/>
              </w:rPr>
            </w:pPr>
            <w:r>
              <w:rPr>
                <w:rFonts w:hint="eastAsia" w:ascii="宋体" w:hAnsi="宋体" w:cs="仿宋"/>
                <w:bCs/>
                <w:color w:val="000000"/>
                <w:kern w:val="0"/>
                <w:szCs w:val="21"/>
              </w:rPr>
              <w:t>1</w:t>
            </w:r>
          </w:p>
        </w:tc>
        <w:tc>
          <w:tcPr>
            <w:tcW w:w="2791" w:type="dxa"/>
            <w:tcBorders>
              <w:top w:val="single" w:color="auto" w:sz="4" w:space="0"/>
              <w:left w:val="single" w:color="auto" w:sz="4" w:space="0"/>
              <w:bottom w:val="single" w:color="auto" w:sz="4" w:space="0"/>
              <w:right w:val="single" w:color="auto" w:sz="4" w:space="0"/>
            </w:tcBorders>
            <w:noWrap w:val="0"/>
            <w:vAlign w:val="center"/>
          </w:tcPr>
          <w:p w14:paraId="78D10A3C">
            <w:pPr>
              <w:widowControl/>
              <w:spacing w:line="360" w:lineRule="auto"/>
              <w:jc w:val="center"/>
              <w:rPr>
                <w:rFonts w:hint="eastAsia" w:ascii="宋体" w:hAnsi="宋体" w:cs="仿宋"/>
                <w:bCs/>
                <w:color w:val="000000"/>
                <w:kern w:val="0"/>
                <w:szCs w:val="21"/>
              </w:rPr>
            </w:pPr>
            <w:r>
              <w:rPr>
                <w:rFonts w:hint="eastAsia" w:ascii="宋体" w:hAnsi="宋体" w:cs="仿宋"/>
                <w:bCs/>
                <w:color w:val="000000"/>
                <w:kern w:val="0"/>
                <w:szCs w:val="21"/>
              </w:rPr>
              <w:t>交付标的物数量</w:t>
            </w:r>
          </w:p>
        </w:tc>
        <w:tc>
          <w:tcPr>
            <w:tcW w:w="6009" w:type="dxa"/>
            <w:tcBorders>
              <w:top w:val="single" w:color="auto" w:sz="4" w:space="0"/>
              <w:left w:val="single" w:color="auto" w:sz="4" w:space="0"/>
              <w:bottom w:val="single" w:color="auto" w:sz="4" w:space="0"/>
              <w:right w:val="single" w:color="auto" w:sz="4" w:space="0"/>
            </w:tcBorders>
            <w:noWrap w:val="0"/>
            <w:vAlign w:val="center"/>
          </w:tcPr>
          <w:p w14:paraId="715FB6CF">
            <w:pPr>
              <w:keepNext w:val="0"/>
              <w:keepLines w:val="0"/>
              <w:pageBreakBefore w:val="0"/>
              <w:widowControl/>
              <w:kinsoku/>
              <w:wordWrap w:val="0"/>
              <w:overflowPunct/>
              <w:topLinePunct w:val="0"/>
              <w:autoSpaceDE/>
              <w:autoSpaceDN/>
              <w:bidi w:val="0"/>
              <w:spacing w:line="440" w:lineRule="exact"/>
              <w:jc w:val="center"/>
              <w:textAlignment w:val="auto"/>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rPr>
              <w:t>按项目</w:t>
            </w:r>
            <w:r>
              <w:rPr>
                <w:rFonts w:hint="eastAsia" w:ascii="宋体" w:hAnsi="宋体" w:eastAsia="宋体" w:cs="宋体"/>
                <w:bCs/>
                <w:color w:val="auto"/>
                <w:kern w:val="0"/>
                <w:sz w:val="21"/>
                <w:szCs w:val="21"/>
                <w:highlight w:val="none"/>
                <w:lang w:val="en-US" w:eastAsia="zh-CN"/>
              </w:rPr>
              <w:t>招标</w:t>
            </w:r>
            <w:r>
              <w:rPr>
                <w:rFonts w:hint="eastAsia" w:ascii="宋体" w:hAnsi="宋体" w:eastAsia="宋体" w:cs="宋体"/>
                <w:bCs/>
                <w:color w:val="auto"/>
                <w:kern w:val="0"/>
                <w:sz w:val="21"/>
                <w:szCs w:val="21"/>
                <w:highlight w:val="none"/>
              </w:rPr>
              <w:t>文件要求和投标（响应）文件执行</w:t>
            </w:r>
          </w:p>
        </w:tc>
      </w:tr>
      <w:tr w14:paraId="1E071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9" w:hRule="atLeast"/>
          <w:jc w:val="center"/>
        </w:trPr>
        <w:tc>
          <w:tcPr>
            <w:tcW w:w="724" w:type="dxa"/>
            <w:tcBorders>
              <w:top w:val="single" w:color="auto" w:sz="4" w:space="0"/>
              <w:left w:val="single" w:color="auto" w:sz="4" w:space="0"/>
              <w:bottom w:val="single" w:color="auto" w:sz="4" w:space="0"/>
              <w:right w:val="single" w:color="auto" w:sz="4" w:space="0"/>
            </w:tcBorders>
            <w:noWrap w:val="0"/>
            <w:vAlign w:val="center"/>
          </w:tcPr>
          <w:p w14:paraId="24CDB9DF">
            <w:pPr>
              <w:widowControl/>
              <w:spacing w:line="360" w:lineRule="auto"/>
              <w:jc w:val="center"/>
              <w:rPr>
                <w:rFonts w:hint="eastAsia" w:ascii="宋体" w:hAnsi="宋体" w:cs="仿宋"/>
                <w:bCs/>
                <w:color w:val="000000"/>
                <w:kern w:val="0"/>
                <w:szCs w:val="21"/>
              </w:rPr>
            </w:pPr>
            <w:r>
              <w:rPr>
                <w:rFonts w:hint="eastAsia" w:ascii="宋体" w:hAnsi="宋体" w:cs="仿宋"/>
                <w:bCs/>
                <w:color w:val="000000"/>
                <w:kern w:val="0"/>
                <w:szCs w:val="21"/>
              </w:rPr>
              <w:t>2</w:t>
            </w:r>
          </w:p>
        </w:tc>
        <w:tc>
          <w:tcPr>
            <w:tcW w:w="2791" w:type="dxa"/>
            <w:tcBorders>
              <w:top w:val="single" w:color="auto" w:sz="4" w:space="0"/>
              <w:left w:val="single" w:color="auto" w:sz="4" w:space="0"/>
              <w:bottom w:val="single" w:color="auto" w:sz="4" w:space="0"/>
              <w:right w:val="single" w:color="auto" w:sz="4" w:space="0"/>
            </w:tcBorders>
            <w:noWrap w:val="0"/>
            <w:vAlign w:val="center"/>
          </w:tcPr>
          <w:p w14:paraId="7AF3D54B">
            <w:pPr>
              <w:widowControl/>
              <w:spacing w:line="360" w:lineRule="auto"/>
              <w:jc w:val="center"/>
              <w:rPr>
                <w:rFonts w:hint="eastAsia" w:ascii="宋体" w:hAnsi="宋体" w:cs="仿宋"/>
                <w:bCs/>
                <w:color w:val="000000"/>
                <w:kern w:val="0"/>
                <w:szCs w:val="21"/>
              </w:rPr>
            </w:pPr>
            <w:r>
              <w:rPr>
                <w:rFonts w:hint="eastAsia" w:ascii="宋体" w:hAnsi="宋体" w:cs="仿宋"/>
                <w:bCs/>
                <w:color w:val="000000"/>
                <w:kern w:val="0"/>
                <w:szCs w:val="21"/>
              </w:rPr>
              <w:t>交付标的物质量文件</w:t>
            </w:r>
          </w:p>
        </w:tc>
        <w:tc>
          <w:tcPr>
            <w:tcW w:w="6009" w:type="dxa"/>
            <w:tcBorders>
              <w:top w:val="single" w:color="auto" w:sz="4" w:space="0"/>
              <w:left w:val="single" w:color="auto" w:sz="4" w:space="0"/>
              <w:bottom w:val="single" w:color="auto" w:sz="4" w:space="0"/>
              <w:right w:val="single" w:color="auto" w:sz="4" w:space="0"/>
            </w:tcBorders>
            <w:noWrap w:val="0"/>
            <w:vAlign w:val="center"/>
          </w:tcPr>
          <w:p w14:paraId="6E1E2E4C">
            <w:pPr>
              <w:keepNext w:val="0"/>
              <w:keepLines w:val="0"/>
              <w:pageBreakBefore w:val="0"/>
              <w:widowControl/>
              <w:kinsoku/>
              <w:wordWrap w:val="0"/>
              <w:overflowPunct/>
              <w:topLinePunct w:val="0"/>
              <w:autoSpaceDE/>
              <w:autoSpaceDN/>
              <w:bidi w:val="0"/>
              <w:spacing w:line="440" w:lineRule="exact"/>
              <w:jc w:val="center"/>
              <w:textAlignment w:val="auto"/>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rPr>
              <w:t>按项目</w:t>
            </w:r>
            <w:r>
              <w:rPr>
                <w:rFonts w:hint="eastAsia" w:ascii="宋体" w:hAnsi="宋体" w:eastAsia="宋体" w:cs="宋体"/>
                <w:bCs/>
                <w:color w:val="auto"/>
                <w:kern w:val="0"/>
                <w:sz w:val="21"/>
                <w:szCs w:val="21"/>
                <w:highlight w:val="none"/>
                <w:lang w:val="en-US" w:eastAsia="zh-CN"/>
              </w:rPr>
              <w:t>招标</w:t>
            </w:r>
            <w:r>
              <w:rPr>
                <w:rFonts w:hint="eastAsia" w:ascii="宋体" w:hAnsi="宋体" w:eastAsia="宋体" w:cs="宋体"/>
                <w:bCs/>
                <w:color w:val="auto"/>
                <w:kern w:val="0"/>
                <w:sz w:val="21"/>
                <w:szCs w:val="21"/>
                <w:highlight w:val="none"/>
              </w:rPr>
              <w:t>文件要求和投标（响应）文件执行</w:t>
            </w:r>
          </w:p>
        </w:tc>
      </w:tr>
      <w:tr w14:paraId="73053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724" w:type="dxa"/>
            <w:tcBorders>
              <w:top w:val="single" w:color="auto" w:sz="4" w:space="0"/>
              <w:left w:val="single" w:color="auto" w:sz="4" w:space="0"/>
              <w:bottom w:val="single" w:color="auto" w:sz="4" w:space="0"/>
              <w:right w:val="single" w:color="auto" w:sz="4" w:space="0"/>
            </w:tcBorders>
            <w:noWrap w:val="0"/>
            <w:vAlign w:val="center"/>
          </w:tcPr>
          <w:p w14:paraId="2D297062">
            <w:pPr>
              <w:widowControl/>
              <w:spacing w:line="360" w:lineRule="auto"/>
              <w:jc w:val="center"/>
              <w:rPr>
                <w:rFonts w:hint="eastAsia" w:ascii="宋体" w:hAnsi="宋体" w:eastAsia="宋体" w:cs="仿宋"/>
                <w:bCs/>
                <w:color w:val="000000"/>
                <w:kern w:val="0"/>
                <w:szCs w:val="21"/>
                <w:lang w:eastAsia="zh-CN"/>
              </w:rPr>
            </w:pPr>
            <w:r>
              <w:rPr>
                <w:rFonts w:hint="eastAsia" w:ascii="宋体" w:hAnsi="宋体" w:cs="仿宋"/>
                <w:bCs/>
                <w:color w:val="000000"/>
                <w:kern w:val="0"/>
                <w:szCs w:val="21"/>
                <w:lang w:val="en-US" w:eastAsia="zh-CN"/>
              </w:rPr>
              <w:t>3</w:t>
            </w:r>
          </w:p>
        </w:tc>
        <w:tc>
          <w:tcPr>
            <w:tcW w:w="2791" w:type="dxa"/>
            <w:tcBorders>
              <w:top w:val="single" w:color="auto" w:sz="4" w:space="0"/>
              <w:left w:val="single" w:color="auto" w:sz="4" w:space="0"/>
              <w:bottom w:val="single" w:color="auto" w:sz="4" w:space="0"/>
              <w:right w:val="single" w:color="auto" w:sz="4" w:space="0"/>
            </w:tcBorders>
            <w:noWrap w:val="0"/>
            <w:vAlign w:val="center"/>
          </w:tcPr>
          <w:p w14:paraId="75DB9477">
            <w:pPr>
              <w:spacing w:line="360" w:lineRule="auto"/>
              <w:jc w:val="center"/>
              <w:rPr>
                <w:rFonts w:hint="eastAsia" w:ascii="宋体" w:hAnsi="宋体" w:cs="仿宋"/>
                <w:bCs/>
                <w:color w:val="000000"/>
                <w:kern w:val="0"/>
                <w:szCs w:val="21"/>
              </w:rPr>
            </w:pPr>
            <w:r>
              <w:rPr>
                <w:rFonts w:hint="eastAsia" w:ascii="宋体" w:hAnsi="宋体" w:cs="仿宋"/>
                <w:bCs/>
                <w:color w:val="000000"/>
                <w:kern w:val="0"/>
                <w:szCs w:val="21"/>
              </w:rPr>
              <w:t>交付标的物技术、性能指标</w:t>
            </w:r>
          </w:p>
        </w:tc>
        <w:tc>
          <w:tcPr>
            <w:tcW w:w="6009" w:type="dxa"/>
            <w:tcBorders>
              <w:top w:val="single" w:color="auto" w:sz="4" w:space="0"/>
              <w:left w:val="single" w:color="auto" w:sz="4" w:space="0"/>
              <w:bottom w:val="single" w:color="auto" w:sz="4" w:space="0"/>
              <w:right w:val="single" w:color="auto" w:sz="4" w:space="0"/>
            </w:tcBorders>
            <w:noWrap w:val="0"/>
            <w:vAlign w:val="center"/>
          </w:tcPr>
          <w:p w14:paraId="4D79DCDE">
            <w:pPr>
              <w:keepNext w:val="0"/>
              <w:keepLines w:val="0"/>
              <w:pageBreakBefore w:val="0"/>
              <w:widowControl/>
              <w:kinsoku/>
              <w:wordWrap w:val="0"/>
              <w:overflowPunct/>
              <w:topLinePunct w:val="0"/>
              <w:autoSpaceDE/>
              <w:autoSpaceDN/>
              <w:bidi w:val="0"/>
              <w:spacing w:line="440" w:lineRule="exact"/>
              <w:jc w:val="center"/>
              <w:textAlignment w:val="auto"/>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rPr>
              <w:t>按项目</w:t>
            </w:r>
            <w:r>
              <w:rPr>
                <w:rFonts w:hint="eastAsia" w:ascii="宋体" w:hAnsi="宋体" w:eastAsia="宋体" w:cs="宋体"/>
                <w:bCs/>
                <w:color w:val="auto"/>
                <w:kern w:val="0"/>
                <w:sz w:val="21"/>
                <w:szCs w:val="21"/>
                <w:highlight w:val="none"/>
                <w:lang w:val="en-US" w:eastAsia="zh-CN"/>
              </w:rPr>
              <w:t>招标</w:t>
            </w:r>
            <w:r>
              <w:rPr>
                <w:rFonts w:hint="eastAsia" w:ascii="宋体" w:hAnsi="宋体" w:eastAsia="宋体" w:cs="宋体"/>
                <w:bCs/>
                <w:color w:val="auto"/>
                <w:kern w:val="0"/>
                <w:sz w:val="21"/>
                <w:szCs w:val="21"/>
                <w:highlight w:val="none"/>
              </w:rPr>
              <w:t>文件要求和投标（响应）文件执行</w:t>
            </w:r>
          </w:p>
        </w:tc>
      </w:tr>
      <w:tr w14:paraId="35EE2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1" w:hRule="atLeast"/>
          <w:jc w:val="center"/>
        </w:trPr>
        <w:tc>
          <w:tcPr>
            <w:tcW w:w="724" w:type="dxa"/>
            <w:tcBorders>
              <w:top w:val="single" w:color="auto" w:sz="4" w:space="0"/>
              <w:left w:val="single" w:color="auto" w:sz="4" w:space="0"/>
              <w:bottom w:val="single" w:color="auto" w:sz="4" w:space="0"/>
              <w:right w:val="single" w:color="auto" w:sz="4" w:space="0"/>
            </w:tcBorders>
            <w:noWrap w:val="0"/>
            <w:vAlign w:val="center"/>
          </w:tcPr>
          <w:p w14:paraId="60EF1529">
            <w:pPr>
              <w:widowControl/>
              <w:spacing w:line="360" w:lineRule="auto"/>
              <w:jc w:val="center"/>
              <w:rPr>
                <w:rFonts w:hint="eastAsia" w:ascii="宋体" w:hAnsi="宋体" w:eastAsia="宋体" w:cs="仿宋"/>
                <w:color w:val="000000"/>
                <w:kern w:val="0"/>
                <w:szCs w:val="21"/>
                <w:lang w:eastAsia="zh-CN"/>
              </w:rPr>
            </w:pPr>
            <w:r>
              <w:rPr>
                <w:rFonts w:hint="eastAsia" w:ascii="宋体" w:hAnsi="宋体" w:cs="仿宋"/>
                <w:color w:val="000000"/>
                <w:kern w:val="0"/>
                <w:szCs w:val="21"/>
                <w:lang w:val="en-US" w:eastAsia="zh-CN"/>
              </w:rPr>
              <w:t>4</w:t>
            </w:r>
          </w:p>
        </w:tc>
        <w:tc>
          <w:tcPr>
            <w:tcW w:w="2791" w:type="dxa"/>
            <w:tcBorders>
              <w:top w:val="single" w:color="auto" w:sz="4" w:space="0"/>
              <w:left w:val="single" w:color="auto" w:sz="4" w:space="0"/>
              <w:bottom w:val="single" w:color="auto" w:sz="4" w:space="0"/>
              <w:right w:val="single" w:color="auto" w:sz="4" w:space="0"/>
            </w:tcBorders>
            <w:noWrap w:val="0"/>
            <w:vAlign w:val="center"/>
          </w:tcPr>
          <w:p w14:paraId="1F5B69EC">
            <w:pPr>
              <w:spacing w:line="360" w:lineRule="auto"/>
              <w:jc w:val="center"/>
              <w:rPr>
                <w:rFonts w:hint="eastAsia" w:ascii="宋体" w:hAnsi="宋体" w:cs="仿宋"/>
                <w:color w:val="000000"/>
                <w:szCs w:val="21"/>
              </w:rPr>
            </w:pPr>
            <w:r>
              <w:rPr>
                <w:rFonts w:hint="eastAsia" w:ascii="宋体" w:hAnsi="宋体" w:cs="仿宋"/>
                <w:color w:val="000000"/>
                <w:szCs w:val="21"/>
              </w:rPr>
              <w:t>售后服务承诺</w:t>
            </w:r>
          </w:p>
        </w:tc>
        <w:tc>
          <w:tcPr>
            <w:tcW w:w="6009" w:type="dxa"/>
            <w:tcBorders>
              <w:top w:val="single" w:color="auto" w:sz="4" w:space="0"/>
              <w:left w:val="single" w:color="auto" w:sz="4" w:space="0"/>
              <w:bottom w:val="single" w:color="auto" w:sz="4" w:space="0"/>
              <w:right w:val="single" w:color="auto" w:sz="4" w:space="0"/>
            </w:tcBorders>
            <w:noWrap w:val="0"/>
            <w:vAlign w:val="center"/>
          </w:tcPr>
          <w:p w14:paraId="22795E02">
            <w:pPr>
              <w:keepNext w:val="0"/>
              <w:keepLines w:val="0"/>
              <w:pageBreakBefore w:val="0"/>
              <w:widowControl/>
              <w:kinsoku/>
              <w:wordWrap w:val="0"/>
              <w:overflowPunct/>
              <w:topLinePunct w:val="0"/>
              <w:autoSpaceDE/>
              <w:autoSpaceDN/>
              <w:bidi w:val="0"/>
              <w:spacing w:line="440" w:lineRule="exact"/>
              <w:jc w:val="center"/>
              <w:textAlignment w:val="auto"/>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rPr>
              <w:t>按项目</w:t>
            </w:r>
            <w:r>
              <w:rPr>
                <w:rFonts w:hint="eastAsia" w:ascii="宋体" w:hAnsi="宋体" w:eastAsia="宋体" w:cs="宋体"/>
                <w:bCs/>
                <w:color w:val="auto"/>
                <w:kern w:val="0"/>
                <w:sz w:val="21"/>
                <w:szCs w:val="21"/>
                <w:highlight w:val="none"/>
                <w:lang w:val="en-US" w:eastAsia="zh-CN"/>
              </w:rPr>
              <w:t>招标</w:t>
            </w:r>
            <w:r>
              <w:rPr>
                <w:rFonts w:hint="eastAsia" w:ascii="宋体" w:hAnsi="宋体" w:eastAsia="宋体" w:cs="宋体"/>
                <w:bCs/>
                <w:color w:val="auto"/>
                <w:kern w:val="0"/>
                <w:sz w:val="21"/>
                <w:szCs w:val="21"/>
                <w:highlight w:val="none"/>
              </w:rPr>
              <w:t>文件要求和投标（响应）文件执行</w:t>
            </w:r>
          </w:p>
        </w:tc>
      </w:tr>
      <w:tr w14:paraId="52E0F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jc w:val="center"/>
        </w:trPr>
        <w:tc>
          <w:tcPr>
            <w:tcW w:w="724" w:type="dxa"/>
            <w:tcBorders>
              <w:top w:val="single" w:color="auto" w:sz="4" w:space="0"/>
              <w:left w:val="single" w:color="auto" w:sz="4" w:space="0"/>
              <w:bottom w:val="single" w:color="auto" w:sz="4" w:space="0"/>
              <w:right w:val="single" w:color="auto" w:sz="4" w:space="0"/>
            </w:tcBorders>
            <w:noWrap w:val="0"/>
            <w:vAlign w:val="center"/>
          </w:tcPr>
          <w:p w14:paraId="13312F65">
            <w:pPr>
              <w:widowControl/>
              <w:spacing w:line="360" w:lineRule="auto"/>
              <w:jc w:val="center"/>
              <w:rPr>
                <w:rFonts w:hint="eastAsia" w:ascii="宋体" w:hAnsi="宋体" w:eastAsia="宋体" w:cs="仿宋"/>
                <w:bCs/>
                <w:color w:val="000000"/>
                <w:kern w:val="0"/>
                <w:szCs w:val="21"/>
                <w:lang w:eastAsia="zh-CN"/>
              </w:rPr>
            </w:pPr>
            <w:r>
              <w:rPr>
                <w:rFonts w:hint="eastAsia" w:ascii="宋体" w:hAnsi="宋体" w:cs="仿宋"/>
                <w:bCs/>
                <w:color w:val="000000"/>
                <w:kern w:val="0"/>
                <w:szCs w:val="21"/>
                <w:lang w:val="en-US" w:eastAsia="zh-CN"/>
              </w:rPr>
              <w:t>5</w:t>
            </w:r>
          </w:p>
        </w:tc>
        <w:tc>
          <w:tcPr>
            <w:tcW w:w="2791" w:type="dxa"/>
            <w:tcBorders>
              <w:top w:val="single" w:color="auto" w:sz="4" w:space="0"/>
              <w:left w:val="single" w:color="auto" w:sz="4" w:space="0"/>
              <w:bottom w:val="single" w:color="auto" w:sz="4" w:space="0"/>
              <w:right w:val="single" w:color="auto" w:sz="4" w:space="0"/>
            </w:tcBorders>
            <w:noWrap w:val="0"/>
            <w:vAlign w:val="center"/>
          </w:tcPr>
          <w:p w14:paraId="62B79365">
            <w:pPr>
              <w:widowControl/>
              <w:spacing w:line="360" w:lineRule="auto"/>
              <w:jc w:val="center"/>
              <w:rPr>
                <w:rFonts w:hint="eastAsia" w:ascii="宋体" w:hAnsi="宋体" w:cs="仿宋"/>
                <w:bCs/>
                <w:color w:val="000000"/>
                <w:kern w:val="0"/>
                <w:szCs w:val="21"/>
              </w:rPr>
            </w:pPr>
            <w:r>
              <w:rPr>
                <w:rFonts w:hint="eastAsia" w:ascii="宋体" w:hAnsi="宋体" w:cs="仿宋"/>
                <w:bCs/>
                <w:color w:val="000000"/>
                <w:kern w:val="0"/>
                <w:szCs w:val="21"/>
              </w:rPr>
              <w:t>其他工作</w:t>
            </w:r>
          </w:p>
        </w:tc>
        <w:tc>
          <w:tcPr>
            <w:tcW w:w="6009" w:type="dxa"/>
            <w:tcBorders>
              <w:top w:val="single" w:color="auto" w:sz="4" w:space="0"/>
              <w:left w:val="single" w:color="auto" w:sz="4" w:space="0"/>
              <w:bottom w:val="single" w:color="auto" w:sz="4" w:space="0"/>
              <w:right w:val="single" w:color="auto" w:sz="4" w:space="0"/>
            </w:tcBorders>
            <w:noWrap w:val="0"/>
            <w:vAlign w:val="center"/>
          </w:tcPr>
          <w:p w14:paraId="4EDA3096">
            <w:pPr>
              <w:keepNext w:val="0"/>
              <w:keepLines w:val="0"/>
              <w:pageBreakBefore w:val="0"/>
              <w:widowControl/>
              <w:kinsoku/>
              <w:wordWrap w:val="0"/>
              <w:overflowPunct/>
              <w:topLinePunct w:val="0"/>
              <w:autoSpaceDE/>
              <w:autoSpaceDN/>
              <w:bidi w:val="0"/>
              <w:spacing w:line="440" w:lineRule="exact"/>
              <w:jc w:val="center"/>
              <w:textAlignment w:val="auto"/>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rPr>
              <w:t>按项目</w:t>
            </w:r>
            <w:r>
              <w:rPr>
                <w:rFonts w:hint="eastAsia" w:ascii="宋体" w:hAnsi="宋体" w:eastAsia="宋体" w:cs="宋体"/>
                <w:bCs/>
                <w:color w:val="auto"/>
                <w:kern w:val="0"/>
                <w:sz w:val="21"/>
                <w:szCs w:val="21"/>
                <w:highlight w:val="none"/>
                <w:lang w:val="en-US" w:eastAsia="zh-CN"/>
              </w:rPr>
              <w:t>招标</w:t>
            </w:r>
            <w:r>
              <w:rPr>
                <w:rFonts w:hint="eastAsia" w:ascii="宋体" w:hAnsi="宋体" w:eastAsia="宋体" w:cs="宋体"/>
                <w:bCs/>
                <w:color w:val="auto"/>
                <w:kern w:val="0"/>
                <w:sz w:val="21"/>
                <w:szCs w:val="21"/>
                <w:highlight w:val="none"/>
              </w:rPr>
              <w:t>文件要求和投标（响应）文件执行</w:t>
            </w:r>
          </w:p>
        </w:tc>
      </w:tr>
    </w:tbl>
    <w:p w14:paraId="7B35C4E9">
      <w:pPr>
        <w:tabs>
          <w:tab w:val="left" w:pos="904"/>
        </w:tabs>
        <w:snapToGrid w:val="0"/>
        <w:spacing w:line="360" w:lineRule="auto"/>
        <w:ind w:firstLine="420" w:firstLineChars="200"/>
        <w:jc w:val="left"/>
        <w:rPr>
          <w:rFonts w:hint="eastAsia" w:ascii="宋体" w:hAnsi="宋体" w:cs="仿宋"/>
          <w:color w:val="000000"/>
          <w:szCs w:val="21"/>
        </w:rPr>
      </w:pPr>
      <w:r>
        <w:rPr>
          <w:rFonts w:hint="eastAsia" w:ascii="宋体" w:hAnsi="宋体" w:cs="仿宋"/>
          <w:color w:val="000000"/>
          <w:szCs w:val="21"/>
        </w:rPr>
        <w:t>（温馨提示：根据《广西壮族自治区财政厅关于进一步发挥政府采购政策功能促进企业发展的通知》（桂财采〔2022〕30号）规定，采购人应当在项目完成且收到供应商验收申请后5个工作日内组织开展履约验收；对于满足合同约定支付条件的项目，应在收到发票后30日内将资金支付到合同约定的供应商账户，不得以进行审计作为支付供应商款项的条件。加快采购资金支付进度，对于200万元以下的货物和服务项目，鼓励采购人一次性全额支付给供应商。采购人不得以机构变动、人员更替、政策调整、履行内部付款流程等为由延迟付款。）</w:t>
      </w:r>
    </w:p>
    <w:p w14:paraId="0079B548">
      <w:pPr>
        <w:tabs>
          <w:tab w:val="left" w:pos="904"/>
        </w:tabs>
        <w:snapToGrid w:val="0"/>
        <w:spacing w:line="360" w:lineRule="auto"/>
        <w:ind w:firstLine="420" w:firstLineChars="200"/>
        <w:jc w:val="left"/>
        <w:rPr>
          <w:rFonts w:hint="eastAsia" w:ascii="宋体" w:hAnsi="宋体" w:cs="仿宋"/>
          <w:color w:val="000000"/>
          <w:szCs w:val="21"/>
        </w:rPr>
      </w:pPr>
      <w:r>
        <w:rPr>
          <w:rFonts w:hint="eastAsia" w:ascii="宋体" w:hAnsi="宋体" w:cs="仿宋"/>
          <w:color w:val="000000"/>
          <w:szCs w:val="21"/>
        </w:rPr>
        <w:t>3.6.7验收资料要求</w:t>
      </w:r>
    </w:p>
    <w:p w14:paraId="1C0F37A7">
      <w:pPr>
        <w:tabs>
          <w:tab w:val="left" w:pos="904"/>
        </w:tabs>
        <w:snapToGrid w:val="0"/>
        <w:spacing w:line="360" w:lineRule="auto"/>
        <w:ind w:firstLine="420" w:firstLineChars="200"/>
        <w:jc w:val="left"/>
        <w:rPr>
          <w:rFonts w:hint="eastAsia" w:ascii="宋体" w:hAnsi="宋体" w:cs="仿宋"/>
          <w:color w:val="000000"/>
          <w:szCs w:val="21"/>
        </w:rPr>
      </w:pPr>
      <w:r>
        <w:rPr>
          <w:rFonts w:hint="eastAsia" w:ascii="宋体" w:hAnsi="宋体" w:cs="仿宋"/>
          <w:color w:val="000000"/>
          <w:szCs w:val="21"/>
        </w:rPr>
        <w:t>验收资料要求包括（不限于）以下内容：</w:t>
      </w:r>
    </w:p>
    <w:p w14:paraId="34D8C76A">
      <w:pPr>
        <w:tabs>
          <w:tab w:val="left" w:pos="904"/>
        </w:tabs>
        <w:adjustRightInd w:val="0"/>
        <w:snapToGrid w:val="0"/>
        <w:spacing w:line="360" w:lineRule="auto"/>
        <w:ind w:firstLine="210" w:firstLineChars="100"/>
        <w:jc w:val="left"/>
        <w:rPr>
          <w:rFonts w:hint="eastAsia" w:ascii="宋体" w:hAnsi="宋体" w:cs="仿宋"/>
          <w:color w:val="000000"/>
          <w:szCs w:val="21"/>
        </w:rPr>
      </w:pPr>
      <w:r>
        <w:rPr>
          <w:rFonts w:hint="eastAsia" w:ascii="宋体" w:hAnsi="宋体" w:cs="仿宋"/>
          <w:color w:val="000000"/>
          <w:szCs w:val="21"/>
        </w:rPr>
        <w:t>（1）采购文件；</w:t>
      </w:r>
    </w:p>
    <w:p w14:paraId="05951B08">
      <w:pPr>
        <w:tabs>
          <w:tab w:val="left" w:pos="904"/>
        </w:tabs>
        <w:adjustRightInd w:val="0"/>
        <w:snapToGrid w:val="0"/>
        <w:spacing w:line="360" w:lineRule="auto"/>
        <w:ind w:firstLine="210" w:firstLineChars="100"/>
        <w:jc w:val="left"/>
        <w:rPr>
          <w:rFonts w:hint="eastAsia" w:ascii="宋体" w:hAnsi="宋体" w:cs="仿宋"/>
          <w:color w:val="000000"/>
          <w:szCs w:val="21"/>
        </w:rPr>
      </w:pPr>
      <w:r>
        <w:rPr>
          <w:rFonts w:hint="eastAsia" w:ascii="宋体" w:hAnsi="宋体" w:cs="仿宋"/>
          <w:color w:val="000000"/>
          <w:szCs w:val="21"/>
        </w:rPr>
        <w:t>（2）投标文件；</w:t>
      </w:r>
    </w:p>
    <w:p w14:paraId="4BFCC136">
      <w:pPr>
        <w:tabs>
          <w:tab w:val="left" w:pos="904"/>
        </w:tabs>
        <w:adjustRightInd w:val="0"/>
        <w:snapToGrid w:val="0"/>
        <w:spacing w:line="360" w:lineRule="auto"/>
        <w:ind w:firstLine="210" w:firstLineChars="100"/>
        <w:jc w:val="left"/>
        <w:rPr>
          <w:rFonts w:hint="eastAsia" w:ascii="宋体" w:hAnsi="宋体" w:cs="仿宋"/>
          <w:color w:val="000000"/>
          <w:szCs w:val="21"/>
        </w:rPr>
      </w:pPr>
      <w:r>
        <w:rPr>
          <w:rFonts w:hint="eastAsia" w:ascii="宋体" w:hAnsi="宋体" w:cs="仿宋"/>
          <w:color w:val="000000"/>
          <w:szCs w:val="21"/>
        </w:rPr>
        <w:t>（3）采购合同；</w:t>
      </w:r>
    </w:p>
    <w:p w14:paraId="215FDE12">
      <w:pPr>
        <w:tabs>
          <w:tab w:val="left" w:pos="904"/>
        </w:tabs>
        <w:adjustRightInd w:val="0"/>
        <w:snapToGrid w:val="0"/>
        <w:spacing w:line="360" w:lineRule="auto"/>
        <w:ind w:firstLine="210" w:firstLineChars="100"/>
        <w:jc w:val="left"/>
        <w:rPr>
          <w:rFonts w:hint="eastAsia" w:ascii="宋体" w:hAnsi="宋体" w:cs="仿宋"/>
          <w:color w:val="000000"/>
          <w:szCs w:val="21"/>
        </w:rPr>
      </w:pPr>
      <w:r>
        <w:rPr>
          <w:rFonts w:hint="eastAsia" w:ascii="宋体" w:hAnsi="宋体" w:cs="仿宋"/>
          <w:color w:val="000000"/>
          <w:szCs w:val="21"/>
        </w:rPr>
        <w:t>（4）其他需提供的相关材料：（业主根据项目实际增减第（4）点验收资料内容）。</w:t>
      </w:r>
    </w:p>
    <w:bookmarkEnd w:id="159"/>
    <w:p w14:paraId="36C994C3">
      <w:pPr>
        <w:spacing w:line="360" w:lineRule="auto"/>
        <w:rPr>
          <w:rFonts w:ascii="仿宋_GB2312" w:hAnsi="楷体" w:eastAsia="仿宋_GB2312"/>
          <w:sz w:val="24"/>
        </w:rPr>
      </w:pPr>
    </w:p>
    <w:p w14:paraId="0B2FDC0A">
      <w:pPr>
        <w:pStyle w:val="11"/>
        <w:rPr>
          <w:rFonts w:hint="eastAsia"/>
        </w:rPr>
      </w:pPr>
    </w:p>
    <w:p w14:paraId="1717F34C">
      <w:pPr>
        <w:pStyle w:val="11"/>
        <w:rPr>
          <w:rFonts w:hint="eastAsia" w:ascii="仿宋" w:hAnsi="仿宋" w:eastAsia="仿宋" w:cs="仿宋_GB2312"/>
          <w:b/>
          <w:sz w:val="36"/>
        </w:rPr>
      </w:pPr>
    </w:p>
    <w:p w14:paraId="72AE3328">
      <w:pPr>
        <w:pStyle w:val="11"/>
        <w:rPr>
          <w:rFonts w:hint="eastAsia"/>
        </w:rPr>
      </w:pPr>
    </w:p>
    <w:p w14:paraId="3F6E93E8">
      <w:pPr>
        <w:pStyle w:val="11"/>
        <w:rPr>
          <w:rFonts w:ascii="仿宋" w:hAnsi="仿宋" w:eastAsia="仿宋" w:cs="仿宋_GB2312"/>
          <w:b/>
          <w:sz w:val="36"/>
        </w:rPr>
      </w:pPr>
    </w:p>
    <w:p w14:paraId="242DD5FF">
      <w:pPr>
        <w:pStyle w:val="11"/>
        <w:rPr>
          <w:rFonts w:hint="eastAsia" w:ascii="仿宋" w:hAnsi="仿宋" w:eastAsia="仿宋" w:cs="仿宋_GB2312"/>
          <w:b/>
          <w:sz w:val="36"/>
        </w:rPr>
      </w:pPr>
    </w:p>
    <w:p w14:paraId="1B1409D5">
      <w:pPr>
        <w:pStyle w:val="11"/>
        <w:rPr>
          <w:rFonts w:hint="eastAsia" w:ascii="仿宋" w:hAnsi="仿宋" w:eastAsia="仿宋" w:cs="仿宋_GB2312"/>
          <w:b/>
          <w:sz w:val="36"/>
        </w:rPr>
      </w:pPr>
    </w:p>
    <w:p w14:paraId="21C0B6BB">
      <w:pPr>
        <w:pStyle w:val="11"/>
        <w:rPr>
          <w:rFonts w:hint="eastAsia" w:ascii="仿宋" w:hAnsi="仿宋" w:eastAsia="仿宋" w:cs="仿宋_GB2312"/>
          <w:b/>
          <w:sz w:val="36"/>
        </w:rPr>
      </w:pPr>
    </w:p>
    <w:p w14:paraId="4422B715">
      <w:pPr>
        <w:widowControl/>
        <w:spacing w:beforeAutospacing="1" w:line="360" w:lineRule="auto"/>
        <w:jc w:val="left"/>
        <w:rPr>
          <w:rFonts w:hAnsi="宋体"/>
        </w:rPr>
        <w:sectPr>
          <w:pgSz w:w="11906" w:h="16838"/>
          <w:pgMar w:top="1134" w:right="1134" w:bottom="1134" w:left="1134" w:header="720" w:footer="720" w:gutter="0"/>
          <w:cols w:space="720" w:num="1"/>
          <w:docGrid w:type="lines" w:linePitch="331" w:charSpace="0"/>
        </w:sectPr>
      </w:pPr>
    </w:p>
    <w:p w14:paraId="7D9AB4B3">
      <w:pPr>
        <w:pStyle w:val="11"/>
        <w:spacing w:line="360" w:lineRule="auto"/>
        <w:ind w:left="178" w:leftChars="85"/>
        <w:rPr>
          <w:rFonts w:hint="eastAsia" w:hAnsi="宋体"/>
        </w:rPr>
      </w:pPr>
    </w:p>
    <w:p w14:paraId="7E71DCBF">
      <w:pPr>
        <w:pStyle w:val="11"/>
        <w:tabs>
          <w:tab w:val="left" w:pos="2472"/>
        </w:tabs>
        <w:spacing w:line="460" w:lineRule="exact"/>
        <w:jc w:val="center"/>
        <w:rPr>
          <w:rFonts w:hint="eastAsia" w:ascii="Times New Roman" w:hAnsi="Times New Roman"/>
          <w:b/>
          <w:sz w:val="36"/>
        </w:rPr>
      </w:pPr>
    </w:p>
    <w:p w14:paraId="603D3944">
      <w:pPr>
        <w:pStyle w:val="11"/>
        <w:tabs>
          <w:tab w:val="left" w:pos="2472"/>
        </w:tabs>
        <w:spacing w:line="460" w:lineRule="exact"/>
        <w:jc w:val="center"/>
        <w:rPr>
          <w:rFonts w:ascii="Times New Roman" w:hAnsi="Times New Roman"/>
          <w:b/>
          <w:sz w:val="36"/>
        </w:rPr>
      </w:pPr>
    </w:p>
    <w:p w14:paraId="25DF9278">
      <w:pPr>
        <w:pStyle w:val="11"/>
        <w:tabs>
          <w:tab w:val="left" w:pos="2472"/>
        </w:tabs>
        <w:spacing w:line="460" w:lineRule="exact"/>
        <w:jc w:val="center"/>
        <w:rPr>
          <w:rFonts w:ascii="Times New Roman" w:hAnsi="Times New Roman"/>
          <w:b/>
          <w:sz w:val="36"/>
        </w:rPr>
      </w:pPr>
    </w:p>
    <w:p w14:paraId="6174A508">
      <w:pPr>
        <w:pStyle w:val="11"/>
        <w:tabs>
          <w:tab w:val="left" w:pos="2472"/>
        </w:tabs>
        <w:spacing w:line="460" w:lineRule="exact"/>
        <w:jc w:val="center"/>
        <w:rPr>
          <w:rFonts w:ascii="Times New Roman" w:hAnsi="Times New Roman"/>
          <w:b/>
          <w:sz w:val="36"/>
        </w:rPr>
      </w:pPr>
    </w:p>
    <w:p w14:paraId="466FE2F6">
      <w:pPr>
        <w:pStyle w:val="11"/>
        <w:tabs>
          <w:tab w:val="left" w:pos="2472"/>
        </w:tabs>
        <w:spacing w:line="460" w:lineRule="exact"/>
        <w:jc w:val="center"/>
        <w:rPr>
          <w:rFonts w:ascii="Times New Roman" w:hAnsi="Times New Roman"/>
          <w:b/>
          <w:sz w:val="36"/>
        </w:rPr>
      </w:pPr>
    </w:p>
    <w:p w14:paraId="269252D3">
      <w:pPr>
        <w:pStyle w:val="11"/>
        <w:tabs>
          <w:tab w:val="left" w:pos="2472"/>
        </w:tabs>
        <w:spacing w:line="460" w:lineRule="exact"/>
        <w:jc w:val="center"/>
        <w:rPr>
          <w:rFonts w:ascii="Times New Roman" w:hAnsi="Times New Roman"/>
          <w:b/>
          <w:sz w:val="36"/>
        </w:rPr>
      </w:pPr>
    </w:p>
    <w:p w14:paraId="146B42EE">
      <w:pPr>
        <w:pStyle w:val="11"/>
        <w:tabs>
          <w:tab w:val="left" w:pos="2472"/>
        </w:tabs>
        <w:spacing w:line="460" w:lineRule="exact"/>
        <w:jc w:val="center"/>
        <w:rPr>
          <w:rFonts w:ascii="Times New Roman" w:hAnsi="Times New Roman"/>
          <w:b/>
          <w:sz w:val="36"/>
        </w:rPr>
      </w:pPr>
    </w:p>
    <w:p w14:paraId="6E37E32E">
      <w:pPr>
        <w:pStyle w:val="11"/>
        <w:tabs>
          <w:tab w:val="left" w:pos="2472"/>
        </w:tabs>
        <w:spacing w:line="460" w:lineRule="exact"/>
        <w:jc w:val="center"/>
        <w:rPr>
          <w:rFonts w:ascii="Times New Roman" w:hAnsi="Times New Roman"/>
          <w:b/>
          <w:sz w:val="36"/>
        </w:rPr>
      </w:pPr>
    </w:p>
    <w:p w14:paraId="6897705E">
      <w:pPr>
        <w:pStyle w:val="11"/>
        <w:tabs>
          <w:tab w:val="left" w:pos="2472"/>
        </w:tabs>
        <w:spacing w:line="460" w:lineRule="exact"/>
        <w:jc w:val="center"/>
        <w:rPr>
          <w:rFonts w:ascii="Times New Roman" w:hAnsi="Times New Roman"/>
          <w:b/>
          <w:sz w:val="36"/>
        </w:rPr>
      </w:pPr>
    </w:p>
    <w:p w14:paraId="0D28D806">
      <w:pPr>
        <w:pStyle w:val="11"/>
        <w:tabs>
          <w:tab w:val="left" w:pos="2472"/>
        </w:tabs>
        <w:spacing w:line="460" w:lineRule="exact"/>
        <w:jc w:val="center"/>
        <w:outlineLvl w:val="0"/>
        <w:rPr>
          <w:rFonts w:ascii="Times New Roman" w:hAnsi="Times New Roman"/>
          <w:b/>
          <w:sz w:val="36"/>
        </w:rPr>
      </w:pPr>
      <w:bookmarkStart w:id="399" w:name="_Toc211960316"/>
      <w:r>
        <w:rPr>
          <w:rFonts w:hint="eastAsia" w:ascii="Times New Roman" w:hAnsi="Times New Roman"/>
          <w:b/>
          <w:sz w:val="36"/>
        </w:rPr>
        <w:t>第六章</w:t>
      </w:r>
      <w:r>
        <w:rPr>
          <w:rFonts w:ascii="Times New Roman" w:hAnsi="Times New Roman"/>
          <w:b/>
          <w:sz w:val="36"/>
        </w:rPr>
        <w:t xml:space="preserve"> </w:t>
      </w:r>
      <w:r>
        <w:rPr>
          <w:rFonts w:hint="eastAsia" w:ascii="Times New Roman" w:hAnsi="Times New Roman"/>
          <w:b/>
          <w:sz w:val="36"/>
        </w:rPr>
        <w:t>投标文件格式</w:t>
      </w:r>
      <w:bookmarkEnd w:id="399"/>
    </w:p>
    <w:p w14:paraId="5738DB1B">
      <w:pPr>
        <w:widowControl/>
        <w:spacing w:beforeAutospacing="1" w:line="360" w:lineRule="auto"/>
        <w:jc w:val="left"/>
        <w:rPr>
          <w:rFonts w:ascii="宋体" w:hAnsi="宋体"/>
          <w:szCs w:val="20"/>
        </w:rPr>
        <w:sectPr>
          <w:pgSz w:w="11906" w:h="16838"/>
          <w:pgMar w:top="1134" w:right="1134" w:bottom="1134" w:left="1134" w:header="720" w:footer="720" w:gutter="0"/>
          <w:cols w:space="720" w:num="1"/>
          <w:docGrid w:type="lines" w:linePitch="331" w:charSpace="0"/>
        </w:sectPr>
      </w:pPr>
    </w:p>
    <w:p w14:paraId="13E7AC3C">
      <w:pPr>
        <w:pStyle w:val="11"/>
        <w:ind w:firstLine="551" w:firstLineChars="196"/>
        <w:jc w:val="center"/>
        <w:outlineLvl w:val="1"/>
        <w:rPr>
          <w:rFonts w:hAnsi="宋体"/>
          <w:b/>
          <w:bCs/>
          <w:color w:val="000000"/>
          <w:sz w:val="28"/>
          <w:szCs w:val="28"/>
        </w:rPr>
      </w:pPr>
      <w:bookmarkStart w:id="400" w:name="_Toc211960317"/>
      <w:r>
        <w:rPr>
          <w:rFonts w:hint="eastAsia" w:hAnsi="宋体"/>
          <w:b/>
          <w:bCs/>
          <w:color w:val="000000"/>
          <w:sz w:val="28"/>
          <w:szCs w:val="28"/>
        </w:rPr>
        <w:t>第一节 投标文件外层包装封面</w:t>
      </w:r>
      <w:bookmarkEnd w:id="400"/>
    </w:p>
    <w:p w14:paraId="71A89FE7">
      <w:pPr>
        <w:spacing w:before="120" w:beforeLines="50" w:after="120" w:afterLines="50"/>
        <w:jc w:val="center"/>
        <w:rPr>
          <w:rFonts w:hint="eastAsia" w:ascii="宋体" w:hAnsi="宋体" w:cs="宋体"/>
          <w:spacing w:val="20"/>
          <w:sz w:val="44"/>
          <w:szCs w:val="44"/>
        </w:rPr>
      </w:pPr>
    </w:p>
    <w:p w14:paraId="5C9C6D91">
      <w:pPr>
        <w:spacing w:before="120" w:beforeLines="50" w:after="120" w:afterLines="50"/>
        <w:jc w:val="center"/>
        <w:rPr>
          <w:rFonts w:hint="eastAsia" w:ascii="宋体" w:hAnsi="宋体" w:cs="宋体"/>
          <w:spacing w:val="20"/>
          <w:sz w:val="44"/>
          <w:szCs w:val="44"/>
        </w:rPr>
      </w:pPr>
    </w:p>
    <w:p w14:paraId="2AF22126">
      <w:pPr>
        <w:spacing w:before="120" w:beforeLines="50" w:after="120" w:afterLines="50"/>
        <w:jc w:val="center"/>
        <w:rPr>
          <w:rFonts w:hint="eastAsia" w:ascii="宋体" w:hAnsi="宋体" w:cs="宋体"/>
          <w:spacing w:val="20"/>
          <w:sz w:val="44"/>
          <w:szCs w:val="44"/>
        </w:rPr>
      </w:pPr>
    </w:p>
    <w:p w14:paraId="4B8BCF04">
      <w:pPr>
        <w:spacing w:before="120" w:beforeLines="50" w:after="120" w:afterLines="50"/>
        <w:jc w:val="center"/>
        <w:rPr>
          <w:rFonts w:hint="eastAsia" w:ascii="宋体" w:hAnsi="宋体" w:cs="宋体"/>
          <w:spacing w:val="20"/>
          <w:sz w:val="44"/>
          <w:szCs w:val="44"/>
        </w:rPr>
      </w:pPr>
    </w:p>
    <w:p w14:paraId="2F344033">
      <w:pPr>
        <w:spacing w:before="120" w:beforeLines="50" w:after="120" w:afterLines="50"/>
        <w:jc w:val="center"/>
        <w:rPr>
          <w:rFonts w:hint="eastAsia" w:ascii="宋体" w:hAnsi="宋体" w:eastAsia="宋体" w:cs="宋体"/>
          <w:spacing w:val="20"/>
          <w:sz w:val="44"/>
          <w:szCs w:val="44"/>
          <w:lang w:eastAsia="zh-CN"/>
        </w:rPr>
      </w:pPr>
      <w:r>
        <w:rPr>
          <w:rFonts w:hint="eastAsia" w:ascii="宋体" w:hAnsi="宋体" w:cs="宋体"/>
          <w:spacing w:val="20"/>
          <w:sz w:val="44"/>
          <w:szCs w:val="44"/>
          <w:lang w:eastAsia="zh-CN"/>
        </w:rPr>
        <w:t>南宁市第三职业技术学校2026年优质校及优质专业内涵建设服务项目</w:t>
      </w:r>
    </w:p>
    <w:p w14:paraId="09299EB5">
      <w:pPr>
        <w:spacing w:before="120" w:beforeLines="50" w:after="120" w:afterLines="50"/>
        <w:jc w:val="center"/>
        <w:rPr>
          <w:rFonts w:hint="eastAsia" w:ascii="宋体" w:hAnsi="宋体" w:cs="宋体"/>
          <w:spacing w:val="40"/>
          <w:w w:val="110"/>
          <w:sz w:val="44"/>
          <w:szCs w:val="44"/>
        </w:rPr>
      </w:pPr>
      <w:r>
        <w:rPr>
          <w:rFonts w:hint="eastAsia" w:ascii="宋体" w:hAnsi="宋体" w:cs="宋体"/>
          <w:spacing w:val="40"/>
          <w:w w:val="110"/>
          <w:sz w:val="44"/>
          <w:szCs w:val="44"/>
        </w:rPr>
        <w:t>投标文件</w:t>
      </w:r>
    </w:p>
    <w:p w14:paraId="2936E224">
      <w:pPr>
        <w:jc w:val="center"/>
        <w:rPr>
          <w:rFonts w:hint="eastAsia" w:ascii="宋体" w:hAnsi="宋体" w:cs="宋体"/>
          <w:sz w:val="24"/>
        </w:rPr>
      </w:pPr>
      <w:r>
        <w:rPr>
          <w:rFonts w:hint="eastAsia" w:ascii="宋体" w:hAnsi="宋体" w:cs="宋体"/>
          <w:sz w:val="24"/>
        </w:rPr>
        <w:t>（电子投标文件）</w:t>
      </w:r>
    </w:p>
    <w:tbl>
      <w:tblPr>
        <w:tblStyle w:val="16"/>
        <w:tblW w:w="0" w:type="auto"/>
        <w:jc w:val="center"/>
        <w:tblLayout w:type="fixed"/>
        <w:tblCellMar>
          <w:top w:w="0" w:type="dxa"/>
          <w:left w:w="108" w:type="dxa"/>
          <w:bottom w:w="0" w:type="dxa"/>
          <w:right w:w="108" w:type="dxa"/>
        </w:tblCellMar>
      </w:tblPr>
      <w:tblGrid>
        <w:gridCol w:w="1601"/>
        <w:gridCol w:w="6172"/>
      </w:tblGrid>
      <w:tr w14:paraId="29317317">
        <w:tblPrEx>
          <w:tblCellMar>
            <w:top w:w="0" w:type="dxa"/>
            <w:left w:w="108" w:type="dxa"/>
            <w:bottom w:w="0" w:type="dxa"/>
            <w:right w:w="108" w:type="dxa"/>
          </w:tblCellMar>
        </w:tblPrEx>
        <w:trPr>
          <w:jc w:val="center"/>
        </w:trPr>
        <w:tc>
          <w:tcPr>
            <w:tcW w:w="1601" w:type="dxa"/>
            <w:noWrap w:val="0"/>
            <w:vAlign w:val="bottom"/>
          </w:tcPr>
          <w:p w14:paraId="16E26E3C">
            <w:pPr>
              <w:jc w:val="distribute"/>
              <w:rPr>
                <w:rFonts w:hint="eastAsia" w:ascii="宋体" w:hAnsi="宋体" w:cs="宋体"/>
                <w:sz w:val="24"/>
              </w:rPr>
            </w:pPr>
            <w:r>
              <w:rPr>
                <w:rFonts w:hint="eastAsia" w:ascii="宋体" w:hAnsi="宋体" w:cs="宋体"/>
                <w:sz w:val="24"/>
              </w:rPr>
              <w:t>项目名称：</w:t>
            </w:r>
          </w:p>
        </w:tc>
        <w:tc>
          <w:tcPr>
            <w:tcW w:w="6172" w:type="dxa"/>
            <w:tcBorders>
              <w:top w:val="nil"/>
              <w:left w:val="nil"/>
              <w:bottom w:val="single" w:color="000000" w:sz="4" w:space="0"/>
              <w:right w:val="nil"/>
            </w:tcBorders>
            <w:noWrap w:val="0"/>
            <w:vAlign w:val="bottom"/>
          </w:tcPr>
          <w:p w14:paraId="191895DB">
            <w:pPr>
              <w:jc w:val="left"/>
              <w:rPr>
                <w:rFonts w:hint="eastAsia" w:ascii="宋体" w:hAnsi="宋体" w:eastAsia="宋体" w:cs="宋体"/>
                <w:sz w:val="24"/>
                <w:lang w:eastAsia="zh-CN"/>
              </w:rPr>
            </w:pPr>
            <w:r>
              <w:rPr>
                <w:rFonts w:hint="eastAsia" w:ascii="宋体" w:hAnsi="宋体" w:cs="宋体"/>
                <w:sz w:val="24"/>
                <w:lang w:eastAsia="zh-CN"/>
              </w:rPr>
              <w:t>南宁市第三职业技术学校2026年优质校及优质专业内涵建设服务项目</w:t>
            </w:r>
          </w:p>
        </w:tc>
      </w:tr>
      <w:tr w14:paraId="438E6AC0">
        <w:tblPrEx>
          <w:tblCellMar>
            <w:top w:w="0" w:type="dxa"/>
            <w:left w:w="108" w:type="dxa"/>
            <w:bottom w:w="0" w:type="dxa"/>
            <w:right w:w="108" w:type="dxa"/>
          </w:tblCellMar>
        </w:tblPrEx>
        <w:trPr>
          <w:jc w:val="center"/>
        </w:trPr>
        <w:tc>
          <w:tcPr>
            <w:tcW w:w="1601" w:type="dxa"/>
            <w:noWrap w:val="0"/>
            <w:vAlign w:val="bottom"/>
          </w:tcPr>
          <w:p w14:paraId="0681E038">
            <w:pPr>
              <w:jc w:val="distribute"/>
              <w:rPr>
                <w:rFonts w:hint="eastAsia" w:ascii="宋体" w:hAnsi="宋体" w:cs="宋体"/>
                <w:sz w:val="24"/>
              </w:rPr>
            </w:pPr>
            <w:r>
              <w:rPr>
                <w:rFonts w:hint="eastAsia" w:ascii="宋体" w:hAnsi="宋体" w:cs="宋体"/>
                <w:sz w:val="24"/>
              </w:rPr>
              <w:t>采购方式：</w:t>
            </w:r>
          </w:p>
        </w:tc>
        <w:tc>
          <w:tcPr>
            <w:tcW w:w="6172" w:type="dxa"/>
            <w:tcBorders>
              <w:top w:val="single" w:color="000000" w:sz="4" w:space="0"/>
              <w:left w:val="nil"/>
              <w:bottom w:val="single" w:color="000000" w:sz="4" w:space="0"/>
              <w:right w:val="nil"/>
            </w:tcBorders>
            <w:noWrap w:val="0"/>
            <w:vAlign w:val="bottom"/>
          </w:tcPr>
          <w:p w14:paraId="18589ABE">
            <w:pPr>
              <w:jc w:val="left"/>
              <w:rPr>
                <w:rFonts w:hint="eastAsia" w:ascii="宋体" w:hAnsi="宋体" w:cs="宋体"/>
                <w:sz w:val="24"/>
              </w:rPr>
            </w:pPr>
            <w:bookmarkStart w:id="401" w:name="PO_3000001866_PM003"/>
            <w:r>
              <w:rPr>
                <w:rFonts w:hint="eastAsia" w:ascii="宋体" w:hAnsi="宋体" w:cs="宋体"/>
                <w:sz w:val="24"/>
              </w:rPr>
              <w:t>在线投标响应</w:t>
            </w:r>
            <w:bookmarkEnd w:id="401"/>
          </w:p>
        </w:tc>
      </w:tr>
      <w:tr w14:paraId="42AF0FAD">
        <w:tblPrEx>
          <w:tblCellMar>
            <w:top w:w="0" w:type="dxa"/>
            <w:left w:w="108" w:type="dxa"/>
            <w:bottom w:w="0" w:type="dxa"/>
            <w:right w:w="108" w:type="dxa"/>
          </w:tblCellMar>
        </w:tblPrEx>
        <w:trPr>
          <w:jc w:val="center"/>
        </w:trPr>
        <w:tc>
          <w:tcPr>
            <w:tcW w:w="1601" w:type="dxa"/>
            <w:noWrap w:val="0"/>
            <w:vAlign w:val="bottom"/>
          </w:tcPr>
          <w:p w14:paraId="11ADBD0A">
            <w:pPr>
              <w:jc w:val="distribute"/>
              <w:rPr>
                <w:rFonts w:hint="eastAsia" w:ascii="宋体" w:hAnsi="宋体" w:cs="宋体"/>
                <w:sz w:val="24"/>
              </w:rPr>
            </w:pPr>
            <w:r>
              <w:rPr>
                <w:rFonts w:hint="eastAsia" w:ascii="宋体" w:hAnsi="宋体" w:cs="宋体"/>
                <w:sz w:val="24"/>
              </w:rPr>
              <w:t>项目编号：</w:t>
            </w:r>
          </w:p>
        </w:tc>
        <w:tc>
          <w:tcPr>
            <w:tcW w:w="6172" w:type="dxa"/>
            <w:tcBorders>
              <w:top w:val="single" w:color="000000" w:sz="4" w:space="0"/>
              <w:left w:val="nil"/>
              <w:bottom w:val="single" w:color="000000" w:sz="4" w:space="0"/>
              <w:right w:val="nil"/>
            </w:tcBorders>
            <w:noWrap w:val="0"/>
            <w:vAlign w:val="bottom"/>
          </w:tcPr>
          <w:p w14:paraId="7ECE1F6E">
            <w:pPr>
              <w:jc w:val="left"/>
              <w:rPr>
                <w:rFonts w:hint="eastAsia" w:ascii="宋体" w:hAnsi="宋体" w:eastAsia="宋体" w:cs="宋体"/>
                <w:sz w:val="24"/>
                <w:lang w:eastAsia="zh-CN"/>
              </w:rPr>
            </w:pPr>
            <w:r>
              <w:rPr>
                <w:rFonts w:hint="eastAsia" w:ascii="宋体" w:hAnsi="宋体" w:cs="宋体"/>
                <w:sz w:val="24"/>
                <w:lang w:eastAsia="zh-CN"/>
              </w:rPr>
              <w:t>NNZC2026-G3-990830-GXGJ</w:t>
            </w:r>
          </w:p>
        </w:tc>
      </w:tr>
      <w:tr w14:paraId="3D4EBCF9">
        <w:tblPrEx>
          <w:tblCellMar>
            <w:top w:w="0" w:type="dxa"/>
            <w:left w:w="108" w:type="dxa"/>
            <w:bottom w:w="0" w:type="dxa"/>
            <w:right w:w="108" w:type="dxa"/>
          </w:tblCellMar>
        </w:tblPrEx>
        <w:trPr>
          <w:jc w:val="center"/>
        </w:trPr>
        <w:tc>
          <w:tcPr>
            <w:tcW w:w="1601" w:type="dxa"/>
            <w:noWrap w:val="0"/>
            <w:vAlign w:val="bottom"/>
          </w:tcPr>
          <w:p w14:paraId="47C971F8">
            <w:pPr>
              <w:jc w:val="distribute"/>
              <w:rPr>
                <w:rFonts w:hint="eastAsia" w:ascii="宋体" w:hAnsi="宋体" w:cs="宋体"/>
                <w:sz w:val="24"/>
              </w:rPr>
            </w:pPr>
            <w:r>
              <w:rPr>
                <w:rFonts w:hint="eastAsia" w:ascii="宋体" w:hAnsi="宋体" w:cs="宋体"/>
                <w:sz w:val="24"/>
              </w:rPr>
              <w:t>所投分标：</w:t>
            </w:r>
          </w:p>
        </w:tc>
        <w:tc>
          <w:tcPr>
            <w:tcW w:w="6172" w:type="dxa"/>
            <w:tcBorders>
              <w:top w:val="single" w:color="000000" w:sz="4" w:space="0"/>
              <w:left w:val="nil"/>
              <w:bottom w:val="single" w:color="000000" w:sz="4" w:space="0"/>
              <w:right w:val="nil"/>
            </w:tcBorders>
            <w:noWrap w:val="0"/>
            <w:vAlign w:val="bottom"/>
          </w:tcPr>
          <w:p w14:paraId="24320811">
            <w:pPr>
              <w:jc w:val="left"/>
              <w:rPr>
                <w:rFonts w:hint="eastAsia" w:ascii="宋体" w:hAnsi="宋体" w:cs="宋体"/>
                <w:sz w:val="24"/>
              </w:rPr>
            </w:pPr>
          </w:p>
        </w:tc>
      </w:tr>
      <w:tr w14:paraId="20A0E408">
        <w:tblPrEx>
          <w:tblCellMar>
            <w:top w:w="0" w:type="dxa"/>
            <w:left w:w="108" w:type="dxa"/>
            <w:bottom w:w="0" w:type="dxa"/>
            <w:right w:w="108" w:type="dxa"/>
          </w:tblCellMar>
        </w:tblPrEx>
        <w:trPr>
          <w:jc w:val="center"/>
        </w:trPr>
        <w:tc>
          <w:tcPr>
            <w:tcW w:w="1601" w:type="dxa"/>
            <w:noWrap w:val="0"/>
            <w:vAlign w:val="bottom"/>
          </w:tcPr>
          <w:p w14:paraId="1F28EF3A">
            <w:pPr>
              <w:jc w:val="distribute"/>
              <w:rPr>
                <w:rFonts w:hint="eastAsia" w:ascii="宋体" w:hAnsi="宋体" w:cs="宋体"/>
                <w:sz w:val="24"/>
              </w:rPr>
            </w:pPr>
            <w:r>
              <w:rPr>
                <w:rFonts w:hint="eastAsia" w:ascii="宋体" w:hAnsi="宋体" w:cs="宋体"/>
                <w:sz w:val="24"/>
              </w:rPr>
              <w:t>投标人名称：</w:t>
            </w:r>
          </w:p>
        </w:tc>
        <w:tc>
          <w:tcPr>
            <w:tcW w:w="6172" w:type="dxa"/>
            <w:tcBorders>
              <w:top w:val="single" w:color="000000" w:sz="4" w:space="0"/>
              <w:left w:val="nil"/>
              <w:bottom w:val="single" w:color="000000" w:sz="4" w:space="0"/>
              <w:right w:val="nil"/>
            </w:tcBorders>
            <w:noWrap w:val="0"/>
            <w:vAlign w:val="bottom"/>
          </w:tcPr>
          <w:p w14:paraId="7745AE50">
            <w:pPr>
              <w:jc w:val="left"/>
              <w:rPr>
                <w:rFonts w:hint="eastAsia" w:ascii="宋体" w:hAnsi="宋体" w:cs="宋体"/>
                <w:sz w:val="24"/>
              </w:rPr>
            </w:pPr>
          </w:p>
        </w:tc>
      </w:tr>
      <w:tr w14:paraId="25BF9C0A">
        <w:tblPrEx>
          <w:tblCellMar>
            <w:top w:w="0" w:type="dxa"/>
            <w:left w:w="108" w:type="dxa"/>
            <w:bottom w:w="0" w:type="dxa"/>
            <w:right w:w="108" w:type="dxa"/>
          </w:tblCellMar>
        </w:tblPrEx>
        <w:trPr>
          <w:jc w:val="center"/>
        </w:trPr>
        <w:tc>
          <w:tcPr>
            <w:tcW w:w="1601" w:type="dxa"/>
            <w:noWrap w:val="0"/>
            <w:vAlign w:val="bottom"/>
          </w:tcPr>
          <w:p w14:paraId="471BA5F5">
            <w:pPr>
              <w:jc w:val="distribute"/>
              <w:rPr>
                <w:rFonts w:hint="eastAsia" w:ascii="宋体" w:hAnsi="宋体" w:cs="宋体"/>
                <w:sz w:val="24"/>
              </w:rPr>
            </w:pPr>
            <w:r>
              <w:rPr>
                <w:rFonts w:hint="eastAsia" w:ascii="宋体" w:hAnsi="宋体" w:cs="宋体"/>
                <w:sz w:val="24"/>
              </w:rPr>
              <w:t>投标人地址：</w:t>
            </w:r>
          </w:p>
        </w:tc>
        <w:tc>
          <w:tcPr>
            <w:tcW w:w="6172" w:type="dxa"/>
            <w:tcBorders>
              <w:top w:val="single" w:color="000000" w:sz="4" w:space="0"/>
              <w:left w:val="nil"/>
              <w:bottom w:val="single" w:color="000000" w:sz="4" w:space="0"/>
              <w:right w:val="nil"/>
            </w:tcBorders>
            <w:noWrap w:val="0"/>
            <w:vAlign w:val="bottom"/>
          </w:tcPr>
          <w:p w14:paraId="5C196018">
            <w:pPr>
              <w:jc w:val="left"/>
              <w:rPr>
                <w:rFonts w:hint="eastAsia" w:ascii="宋体" w:hAnsi="宋体" w:cs="宋体"/>
                <w:sz w:val="24"/>
              </w:rPr>
            </w:pPr>
          </w:p>
        </w:tc>
      </w:tr>
    </w:tbl>
    <w:p w14:paraId="74218EA2">
      <w:pPr>
        <w:ind w:firstLine="4200" w:firstLineChars="1750"/>
        <w:rPr>
          <w:rFonts w:hint="eastAsia" w:ascii="宋体" w:hAnsi="宋体" w:cs="宋体"/>
          <w:sz w:val="24"/>
        </w:rPr>
      </w:pPr>
    </w:p>
    <w:p w14:paraId="3B41BE9A">
      <w:pPr>
        <w:ind w:firstLine="4200" w:firstLineChars="1750"/>
        <w:rPr>
          <w:rFonts w:hint="eastAsia" w:ascii="宋体" w:hAnsi="宋体" w:cs="宋体"/>
          <w:sz w:val="24"/>
        </w:rPr>
      </w:pPr>
    </w:p>
    <w:p w14:paraId="642962B3">
      <w:pPr>
        <w:ind w:firstLine="4200" w:firstLineChars="1750"/>
        <w:rPr>
          <w:rFonts w:hint="eastAsia" w:ascii="宋体" w:hAnsi="宋体" w:cs="宋体"/>
          <w:sz w:val="24"/>
        </w:rPr>
      </w:pPr>
    </w:p>
    <w:p w14:paraId="7B4AB85D">
      <w:pPr>
        <w:ind w:firstLine="5880" w:firstLineChars="2450"/>
        <w:rPr>
          <w:rFonts w:hint="eastAsia" w:ascii="宋体" w:hAnsi="宋体" w:cs="宋体"/>
          <w:sz w:val="24"/>
        </w:rPr>
      </w:pPr>
      <w:r>
        <w:rPr>
          <w:rFonts w:hint="eastAsia" w:ascii="宋体" w:hAnsi="宋体" w:cs="宋体"/>
          <w:sz w:val="24"/>
        </w:rPr>
        <w:t>投标截止时间前不得解密</w:t>
      </w:r>
    </w:p>
    <w:p w14:paraId="3CF7D00F">
      <w:pPr>
        <w:ind w:firstLine="6480" w:firstLineChars="2700"/>
        <w:rPr>
          <w:rFonts w:hint="eastAsia" w:ascii="宋体" w:hAnsi="宋体" w:cs="宋体"/>
          <w:sz w:val="24"/>
        </w:rPr>
      </w:pPr>
      <w:r>
        <w:rPr>
          <w:rFonts w:hint="eastAsia" w:ascii="宋体" w:hAnsi="宋体" w:cs="宋体"/>
          <w:sz w:val="24"/>
        </w:rPr>
        <w:t>年   月   日</w:t>
      </w:r>
    </w:p>
    <w:p w14:paraId="392EA460">
      <w:pPr>
        <w:widowControl/>
        <w:jc w:val="left"/>
        <w:rPr>
          <w:rFonts w:ascii="宋体" w:hAnsi="宋体" w:cs="宋体"/>
          <w:sz w:val="24"/>
        </w:rPr>
        <w:sectPr>
          <w:pgSz w:w="11907" w:h="16840"/>
          <w:pgMar w:top="1531" w:right="1418" w:bottom="1361" w:left="1418" w:header="720" w:footer="720" w:gutter="0"/>
          <w:cols w:space="720" w:num="1"/>
        </w:sectPr>
      </w:pPr>
    </w:p>
    <w:p w14:paraId="5CC5A619">
      <w:pPr>
        <w:pStyle w:val="11"/>
        <w:jc w:val="center"/>
        <w:outlineLvl w:val="1"/>
        <w:rPr>
          <w:rFonts w:hint="eastAsia" w:hAnsi="宋体"/>
          <w:b/>
          <w:bCs/>
          <w:color w:val="000000"/>
          <w:sz w:val="28"/>
          <w:szCs w:val="28"/>
        </w:rPr>
      </w:pPr>
      <w:bookmarkStart w:id="402" w:name="_Toc211960318"/>
      <w:r>
        <w:rPr>
          <w:rFonts w:hint="eastAsia" w:hAnsi="宋体"/>
          <w:b/>
          <w:bCs/>
          <w:color w:val="000000"/>
          <w:sz w:val="28"/>
          <w:szCs w:val="28"/>
        </w:rPr>
        <w:t>第二节 资格证明文件格式</w:t>
      </w:r>
      <w:bookmarkEnd w:id="402"/>
    </w:p>
    <w:p w14:paraId="576AC5BC">
      <w:pPr>
        <w:pStyle w:val="11"/>
        <w:spacing w:line="360" w:lineRule="auto"/>
        <w:ind w:firstLine="420"/>
        <w:rPr>
          <w:rFonts w:hint="eastAsia" w:hAnsi="宋体"/>
          <w:color w:val="000000"/>
          <w:sz w:val="30"/>
        </w:rPr>
      </w:pPr>
    </w:p>
    <w:p w14:paraId="425A522D">
      <w:pPr>
        <w:snapToGrid w:val="0"/>
        <w:spacing w:before="165" w:beforeLines="50" w:after="50"/>
        <w:rPr>
          <w:rFonts w:hint="eastAsia" w:ascii="宋体" w:hAnsi="宋体"/>
          <w:bCs/>
          <w:color w:val="000000"/>
          <w:sz w:val="32"/>
          <w:szCs w:val="20"/>
        </w:rPr>
      </w:pPr>
      <w:r>
        <w:rPr>
          <w:rFonts w:hint="eastAsia" w:ascii="宋体" w:hAnsi="宋体"/>
          <w:color w:val="000000"/>
          <w:sz w:val="24"/>
        </w:rPr>
        <w:t xml:space="preserve">                                                         </w:t>
      </w:r>
      <w:r>
        <w:rPr>
          <w:rFonts w:hint="eastAsia" w:ascii="宋体" w:hAnsi="宋体"/>
          <w:bCs/>
          <w:color w:val="000000"/>
        </w:rPr>
        <w:t>电子投标文件</w:t>
      </w:r>
    </w:p>
    <w:p w14:paraId="25BD7C38">
      <w:pPr>
        <w:snapToGrid w:val="0"/>
        <w:spacing w:before="165" w:beforeLines="50" w:after="50"/>
        <w:rPr>
          <w:rFonts w:hint="eastAsia" w:ascii="宋体" w:hAnsi="宋体"/>
          <w:color w:val="000000"/>
          <w:sz w:val="24"/>
          <w:szCs w:val="20"/>
        </w:rPr>
      </w:pPr>
    </w:p>
    <w:p w14:paraId="331209A0">
      <w:pPr>
        <w:snapToGrid w:val="0"/>
        <w:spacing w:before="165" w:beforeLines="50" w:after="50"/>
        <w:jc w:val="center"/>
        <w:rPr>
          <w:rFonts w:hint="eastAsia" w:ascii="宋体" w:hAnsi="宋体"/>
          <w:b/>
          <w:color w:val="000000"/>
          <w:sz w:val="24"/>
          <w:szCs w:val="20"/>
        </w:rPr>
      </w:pPr>
      <w:r>
        <w:rPr>
          <w:rFonts w:hint="eastAsia" w:ascii="宋体" w:hAnsi="宋体"/>
          <w:b/>
          <w:color w:val="000000"/>
          <w:sz w:val="32"/>
          <w:szCs w:val="32"/>
        </w:rPr>
        <w:t>资格证明文件（封面）</w:t>
      </w:r>
    </w:p>
    <w:p w14:paraId="48FCAADB">
      <w:pPr>
        <w:snapToGrid w:val="0"/>
        <w:spacing w:before="165" w:beforeLines="50" w:after="50"/>
        <w:rPr>
          <w:rFonts w:hint="eastAsia" w:ascii="宋体" w:hAnsi="宋体"/>
          <w:bCs/>
          <w:color w:val="000000"/>
          <w:sz w:val="24"/>
          <w:szCs w:val="20"/>
        </w:rPr>
      </w:pPr>
    </w:p>
    <w:p w14:paraId="23CBE0B0">
      <w:pPr>
        <w:snapToGrid w:val="0"/>
        <w:spacing w:before="165" w:beforeLines="50" w:after="50"/>
        <w:rPr>
          <w:rFonts w:hint="eastAsia" w:ascii="宋体" w:hAnsi="宋体"/>
          <w:bCs/>
          <w:color w:val="000000"/>
          <w:sz w:val="24"/>
          <w:szCs w:val="20"/>
        </w:rPr>
      </w:pPr>
    </w:p>
    <w:p w14:paraId="1811249C">
      <w:pPr>
        <w:snapToGrid w:val="0"/>
        <w:spacing w:before="165" w:beforeLines="50" w:after="50"/>
        <w:rPr>
          <w:rFonts w:hint="eastAsia" w:ascii="宋体" w:hAnsi="宋体"/>
          <w:bCs/>
          <w:color w:val="000000"/>
          <w:sz w:val="24"/>
          <w:szCs w:val="20"/>
        </w:rPr>
      </w:pPr>
    </w:p>
    <w:p w14:paraId="1C112781">
      <w:pPr>
        <w:snapToGrid w:val="0"/>
        <w:spacing w:before="165" w:beforeLines="50" w:after="50"/>
        <w:rPr>
          <w:rFonts w:hint="eastAsia" w:ascii="宋体" w:hAnsi="宋体"/>
          <w:bCs/>
          <w:color w:val="000000"/>
          <w:sz w:val="24"/>
          <w:szCs w:val="20"/>
        </w:rPr>
      </w:pPr>
    </w:p>
    <w:p w14:paraId="0194ADC6">
      <w:pPr>
        <w:snapToGrid w:val="0"/>
        <w:spacing w:before="165" w:beforeLines="50" w:after="50"/>
        <w:rPr>
          <w:rFonts w:hint="eastAsia" w:ascii="宋体" w:hAnsi="宋体"/>
          <w:bCs/>
          <w:color w:val="000000"/>
          <w:sz w:val="24"/>
          <w:szCs w:val="20"/>
        </w:rPr>
      </w:pPr>
    </w:p>
    <w:p w14:paraId="76BD509F">
      <w:pPr>
        <w:snapToGrid w:val="0"/>
        <w:spacing w:before="165" w:beforeLines="50" w:after="50"/>
        <w:rPr>
          <w:rFonts w:hint="eastAsia" w:ascii="宋体" w:hAnsi="宋体"/>
          <w:bCs/>
          <w:color w:val="000000"/>
          <w:sz w:val="24"/>
          <w:szCs w:val="20"/>
        </w:rPr>
      </w:pPr>
    </w:p>
    <w:p w14:paraId="33A11A9F">
      <w:pPr>
        <w:snapToGrid w:val="0"/>
        <w:spacing w:before="165" w:beforeLines="50" w:after="50"/>
        <w:rPr>
          <w:rFonts w:hint="eastAsia" w:ascii="宋体" w:hAnsi="宋体"/>
          <w:bCs/>
          <w:color w:val="000000"/>
          <w:sz w:val="24"/>
          <w:szCs w:val="20"/>
        </w:rPr>
      </w:pPr>
    </w:p>
    <w:p w14:paraId="0CDE8200">
      <w:pPr>
        <w:snapToGrid w:val="0"/>
        <w:spacing w:before="165" w:beforeLines="50" w:after="50"/>
        <w:ind w:firstLine="540" w:firstLineChars="225"/>
        <w:rPr>
          <w:rFonts w:hint="eastAsia" w:ascii="宋体" w:hAnsi="宋体" w:eastAsia="宋体"/>
          <w:bCs/>
          <w:color w:val="000000"/>
          <w:sz w:val="24"/>
          <w:lang w:eastAsia="zh-CN"/>
        </w:rPr>
      </w:pPr>
      <w:r>
        <w:rPr>
          <w:rFonts w:hint="eastAsia" w:ascii="宋体" w:hAnsi="宋体"/>
          <w:bCs/>
          <w:color w:val="000000"/>
          <w:sz w:val="24"/>
        </w:rPr>
        <w:t>项目名称：</w:t>
      </w:r>
      <w:r>
        <w:rPr>
          <w:rFonts w:hint="eastAsia" w:ascii="宋体" w:hAnsi="宋体"/>
          <w:bCs/>
          <w:color w:val="000000"/>
          <w:sz w:val="24"/>
          <w:lang w:eastAsia="zh-CN"/>
        </w:rPr>
        <w:t>南宁市第三职业技术学校2026年优质校及优质专业内涵建设服务项目</w:t>
      </w:r>
    </w:p>
    <w:p w14:paraId="52DEB538">
      <w:pPr>
        <w:snapToGrid w:val="0"/>
        <w:spacing w:before="165" w:beforeLines="50" w:after="50"/>
        <w:ind w:firstLine="540" w:firstLineChars="225"/>
        <w:rPr>
          <w:rFonts w:hint="eastAsia" w:ascii="宋体" w:hAnsi="宋体"/>
          <w:bCs/>
          <w:color w:val="000000"/>
          <w:sz w:val="24"/>
          <w:szCs w:val="20"/>
        </w:rPr>
      </w:pPr>
    </w:p>
    <w:p w14:paraId="691FB457">
      <w:pPr>
        <w:snapToGrid w:val="0"/>
        <w:spacing w:before="165" w:beforeLines="50" w:after="50"/>
        <w:ind w:firstLine="540" w:firstLineChars="225"/>
        <w:rPr>
          <w:rFonts w:hint="eastAsia" w:ascii="宋体" w:hAnsi="宋体" w:eastAsia="宋体"/>
          <w:bCs/>
          <w:color w:val="000000"/>
          <w:sz w:val="24"/>
          <w:lang w:eastAsia="zh-CN"/>
        </w:rPr>
      </w:pPr>
      <w:r>
        <w:rPr>
          <w:rFonts w:hint="eastAsia" w:ascii="宋体" w:hAnsi="宋体"/>
          <w:bCs/>
          <w:color w:val="000000"/>
          <w:sz w:val="24"/>
        </w:rPr>
        <w:t>项目编号：</w:t>
      </w:r>
      <w:r>
        <w:rPr>
          <w:rFonts w:hint="eastAsia" w:ascii="宋体" w:hAnsi="宋体"/>
          <w:bCs/>
          <w:color w:val="000000"/>
          <w:sz w:val="24"/>
          <w:lang w:eastAsia="zh-CN"/>
        </w:rPr>
        <w:t>NNZC2026-G3-990830-GXGJ</w:t>
      </w:r>
    </w:p>
    <w:p w14:paraId="78486EF4">
      <w:pPr>
        <w:snapToGrid w:val="0"/>
        <w:spacing w:before="165" w:beforeLines="50" w:after="50"/>
        <w:ind w:firstLine="540" w:firstLineChars="225"/>
        <w:rPr>
          <w:rFonts w:hint="eastAsia" w:ascii="宋体" w:hAnsi="宋体"/>
          <w:bCs/>
          <w:color w:val="000000"/>
          <w:sz w:val="24"/>
          <w:szCs w:val="20"/>
        </w:rPr>
      </w:pPr>
      <w:r>
        <w:rPr>
          <w:rFonts w:hint="eastAsia" w:ascii="宋体" w:hAnsi="宋体"/>
          <w:bCs/>
          <w:color w:val="000000"/>
          <w:sz w:val="24"/>
        </w:rPr>
        <w:t xml:space="preserve"> </w:t>
      </w:r>
    </w:p>
    <w:p w14:paraId="6B4E003B">
      <w:pPr>
        <w:snapToGrid w:val="0"/>
        <w:spacing w:before="165" w:beforeLines="50" w:after="50"/>
        <w:ind w:firstLine="540" w:firstLineChars="225"/>
        <w:rPr>
          <w:rFonts w:hint="eastAsia" w:ascii="宋体" w:hAnsi="宋体"/>
          <w:bCs/>
          <w:color w:val="000000"/>
          <w:sz w:val="24"/>
        </w:rPr>
      </w:pPr>
      <w:r>
        <w:rPr>
          <w:rFonts w:hint="eastAsia" w:ascii="宋体" w:hAnsi="宋体"/>
          <w:bCs/>
          <w:color w:val="000000"/>
          <w:sz w:val="24"/>
        </w:rPr>
        <w:t>所投分标：</w:t>
      </w:r>
    </w:p>
    <w:p w14:paraId="49CE8117">
      <w:pPr>
        <w:pStyle w:val="6"/>
        <w:snapToGrid w:val="0"/>
        <w:spacing w:before="50" w:after="50"/>
        <w:ind w:firstLine="540" w:firstLineChars="225"/>
        <w:rPr>
          <w:rFonts w:hint="eastAsia" w:ascii="宋体" w:hAnsi="宋体"/>
          <w:bCs/>
          <w:color w:val="000000"/>
          <w:sz w:val="24"/>
          <w:szCs w:val="24"/>
        </w:rPr>
      </w:pPr>
    </w:p>
    <w:p w14:paraId="4A4BB413">
      <w:pPr>
        <w:pStyle w:val="6"/>
        <w:snapToGrid w:val="0"/>
        <w:spacing w:before="50" w:after="50"/>
        <w:ind w:firstLine="540" w:firstLineChars="225"/>
        <w:rPr>
          <w:rFonts w:hint="eastAsia" w:ascii="宋体" w:hAnsi="宋体"/>
          <w:bCs/>
          <w:color w:val="000000"/>
          <w:sz w:val="24"/>
          <w:szCs w:val="24"/>
        </w:rPr>
      </w:pPr>
      <w:r>
        <w:rPr>
          <w:rFonts w:hint="eastAsia" w:ascii="宋体" w:hAnsi="宋体"/>
          <w:bCs/>
          <w:color w:val="000000"/>
          <w:sz w:val="24"/>
          <w:szCs w:val="24"/>
        </w:rPr>
        <w:t>投标人名称：</w:t>
      </w:r>
    </w:p>
    <w:p w14:paraId="0B3B6B0A">
      <w:pPr>
        <w:pStyle w:val="6"/>
        <w:snapToGrid w:val="0"/>
        <w:spacing w:before="50" w:after="50"/>
        <w:ind w:firstLine="540" w:firstLineChars="225"/>
        <w:rPr>
          <w:rFonts w:hint="eastAsia" w:ascii="宋体" w:hAnsi="宋体"/>
          <w:bCs/>
          <w:color w:val="000000"/>
          <w:sz w:val="24"/>
          <w:szCs w:val="24"/>
        </w:rPr>
      </w:pPr>
    </w:p>
    <w:p w14:paraId="25F216E7">
      <w:pPr>
        <w:pStyle w:val="6"/>
        <w:snapToGrid w:val="0"/>
        <w:spacing w:before="50" w:after="50"/>
        <w:ind w:firstLine="960" w:firstLineChars="400"/>
        <w:rPr>
          <w:rFonts w:hint="eastAsia" w:ascii="宋体" w:hAnsi="宋体"/>
          <w:bCs/>
          <w:color w:val="000000"/>
          <w:sz w:val="24"/>
          <w:szCs w:val="24"/>
        </w:rPr>
      </w:pPr>
    </w:p>
    <w:p w14:paraId="4FED9A86">
      <w:pPr>
        <w:snapToGrid w:val="0"/>
        <w:spacing w:before="165" w:beforeLines="50" w:after="50"/>
        <w:ind w:firstLine="645"/>
        <w:jc w:val="center"/>
        <w:rPr>
          <w:rFonts w:hint="eastAsia" w:ascii="宋体" w:hAnsi="宋体"/>
          <w:color w:val="000000"/>
          <w:sz w:val="24"/>
        </w:rPr>
      </w:pPr>
      <w:r>
        <w:rPr>
          <w:rFonts w:hint="eastAsia" w:ascii="宋体" w:hAnsi="宋体"/>
          <w:color w:val="000000"/>
          <w:sz w:val="24"/>
        </w:rPr>
        <w:t>年  月  日</w:t>
      </w:r>
    </w:p>
    <w:p w14:paraId="6227923E">
      <w:pPr>
        <w:widowControl/>
        <w:spacing w:line="360" w:lineRule="auto"/>
        <w:jc w:val="left"/>
        <w:rPr>
          <w:rFonts w:ascii="宋体" w:hAnsi="宋体"/>
          <w:color w:val="000000"/>
          <w:sz w:val="30"/>
          <w:szCs w:val="20"/>
        </w:rPr>
        <w:sectPr>
          <w:pgSz w:w="11906" w:h="16838"/>
          <w:pgMar w:top="1134" w:right="1134" w:bottom="1134" w:left="1134" w:header="720" w:footer="720" w:gutter="0"/>
          <w:cols w:space="720" w:num="1"/>
          <w:docGrid w:type="lines" w:linePitch="331" w:charSpace="0"/>
        </w:sectPr>
      </w:pPr>
    </w:p>
    <w:p w14:paraId="3D8C272C">
      <w:pPr>
        <w:jc w:val="center"/>
        <w:rPr>
          <w:rFonts w:ascii="仿宋_GB2312" w:hAnsi="仿宋" w:eastAsia="仿宋_GB2312" w:cs="仿宋_GB2312"/>
          <w:b/>
          <w:kern w:val="0"/>
          <w:sz w:val="36"/>
          <w:szCs w:val="36"/>
        </w:rPr>
      </w:pPr>
    </w:p>
    <w:p w14:paraId="5C924EF8">
      <w:pPr>
        <w:jc w:val="center"/>
        <w:rPr>
          <w:rFonts w:ascii="仿宋_GB2312" w:hAnsi="仿宋" w:eastAsia="仿宋_GB2312" w:cs="仿宋_GB2312"/>
          <w:b/>
          <w:kern w:val="0"/>
          <w:sz w:val="36"/>
          <w:szCs w:val="36"/>
        </w:rPr>
      </w:pPr>
    </w:p>
    <w:p w14:paraId="0D11DDA1">
      <w:pPr>
        <w:jc w:val="center"/>
        <w:rPr>
          <w:rFonts w:hint="eastAsia" w:ascii="仿宋_GB2312" w:hAnsi="仿宋" w:eastAsia="仿宋_GB2312" w:cs="仿宋_GB2312"/>
          <w:b/>
          <w:kern w:val="0"/>
          <w:sz w:val="36"/>
          <w:szCs w:val="36"/>
        </w:rPr>
      </w:pPr>
      <w:r>
        <w:rPr>
          <w:rFonts w:hint="eastAsia" w:ascii="仿宋_GB2312" w:hAnsi="仿宋" w:eastAsia="仿宋_GB2312" w:cs="仿宋_GB2312"/>
          <w:b/>
          <w:kern w:val="0"/>
          <w:sz w:val="36"/>
          <w:szCs w:val="36"/>
        </w:rPr>
        <w:t>资格证明文件目录</w:t>
      </w:r>
    </w:p>
    <w:p w14:paraId="604B5FB7">
      <w:pPr>
        <w:spacing w:line="360" w:lineRule="auto"/>
        <w:ind w:firstLine="480" w:firstLineChars="200"/>
        <w:rPr>
          <w:rFonts w:ascii="仿宋_GB2312" w:hAnsi="仿宋" w:eastAsia="仿宋_GB2312" w:cs="仿宋_GB2312"/>
          <w:kern w:val="0"/>
          <w:sz w:val="24"/>
        </w:rPr>
      </w:pPr>
    </w:p>
    <w:p w14:paraId="1ABDDDF8">
      <w:pPr>
        <w:spacing w:line="360" w:lineRule="auto"/>
        <w:ind w:firstLine="480" w:firstLineChars="200"/>
        <w:rPr>
          <w:rFonts w:ascii="仿宋_GB2312" w:hAnsi="仿宋" w:eastAsia="仿宋_GB2312" w:cs="仿宋_GB2312"/>
          <w:kern w:val="0"/>
          <w:sz w:val="24"/>
        </w:rPr>
      </w:pPr>
      <w:r>
        <w:rPr>
          <w:rFonts w:hint="eastAsia" w:ascii="仿宋_GB2312" w:hAnsi="仿宋" w:eastAsia="仿宋_GB2312" w:cs="仿宋_GB2312"/>
          <w:kern w:val="0"/>
          <w:sz w:val="24"/>
        </w:rPr>
        <w:t>根据公开招标文件须知前附表的规定及供应商提供的材料自行编写目录（部分格式后附）</w:t>
      </w:r>
    </w:p>
    <w:p w14:paraId="51E425E5">
      <w:pPr>
        <w:spacing w:line="360" w:lineRule="auto"/>
        <w:ind w:firstLine="482" w:firstLineChars="200"/>
        <w:rPr>
          <w:rFonts w:hint="eastAsia" w:ascii="仿宋_GB2312" w:hAnsi="仿宋" w:eastAsia="仿宋_GB2312" w:cs="仿宋_GB2312"/>
          <w:b/>
          <w:bCs/>
          <w:sz w:val="24"/>
        </w:rPr>
      </w:pPr>
    </w:p>
    <w:p w14:paraId="7E4109D3">
      <w:pPr>
        <w:widowControl/>
        <w:spacing w:line="360" w:lineRule="auto"/>
        <w:jc w:val="left"/>
        <w:rPr>
          <w:rFonts w:ascii="宋体" w:hAnsi="宋体"/>
          <w:color w:val="000000"/>
          <w:sz w:val="30"/>
          <w:szCs w:val="20"/>
        </w:rPr>
        <w:sectPr>
          <w:pgSz w:w="11906" w:h="16838"/>
          <w:pgMar w:top="1134" w:right="1134" w:bottom="1134" w:left="1134" w:header="720" w:footer="720" w:gutter="0"/>
          <w:cols w:space="720" w:num="1"/>
          <w:docGrid w:type="lines" w:linePitch="331" w:charSpace="0"/>
        </w:sectPr>
      </w:pPr>
    </w:p>
    <w:p w14:paraId="18A082B4">
      <w:pPr>
        <w:snapToGrid w:val="0"/>
        <w:spacing w:line="360" w:lineRule="auto"/>
        <w:rPr>
          <w:rFonts w:hint="eastAsia" w:ascii="仿宋_GB2312" w:hAnsi="仿宋" w:eastAsia="仿宋_GB2312" w:cs="仿宋_GB2312"/>
          <w:b/>
          <w:kern w:val="0"/>
          <w:sz w:val="32"/>
          <w:szCs w:val="32"/>
          <w:lang w:val="zh-CN"/>
        </w:rPr>
      </w:pPr>
    </w:p>
    <w:p w14:paraId="54A57FBD">
      <w:pPr>
        <w:spacing w:line="360" w:lineRule="auto"/>
        <w:jc w:val="center"/>
        <w:rPr>
          <w:rFonts w:hint="eastAsia" w:ascii="仿宋_GB2312" w:hAnsi="仿宋" w:eastAsia="仿宋_GB2312" w:cs="仿宋_GB2312"/>
          <w:b/>
          <w:sz w:val="30"/>
          <w:szCs w:val="30"/>
        </w:rPr>
      </w:pPr>
      <w:r>
        <w:rPr>
          <w:rFonts w:hint="eastAsia" w:ascii="仿宋_GB2312" w:hAnsi="仿宋" w:eastAsia="仿宋_GB2312" w:cs="仿宋_GB2312"/>
          <w:b/>
          <w:kern w:val="0"/>
          <w:sz w:val="32"/>
          <w:szCs w:val="32"/>
          <w:lang w:val="zh-CN"/>
        </w:rPr>
        <w:t>一、</w:t>
      </w:r>
      <w:r>
        <w:rPr>
          <w:rFonts w:hint="eastAsia" w:ascii="仿宋_GB2312" w:hAnsi="仿宋" w:eastAsia="仿宋_GB2312" w:cs="仿宋_GB2312"/>
          <w:b/>
          <w:sz w:val="30"/>
          <w:szCs w:val="30"/>
        </w:rPr>
        <w:t>营业执照(或事业法人登记证或其他工商等登记证明材料)复印件（投标人为自然人的，提供自然人的身份证明）</w:t>
      </w:r>
    </w:p>
    <w:p w14:paraId="6642C893">
      <w:pPr>
        <w:spacing w:line="360" w:lineRule="auto"/>
        <w:rPr>
          <w:rFonts w:hint="eastAsia" w:ascii="仿宋_GB2312" w:hAnsi="仿宋" w:eastAsia="仿宋_GB2312" w:cs="仿宋_GB2312"/>
          <w:b/>
          <w:sz w:val="30"/>
          <w:szCs w:val="30"/>
        </w:rPr>
      </w:pPr>
    </w:p>
    <w:p w14:paraId="555E331C">
      <w:pPr>
        <w:snapToGrid w:val="0"/>
        <w:spacing w:line="360" w:lineRule="auto"/>
        <w:ind w:firstLine="576"/>
        <w:jc w:val="center"/>
        <w:rPr>
          <w:rFonts w:hint="eastAsia" w:ascii="仿宋_GB2312" w:hAnsi="仿宋" w:eastAsia="仿宋_GB2312" w:cs="仿宋_GB2312"/>
          <w:kern w:val="0"/>
          <w:sz w:val="24"/>
          <w:lang w:val="zh-CN"/>
        </w:rPr>
      </w:pPr>
      <w:r>
        <w:rPr>
          <w:rFonts w:hint="eastAsia" w:ascii="仿宋_GB2312" w:hAnsi="仿宋" w:eastAsia="仿宋_GB2312" w:cs="仿宋_GB2312"/>
          <w:kern w:val="0"/>
          <w:sz w:val="24"/>
          <w:lang w:val="zh-CN"/>
        </w:rPr>
        <w:t xml:space="preserve">               投标人名称(电子签章)：                              </w:t>
      </w:r>
    </w:p>
    <w:p w14:paraId="7997C9DA">
      <w:pPr>
        <w:spacing w:line="360" w:lineRule="auto"/>
        <w:jc w:val="center"/>
        <w:rPr>
          <w:rFonts w:hint="eastAsia" w:ascii="仿宋_GB2312" w:hAnsi="仿宋" w:eastAsia="仿宋_GB2312" w:cs="仿宋_GB2312"/>
          <w:b/>
          <w:sz w:val="30"/>
          <w:szCs w:val="30"/>
        </w:rPr>
      </w:pPr>
      <w:r>
        <w:rPr>
          <w:rFonts w:hint="eastAsia" w:ascii="仿宋_GB2312" w:hAnsi="仿宋" w:eastAsia="仿宋_GB2312" w:cs="仿宋_GB2312"/>
          <w:kern w:val="0"/>
          <w:sz w:val="24"/>
          <w:lang w:val="zh-CN"/>
        </w:rPr>
        <w:t xml:space="preserve">                   日期：  年  月  日</w:t>
      </w:r>
    </w:p>
    <w:p w14:paraId="0427B392">
      <w:pPr>
        <w:spacing w:line="360" w:lineRule="auto"/>
        <w:jc w:val="center"/>
        <w:rPr>
          <w:rFonts w:hint="eastAsia" w:ascii="仿宋_GB2312" w:hAnsi="仿宋" w:eastAsia="仿宋_GB2312" w:cs="仿宋_GB2312"/>
          <w:b/>
          <w:sz w:val="30"/>
          <w:szCs w:val="30"/>
        </w:rPr>
      </w:pPr>
    </w:p>
    <w:p w14:paraId="4E1BB780">
      <w:pPr>
        <w:snapToGrid w:val="0"/>
        <w:spacing w:line="360" w:lineRule="auto"/>
        <w:ind w:right="480"/>
        <w:jc w:val="center"/>
        <w:rPr>
          <w:rFonts w:hint="eastAsia" w:ascii="仿宋_GB2312" w:hAnsi="仿宋" w:eastAsia="仿宋_GB2312" w:cs="仿宋_GB2312"/>
          <w:b/>
          <w:kern w:val="0"/>
          <w:sz w:val="32"/>
          <w:szCs w:val="32"/>
        </w:rPr>
      </w:pPr>
      <w:r>
        <w:rPr>
          <w:rFonts w:hint="eastAsia" w:ascii="仿宋_GB2312" w:hAnsi="仿宋" w:eastAsia="仿宋_GB2312" w:cs="仿宋_GB2312"/>
          <w:b/>
          <w:sz w:val="30"/>
          <w:szCs w:val="30"/>
        </w:rPr>
        <w:t>二、</w:t>
      </w:r>
      <w:r>
        <w:rPr>
          <w:rFonts w:hint="eastAsia" w:ascii="仿宋_GB2312" w:hAnsi="仿宋" w:eastAsia="仿宋_GB2312" w:cs="仿宋_GB2312"/>
          <w:b/>
          <w:kern w:val="0"/>
          <w:sz w:val="32"/>
          <w:szCs w:val="32"/>
        </w:rPr>
        <w:t>符合参与政府采购活动的资格条件依法缴纳税收、社会保障资金等方面的材料</w:t>
      </w:r>
    </w:p>
    <w:p w14:paraId="5A714792">
      <w:pPr>
        <w:snapToGrid w:val="0"/>
        <w:spacing w:line="360" w:lineRule="auto"/>
        <w:ind w:firstLine="480" w:firstLineChars="200"/>
        <w:rPr>
          <w:rFonts w:hint="eastAsia" w:ascii="仿宋_GB2312" w:hAnsi="仿宋" w:eastAsia="仿宋_GB2312" w:cs="仿宋_GB2312"/>
          <w:sz w:val="24"/>
        </w:rPr>
      </w:pPr>
    </w:p>
    <w:p w14:paraId="4EC583A8">
      <w:pPr>
        <w:snapToGrid w:val="0"/>
        <w:spacing w:line="360" w:lineRule="auto"/>
        <w:rPr>
          <w:rFonts w:hint="eastAsia" w:ascii="仿宋_GB2312" w:hAnsi="仿宋" w:eastAsia="仿宋_GB2312" w:cs="仿宋_GB2312"/>
          <w:kern w:val="0"/>
          <w:sz w:val="24"/>
          <w:lang w:val="zh-CN"/>
        </w:rPr>
      </w:pPr>
      <w:r>
        <w:rPr>
          <w:rFonts w:hint="eastAsia" w:ascii="仿宋_GB2312" w:hAnsi="仿宋" w:eastAsia="仿宋_GB2312" w:cs="仿宋_GB2312"/>
          <w:kern w:val="0"/>
          <w:sz w:val="24"/>
          <w:lang w:val="zh-CN"/>
        </w:rPr>
        <w:t xml:space="preserve">                                          </w:t>
      </w:r>
    </w:p>
    <w:p w14:paraId="55215875">
      <w:pPr>
        <w:snapToGrid w:val="0"/>
        <w:spacing w:line="360" w:lineRule="auto"/>
        <w:ind w:firstLine="5040" w:firstLineChars="2100"/>
        <w:rPr>
          <w:rFonts w:hint="eastAsia" w:ascii="仿宋_GB2312" w:hAnsi="仿宋" w:eastAsia="仿宋_GB2312" w:cs="仿宋_GB2312"/>
          <w:kern w:val="0"/>
          <w:sz w:val="24"/>
        </w:rPr>
      </w:pPr>
      <w:r>
        <w:rPr>
          <w:rFonts w:hint="eastAsia" w:ascii="仿宋_GB2312" w:hAnsi="仿宋" w:eastAsia="仿宋_GB2312" w:cs="仿宋_GB2312"/>
          <w:kern w:val="0"/>
          <w:sz w:val="24"/>
          <w:lang w:val="zh-CN"/>
        </w:rPr>
        <w:t xml:space="preserve"> 投标人名称(电子签章)：</w:t>
      </w:r>
    </w:p>
    <w:p w14:paraId="51217758">
      <w:pPr>
        <w:snapToGrid w:val="0"/>
        <w:spacing w:line="360" w:lineRule="auto"/>
        <w:ind w:firstLine="5160" w:firstLineChars="2150"/>
        <w:rPr>
          <w:rFonts w:hint="eastAsia" w:ascii="仿宋_GB2312" w:hAnsi="仿宋" w:eastAsia="仿宋_GB2312" w:cs="仿宋_GB2312"/>
          <w:kern w:val="0"/>
          <w:sz w:val="24"/>
          <w:lang w:val="zh-CN"/>
        </w:rPr>
      </w:pPr>
      <w:r>
        <w:rPr>
          <w:rFonts w:hint="eastAsia" w:ascii="仿宋_GB2312" w:hAnsi="仿宋" w:eastAsia="仿宋_GB2312" w:cs="仿宋_GB2312"/>
          <w:kern w:val="0"/>
          <w:sz w:val="24"/>
          <w:lang w:val="zh-CN"/>
        </w:rPr>
        <w:t>日期</w:t>
      </w:r>
      <w:r>
        <w:rPr>
          <w:rFonts w:hint="eastAsia" w:ascii="仿宋_GB2312" w:hAnsi="仿宋" w:eastAsia="仿宋_GB2312" w:cs="仿宋_GB2312"/>
          <w:kern w:val="0"/>
          <w:sz w:val="24"/>
        </w:rPr>
        <w:t xml:space="preserve">：  年  </w:t>
      </w:r>
      <w:r>
        <w:rPr>
          <w:rFonts w:hint="eastAsia" w:ascii="仿宋_GB2312" w:hAnsi="仿宋" w:eastAsia="仿宋_GB2312" w:cs="仿宋_GB2312"/>
          <w:kern w:val="0"/>
          <w:sz w:val="24"/>
          <w:lang w:val="zh-CN"/>
        </w:rPr>
        <w:t>月</w:t>
      </w:r>
      <w:r>
        <w:rPr>
          <w:rFonts w:hint="eastAsia" w:ascii="仿宋_GB2312" w:hAnsi="仿宋" w:eastAsia="仿宋_GB2312" w:cs="仿宋_GB2312"/>
          <w:kern w:val="0"/>
          <w:sz w:val="24"/>
        </w:rPr>
        <w:t xml:space="preserve">   </w:t>
      </w:r>
      <w:r>
        <w:rPr>
          <w:rFonts w:hint="eastAsia" w:ascii="仿宋_GB2312" w:hAnsi="仿宋" w:eastAsia="仿宋_GB2312" w:cs="仿宋_GB2312"/>
          <w:kern w:val="0"/>
          <w:sz w:val="24"/>
          <w:lang w:val="zh-CN"/>
        </w:rPr>
        <w:t>日</w:t>
      </w:r>
    </w:p>
    <w:p w14:paraId="6A8590C5">
      <w:pPr>
        <w:snapToGrid w:val="0"/>
        <w:spacing w:line="360" w:lineRule="auto"/>
        <w:ind w:right="480"/>
        <w:jc w:val="center"/>
        <w:rPr>
          <w:rFonts w:hint="eastAsia" w:ascii="仿宋_GB2312" w:hAnsi="仿宋" w:eastAsia="仿宋_GB2312" w:cs="仿宋_GB2312"/>
          <w:b/>
          <w:kern w:val="0"/>
          <w:sz w:val="32"/>
          <w:szCs w:val="32"/>
        </w:rPr>
      </w:pPr>
      <w:r>
        <w:rPr>
          <w:rFonts w:hint="eastAsia" w:ascii="仿宋_GB2312" w:hAnsi="仿宋" w:eastAsia="仿宋_GB2312" w:cs="仿宋_GB2312"/>
          <w:b/>
          <w:sz w:val="30"/>
          <w:szCs w:val="30"/>
        </w:rPr>
        <w:t>三、</w:t>
      </w:r>
      <w:r>
        <w:rPr>
          <w:rFonts w:hint="eastAsia" w:ascii="仿宋_GB2312" w:hAnsi="仿宋" w:eastAsia="仿宋_GB2312" w:cs="仿宋_GB2312"/>
          <w:b/>
          <w:kern w:val="0"/>
          <w:sz w:val="32"/>
          <w:szCs w:val="32"/>
        </w:rPr>
        <w:t>财务状况报告方面的材料</w:t>
      </w:r>
    </w:p>
    <w:p w14:paraId="3EDBAFED">
      <w:pPr>
        <w:snapToGrid w:val="0"/>
        <w:spacing w:line="360" w:lineRule="auto"/>
        <w:ind w:firstLine="480" w:firstLineChars="200"/>
        <w:rPr>
          <w:rFonts w:hint="eastAsia" w:ascii="仿宋_GB2312" w:hAnsi="仿宋" w:eastAsia="仿宋_GB2312" w:cs="仿宋_GB2312"/>
          <w:sz w:val="24"/>
        </w:rPr>
      </w:pPr>
    </w:p>
    <w:p w14:paraId="2E0A66F5">
      <w:pPr>
        <w:snapToGrid w:val="0"/>
        <w:spacing w:line="360" w:lineRule="auto"/>
        <w:rPr>
          <w:rFonts w:hint="eastAsia" w:ascii="仿宋_GB2312" w:hAnsi="仿宋" w:eastAsia="仿宋_GB2312" w:cs="仿宋_GB2312"/>
          <w:kern w:val="0"/>
          <w:sz w:val="24"/>
          <w:lang w:val="zh-CN"/>
        </w:rPr>
      </w:pPr>
      <w:r>
        <w:rPr>
          <w:rFonts w:hint="eastAsia" w:ascii="仿宋_GB2312" w:hAnsi="仿宋" w:eastAsia="仿宋_GB2312" w:cs="仿宋_GB2312"/>
          <w:kern w:val="0"/>
          <w:sz w:val="24"/>
          <w:lang w:val="zh-CN"/>
        </w:rPr>
        <w:t xml:space="preserve">                                          </w:t>
      </w:r>
    </w:p>
    <w:p w14:paraId="1F017143">
      <w:pPr>
        <w:snapToGrid w:val="0"/>
        <w:spacing w:line="360" w:lineRule="auto"/>
        <w:ind w:firstLine="5040" w:firstLineChars="2100"/>
        <w:rPr>
          <w:rFonts w:hint="eastAsia" w:ascii="仿宋_GB2312" w:hAnsi="仿宋" w:eastAsia="仿宋_GB2312" w:cs="仿宋_GB2312"/>
          <w:kern w:val="0"/>
          <w:sz w:val="24"/>
        </w:rPr>
      </w:pPr>
      <w:r>
        <w:rPr>
          <w:rFonts w:hint="eastAsia" w:ascii="仿宋_GB2312" w:hAnsi="仿宋" w:eastAsia="仿宋_GB2312" w:cs="仿宋_GB2312"/>
          <w:kern w:val="0"/>
          <w:sz w:val="24"/>
          <w:lang w:val="zh-CN"/>
        </w:rPr>
        <w:t xml:space="preserve"> 投标人名称(电子签章)：</w:t>
      </w:r>
    </w:p>
    <w:p w14:paraId="15C01A16">
      <w:pPr>
        <w:snapToGrid w:val="0"/>
        <w:spacing w:line="360" w:lineRule="auto"/>
        <w:ind w:firstLine="5160" w:firstLineChars="2150"/>
        <w:rPr>
          <w:rFonts w:hint="eastAsia" w:ascii="仿宋_GB2312" w:hAnsi="仿宋" w:eastAsia="仿宋_GB2312" w:cs="仿宋_GB2312"/>
          <w:kern w:val="0"/>
          <w:sz w:val="24"/>
          <w:lang w:val="zh-CN"/>
        </w:rPr>
      </w:pPr>
      <w:r>
        <w:rPr>
          <w:rFonts w:hint="eastAsia" w:ascii="仿宋_GB2312" w:hAnsi="仿宋" w:eastAsia="仿宋_GB2312" w:cs="仿宋_GB2312"/>
          <w:kern w:val="0"/>
          <w:sz w:val="24"/>
          <w:lang w:val="zh-CN"/>
        </w:rPr>
        <w:t>日期</w:t>
      </w:r>
      <w:r>
        <w:rPr>
          <w:rFonts w:hint="eastAsia" w:ascii="仿宋_GB2312" w:hAnsi="仿宋" w:eastAsia="仿宋_GB2312" w:cs="仿宋_GB2312"/>
          <w:kern w:val="0"/>
          <w:sz w:val="24"/>
        </w:rPr>
        <w:t xml:space="preserve">：  年  </w:t>
      </w:r>
      <w:r>
        <w:rPr>
          <w:rFonts w:hint="eastAsia" w:ascii="仿宋_GB2312" w:hAnsi="仿宋" w:eastAsia="仿宋_GB2312" w:cs="仿宋_GB2312"/>
          <w:kern w:val="0"/>
          <w:sz w:val="24"/>
          <w:lang w:val="zh-CN"/>
        </w:rPr>
        <w:t>月</w:t>
      </w:r>
      <w:r>
        <w:rPr>
          <w:rFonts w:hint="eastAsia" w:ascii="仿宋_GB2312" w:hAnsi="仿宋" w:eastAsia="仿宋_GB2312" w:cs="仿宋_GB2312"/>
          <w:kern w:val="0"/>
          <w:sz w:val="24"/>
        </w:rPr>
        <w:t xml:space="preserve">   </w:t>
      </w:r>
      <w:r>
        <w:rPr>
          <w:rFonts w:hint="eastAsia" w:ascii="仿宋_GB2312" w:hAnsi="仿宋" w:eastAsia="仿宋_GB2312" w:cs="仿宋_GB2312"/>
          <w:kern w:val="0"/>
          <w:sz w:val="24"/>
          <w:lang w:val="zh-CN"/>
        </w:rPr>
        <w:t>日</w:t>
      </w:r>
    </w:p>
    <w:p w14:paraId="04E09C23">
      <w:pPr>
        <w:snapToGrid w:val="0"/>
        <w:spacing w:line="360" w:lineRule="auto"/>
        <w:ind w:firstLine="5160" w:firstLineChars="2150"/>
        <w:rPr>
          <w:rFonts w:hint="eastAsia" w:ascii="仿宋_GB2312" w:hAnsi="仿宋" w:eastAsia="仿宋_GB2312" w:cs="仿宋_GB2312"/>
          <w:kern w:val="0"/>
          <w:sz w:val="24"/>
          <w:lang w:val="zh-CN"/>
        </w:rPr>
      </w:pPr>
    </w:p>
    <w:p w14:paraId="570D9503">
      <w:pPr>
        <w:snapToGrid w:val="0"/>
        <w:spacing w:line="360" w:lineRule="auto"/>
        <w:ind w:right="480"/>
        <w:jc w:val="center"/>
        <w:rPr>
          <w:rFonts w:hint="eastAsia" w:ascii="仿宋_GB2312" w:hAnsi="仿宋" w:eastAsia="仿宋_GB2312" w:cs="仿宋_GB2312"/>
          <w:b/>
          <w:kern w:val="0"/>
          <w:sz w:val="32"/>
          <w:szCs w:val="32"/>
          <w:lang w:val="zh-CN"/>
        </w:rPr>
      </w:pPr>
    </w:p>
    <w:p w14:paraId="733DAF34">
      <w:pPr>
        <w:snapToGrid w:val="0"/>
        <w:spacing w:line="360" w:lineRule="auto"/>
        <w:ind w:right="480"/>
        <w:jc w:val="center"/>
        <w:rPr>
          <w:rFonts w:hint="eastAsia" w:ascii="宋体" w:hAnsi="宋体"/>
          <w:b/>
          <w:color w:val="000000"/>
          <w:sz w:val="28"/>
          <w:szCs w:val="28"/>
        </w:rPr>
      </w:pPr>
      <w:r>
        <w:rPr>
          <w:rFonts w:hint="eastAsia" w:ascii="仿宋_GB2312" w:hAnsi="仿宋" w:eastAsia="仿宋_GB2312" w:cs="仿宋_GB2312"/>
          <w:b/>
          <w:kern w:val="0"/>
          <w:sz w:val="32"/>
          <w:szCs w:val="32"/>
        </w:rPr>
        <w:br w:type="page"/>
      </w:r>
    </w:p>
    <w:p w14:paraId="28027F7B">
      <w:pPr>
        <w:snapToGrid w:val="0"/>
        <w:spacing w:before="50" w:after="165" w:afterLines="50" w:line="360" w:lineRule="auto"/>
        <w:jc w:val="center"/>
        <w:rPr>
          <w:rFonts w:hint="eastAsia" w:ascii="仿宋_GB2312" w:hAnsi="仿宋" w:eastAsia="仿宋_GB2312" w:cs="仿宋_GB2312"/>
          <w:b/>
          <w:kern w:val="0"/>
          <w:sz w:val="32"/>
          <w:szCs w:val="32"/>
        </w:rPr>
      </w:pPr>
      <w:r>
        <w:rPr>
          <w:rFonts w:hint="eastAsia" w:ascii="仿宋_GB2312" w:hAnsi="仿宋" w:eastAsia="仿宋_GB2312" w:cs="仿宋_GB2312"/>
          <w:b/>
          <w:kern w:val="0"/>
          <w:sz w:val="32"/>
          <w:szCs w:val="32"/>
        </w:rPr>
        <w:t>四、投标人直接控股股东信息表</w:t>
      </w:r>
    </w:p>
    <w:tbl>
      <w:tblPr>
        <w:tblStyle w:val="16"/>
        <w:tblW w:w="0" w:type="auto"/>
        <w:tblInd w:w="125" w:type="dxa"/>
        <w:shd w:val="clear" w:color="auto" w:fill="FBFBFB"/>
        <w:tblLayout w:type="fixed"/>
        <w:tblCellMar>
          <w:top w:w="0" w:type="dxa"/>
          <w:left w:w="0" w:type="dxa"/>
          <w:bottom w:w="0" w:type="dxa"/>
          <w:right w:w="0" w:type="dxa"/>
        </w:tblCellMar>
      </w:tblPr>
      <w:tblGrid>
        <w:gridCol w:w="828"/>
        <w:gridCol w:w="2269"/>
        <w:gridCol w:w="1239"/>
        <w:gridCol w:w="3722"/>
        <w:gridCol w:w="1418"/>
      </w:tblGrid>
      <w:tr w14:paraId="7F682F60">
        <w:tblPrEx>
          <w:shd w:val="clear" w:color="auto" w:fill="FBFBFB"/>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0E6E98C3">
            <w:pPr>
              <w:spacing w:line="360" w:lineRule="auto"/>
              <w:jc w:val="center"/>
              <w:rPr>
                <w:rFonts w:hint="eastAsia" w:ascii="宋体" w:hAnsi="宋体" w:cs="宋体"/>
                <w:b/>
                <w:bCs/>
                <w:color w:val="000000"/>
                <w:kern w:val="0"/>
                <w:sz w:val="24"/>
              </w:rPr>
            </w:pPr>
            <w:r>
              <w:rPr>
                <w:rFonts w:hint="eastAsia" w:ascii="宋体" w:hAnsi="宋体" w:cs="宋体"/>
                <w:b/>
                <w:bCs/>
                <w:color w:val="000000"/>
                <w:kern w:val="0"/>
                <w:sz w:val="24"/>
              </w:rPr>
              <w:t>序号</w:t>
            </w:r>
          </w:p>
        </w:tc>
        <w:tc>
          <w:tcPr>
            <w:tcW w:w="226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18A8A477">
            <w:pPr>
              <w:spacing w:line="360" w:lineRule="auto"/>
              <w:jc w:val="center"/>
              <w:rPr>
                <w:rFonts w:hint="eastAsia" w:ascii="宋体" w:hAnsi="宋体" w:cs="宋体"/>
                <w:b/>
                <w:bCs/>
                <w:color w:val="000000"/>
                <w:kern w:val="0"/>
                <w:sz w:val="24"/>
              </w:rPr>
            </w:pPr>
            <w:r>
              <w:rPr>
                <w:rFonts w:hint="eastAsia" w:ascii="宋体" w:hAnsi="宋体" w:cs="宋体"/>
                <w:b/>
                <w:bCs/>
                <w:color w:val="000000"/>
                <w:kern w:val="0"/>
                <w:sz w:val="24"/>
              </w:rPr>
              <w:t>直接控股股东名称</w:t>
            </w:r>
          </w:p>
        </w:tc>
        <w:tc>
          <w:tcPr>
            <w:tcW w:w="123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26C098">
            <w:pPr>
              <w:spacing w:line="360" w:lineRule="auto"/>
              <w:jc w:val="center"/>
              <w:rPr>
                <w:rFonts w:hint="eastAsia" w:ascii="宋体" w:hAnsi="宋体" w:cs="宋体"/>
                <w:b/>
                <w:bCs/>
                <w:color w:val="000000"/>
                <w:kern w:val="0"/>
                <w:sz w:val="24"/>
              </w:rPr>
            </w:pPr>
            <w:r>
              <w:rPr>
                <w:rFonts w:hint="eastAsia" w:ascii="宋体" w:hAnsi="宋体" w:cs="宋体"/>
                <w:b/>
                <w:bCs/>
                <w:color w:val="000000"/>
                <w:kern w:val="0"/>
                <w:sz w:val="24"/>
              </w:rPr>
              <w:t>出资比例</w:t>
            </w:r>
          </w:p>
        </w:tc>
        <w:tc>
          <w:tcPr>
            <w:tcW w:w="372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47B0038A">
            <w:pPr>
              <w:spacing w:line="360" w:lineRule="auto"/>
              <w:jc w:val="center"/>
              <w:rPr>
                <w:rFonts w:hint="eastAsia" w:ascii="宋体" w:hAnsi="宋体" w:cs="宋体"/>
                <w:b/>
                <w:bCs/>
                <w:color w:val="000000"/>
                <w:kern w:val="0"/>
                <w:sz w:val="24"/>
              </w:rPr>
            </w:pPr>
            <w:r>
              <w:rPr>
                <w:rFonts w:hint="eastAsia" w:ascii="宋体" w:hAnsi="宋体" w:cs="宋体"/>
                <w:b/>
                <w:bCs/>
                <w:color w:val="000000"/>
                <w:kern w:val="0"/>
                <w:sz w:val="24"/>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1B5CDD6E">
            <w:pPr>
              <w:spacing w:line="360" w:lineRule="auto"/>
              <w:jc w:val="center"/>
              <w:rPr>
                <w:rFonts w:hint="eastAsia" w:ascii="宋体" w:hAnsi="宋体" w:cs="宋体"/>
                <w:b/>
                <w:bCs/>
                <w:color w:val="000000"/>
                <w:kern w:val="0"/>
                <w:sz w:val="24"/>
              </w:rPr>
            </w:pPr>
            <w:r>
              <w:rPr>
                <w:rFonts w:hint="eastAsia" w:ascii="宋体" w:hAnsi="宋体" w:cs="宋体"/>
                <w:b/>
                <w:bCs/>
                <w:color w:val="000000"/>
                <w:kern w:val="0"/>
                <w:sz w:val="24"/>
              </w:rPr>
              <w:t>备注</w:t>
            </w:r>
          </w:p>
        </w:tc>
      </w:tr>
      <w:tr w14:paraId="518038DF">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3728152">
            <w:pPr>
              <w:spacing w:line="360" w:lineRule="auto"/>
              <w:jc w:val="center"/>
              <w:rPr>
                <w:rFonts w:hint="eastAsia" w:ascii="宋体" w:hAnsi="宋体" w:cs="宋体"/>
                <w:color w:val="000000"/>
                <w:kern w:val="0"/>
                <w:sz w:val="24"/>
              </w:rPr>
            </w:pPr>
            <w:r>
              <w:rPr>
                <w:rFonts w:hint="eastAsia" w:ascii="宋体" w:hAnsi="宋体" w:cs="宋体"/>
                <w:color w:val="000000"/>
                <w:kern w:val="0"/>
                <w:sz w:val="24"/>
              </w:rPr>
              <w:t>1</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BE88FC3">
            <w:pPr>
              <w:spacing w:line="360" w:lineRule="auto"/>
              <w:jc w:val="center"/>
              <w:rPr>
                <w:rFonts w:hint="eastAsia" w:ascii="宋体" w:hAnsi="宋体" w:cs="宋体"/>
                <w:color w:val="000000"/>
                <w:kern w:val="0"/>
                <w:sz w:val="24"/>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53665BE">
            <w:pPr>
              <w:spacing w:line="360" w:lineRule="auto"/>
              <w:jc w:val="center"/>
              <w:rPr>
                <w:rFonts w:hint="eastAsia" w:ascii="宋体" w:hAnsi="宋体" w:cs="宋体"/>
                <w:color w:val="000000"/>
                <w:kern w:val="0"/>
                <w:sz w:val="24"/>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BEB9CCC">
            <w:pPr>
              <w:spacing w:line="360" w:lineRule="auto"/>
              <w:jc w:val="center"/>
              <w:rPr>
                <w:rFonts w:hint="eastAsia" w:ascii="宋体" w:hAnsi="宋体" w:cs="宋体"/>
                <w:color w:val="000000"/>
                <w:kern w:val="0"/>
                <w:sz w:val="24"/>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9B38DAB">
            <w:pPr>
              <w:spacing w:line="360" w:lineRule="auto"/>
              <w:jc w:val="center"/>
              <w:rPr>
                <w:rFonts w:hint="eastAsia" w:ascii="宋体" w:hAnsi="宋体" w:cs="宋体"/>
                <w:color w:val="000000"/>
                <w:kern w:val="0"/>
                <w:sz w:val="24"/>
              </w:rPr>
            </w:pPr>
          </w:p>
        </w:tc>
      </w:tr>
      <w:tr w14:paraId="0B5D1F37">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4D27F01">
            <w:pPr>
              <w:spacing w:line="360" w:lineRule="auto"/>
              <w:jc w:val="center"/>
              <w:rPr>
                <w:rFonts w:hint="eastAsia" w:ascii="宋体" w:hAnsi="宋体" w:cs="宋体"/>
                <w:color w:val="000000"/>
                <w:kern w:val="0"/>
                <w:sz w:val="24"/>
              </w:rPr>
            </w:pPr>
            <w:r>
              <w:rPr>
                <w:rFonts w:hint="eastAsia" w:ascii="宋体" w:hAnsi="宋体" w:cs="宋体"/>
                <w:color w:val="000000"/>
                <w:kern w:val="0"/>
                <w:sz w:val="24"/>
              </w:rPr>
              <w:t>2</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4593E20">
            <w:pPr>
              <w:spacing w:line="360" w:lineRule="auto"/>
              <w:jc w:val="center"/>
              <w:rPr>
                <w:rFonts w:hint="eastAsia" w:ascii="宋体" w:hAnsi="宋体" w:cs="宋体"/>
                <w:color w:val="000000"/>
                <w:kern w:val="0"/>
                <w:sz w:val="24"/>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E3A67B8">
            <w:pPr>
              <w:spacing w:line="360" w:lineRule="auto"/>
              <w:jc w:val="center"/>
              <w:rPr>
                <w:rFonts w:hint="eastAsia" w:ascii="宋体" w:hAnsi="宋体" w:cs="宋体"/>
                <w:color w:val="000000"/>
                <w:kern w:val="0"/>
                <w:sz w:val="24"/>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4C2EF1">
            <w:pPr>
              <w:spacing w:line="360" w:lineRule="auto"/>
              <w:jc w:val="center"/>
              <w:rPr>
                <w:rFonts w:hint="eastAsia" w:ascii="宋体" w:hAnsi="宋体" w:cs="宋体"/>
                <w:color w:val="000000"/>
                <w:kern w:val="0"/>
                <w:sz w:val="24"/>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0380B88">
            <w:pPr>
              <w:spacing w:line="360" w:lineRule="auto"/>
              <w:jc w:val="center"/>
              <w:rPr>
                <w:rFonts w:hint="eastAsia" w:ascii="宋体" w:hAnsi="宋体" w:cs="宋体"/>
                <w:color w:val="000000"/>
                <w:kern w:val="0"/>
                <w:sz w:val="24"/>
              </w:rPr>
            </w:pPr>
          </w:p>
        </w:tc>
      </w:tr>
      <w:tr w14:paraId="54EB6E46">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C68D3F7">
            <w:pPr>
              <w:spacing w:line="360" w:lineRule="auto"/>
              <w:jc w:val="center"/>
              <w:rPr>
                <w:rFonts w:hint="eastAsia" w:ascii="宋体" w:hAnsi="宋体" w:cs="宋体"/>
                <w:color w:val="000000"/>
                <w:kern w:val="0"/>
                <w:sz w:val="24"/>
              </w:rPr>
            </w:pPr>
            <w:r>
              <w:rPr>
                <w:rFonts w:hint="eastAsia" w:ascii="宋体" w:hAnsi="宋体" w:cs="宋体"/>
                <w:color w:val="000000"/>
                <w:kern w:val="0"/>
                <w:sz w:val="24"/>
              </w:rPr>
              <w:t>3</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B7998B">
            <w:pPr>
              <w:spacing w:line="360" w:lineRule="auto"/>
              <w:jc w:val="center"/>
              <w:rPr>
                <w:rFonts w:hint="eastAsia" w:ascii="宋体" w:hAnsi="宋体" w:cs="宋体"/>
                <w:color w:val="000000"/>
                <w:kern w:val="0"/>
                <w:sz w:val="24"/>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8D86926">
            <w:pPr>
              <w:spacing w:line="360" w:lineRule="auto"/>
              <w:jc w:val="center"/>
              <w:rPr>
                <w:rFonts w:hint="eastAsia" w:ascii="宋体" w:hAnsi="宋体" w:cs="宋体"/>
                <w:color w:val="000000"/>
                <w:kern w:val="0"/>
                <w:sz w:val="24"/>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12E77BA">
            <w:pPr>
              <w:spacing w:line="360" w:lineRule="auto"/>
              <w:jc w:val="center"/>
              <w:rPr>
                <w:rFonts w:hint="eastAsia" w:ascii="宋体" w:hAnsi="宋体" w:cs="宋体"/>
                <w:color w:val="000000"/>
                <w:kern w:val="0"/>
                <w:sz w:val="24"/>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C8BCBE3">
            <w:pPr>
              <w:spacing w:line="360" w:lineRule="auto"/>
              <w:jc w:val="center"/>
              <w:rPr>
                <w:rFonts w:hint="eastAsia" w:ascii="宋体" w:hAnsi="宋体" w:cs="宋体"/>
                <w:color w:val="000000"/>
                <w:kern w:val="0"/>
                <w:sz w:val="24"/>
              </w:rPr>
            </w:pPr>
          </w:p>
        </w:tc>
      </w:tr>
      <w:tr w14:paraId="77C8FF48">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F5471C0">
            <w:pPr>
              <w:spacing w:line="360" w:lineRule="auto"/>
              <w:jc w:val="center"/>
              <w:rPr>
                <w:rFonts w:hint="eastAsia" w:ascii="宋体" w:hAnsi="宋体" w:cs="宋体"/>
                <w:color w:val="000000"/>
                <w:kern w:val="0"/>
                <w:sz w:val="24"/>
              </w:rPr>
            </w:pPr>
            <w:r>
              <w:rPr>
                <w:rFonts w:hint="eastAsia" w:ascii="宋体" w:hAnsi="宋体" w:cs="宋体"/>
                <w:color w:val="000000"/>
                <w:kern w:val="0"/>
                <w:sz w:val="24"/>
              </w:rPr>
              <w:t>……</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FFD37E">
            <w:pPr>
              <w:spacing w:line="360" w:lineRule="auto"/>
              <w:jc w:val="center"/>
              <w:rPr>
                <w:rFonts w:hint="eastAsia" w:ascii="宋体" w:hAnsi="宋体" w:cs="宋体"/>
                <w:color w:val="000000"/>
                <w:kern w:val="0"/>
                <w:sz w:val="24"/>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F3DD4B2">
            <w:pPr>
              <w:spacing w:line="360" w:lineRule="auto"/>
              <w:jc w:val="center"/>
              <w:rPr>
                <w:rFonts w:hint="eastAsia" w:ascii="宋体" w:hAnsi="宋体" w:cs="宋体"/>
                <w:color w:val="000000"/>
                <w:kern w:val="0"/>
                <w:sz w:val="24"/>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1BC3F3B">
            <w:pPr>
              <w:spacing w:line="360" w:lineRule="auto"/>
              <w:jc w:val="center"/>
              <w:rPr>
                <w:rFonts w:hint="eastAsia" w:ascii="宋体" w:hAnsi="宋体" w:cs="宋体"/>
                <w:color w:val="000000"/>
                <w:kern w:val="0"/>
                <w:sz w:val="24"/>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02B553F">
            <w:pPr>
              <w:spacing w:line="360" w:lineRule="auto"/>
              <w:jc w:val="center"/>
              <w:rPr>
                <w:rFonts w:hint="eastAsia" w:ascii="宋体" w:hAnsi="宋体" w:cs="宋体"/>
                <w:color w:val="000000"/>
                <w:kern w:val="0"/>
                <w:sz w:val="24"/>
              </w:rPr>
            </w:pPr>
          </w:p>
        </w:tc>
      </w:tr>
    </w:tbl>
    <w:p w14:paraId="341C3588">
      <w:pPr>
        <w:snapToGrid w:val="0"/>
        <w:spacing w:line="360" w:lineRule="auto"/>
        <w:jc w:val="left"/>
        <w:rPr>
          <w:rFonts w:hint="eastAsia" w:ascii="宋体" w:hAnsi="宋体"/>
          <w:color w:val="000000"/>
          <w:sz w:val="24"/>
        </w:rPr>
      </w:pPr>
      <w:r>
        <w:rPr>
          <w:rFonts w:hint="eastAsia" w:ascii="宋体" w:hAnsi="宋体"/>
          <w:color w:val="000000"/>
          <w:sz w:val="24"/>
        </w:rPr>
        <w:t>注：</w:t>
      </w:r>
    </w:p>
    <w:p w14:paraId="129C5209">
      <w:pPr>
        <w:snapToGrid w:val="0"/>
        <w:spacing w:line="360" w:lineRule="auto"/>
        <w:jc w:val="left"/>
        <w:rPr>
          <w:rFonts w:hint="eastAsia" w:ascii="宋体" w:hAnsi="宋体"/>
          <w:color w:val="000000"/>
          <w:sz w:val="24"/>
        </w:rPr>
      </w:pPr>
      <w:r>
        <w:rPr>
          <w:rFonts w:hint="eastAsia" w:ascii="宋体" w:hAnsi="宋体"/>
          <w:color w:val="000000"/>
          <w:sz w:val="24"/>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413EBE67">
      <w:pPr>
        <w:snapToGrid w:val="0"/>
        <w:spacing w:line="360" w:lineRule="auto"/>
        <w:jc w:val="left"/>
        <w:rPr>
          <w:rFonts w:hint="eastAsia" w:ascii="宋体" w:hAnsi="宋体"/>
          <w:color w:val="000000"/>
          <w:sz w:val="24"/>
        </w:rPr>
      </w:pPr>
      <w:r>
        <w:rPr>
          <w:rFonts w:hint="eastAsia" w:ascii="宋体" w:hAnsi="宋体"/>
          <w:color w:val="000000"/>
          <w:sz w:val="24"/>
        </w:rPr>
        <w:t>2.本表所指的控股关系仅限于直接控股关系，不包括间接的控股关系。公司实际控制人与公司之间的关系不属于本表所指的直接控股关系。</w:t>
      </w:r>
    </w:p>
    <w:p w14:paraId="2CFB39CB">
      <w:pPr>
        <w:snapToGrid w:val="0"/>
        <w:spacing w:line="360" w:lineRule="auto"/>
        <w:jc w:val="left"/>
        <w:rPr>
          <w:rFonts w:hint="eastAsia" w:ascii="宋体" w:hAnsi="宋体"/>
          <w:b/>
          <w:bCs/>
          <w:color w:val="000000"/>
          <w:sz w:val="24"/>
        </w:rPr>
      </w:pPr>
      <w:r>
        <w:rPr>
          <w:rFonts w:hint="eastAsia" w:ascii="宋体" w:hAnsi="宋体"/>
          <w:b/>
          <w:bCs/>
          <w:color w:val="000000"/>
          <w:sz w:val="24"/>
        </w:rPr>
        <w:t>3.供应商不存在直接控股股东的，则填“无”。</w:t>
      </w:r>
    </w:p>
    <w:p w14:paraId="1F9F4A95">
      <w:pPr>
        <w:snapToGrid w:val="0"/>
        <w:spacing w:line="360" w:lineRule="auto"/>
        <w:jc w:val="left"/>
        <w:rPr>
          <w:rFonts w:hint="eastAsia" w:ascii="宋体" w:hAnsi="宋体"/>
          <w:color w:val="000000"/>
          <w:sz w:val="24"/>
        </w:rPr>
      </w:pPr>
    </w:p>
    <w:p w14:paraId="421A706C">
      <w:pPr>
        <w:snapToGrid w:val="0"/>
        <w:spacing w:line="360" w:lineRule="auto"/>
        <w:jc w:val="left"/>
        <w:rPr>
          <w:rFonts w:hint="eastAsia" w:ascii="宋体" w:hAnsi="宋体"/>
          <w:color w:val="000000"/>
          <w:sz w:val="24"/>
        </w:rPr>
      </w:pPr>
    </w:p>
    <w:p w14:paraId="0E71A519">
      <w:pPr>
        <w:snapToGrid w:val="0"/>
        <w:spacing w:line="360" w:lineRule="auto"/>
        <w:jc w:val="left"/>
        <w:rPr>
          <w:rFonts w:hint="eastAsia" w:ascii="宋体" w:hAnsi="宋体"/>
          <w:color w:val="000000"/>
          <w:sz w:val="24"/>
        </w:rPr>
      </w:pPr>
    </w:p>
    <w:p w14:paraId="2B48DF36">
      <w:pPr>
        <w:snapToGrid w:val="0"/>
        <w:spacing w:line="360" w:lineRule="auto"/>
        <w:jc w:val="left"/>
        <w:rPr>
          <w:rFonts w:hint="eastAsia" w:ascii="宋体" w:hAnsi="宋体"/>
          <w:color w:val="000000"/>
          <w:sz w:val="24"/>
        </w:rPr>
      </w:pPr>
    </w:p>
    <w:p w14:paraId="5CA88172">
      <w:pPr>
        <w:snapToGrid w:val="0"/>
        <w:spacing w:line="360" w:lineRule="auto"/>
        <w:jc w:val="left"/>
        <w:rPr>
          <w:rFonts w:hint="eastAsia" w:ascii="宋体" w:hAnsi="宋体"/>
          <w:color w:val="000000"/>
          <w:sz w:val="24"/>
        </w:rPr>
      </w:pPr>
    </w:p>
    <w:p w14:paraId="731EB9DA">
      <w:pPr>
        <w:snapToGrid w:val="0"/>
        <w:spacing w:line="360" w:lineRule="auto"/>
        <w:ind w:firstLine="5040" w:firstLineChars="2100"/>
        <w:rPr>
          <w:rFonts w:hint="eastAsia" w:ascii="仿宋_GB2312" w:hAnsi="仿宋" w:eastAsia="仿宋_GB2312" w:cs="仿宋_GB2312"/>
          <w:kern w:val="0"/>
          <w:sz w:val="24"/>
        </w:rPr>
      </w:pPr>
      <w:r>
        <w:rPr>
          <w:rFonts w:hint="eastAsia" w:ascii="仿宋_GB2312" w:hAnsi="仿宋" w:eastAsia="仿宋_GB2312" w:cs="仿宋_GB2312"/>
          <w:kern w:val="0"/>
          <w:sz w:val="24"/>
          <w:lang w:val="zh-CN"/>
        </w:rPr>
        <w:t>投标人名称(电子签章)：</w:t>
      </w:r>
    </w:p>
    <w:p w14:paraId="53758536">
      <w:pPr>
        <w:snapToGrid w:val="0"/>
        <w:spacing w:line="360" w:lineRule="auto"/>
        <w:ind w:firstLine="5160" w:firstLineChars="2150"/>
        <w:rPr>
          <w:rFonts w:hint="eastAsia" w:ascii="仿宋_GB2312" w:hAnsi="仿宋" w:eastAsia="仿宋_GB2312" w:cs="仿宋_GB2312"/>
          <w:kern w:val="0"/>
          <w:sz w:val="24"/>
          <w:lang w:val="zh-CN"/>
        </w:rPr>
      </w:pPr>
      <w:r>
        <w:rPr>
          <w:rFonts w:hint="eastAsia" w:ascii="仿宋_GB2312" w:hAnsi="仿宋" w:eastAsia="仿宋_GB2312" w:cs="仿宋_GB2312"/>
          <w:kern w:val="0"/>
          <w:sz w:val="24"/>
          <w:lang w:val="zh-CN"/>
        </w:rPr>
        <w:t>日期</w:t>
      </w:r>
      <w:r>
        <w:rPr>
          <w:rFonts w:hint="eastAsia" w:ascii="仿宋_GB2312" w:hAnsi="仿宋" w:eastAsia="仿宋_GB2312" w:cs="仿宋_GB2312"/>
          <w:kern w:val="0"/>
          <w:sz w:val="24"/>
        </w:rPr>
        <w:t xml:space="preserve">：  年  </w:t>
      </w:r>
      <w:r>
        <w:rPr>
          <w:rFonts w:hint="eastAsia" w:ascii="仿宋_GB2312" w:hAnsi="仿宋" w:eastAsia="仿宋_GB2312" w:cs="仿宋_GB2312"/>
          <w:kern w:val="0"/>
          <w:sz w:val="24"/>
          <w:lang w:val="zh-CN"/>
        </w:rPr>
        <w:t>月</w:t>
      </w:r>
      <w:r>
        <w:rPr>
          <w:rFonts w:hint="eastAsia" w:ascii="仿宋_GB2312" w:hAnsi="仿宋" w:eastAsia="仿宋_GB2312" w:cs="仿宋_GB2312"/>
          <w:kern w:val="0"/>
          <w:sz w:val="24"/>
        </w:rPr>
        <w:t xml:space="preserve">   </w:t>
      </w:r>
      <w:r>
        <w:rPr>
          <w:rFonts w:hint="eastAsia" w:ascii="仿宋_GB2312" w:hAnsi="仿宋" w:eastAsia="仿宋_GB2312" w:cs="仿宋_GB2312"/>
          <w:kern w:val="0"/>
          <w:sz w:val="24"/>
          <w:lang w:val="zh-CN"/>
        </w:rPr>
        <w:t>日</w:t>
      </w:r>
    </w:p>
    <w:p w14:paraId="6F5F1445">
      <w:pPr>
        <w:snapToGrid w:val="0"/>
        <w:jc w:val="center"/>
        <w:rPr>
          <w:rFonts w:hint="eastAsia" w:ascii="宋体" w:hAnsi="宋体"/>
          <w:b/>
          <w:color w:val="000000"/>
          <w:sz w:val="28"/>
          <w:szCs w:val="28"/>
        </w:rPr>
      </w:pPr>
      <w:r>
        <w:rPr>
          <w:rFonts w:hint="eastAsia" w:ascii="宋体" w:hAnsi="宋体"/>
          <w:b/>
          <w:color w:val="000000"/>
          <w:sz w:val="28"/>
          <w:szCs w:val="28"/>
        </w:rPr>
        <w:br w:type="page"/>
      </w:r>
    </w:p>
    <w:p w14:paraId="3646B2E6">
      <w:pPr>
        <w:snapToGrid w:val="0"/>
        <w:spacing w:line="360" w:lineRule="auto"/>
        <w:jc w:val="center"/>
        <w:rPr>
          <w:rFonts w:hint="eastAsia" w:ascii="宋体" w:hAnsi="宋体"/>
          <w:color w:val="000000"/>
          <w:sz w:val="32"/>
          <w:szCs w:val="32"/>
        </w:rPr>
      </w:pPr>
      <w:r>
        <w:rPr>
          <w:rFonts w:hint="eastAsia" w:ascii="宋体" w:hAnsi="宋体"/>
          <w:b/>
          <w:color w:val="000000"/>
          <w:sz w:val="32"/>
          <w:szCs w:val="32"/>
        </w:rPr>
        <w:t>五、投标人直接管理关系信息表</w:t>
      </w:r>
    </w:p>
    <w:tbl>
      <w:tblPr>
        <w:tblStyle w:val="16"/>
        <w:tblW w:w="0" w:type="auto"/>
        <w:tblInd w:w="125" w:type="dxa"/>
        <w:shd w:val="clear" w:color="auto" w:fill="FBFBFB"/>
        <w:tblLayout w:type="fixed"/>
        <w:tblCellMar>
          <w:top w:w="0" w:type="dxa"/>
          <w:left w:w="0" w:type="dxa"/>
          <w:bottom w:w="0" w:type="dxa"/>
          <w:right w:w="0" w:type="dxa"/>
        </w:tblCellMar>
      </w:tblPr>
      <w:tblGrid>
        <w:gridCol w:w="1005"/>
        <w:gridCol w:w="2659"/>
        <w:gridCol w:w="3924"/>
        <w:gridCol w:w="2064"/>
      </w:tblGrid>
      <w:tr w14:paraId="0FB2D348">
        <w:tblPrEx>
          <w:shd w:val="clear" w:color="auto" w:fill="FBFBFB"/>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1F7DEB4E">
            <w:pPr>
              <w:spacing w:line="360" w:lineRule="auto"/>
              <w:jc w:val="center"/>
              <w:rPr>
                <w:rFonts w:hint="eastAsia" w:ascii="宋体" w:hAnsi="宋体" w:cs="宋体"/>
                <w:b/>
                <w:bCs/>
                <w:color w:val="000000"/>
                <w:kern w:val="0"/>
                <w:sz w:val="24"/>
              </w:rPr>
            </w:pPr>
            <w:r>
              <w:rPr>
                <w:rFonts w:hint="eastAsia" w:ascii="宋体" w:hAnsi="宋体" w:cs="宋体"/>
                <w:b/>
                <w:bCs/>
                <w:color w:val="000000"/>
                <w:kern w:val="0"/>
                <w:sz w:val="24"/>
              </w:rPr>
              <w:t>序号</w:t>
            </w:r>
          </w:p>
        </w:tc>
        <w:tc>
          <w:tcPr>
            <w:tcW w:w="265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4A36924E">
            <w:pPr>
              <w:spacing w:line="360" w:lineRule="auto"/>
              <w:jc w:val="center"/>
              <w:rPr>
                <w:rFonts w:hint="eastAsia" w:ascii="宋体" w:hAnsi="宋体" w:cs="宋体"/>
                <w:b/>
                <w:bCs/>
                <w:color w:val="000000"/>
                <w:kern w:val="0"/>
                <w:sz w:val="24"/>
              </w:rPr>
            </w:pPr>
            <w:r>
              <w:rPr>
                <w:rFonts w:hint="eastAsia" w:ascii="宋体" w:hAnsi="宋体" w:cs="宋体"/>
                <w:b/>
                <w:bCs/>
                <w:color w:val="000000"/>
                <w:kern w:val="0"/>
                <w:sz w:val="24"/>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A5597B4">
            <w:pPr>
              <w:spacing w:line="360" w:lineRule="auto"/>
              <w:jc w:val="center"/>
              <w:rPr>
                <w:rFonts w:hint="eastAsia" w:ascii="宋体" w:hAnsi="宋体" w:cs="宋体"/>
                <w:b/>
                <w:bCs/>
                <w:color w:val="000000"/>
                <w:kern w:val="0"/>
                <w:sz w:val="24"/>
              </w:rPr>
            </w:pPr>
            <w:r>
              <w:rPr>
                <w:rFonts w:hint="eastAsia" w:ascii="宋体" w:hAnsi="宋体" w:cs="宋体"/>
                <w:b/>
                <w:bCs/>
                <w:color w:val="000000"/>
                <w:kern w:val="0"/>
                <w:sz w:val="24"/>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40B58021">
            <w:pPr>
              <w:spacing w:line="360" w:lineRule="auto"/>
              <w:jc w:val="center"/>
              <w:rPr>
                <w:rFonts w:hint="eastAsia" w:ascii="宋体" w:hAnsi="宋体" w:cs="宋体"/>
                <w:b/>
                <w:bCs/>
                <w:color w:val="000000"/>
                <w:kern w:val="0"/>
                <w:sz w:val="24"/>
              </w:rPr>
            </w:pPr>
            <w:r>
              <w:rPr>
                <w:rFonts w:hint="eastAsia" w:ascii="宋体" w:hAnsi="宋体" w:cs="宋体"/>
                <w:b/>
                <w:bCs/>
                <w:color w:val="000000"/>
                <w:kern w:val="0"/>
                <w:sz w:val="24"/>
              </w:rPr>
              <w:t>备注</w:t>
            </w:r>
          </w:p>
        </w:tc>
      </w:tr>
      <w:tr w14:paraId="6F685F14">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F6ACAB">
            <w:pPr>
              <w:spacing w:line="360" w:lineRule="auto"/>
              <w:jc w:val="center"/>
              <w:rPr>
                <w:rFonts w:hint="eastAsia" w:ascii="宋体" w:hAnsi="宋体" w:cs="宋体"/>
                <w:color w:val="000000"/>
                <w:kern w:val="0"/>
                <w:sz w:val="24"/>
              </w:rPr>
            </w:pPr>
            <w:r>
              <w:rPr>
                <w:rFonts w:hint="eastAsia" w:ascii="宋体" w:hAnsi="宋体" w:cs="宋体"/>
                <w:color w:val="000000"/>
                <w:kern w:val="0"/>
                <w:sz w:val="24"/>
              </w:rPr>
              <w:t>1</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D61D1DB">
            <w:pPr>
              <w:spacing w:line="360" w:lineRule="auto"/>
              <w:jc w:val="center"/>
              <w:rPr>
                <w:rFonts w:hint="eastAsia" w:ascii="宋体" w:hAnsi="宋体" w:cs="宋体"/>
                <w:color w:val="000000"/>
                <w:kern w:val="0"/>
                <w:sz w:val="24"/>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3E005B1">
            <w:pPr>
              <w:spacing w:line="360" w:lineRule="auto"/>
              <w:jc w:val="center"/>
              <w:rPr>
                <w:rFonts w:hint="eastAsia" w:ascii="宋体" w:hAnsi="宋体" w:cs="宋体"/>
                <w:color w:val="000000"/>
                <w:kern w:val="0"/>
                <w:sz w:val="24"/>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0085227">
            <w:pPr>
              <w:spacing w:line="360" w:lineRule="auto"/>
              <w:jc w:val="center"/>
              <w:rPr>
                <w:rFonts w:hint="eastAsia" w:ascii="宋体" w:hAnsi="宋体" w:cs="宋体"/>
                <w:color w:val="000000"/>
                <w:kern w:val="0"/>
                <w:sz w:val="24"/>
              </w:rPr>
            </w:pPr>
          </w:p>
        </w:tc>
      </w:tr>
      <w:tr w14:paraId="7ACFB577">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D0ADB8">
            <w:pPr>
              <w:spacing w:line="360" w:lineRule="auto"/>
              <w:jc w:val="center"/>
              <w:rPr>
                <w:rFonts w:hint="eastAsia" w:ascii="宋体" w:hAnsi="宋体" w:cs="宋体"/>
                <w:color w:val="000000"/>
                <w:kern w:val="0"/>
                <w:sz w:val="24"/>
              </w:rPr>
            </w:pPr>
            <w:r>
              <w:rPr>
                <w:rFonts w:hint="eastAsia" w:ascii="宋体" w:hAnsi="宋体" w:cs="宋体"/>
                <w:color w:val="000000"/>
                <w:kern w:val="0"/>
                <w:sz w:val="24"/>
              </w:rPr>
              <w:t>2</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253AA3F">
            <w:pPr>
              <w:spacing w:line="360" w:lineRule="auto"/>
              <w:jc w:val="center"/>
              <w:rPr>
                <w:rFonts w:hint="eastAsia" w:ascii="宋体" w:hAnsi="宋体" w:cs="宋体"/>
                <w:color w:val="000000"/>
                <w:kern w:val="0"/>
                <w:sz w:val="24"/>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B3C374">
            <w:pPr>
              <w:spacing w:line="360" w:lineRule="auto"/>
              <w:jc w:val="center"/>
              <w:rPr>
                <w:rFonts w:hint="eastAsia" w:ascii="宋体" w:hAnsi="宋体" w:cs="宋体"/>
                <w:color w:val="000000"/>
                <w:kern w:val="0"/>
                <w:sz w:val="24"/>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57086E">
            <w:pPr>
              <w:spacing w:line="360" w:lineRule="auto"/>
              <w:jc w:val="center"/>
              <w:rPr>
                <w:rFonts w:hint="eastAsia" w:ascii="宋体" w:hAnsi="宋体" w:cs="宋体"/>
                <w:color w:val="000000"/>
                <w:kern w:val="0"/>
                <w:sz w:val="24"/>
              </w:rPr>
            </w:pPr>
          </w:p>
        </w:tc>
      </w:tr>
      <w:tr w14:paraId="129A5658">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A4B4EC0">
            <w:pPr>
              <w:spacing w:line="360" w:lineRule="auto"/>
              <w:jc w:val="center"/>
              <w:rPr>
                <w:rFonts w:hint="eastAsia" w:ascii="宋体" w:hAnsi="宋体" w:cs="宋体"/>
                <w:color w:val="000000"/>
                <w:kern w:val="0"/>
                <w:sz w:val="24"/>
              </w:rPr>
            </w:pPr>
            <w:r>
              <w:rPr>
                <w:rFonts w:hint="eastAsia" w:ascii="宋体" w:hAnsi="宋体" w:cs="宋体"/>
                <w:color w:val="000000"/>
                <w:kern w:val="0"/>
                <w:sz w:val="24"/>
              </w:rPr>
              <w:t>3</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29F9F53">
            <w:pPr>
              <w:spacing w:line="360" w:lineRule="auto"/>
              <w:jc w:val="center"/>
              <w:rPr>
                <w:rFonts w:hint="eastAsia" w:ascii="宋体" w:hAnsi="宋体" w:cs="宋体"/>
                <w:color w:val="000000"/>
                <w:kern w:val="0"/>
                <w:sz w:val="24"/>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4F64460">
            <w:pPr>
              <w:spacing w:line="360" w:lineRule="auto"/>
              <w:jc w:val="center"/>
              <w:rPr>
                <w:rFonts w:hint="eastAsia" w:ascii="宋体" w:hAnsi="宋体" w:cs="宋体"/>
                <w:color w:val="000000"/>
                <w:kern w:val="0"/>
                <w:sz w:val="24"/>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B3B035">
            <w:pPr>
              <w:spacing w:line="360" w:lineRule="auto"/>
              <w:jc w:val="center"/>
              <w:rPr>
                <w:rFonts w:hint="eastAsia" w:ascii="宋体" w:hAnsi="宋体" w:cs="宋体"/>
                <w:color w:val="000000"/>
                <w:kern w:val="0"/>
                <w:sz w:val="24"/>
              </w:rPr>
            </w:pPr>
          </w:p>
        </w:tc>
      </w:tr>
      <w:tr w14:paraId="350D4B72">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1C44B2B">
            <w:pPr>
              <w:spacing w:line="360" w:lineRule="auto"/>
              <w:jc w:val="center"/>
              <w:rPr>
                <w:rFonts w:hint="eastAsia" w:ascii="宋体" w:hAnsi="宋体" w:cs="宋体"/>
                <w:color w:val="000000"/>
                <w:kern w:val="0"/>
                <w:sz w:val="24"/>
              </w:rPr>
            </w:pPr>
            <w:r>
              <w:rPr>
                <w:rFonts w:hint="eastAsia" w:ascii="宋体" w:hAnsi="宋体" w:cs="宋体"/>
                <w:color w:val="000000"/>
                <w:kern w:val="0"/>
                <w:sz w:val="24"/>
              </w:rPr>
              <w:t>……</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5D53C28">
            <w:pPr>
              <w:spacing w:line="360" w:lineRule="auto"/>
              <w:jc w:val="center"/>
              <w:rPr>
                <w:rFonts w:hint="eastAsia" w:ascii="宋体" w:hAnsi="宋体" w:cs="宋体"/>
                <w:color w:val="000000"/>
                <w:kern w:val="0"/>
                <w:sz w:val="24"/>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CF8A41">
            <w:pPr>
              <w:spacing w:line="360" w:lineRule="auto"/>
              <w:jc w:val="center"/>
              <w:rPr>
                <w:rFonts w:hint="eastAsia" w:ascii="宋体" w:hAnsi="宋体" w:cs="宋体"/>
                <w:color w:val="000000"/>
                <w:kern w:val="0"/>
                <w:sz w:val="24"/>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262ADB">
            <w:pPr>
              <w:spacing w:line="360" w:lineRule="auto"/>
              <w:jc w:val="center"/>
              <w:rPr>
                <w:rFonts w:hint="eastAsia" w:ascii="宋体" w:hAnsi="宋体" w:cs="宋体"/>
                <w:color w:val="000000"/>
                <w:kern w:val="0"/>
                <w:sz w:val="24"/>
              </w:rPr>
            </w:pPr>
          </w:p>
        </w:tc>
      </w:tr>
    </w:tbl>
    <w:p w14:paraId="14D7A268">
      <w:pPr>
        <w:snapToGrid w:val="0"/>
        <w:spacing w:line="360" w:lineRule="auto"/>
        <w:jc w:val="left"/>
        <w:rPr>
          <w:rFonts w:hint="eastAsia" w:ascii="宋体" w:hAnsi="宋体"/>
          <w:color w:val="000000"/>
          <w:sz w:val="24"/>
        </w:rPr>
      </w:pPr>
      <w:r>
        <w:rPr>
          <w:rFonts w:hint="eastAsia" w:ascii="宋体" w:hAnsi="宋体"/>
          <w:color w:val="000000"/>
          <w:sz w:val="24"/>
        </w:rPr>
        <w:t>注：</w:t>
      </w:r>
    </w:p>
    <w:p w14:paraId="3004536A">
      <w:pPr>
        <w:snapToGrid w:val="0"/>
        <w:spacing w:line="360" w:lineRule="auto"/>
        <w:ind w:firstLine="480" w:firstLineChars="200"/>
        <w:jc w:val="left"/>
        <w:rPr>
          <w:rFonts w:hint="eastAsia" w:ascii="宋体" w:hAnsi="宋体"/>
          <w:color w:val="000000"/>
          <w:sz w:val="24"/>
        </w:rPr>
      </w:pPr>
      <w:r>
        <w:rPr>
          <w:rFonts w:hint="eastAsia" w:ascii="宋体" w:hAnsi="宋体"/>
          <w:color w:val="000000"/>
          <w:sz w:val="24"/>
        </w:rPr>
        <w:t>1.管理关系：是指不具有出资持股关系的其他单位之间存在的管理与被管理关系，如一些上下级关系的事业单位和团体组织。</w:t>
      </w:r>
    </w:p>
    <w:p w14:paraId="2347AB20">
      <w:pPr>
        <w:snapToGrid w:val="0"/>
        <w:spacing w:line="360" w:lineRule="auto"/>
        <w:ind w:firstLine="480" w:firstLineChars="200"/>
        <w:jc w:val="left"/>
        <w:rPr>
          <w:rFonts w:hint="eastAsia" w:ascii="宋体" w:hAnsi="宋体"/>
          <w:color w:val="000000"/>
          <w:sz w:val="24"/>
        </w:rPr>
      </w:pPr>
      <w:r>
        <w:rPr>
          <w:rFonts w:hint="eastAsia" w:ascii="宋体" w:hAnsi="宋体"/>
          <w:color w:val="000000"/>
          <w:sz w:val="24"/>
        </w:rPr>
        <w:t>2.</w:t>
      </w:r>
      <w:r>
        <w:rPr>
          <w:rFonts w:hint="eastAsia" w:ascii="宋体" w:hAnsi="宋体"/>
          <w:color w:val="000000"/>
          <w:spacing w:val="-6"/>
          <w:sz w:val="24"/>
        </w:rPr>
        <w:t>本表所指的管理关系仅限于直接管理关系，不包括间接的管理关系。</w:t>
      </w:r>
    </w:p>
    <w:p w14:paraId="345BBBC4">
      <w:pPr>
        <w:snapToGrid w:val="0"/>
        <w:spacing w:line="360" w:lineRule="auto"/>
        <w:ind w:firstLine="482" w:firstLineChars="200"/>
        <w:jc w:val="left"/>
        <w:rPr>
          <w:rFonts w:hint="eastAsia" w:ascii="宋体" w:hAnsi="宋体"/>
          <w:b/>
          <w:bCs/>
          <w:color w:val="000000"/>
          <w:sz w:val="24"/>
        </w:rPr>
      </w:pPr>
      <w:r>
        <w:rPr>
          <w:rFonts w:hint="eastAsia" w:ascii="宋体" w:hAnsi="宋体"/>
          <w:b/>
          <w:bCs/>
          <w:color w:val="000000"/>
          <w:sz w:val="24"/>
        </w:rPr>
        <w:t>3.供应商不存在直接管理关系的，则填“无”。</w:t>
      </w:r>
    </w:p>
    <w:p w14:paraId="16E592E3">
      <w:pPr>
        <w:snapToGrid w:val="0"/>
        <w:spacing w:line="360" w:lineRule="auto"/>
        <w:jc w:val="left"/>
        <w:rPr>
          <w:rFonts w:hint="eastAsia" w:ascii="宋体" w:hAnsi="宋体"/>
          <w:color w:val="000000"/>
          <w:sz w:val="24"/>
        </w:rPr>
      </w:pPr>
    </w:p>
    <w:p w14:paraId="66255855">
      <w:pPr>
        <w:snapToGrid w:val="0"/>
        <w:spacing w:line="360" w:lineRule="auto"/>
        <w:jc w:val="left"/>
        <w:rPr>
          <w:rFonts w:hint="eastAsia" w:ascii="宋体" w:hAnsi="宋体"/>
          <w:color w:val="000000"/>
          <w:sz w:val="24"/>
        </w:rPr>
      </w:pPr>
    </w:p>
    <w:p w14:paraId="5AC9F2F5">
      <w:pPr>
        <w:snapToGrid w:val="0"/>
        <w:spacing w:line="360" w:lineRule="auto"/>
        <w:jc w:val="left"/>
        <w:rPr>
          <w:rFonts w:hint="eastAsia" w:ascii="宋体" w:hAnsi="宋体"/>
          <w:color w:val="000000"/>
          <w:sz w:val="24"/>
        </w:rPr>
      </w:pPr>
    </w:p>
    <w:p w14:paraId="52EB17E1">
      <w:pPr>
        <w:snapToGrid w:val="0"/>
        <w:spacing w:line="360" w:lineRule="auto"/>
        <w:jc w:val="left"/>
        <w:rPr>
          <w:rFonts w:hint="eastAsia"/>
          <w:color w:val="000000"/>
          <w:sz w:val="24"/>
        </w:rPr>
      </w:pPr>
    </w:p>
    <w:p w14:paraId="3B84E45C">
      <w:pPr>
        <w:snapToGrid w:val="0"/>
        <w:spacing w:line="360" w:lineRule="auto"/>
        <w:jc w:val="left"/>
        <w:rPr>
          <w:color w:val="000000"/>
          <w:sz w:val="24"/>
        </w:rPr>
      </w:pPr>
    </w:p>
    <w:p w14:paraId="7D00D346">
      <w:pPr>
        <w:snapToGrid w:val="0"/>
        <w:spacing w:line="360" w:lineRule="auto"/>
        <w:jc w:val="left"/>
        <w:rPr>
          <w:color w:val="000000"/>
          <w:sz w:val="24"/>
        </w:rPr>
      </w:pPr>
    </w:p>
    <w:p w14:paraId="283F446C">
      <w:pPr>
        <w:snapToGrid w:val="0"/>
        <w:spacing w:line="360" w:lineRule="auto"/>
        <w:jc w:val="left"/>
        <w:rPr>
          <w:rFonts w:ascii="宋体" w:hAnsi="宋体"/>
          <w:color w:val="000000"/>
          <w:sz w:val="24"/>
        </w:rPr>
      </w:pPr>
    </w:p>
    <w:p w14:paraId="246F9263">
      <w:pPr>
        <w:snapToGrid w:val="0"/>
        <w:spacing w:line="360" w:lineRule="auto"/>
        <w:jc w:val="left"/>
        <w:rPr>
          <w:rFonts w:hint="eastAsia" w:ascii="宋体" w:hAnsi="宋体"/>
          <w:color w:val="000000"/>
          <w:sz w:val="24"/>
        </w:rPr>
      </w:pPr>
    </w:p>
    <w:p w14:paraId="00FBFEDA">
      <w:pPr>
        <w:snapToGrid w:val="0"/>
        <w:spacing w:line="360" w:lineRule="auto"/>
        <w:ind w:firstLine="5040" w:firstLineChars="2100"/>
        <w:rPr>
          <w:rFonts w:hint="eastAsia" w:ascii="仿宋_GB2312" w:hAnsi="仿宋" w:eastAsia="仿宋_GB2312" w:cs="仿宋_GB2312"/>
          <w:kern w:val="0"/>
          <w:sz w:val="24"/>
        </w:rPr>
      </w:pPr>
      <w:r>
        <w:rPr>
          <w:rFonts w:hint="eastAsia" w:ascii="仿宋_GB2312" w:hAnsi="仿宋" w:eastAsia="仿宋_GB2312" w:cs="仿宋_GB2312"/>
          <w:kern w:val="0"/>
          <w:sz w:val="24"/>
          <w:lang w:val="zh-CN"/>
        </w:rPr>
        <w:t>投标人名称(电子签章)：</w:t>
      </w:r>
    </w:p>
    <w:p w14:paraId="63F43DB7">
      <w:pPr>
        <w:snapToGrid w:val="0"/>
        <w:spacing w:line="360" w:lineRule="auto"/>
        <w:ind w:firstLine="5160" w:firstLineChars="2150"/>
        <w:rPr>
          <w:rFonts w:hint="eastAsia" w:ascii="仿宋_GB2312" w:hAnsi="仿宋" w:eastAsia="仿宋_GB2312" w:cs="仿宋_GB2312"/>
          <w:kern w:val="0"/>
          <w:sz w:val="24"/>
          <w:lang w:val="zh-CN"/>
        </w:rPr>
      </w:pPr>
      <w:r>
        <w:rPr>
          <w:rFonts w:hint="eastAsia" w:ascii="仿宋_GB2312" w:hAnsi="仿宋" w:eastAsia="仿宋_GB2312" w:cs="仿宋_GB2312"/>
          <w:kern w:val="0"/>
          <w:sz w:val="24"/>
          <w:lang w:val="zh-CN"/>
        </w:rPr>
        <w:t>日期</w:t>
      </w:r>
      <w:r>
        <w:rPr>
          <w:rFonts w:hint="eastAsia" w:ascii="仿宋_GB2312" w:hAnsi="仿宋" w:eastAsia="仿宋_GB2312" w:cs="仿宋_GB2312"/>
          <w:kern w:val="0"/>
          <w:sz w:val="24"/>
        </w:rPr>
        <w:t xml:space="preserve">：  年  </w:t>
      </w:r>
      <w:r>
        <w:rPr>
          <w:rFonts w:hint="eastAsia" w:ascii="仿宋_GB2312" w:hAnsi="仿宋" w:eastAsia="仿宋_GB2312" w:cs="仿宋_GB2312"/>
          <w:kern w:val="0"/>
          <w:sz w:val="24"/>
          <w:lang w:val="zh-CN"/>
        </w:rPr>
        <w:t>月</w:t>
      </w:r>
      <w:r>
        <w:rPr>
          <w:rFonts w:hint="eastAsia" w:ascii="仿宋_GB2312" w:hAnsi="仿宋" w:eastAsia="仿宋_GB2312" w:cs="仿宋_GB2312"/>
          <w:kern w:val="0"/>
          <w:sz w:val="24"/>
        </w:rPr>
        <w:t xml:space="preserve">   </w:t>
      </w:r>
      <w:r>
        <w:rPr>
          <w:rFonts w:hint="eastAsia" w:ascii="仿宋_GB2312" w:hAnsi="仿宋" w:eastAsia="仿宋_GB2312" w:cs="仿宋_GB2312"/>
          <w:kern w:val="0"/>
          <w:sz w:val="24"/>
          <w:lang w:val="zh-CN"/>
        </w:rPr>
        <w:t>日</w:t>
      </w:r>
    </w:p>
    <w:p w14:paraId="73CE4621">
      <w:pPr>
        <w:snapToGrid w:val="0"/>
        <w:spacing w:before="50" w:after="165" w:afterLines="50"/>
        <w:jc w:val="left"/>
        <w:rPr>
          <w:rFonts w:hint="eastAsia" w:ascii="宋体" w:hAnsi="宋体"/>
          <w:color w:val="000000"/>
          <w:szCs w:val="21"/>
        </w:rPr>
      </w:pPr>
    </w:p>
    <w:p w14:paraId="7A51C0FC">
      <w:pPr>
        <w:rPr>
          <w:rFonts w:hint="eastAsia" w:ascii="宋体" w:hAnsi="宋体"/>
          <w:color w:val="000000"/>
        </w:rPr>
      </w:pPr>
      <w:r>
        <w:rPr>
          <w:rFonts w:hint="eastAsia" w:ascii="宋体" w:hAnsi="宋体"/>
          <w:b/>
          <w:color w:val="000000"/>
          <w:sz w:val="24"/>
          <w:szCs w:val="20"/>
        </w:rPr>
        <w:br w:type="page"/>
      </w:r>
    </w:p>
    <w:p w14:paraId="07CA245F">
      <w:pPr>
        <w:snapToGrid w:val="0"/>
        <w:spacing w:before="50" w:after="165" w:afterLines="50"/>
        <w:jc w:val="center"/>
        <w:rPr>
          <w:rFonts w:hint="eastAsia" w:ascii="宋体" w:hAnsi="宋体"/>
          <w:b/>
          <w:color w:val="000000"/>
          <w:sz w:val="32"/>
          <w:szCs w:val="32"/>
        </w:rPr>
      </w:pPr>
      <w:r>
        <w:rPr>
          <w:rFonts w:hint="eastAsia" w:ascii="宋体" w:hAnsi="宋体"/>
          <w:b/>
          <w:color w:val="000000"/>
          <w:sz w:val="32"/>
          <w:szCs w:val="32"/>
        </w:rPr>
        <w:t>六、投标资格声明函</w:t>
      </w:r>
    </w:p>
    <w:p w14:paraId="18F7C28C">
      <w:pPr>
        <w:tabs>
          <w:tab w:val="left" w:pos="7200"/>
        </w:tabs>
        <w:spacing w:line="360" w:lineRule="auto"/>
        <w:rPr>
          <w:rFonts w:hint="eastAsia" w:ascii="宋体" w:hAnsi="宋体"/>
          <w:color w:val="000000"/>
          <w:szCs w:val="21"/>
          <w:u w:val="single"/>
        </w:rPr>
      </w:pPr>
      <w:r>
        <w:rPr>
          <w:rFonts w:hint="eastAsia" w:ascii="宋体" w:hAnsi="宋体"/>
          <w:color w:val="000000"/>
          <w:szCs w:val="21"/>
        </w:rPr>
        <w:t>致：</w:t>
      </w:r>
      <w:bookmarkStart w:id="403" w:name="PO_3000001866_PM031_5"/>
      <w:r>
        <w:rPr>
          <w:rFonts w:hint="eastAsia" w:ascii="宋体" w:hAnsi="宋体"/>
          <w:color w:val="000000"/>
          <w:szCs w:val="21"/>
          <w:u w:val="single"/>
        </w:rPr>
        <w:t>广西国建项目管理有限公司</w:t>
      </w:r>
      <w:bookmarkEnd w:id="403"/>
      <w:r>
        <w:rPr>
          <w:rFonts w:hint="eastAsia" w:ascii="宋体" w:hAnsi="宋体"/>
          <w:color w:val="000000"/>
          <w:szCs w:val="21"/>
          <w:u w:val="single"/>
        </w:rPr>
        <w:t xml:space="preserve"> </w:t>
      </w:r>
    </w:p>
    <w:p w14:paraId="0290FF73">
      <w:pPr>
        <w:snapToGrid w:val="0"/>
        <w:spacing w:line="360" w:lineRule="auto"/>
        <w:ind w:firstLine="420" w:firstLineChars="200"/>
        <w:jc w:val="left"/>
        <w:rPr>
          <w:rFonts w:hint="eastAsia" w:ascii="宋体" w:hAnsi="宋体"/>
          <w:color w:val="000000"/>
          <w:szCs w:val="21"/>
        </w:rPr>
      </w:pPr>
      <w:r>
        <w:rPr>
          <w:rFonts w:hint="eastAsia" w:ascii="宋体" w:hAnsi="宋体"/>
          <w:color w:val="000000"/>
          <w:szCs w:val="21"/>
        </w:rPr>
        <w:t>我方愿意参加贵方组织的</w:t>
      </w:r>
      <w:r>
        <w:rPr>
          <w:rFonts w:hint="eastAsia" w:ascii="宋体" w:hAnsi="宋体"/>
          <w:color w:val="000000"/>
          <w:szCs w:val="21"/>
          <w:u w:val="single"/>
          <w:lang w:val="en-US" w:eastAsia="zh-CN"/>
        </w:rPr>
        <w:t xml:space="preserve"> </w:t>
      </w:r>
      <w:r>
        <w:rPr>
          <w:rFonts w:hint="eastAsia" w:ascii="宋体" w:hAnsi="宋体"/>
          <w:szCs w:val="21"/>
          <w:u w:val="single"/>
          <w:lang w:eastAsia="zh-CN"/>
        </w:rPr>
        <w:t>南宁市第三职业技术学校2026年优质校及优质专业内涵建设服务项目</w:t>
      </w:r>
      <w:r>
        <w:rPr>
          <w:rFonts w:hint="eastAsia" w:ascii="宋体" w:hAnsi="宋体"/>
          <w:color w:val="000000"/>
          <w:szCs w:val="21"/>
          <w:u w:val="single"/>
        </w:rPr>
        <w:t>（项目编号：</w:t>
      </w:r>
      <w:r>
        <w:rPr>
          <w:rFonts w:hint="eastAsia" w:ascii="宋体" w:hAnsi="宋体"/>
          <w:color w:val="000000"/>
          <w:szCs w:val="21"/>
          <w:u w:val="single"/>
          <w:lang w:eastAsia="zh-CN"/>
        </w:rPr>
        <w:t>NNZC2026-G3-990830-GXGJ</w:t>
      </w:r>
      <w:r>
        <w:rPr>
          <w:rFonts w:hint="eastAsia" w:ascii="宋体" w:hAnsi="宋体"/>
          <w:color w:val="000000"/>
          <w:szCs w:val="21"/>
          <w:u w:val="single"/>
        </w:rPr>
        <w:t xml:space="preserve"> ）</w:t>
      </w:r>
      <w:r>
        <w:rPr>
          <w:rFonts w:hint="eastAsia" w:ascii="宋体" w:hAnsi="宋体"/>
          <w:color w:val="000000"/>
          <w:szCs w:val="21"/>
        </w:rPr>
        <w:t>项目的投标，为便于贵方公正、择优地确定中标人，我方就本次投标有关事项郑重声明如下：</w:t>
      </w:r>
    </w:p>
    <w:p w14:paraId="73827EC9">
      <w:pPr>
        <w:snapToGrid w:val="0"/>
        <w:spacing w:line="360" w:lineRule="auto"/>
        <w:ind w:firstLine="420" w:firstLineChars="200"/>
        <w:jc w:val="left"/>
        <w:rPr>
          <w:rFonts w:hint="eastAsia" w:ascii="宋体" w:hAnsi="宋体"/>
          <w:color w:val="000000"/>
          <w:szCs w:val="21"/>
        </w:rPr>
      </w:pPr>
      <w:r>
        <w:rPr>
          <w:rFonts w:hint="eastAsia" w:ascii="宋体" w:hAnsi="宋体"/>
          <w:color w:val="000000"/>
          <w:szCs w:val="21"/>
        </w:rPr>
        <w:t>1.我方承诺已经具备《中华人民共和国政府采购法》第二十二条中规定的参加政府采购活动的供应商应当具备的条件并按本项目投标文件“第三章”“第二节投标人须知前附表”中“资格证明文件组成”完整提供证明材料。</w:t>
      </w:r>
    </w:p>
    <w:p w14:paraId="07C269FE">
      <w:pPr>
        <w:snapToGrid w:val="0"/>
        <w:spacing w:line="360" w:lineRule="auto"/>
        <w:ind w:firstLine="420" w:firstLineChars="200"/>
        <w:jc w:val="left"/>
        <w:rPr>
          <w:rFonts w:hint="eastAsia" w:ascii="宋体" w:hAnsi="宋体"/>
          <w:color w:val="000000"/>
          <w:szCs w:val="21"/>
        </w:rPr>
      </w:pPr>
      <w:r>
        <w:rPr>
          <w:rFonts w:hint="eastAsia" w:ascii="宋体" w:hAnsi="宋体"/>
          <w:color w:val="000000"/>
          <w:szCs w:val="21"/>
        </w:rPr>
        <w:t>2. 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2A37A4FA">
      <w:pPr>
        <w:snapToGrid w:val="0"/>
        <w:spacing w:line="360" w:lineRule="auto"/>
        <w:ind w:firstLine="420" w:firstLineChars="200"/>
        <w:jc w:val="left"/>
        <w:rPr>
          <w:rFonts w:hint="eastAsia" w:ascii="宋体" w:hAnsi="宋体"/>
          <w:color w:val="000000"/>
          <w:szCs w:val="21"/>
        </w:rPr>
      </w:pPr>
      <w:r>
        <w:rPr>
          <w:rFonts w:hint="eastAsia" w:ascii="宋体" w:hAnsi="宋体"/>
          <w:color w:val="000000"/>
          <w:szCs w:val="21"/>
        </w:rPr>
        <w:t>3.经查询，在“信用中国”和“中国政府采购网”网站我方未被列入失信被执行人、重大税收违法案件当事人名单、政府采购严重违法失信行为记录名单。</w:t>
      </w:r>
    </w:p>
    <w:p w14:paraId="78208FC9">
      <w:pPr>
        <w:snapToGrid w:val="0"/>
        <w:spacing w:line="360" w:lineRule="auto"/>
        <w:ind w:firstLine="420" w:firstLineChars="200"/>
        <w:jc w:val="left"/>
        <w:rPr>
          <w:rFonts w:hint="eastAsia" w:ascii="宋体" w:hAnsi="宋体"/>
          <w:color w:val="000000"/>
          <w:szCs w:val="21"/>
        </w:rPr>
      </w:pPr>
      <w:r>
        <w:rPr>
          <w:rFonts w:hint="eastAsia" w:ascii="宋体" w:hAnsi="宋体"/>
          <w:color w:val="000000"/>
          <w:szCs w:val="21"/>
        </w:rPr>
        <w:t xml:space="preserve">4.以上事项如有虚假或隐瞒，我方愿意承担一切后果，并不再寻求任何旨在减轻或免除法律责任的辩解。 </w:t>
      </w:r>
    </w:p>
    <w:p w14:paraId="55656E23">
      <w:pPr>
        <w:tabs>
          <w:tab w:val="left" w:pos="7200"/>
        </w:tabs>
        <w:ind w:firstLine="270" w:firstLineChars="150"/>
        <w:rPr>
          <w:rFonts w:hint="eastAsia" w:ascii="宋体" w:hAnsi="宋体"/>
          <w:sz w:val="18"/>
          <w:szCs w:val="18"/>
        </w:rPr>
      </w:pPr>
      <w:r>
        <w:rPr>
          <w:rFonts w:hint="eastAsia" w:ascii="宋体" w:hAnsi="宋体"/>
          <w:sz w:val="18"/>
          <w:szCs w:val="18"/>
        </w:rPr>
        <w:t>说明：</w:t>
      </w:r>
    </w:p>
    <w:p w14:paraId="14FB2A58">
      <w:pPr>
        <w:ind w:firstLine="360" w:firstLineChars="200"/>
        <w:jc w:val="left"/>
        <w:rPr>
          <w:rFonts w:hint="eastAsia" w:ascii="宋体" w:hAnsi="宋体"/>
          <w:sz w:val="18"/>
          <w:szCs w:val="18"/>
        </w:rPr>
      </w:pPr>
      <w:r>
        <w:rPr>
          <w:rFonts w:hint="eastAsia" w:ascii="宋体" w:hAnsi="宋体"/>
          <w:sz w:val="18"/>
          <w:szCs w:val="18"/>
        </w:rPr>
        <w:t>1.投标人应当通过 “信用中国”（www.creditchina.gov.cn）和“中国政府采购网”网站（www.ccgp.gov.cn）的信用记录查询。查询时间为本项目投标截止时间前10日至投标截止时间中任意一天。对列入失信被执行人、重大税收违法案件当事人名单、政府采购严重违法失信行为记录名单的投标人，将被拒绝参与本项目政府采购活动。</w:t>
      </w:r>
    </w:p>
    <w:p w14:paraId="635E3BCF">
      <w:pPr>
        <w:ind w:firstLine="360" w:firstLineChars="200"/>
        <w:jc w:val="left"/>
        <w:rPr>
          <w:rFonts w:hint="eastAsia" w:ascii="宋体" w:hAnsi="宋体"/>
          <w:sz w:val="18"/>
          <w:szCs w:val="18"/>
        </w:rPr>
      </w:pPr>
      <w:r>
        <w:rPr>
          <w:rFonts w:hint="eastAsia" w:ascii="宋体" w:hAnsi="宋体"/>
          <w:sz w:val="18"/>
          <w:szCs w:val="18"/>
        </w:rPr>
        <w:t>2.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677439A0">
      <w:pPr>
        <w:snapToGrid w:val="0"/>
        <w:spacing w:before="50" w:after="165" w:afterLines="50"/>
        <w:jc w:val="left"/>
        <w:rPr>
          <w:rFonts w:hint="eastAsia" w:ascii="宋体" w:hAnsi="宋体"/>
          <w:sz w:val="18"/>
          <w:szCs w:val="18"/>
        </w:rPr>
      </w:pPr>
      <w:r>
        <w:rPr>
          <w:rFonts w:hint="eastAsia" w:ascii="宋体" w:hAnsi="宋体"/>
          <w:sz w:val="18"/>
          <w:szCs w:val="18"/>
        </w:rPr>
        <w:t xml:space="preserve"> </w:t>
      </w:r>
      <w:r>
        <w:rPr>
          <w:rFonts w:hint="eastAsia" w:ascii="宋体" w:hAnsi="宋体"/>
          <w:b/>
          <w:sz w:val="18"/>
          <w:szCs w:val="18"/>
        </w:rPr>
        <w:t xml:space="preserve">  3.如为联合体投标，盖章处须加盖联合体各方公章并由联合体各方法定代表人分别签署，否则投标无效。</w:t>
      </w:r>
    </w:p>
    <w:p w14:paraId="7CC2020C">
      <w:pPr>
        <w:snapToGrid w:val="0"/>
        <w:spacing w:before="50" w:after="331" w:afterLines="100" w:line="360" w:lineRule="auto"/>
        <w:jc w:val="left"/>
        <w:rPr>
          <w:rFonts w:hint="eastAsia" w:ascii="宋体" w:hAnsi="宋体"/>
          <w:color w:val="000000"/>
          <w:sz w:val="24"/>
        </w:rPr>
      </w:pPr>
      <w:r>
        <w:rPr>
          <w:rFonts w:hint="eastAsia" w:ascii="宋体" w:hAnsi="宋体"/>
          <w:color w:val="000000"/>
          <w:sz w:val="24"/>
        </w:rPr>
        <w:t xml:space="preserve">                                     </w:t>
      </w:r>
    </w:p>
    <w:p w14:paraId="54CB2B33">
      <w:pPr>
        <w:snapToGrid w:val="0"/>
        <w:spacing w:before="50" w:after="331" w:afterLines="100" w:line="360" w:lineRule="auto"/>
        <w:ind w:left="7428" w:leftChars="2223" w:hanging="2760" w:hangingChars="1150"/>
        <w:jc w:val="left"/>
        <w:rPr>
          <w:rFonts w:hint="eastAsia" w:ascii="仿宋_GB2312" w:hAnsi="仿宋" w:eastAsia="仿宋_GB2312" w:cs="仿宋_GB2312"/>
          <w:kern w:val="0"/>
          <w:sz w:val="24"/>
          <w:lang w:val="zh-CN"/>
        </w:rPr>
      </w:pPr>
      <w:r>
        <w:rPr>
          <w:rFonts w:hint="eastAsia" w:ascii="宋体" w:hAnsi="宋体"/>
          <w:color w:val="000000"/>
          <w:sz w:val="24"/>
        </w:rPr>
        <w:t xml:space="preserve">  </w:t>
      </w:r>
      <w:r>
        <w:rPr>
          <w:rFonts w:hint="eastAsia" w:ascii="仿宋_GB2312" w:hAnsi="仿宋" w:eastAsia="仿宋_GB2312" w:cs="仿宋_GB2312"/>
          <w:kern w:val="0"/>
          <w:sz w:val="24"/>
          <w:lang w:val="zh-CN"/>
        </w:rPr>
        <w:t>投标人名称(电子签章)：</w:t>
      </w:r>
      <w:r>
        <w:rPr>
          <w:rFonts w:hint="eastAsia" w:ascii="宋体" w:hAnsi="宋体"/>
          <w:color w:val="000000"/>
          <w:szCs w:val="21"/>
        </w:rPr>
        <w:t xml:space="preserve">                                     年    月    日</w:t>
      </w:r>
    </w:p>
    <w:p w14:paraId="72275A02">
      <w:pPr>
        <w:pStyle w:val="11"/>
        <w:spacing w:line="600" w:lineRule="exact"/>
        <w:jc w:val="center"/>
        <w:rPr>
          <w:rFonts w:hint="eastAsia" w:ascii="Times New Roman" w:hAnsi="Times New Roman"/>
          <w:b/>
          <w:bCs/>
          <w:sz w:val="30"/>
          <w:szCs w:val="30"/>
        </w:rPr>
      </w:pPr>
    </w:p>
    <w:p w14:paraId="559628F8">
      <w:pPr>
        <w:pStyle w:val="11"/>
        <w:spacing w:line="600" w:lineRule="exact"/>
        <w:jc w:val="center"/>
        <w:rPr>
          <w:rFonts w:ascii="Times New Roman" w:hAnsi="Times New Roman"/>
          <w:b/>
          <w:bCs/>
          <w:sz w:val="30"/>
          <w:szCs w:val="30"/>
        </w:rPr>
      </w:pPr>
    </w:p>
    <w:p w14:paraId="622A42E4">
      <w:pPr>
        <w:widowControl/>
        <w:jc w:val="left"/>
        <w:rPr>
          <w:b/>
          <w:bCs/>
          <w:sz w:val="30"/>
          <w:szCs w:val="30"/>
        </w:rPr>
        <w:sectPr>
          <w:pgSz w:w="11906" w:h="16838"/>
          <w:pgMar w:top="1134" w:right="1134" w:bottom="1134" w:left="1134" w:header="720" w:footer="720" w:gutter="0"/>
          <w:cols w:space="720" w:num="1"/>
          <w:docGrid w:type="lines" w:linePitch="331" w:charSpace="0"/>
        </w:sectPr>
      </w:pPr>
    </w:p>
    <w:p w14:paraId="053120E2">
      <w:pPr>
        <w:pStyle w:val="11"/>
        <w:jc w:val="center"/>
        <w:rPr>
          <w:rFonts w:hint="eastAsia" w:ascii="Times New Roman" w:hAnsi="Times New Roman"/>
          <w:b/>
          <w:sz w:val="30"/>
          <w:szCs w:val="30"/>
        </w:rPr>
      </w:pPr>
      <w:r>
        <w:rPr>
          <w:rFonts w:hint="eastAsia" w:ascii="Times New Roman" w:hAnsi="Times New Roman"/>
          <w:b/>
          <w:bCs/>
          <w:sz w:val="30"/>
          <w:szCs w:val="30"/>
        </w:rPr>
        <w:t>七、</w:t>
      </w:r>
      <w:r>
        <w:rPr>
          <w:rFonts w:hint="eastAsia" w:ascii="Times New Roman" w:hAnsi="Times New Roman"/>
          <w:b/>
          <w:sz w:val="30"/>
          <w:szCs w:val="30"/>
        </w:rPr>
        <w:t>中小企业声明函</w:t>
      </w:r>
    </w:p>
    <w:p w14:paraId="07C55943">
      <w:pPr>
        <w:pStyle w:val="9"/>
        <w:spacing w:line="240" w:lineRule="auto"/>
        <w:ind w:firstLine="0"/>
        <w:rPr>
          <w:rFonts w:ascii="Times New Roman" w:hAnsi="Times New Roman"/>
          <w:sz w:val="21"/>
          <w:szCs w:val="21"/>
        </w:rPr>
      </w:pPr>
      <w:r>
        <w:rPr>
          <w:rFonts w:hint="eastAsia" w:ascii="Times New Roman" w:hAnsi="宋体"/>
          <w:sz w:val="21"/>
          <w:szCs w:val="21"/>
        </w:rPr>
        <w:t>说明：</w:t>
      </w:r>
    </w:p>
    <w:p w14:paraId="290DD05A">
      <w:pPr>
        <w:pStyle w:val="9"/>
        <w:spacing w:line="240" w:lineRule="auto"/>
        <w:ind w:firstLine="404" w:firstLineChars="200"/>
        <w:rPr>
          <w:rFonts w:ascii="Times New Roman" w:hAnsi="Times New Roman"/>
          <w:sz w:val="21"/>
          <w:szCs w:val="21"/>
        </w:rPr>
      </w:pPr>
      <w:r>
        <w:rPr>
          <w:rFonts w:ascii="Times New Roman" w:hAnsi="Times New Roman"/>
          <w:sz w:val="21"/>
          <w:szCs w:val="21"/>
        </w:rPr>
        <w:t>1</w:t>
      </w:r>
      <w:r>
        <w:rPr>
          <w:rFonts w:hint="eastAsia" w:ascii="Times New Roman" w:hAnsi="宋体"/>
          <w:sz w:val="21"/>
          <w:szCs w:val="21"/>
        </w:rPr>
        <w:t>、本声明函主要供参加政府采购活动的中小企业填写，非中小企业无需填写。</w:t>
      </w:r>
    </w:p>
    <w:p w14:paraId="497E5CD7">
      <w:pPr>
        <w:pStyle w:val="9"/>
        <w:spacing w:line="240" w:lineRule="auto"/>
        <w:ind w:firstLine="404" w:firstLineChars="200"/>
        <w:rPr>
          <w:rFonts w:ascii="Times New Roman" w:hAnsi="宋体"/>
          <w:sz w:val="21"/>
          <w:szCs w:val="21"/>
        </w:rPr>
      </w:pPr>
      <w:r>
        <w:rPr>
          <w:rFonts w:ascii="Times New Roman" w:hAnsi="Times New Roman"/>
          <w:sz w:val="21"/>
          <w:szCs w:val="21"/>
        </w:rPr>
        <w:t>2</w:t>
      </w:r>
      <w:r>
        <w:rPr>
          <w:rFonts w:hint="eastAsia" w:ascii="Times New Roman" w:hAnsi="宋体"/>
          <w:sz w:val="21"/>
          <w:szCs w:val="21"/>
        </w:rPr>
        <w:t>、小型、微型企业提供中型企业提供的服务的，视同为中型企业。</w:t>
      </w:r>
    </w:p>
    <w:p w14:paraId="7C692A27">
      <w:pPr>
        <w:pStyle w:val="9"/>
        <w:spacing w:line="240" w:lineRule="auto"/>
        <w:ind w:firstLine="404" w:firstLineChars="200"/>
        <w:rPr>
          <w:rFonts w:ascii="Times New Roman" w:hAnsi="宋体"/>
          <w:sz w:val="21"/>
          <w:szCs w:val="21"/>
        </w:rPr>
      </w:pPr>
    </w:p>
    <w:p w14:paraId="1E626E92">
      <w:pPr>
        <w:pStyle w:val="8"/>
        <w:spacing w:line="500" w:lineRule="exact"/>
        <w:ind w:right="142" w:firstLine="420" w:firstLineChars="200"/>
        <w:rPr>
          <w:rFonts w:ascii="宋体" w:hAnsi="宋体"/>
        </w:rPr>
      </w:pPr>
      <w:r>
        <w:rPr>
          <w:rFonts w:hint="eastAsia" w:ascii="宋体" w:hAnsi="宋体"/>
        </w:rPr>
        <w:t>本公司（联合体）郑重声明，根据《政府采购促进中小企业发展管理办法》（财库﹝2020﹞46号）的规定，本公司（联合体）参加</w:t>
      </w:r>
      <w:r>
        <w:rPr>
          <w:rFonts w:ascii="宋体" w:hAnsi="宋体"/>
          <w:kern w:val="24"/>
          <w:u w:val="single"/>
        </w:rPr>
        <w:t>（单位名称）</w:t>
      </w:r>
      <w:r>
        <w:rPr>
          <w:rFonts w:ascii="宋体" w:hAnsi="宋体"/>
          <w:kern w:val="24"/>
        </w:rPr>
        <w:t>的</w:t>
      </w:r>
      <w:r>
        <w:rPr>
          <w:rFonts w:ascii="宋体" w:hAnsi="宋体"/>
          <w:kern w:val="24"/>
          <w:u w:val="single"/>
        </w:rPr>
        <w:t>（项目名称）</w:t>
      </w:r>
      <w:r>
        <w:rPr>
          <w:rFonts w:hint="eastAsia" w:ascii="宋体" w:hAnsi="宋体"/>
        </w:rPr>
        <w:t>采购活动，服务全部由符合政策要求的中小企业承接。相关企业（含联合体中的中小企业、签订分包意向协议的中小企业）的具体情况如下：</w:t>
      </w:r>
    </w:p>
    <w:p w14:paraId="7D12AD24">
      <w:pPr>
        <w:tabs>
          <w:tab w:val="left" w:pos="1384"/>
          <w:tab w:val="left" w:pos="4562"/>
          <w:tab w:val="left" w:pos="6803"/>
        </w:tabs>
        <w:spacing w:before="13" w:line="500" w:lineRule="exact"/>
        <w:ind w:right="142" w:firstLine="600" w:firstLineChars="286"/>
        <w:rPr>
          <w:rFonts w:hint="eastAsia" w:ascii="宋体" w:hAnsi="宋体"/>
          <w:szCs w:val="21"/>
        </w:rPr>
      </w:pPr>
      <w:r>
        <w:rPr>
          <w:rFonts w:hint="eastAsia" w:ascii="宋体" w:hAnsi="宋体"/>
          <w:szCs w:val="21"/>
        </w:rPr>
        <w:t>1.</w:t>
      </w:r>
      <w:r>
        <w:rPr>
          <w:rFonts w:hint="eastAsia" w:ascii="宋体" w:hAnsi="宋体"/>
          <w:szCs w:val="21"/>
          <w:u w:val="single"/>
        </w:rPr>
        <w:t>（标的名称）</w:t>
      </w:r>
      <w:r>
        <w:rPr>
          <w:rFonts w:hint="eastAsia" w:ascii="宋体" w:hAnsi="宋体"/>
          <w:szCs w:val="21"/>
        </w:rPr>
        <w:t>，属于</w:t>
      </w:r>
      <w:r>
        <w:rPr>
          <w:rFonts w:hint="eastAsia" w:ascii="宋体" w:hAnsi="宋体"/>
          <w:szCs w:val="21"/>
          <w:u w:val="single"/>
        </w:rPr>
        <w:t>（采购文件中明确的所属行业）</w:t>
      </w:r>
      <w:r>
        <w:rPr>
          <w:rFonts w:hint="eastAsia" w:ascii="宋体" w:hAnsi="宋体"/>
          <w:szCs w:val="21"/>
        </w:rPr>
        <w:t>；承接企业为</w:t>
      </w:r>
      <w:r>
        <w:rPr>
          <w:rFonts w:hint="eastAsia" w:ascii="宋体" w:hAnsi="宋体"/>
          <w:szCs w:val="21"/>
          <w:u w:val="single"/>
        </w:rPr>
        <w:t>（企业名称）</w:t>
      </w:r>
      <w:r>
        <w:rPr>
          <w:rFonts w:hint="eastAsia" w:ascii="宋体" w:hAnsi="宋体"/>
          <w:szCs w:val="21"/>
        </w:rPr>
        <w:t>，从业人员</w:t>
      </w:r>
      <w:r>
        <w:rPr>
          <w:rFonts w:hint="eastAsia" w:ascii="宋体" w:hAnsi="宋体"/>
          <w:szCs w:val="21"/>
          <w:u w:val="single"/>
        </w:rPr>
        <w:t xml:space="preserve">      </w:t>
      </w:r>
      <w:r>
        <w:rPr>
          <w:rFonts w:hint="eastAsia" w:ascii="宋体" w:hAnsi="宋体"/>
          <w:szCs w:val="21"/>
        </w:rPr>
        <w:t>人，营业收入为</w:t>
      </w:r>
      <w:r>
        <w:rPr>
          <w:rFonts w:hint="eastAsia" w:ascii="宋体" w:hAnsi="宋体"/>
          <w:szCs w:val="21"/>
          <w:u w:val="single"/>
        </w:rPr>
        <w:t xml:space="preserve">      </w:t>
      </w:r>
      <w:r>
        <w:rPr>
          <w:rFonts w:hint="eastAsia" w:ascii="宋体" w:hAnsi="宋体"/>
          <w:szCs w:val="21"/>
        </w:rPr>
        <w:t>万元，资产总额为</w:t>
      </w:r>
      <w:r>
        <w:rPr>
          <w:rFonts w:hint="eastAsia" w:ascii="宋体" w:hAnsi="宋体"/>
          <w:szCs w:val="21"/>
          <w:u w:val="single"/>
        </w:rPr>
        <w:t xml:space="preserve">      </w:t>
      </w:r>
      <w:r>
        <w:rPr>
          <w:rFonts w:hint="eastAsia" w:ascii="宋体" w:hAnsi="宋体"/>
          <w:szCs w:val="21"/>
        </w:rPr>
        <w:t>万元，属于</w:t>
      </w:r>
      <w:r>
        <w:rPr>
          <w:rFonts w:hint="eastAsia" w:ascii="宋体" w:hAnsi="宋体"/>
          <w:szCs w:val="21"/>
          <w:u w:val="single"/>
        </w:rPr>
        <w:t>（中型企业、小型企业、微型企业）</w:t>
      </w:r>
      <w:r>
        <w:rPr>
          <w:rFonts w:hint="eastAsia" w:ascii="宋体" w:hAnsi="宋体"/>
          <w:szCs w:val="21"/>
        </w:rPr>
        <w:t>；</w:t>
      </w:r>
    </w:p>
    <w:p w14:paraId="2A10BCA4">
      <w:pPr>
        <w:tabs>
          <w:tab w:val="left" w:pos="1065"/>
          <w:tab w:val="left" w:pos="4262"/>
          <w:tab w:val="left" w:pos="6477"/>
        </w:tabs>
        <w:spacing w:before="20" w:line="500" w:lineRule="exact"/>
        <w:ind w:right="84" w:firstLine="600" w:firstLineChars="286"/>
        <w:rPr>
          <w:rFonts w:hint="eastAsia" w:ascii="宋体" w:hAnsi="宋体"/>
          <w:szCs w:val="21"/>
          <w:u w:val="single"/>
        </w:rPr>
      </w:pPr>
      <w:r>
        <w:rPr>
          <w:rFonts w:hint="eastAsia" w:ascii="宋体" w:hAnsi="宋体"/>
          <w:szCs w:val="21"/>
        </w:rPr>
        <w:t>2.</w:t>
      </w:r>
      <w:r>
        <w:rPr>
          <w:rFonts w:hint="eastAsia" w:ascii="宋体" w:hAnsi="宋体"/>
          <w:szCs w:val="21"/>
          <w:u w:val="single"/>
        </w:rPr>
        <w:t>（标的名称）</w:t>
      </w:r>
      <w:r>
        <w:rPr>
          <w:rFonts w:hint="eastAsia" w:ascii="宋体" w:hAnsi="宋体"/>
          <w:szCs w:val="21"/>
        </w:rPr>
        <w:t>，属于</w:t>
      </w:r>
      <w:r>
        <w:rPr>
          <w:rFonts w:hint="eastAsia" w:ascii="宋体" w:hAnsi="宋体"/>
          <w:szCs w:val="21"/>
          <w:u w:val="single"/>
        </w:rPr>
        <w:t>（采购文件中明确的所属行业）</w:t>
      </w:r>
      <w:r>
        <w:rPr>
          <w:rFonts w:hint="eastAsia" w:ascii="宋体" w:hAnsi="宋体"/>
          <w:szCs w:val="21"/>
        </w:rPr>
        <w:t>；承接企业为</w:t>
      </w:r>
      <w:r>
        <w:rPr>
          <w:rFonts w:hint="eastAsia" w:ascii="宋体" w:hAnsi="宋体"/>
          <w:szCs w:val="21"/>
          <w:u w:val="single"/>
        </w:rPr>
        <w:t>（企业名称）</w:t>
      </w:r>
      <w:r>
        <w:rPr>
          <w:rFonts w:hint="eastAsia" w:ascii="宋体" w:hAnsi="宋体"/>
          <w:szCs w:val="21"/>
        </w:rPr>
        <w:t>，从业人员</w:t>
      </w:r>
      <w:r>
        <w:rPr>
          <w:rFonts w:hint="eastAsia" w:ascii="宋体" w:hAnsi="宋体"/>
          <w:szCs w:val="21"/>
          <w:u w:val="single"/>
        </w:rPr>
        <w:t xml:space="preserve">      </w:t>
      </w:r>
      <w:r>
        <w:rPr>
          <w:rFonts w:hint="eastAsia" w:ascii="宋体" w:hAnsi="宋体"/>
          <w:szCs w:val="21"/>
        </w:rPr>
        <w:t>人，营业收入为</w:t>
      </w:r>
      <w:r>
        <w:rPr>
          <w:rFonts w:hint="eastAsia" w:ascii="宋体" w:hAnsi="宋体"/>
          <w:szCs w:val="21"/>
          <w:u w:val="single"/>
        </w:rPr>
        <w:t xml:space="preserve">      </w:t>
      </w:r>
      <w:r>
        <w:rPr>
          <w:rFonts w:hint="eastAsia" w:ascii="宋体" w:hAnsi="宋体"/>
          <w:szCs w:val="21"/>
        </w:rPr>
        <w:t>万元，资产总额为</w:t>
      </w:r>
      <w:r>
        <w:rPr>
          <w:rFonts w:hint="eastAsia" w:ascii="宋体" w:hAnsi="宋体"/>
          <w:szCs w:val="21"/>
          <w:u w:val="single"/>
        </w:rPr>
        <w:t xml:space="preserve">      </w:t>
      </w:r>
      <w:r>
        <w:rPr>
          <w:rFonts w:hint="eastAsia" w:ascii="宋体" w:hAnsi="宋体"/>
          <w:szCs w:val="21"/>
        </w:rPr>
        <w:t>万元，属于</w:t>
      </w:r>
      <w:r>
        <w:rPr>
          <w:rFonts w:hint="eastAsia" w:ascii="宋体" w:hAnsi="宋体"/>
          <w:szCs w:val="21"/>
          <w:u w:val="single"/>
        </w:rPr>
        <w:t>（中型企业、小型企业、微型企业）</w:t>
      </w:r>
      <w:r>
        <w:rPr>
          <w:rFonts w:hint="eastAsia" w:ascii="宋体" w:hAnsi="宋体"/>
          <w:szCs w:val="21"/>
        </w:rPr>
        <w:t>；</w:t>
      </w:r>
    </w:p>
    <w:p w14:paraId="5FEC7B84">
      <w:pPr>
        <w:pStyle w:val="8"/>
        <w:spacing w:before="34" w:line="500" w:lineRule="exact"/>
        <w:ind w:left="765" w:right="142" w:hanging="5"/>
        <w:rPr>
          <w:rFonts w:hint="eastAsia" w:ascii="宋体" w:hAnsi="宋体"/>
        </w:rPr>
      </w:pPr>
      <w:r>
        <w:rPr>
          <w:rFonts w:hint="eastAsia" w:ascii="宋体" w:hAnsi="宋体"/>
        </w:rPr>
        <w:t xml:space="preserve">…… </w:t>
      </w:r>
    </w:p>
    <w:p w14:paraId="24BEE3F5">
      <w:pPr>
        <w:pStyle w:val="8"/>
        <w:spacing w:before="34" w:line="500" w:lineRule="exact"/>
        <w:ind w:right="142" w:firstLine="420" w:firstLineChars="200"/>
        <w:rPr>
          <w:rFonts w:hint="eastAsia" w:ascii="宋体" w:hAnsi="宋体"/>
        </w:rPr>
      </w:pPr>
      <w:r>
        <w:rPr>
          <w:rFonts w:hint="eastAsia" w:ascii="宋体" w:hAnsi="宋体"/>
        </w:rPr>
        <w:t>以上企业，不属于大企业的分支机构，不存在控股股东为大企业的情形，也不存在与大企业的负责人为同一人的情形。</w:t>
      </w:r>
    </w:p>
    <w:p w14:paraId="10B91DC5">
      <w:pPr>
        <w:pStyle w:val="8"/>
        <w:spacing w:before="34" w:line="500" w:lineRule="exact"/>
        <w:ind w:right="142" w:firstLine="420" w:firstLineChars="200"/>
        <w:rPr>
          <w:rFonts w:hint="eastAsia" w:ascii="宋体" w:hAnsi="宋体"/>
        </w:rPr>
      </w:pPr>
      <w:r>
        <w:rPr>
          <w:rFonts w:hint="eastAsia" w:ascii="宋体" w:hAnsi="宋体"/>
        </w:rPr>
        <w:t>本企业对上述声明内容的真实性负责。如有虚假，将依法承担相应责任。</w:t>
      </w:r>
    </w:p>
    <w:p w14:paraId="4DE23935">
      <w:pPr>
        <w:pStyle w:val="11"/>
        <w:spacing w:line="360" w:lineRule="auto"/>
        <w:ind w:firstLine="420" w:firstLineChars="200"/>
        <w:rPr>
          <w:rFonts w:hint="eastAsia" w:hAnsi="宋体"/>
          <w:szCs w:val="21"/>
        </w:rPr>
      </w:pPr>
    </w:p>
    <w:p w14:paraId="08BCF298">
      <w:pPr>
        <w:pStyle w:val="11"/>
        <w:spacing w:line="360" w:lineRule="auto"/>
        <w:ind w:firstLine="420" w:firstLineChars="200"/>
        <w:rPr>
          <w:rFonts w:hint="eastAsia" w:hAnsi="宋体"/>
          <w:szCs w:val="21"/>
        </w:rPr>
      </w:pPr>
    </w:p>
    <w:p w14:paraId="6E8A1643">
      <w:pPr>
        <w:snapToGrid w:val="0"/>
        <w:spacing w:line="360" w:lineRule="auto"/>
        <w:ind w:firstLine="5040" w:firstLineChars="2100"/>
        <w:rPr>
          <w:rFonts w:hint="eastAsia" w:ascii="仿宋_GB2312" w:hAnsi="仿宋" w:eastAsia="仿宋_GB2312" w:cs="仿宋_GB2312"/>
          <w:kern w:val="0"/>
          <w:sz w:val="24"/>
        </w:rPr>
      </w:pPr>
      <w:r>
        <w:rPr>
          <w:rFonts w:hint="eastAsia" w:ascii="仿宋_GB2312" w:hAnsi="仿宋" w:eastAsia="仿宋_GB2312" w:cs="仿宋_GB2312"/>
          <w:kern w:val="0"/>
          <w:sz w:val="24"/>
          <w:lang w:val="zh-CN"/>
        </w:rPr>
        <w:t>投标人名称(电子签章)：</w:t>
      </w:r>
    </w:p>
    <w:p w14:paraId="0229C649">
      <w:pPr>
        <w:snapToGrid w:val="0"/>
        <w:spacing w:line="360" w:lineRule="auto"/>
        <w:ind w:firstLine="5160" w:firstLineChars="2150"/>
        <w:rPr>
          <w:rFonts w:hint="eastAsia" w:ascii="仿宋_GB2312" w:hAnsi="仿宋" w:eastAsia="仿宋_GB2312" w:cs="仿宋_GB2312"/>
          <w:kern w:val="0"/>
          <w:sz w:val="24"/>
          <w:lang w:val="zh-CN"/>
        </w:rPr>
      </w:pPr>
      <w:r>
        <w:rPr>
          <w:rFonts w:hint="eastAsia" w:ascii="仿宋_GB2312" w:hAnsi="仿宋" w:eastAsia="仿宋_GB2312" w:cs="仿宋_GB2312"/>
          <w:kern w:val="0"/>
          <w:sz w:val="24"/>
          <w:lang w:val="zh-CN"/>
        </w:rPr>
        <w:t>日期</w:t>
      </w:r>
      <w:r>
        <w:rPr>
          <w:rFonts w:hint="eastAsia" w:ascii="仿宋_GB2312" w:hAnsi="仿宋" w:eastAsia="仿宋_GB2312" w:cs="仿宋_GB2312"/>
          <w:kern w:val="0"/>
          <w:sz w:val="24"/>
        </w:rPr>
        <w:t xml:space="preserve">：  年  </w:t>
      </w:r>
      <w:r>
        <w:rPr>
          <w:rFonts w:hint="eastAsia" w:ascii="仿宋_GB2312" w:hAnsi="仿宋" w:eastAsia="仿宋_GB2312" w:cs="仿宋_GB2312"/>
          <w:kern w:val="0"/>
          <w:sz w:val="24"/>
          <w:lang w:val="zh-CN"/>
        </w:rPr>
        <w:t>月</w:t>
      </w:r>
      <w:r>
        <w:rPr>
          <w:rFonts w:hint="eastAsia" w:ascii="仿宋_GB2312" w:hAnsi="仿宋" w:eastAsia="仿宋_GB2312" w:cs="仿宋_GB2312"/>
          <w:kern w:val="0"/>
          <w:sz w:val="24"/>
        </w:rPr>
        <w:t xml:space="preserve">   </w:t>
      </w:r>
      <w:r>
        <w:rPr>
          <w:rFonts w:hint="eastAsia" w:ascii="仿宋_GB2312" w:hAnsi="仿宋" w:eastAsia="仿宋_GB2312" w:cs="仿宋_GB2312"/>
          <w:kern w:val="0"/>
          <w:sz w:val="24"/>
          <w:lang w:val="zh-CN"/>
        </w:rPr>
        <w:t>日</w:t>
      </w:r>
    </w:p>
    <w:p w14:paraId="250DD733">
      <w:pPr>
        <w:pStyle w:val="11"/>
        <w:spacing w:line="360" w:lineRule="auto"/>
        <w:ind w:firstLine="420" w:firstLineChars="200"/>
        <w:rPr>
          <w:rFonts w:hint="eastAsia" w:hAnsi="宋体"/>
          <w:szCs w:val="21"/>
        </w:rPr>
      </w:pPr>
    </w:p>
    <w:p w14:paraId="641D2F37">
      <w:pPr>
        <w:snapToGrid w:val="0"/>
        <w:spacing w:before="50" w:after="165" w:afterLines="50" w:line="360" w:lineRule="auto"/>
        <w:jc w:val="left"/>
        <w:rPr>
          <w:rFonts w:hint="eastAsia" w:hAnsi="宋体" w:cs="宋体"/>
          <w:sz w:val="20"/>
        </w:rPr>
      </w:pPr>
      <w:r>
        <w:rPr>
          <w:rFonts w:hint="eastAsia" w:hAnsi="宋体" w:cs="宋体"/>
          <w:sz w:val="20"/>
        </w:rPr>
        <w:t>注：</w:t>
      </w:r>
    </w:p>
    <w:p w14:paraId="115EA89A">
      <w:pPr>
        <w:numPr>
          <w:ilvl w:val="0"/>
          <w:numId w:val="4"/>
        </w:numPr>
        <w:snapToGrid w:val="0"/>
        <w:spacing w:before="50" w:after="165" w:afterLines="50" w:line="360" w:lineRule="auto"/>
        <w:jc w:val="left"/>
        <w:rPr>
          <w:sz w:val="20"/>
        </w:rPr>
      </w:pPr>
      <w:r>
        <w:rPr>
          <w:rFonts w:hint="eastAsia"/>
          <w:sz w:val="20"/>
        </w:rPr>
        <w:t>从业人员、营业收入、资产总额填报上一年度数据，无上一年度数据的新成立企业可不填报。</w:t>
      </w:r>
    </w:p>
    <w:p w14:paraId="54AC225B">
      <w:pPr>
        <w:snapToGrid w:val="0"/>
        <w:spacing w:before="50" w:after="165" w:afterLines="50" w:line="360" w:lineRule="auto"/>
        <w:ind w:firstLine="300" w:firstLineChars="150"/>
        <w:jc w:val="left"/>
        <w:rPr>
          <w:sz w:val="20"/>
        </w:rPr>
      </w:pPr>
      <w:r>
        <w:rPr>
          <w:sz w:val="20"/>
        </w:rPr>
        <w:t>2</w:t>
      </w:r>
      <w:r>
        <w:rPr>
          <w:rFonts w:hint="eastAsia"/>
          <w:sz w:val="20"/>
        </w:rPr>
        <w:t>、请根据自己的真实情况出具《中小企业声明函》。依法享受中小企业优惠政策的，采购人或者采购代理机构在公告中标结果时，同时公告其《中小企业声明函》，接受社会监督。</w:t>
      </w:r>
    </w:p>
    <w:p w14:paraId="68404F03">
      <w:pPr>
        <w:pStyle w:val="11"/>
        <w:spacing w:line="600" w:lineRule="exact"/>
        <w:rPr>
          <w:rFonts w:hint="eastAsia" w:ascii="Times New Roman" w:hAnsi="Times New Roman"/>
          <w:b/>
          <w:bCs/>
          <w:sz w:val="30"/>
          <w:szCs w:val="30"/>
        </w:rPr>
      </w:pPr>
    </w:p>
    <w:p w14:paraId="0639A63A">
      <w:pPr>
        <w:pStyle w:val="11"/>
        <w:spacing w:line="600" w:lineRule="exact"/>
        <w:jc w:val="center"/>
        <w:rPr>
          <w:rFonts w:ascii="Times New Roman" w:hAnsi="Times New Roman"/>
        </w:rPr>
      </w:pPr>
      <w:r>
        <w:rPr>
          <w:rFonts w:hint="eastAsia" w:ascii="Times New Roman" w:hAnsi="Times New Roman"/>
          <w:b/>
          <w:bCs/>
          <w:sz w:val="30"/>
          <w:szCs w:val="30"/>
        </w:rPr>
        <w:br w:type="page"/>
      </w:r>
      <w:r>
        <w:rPr>
          <w:rFonts w:hint="eastAsia" w:ascii="Times New Roman" w:hAnsi="Times New Roman"/>
          <w:b/>
          <w:bCs/>
          <w:sz w:val="30"/>
          <w:szCs w:val="30"/>
        </w:rPr>
        <w:t>八、联合体协议书</w:t>
      </w:r>
    </w:p>
    <w:p w14:paraId="08F57355">
      <w:pPr>
        <w:autoSpaceDE w:val="0"/>
        <w:autoSpaceDN w:val="0"/>
        <w:adjustRightInd w:val="0"/>
        <w:spacing w:line="360" w:lineRule="auto"/>
        <w:jc w:val="left"/>
        <w:rPr>
          <w:rFonts w:ascii="宋体" w:cs="宋体"/>
          <w:kern w:val="0"/>
          <w:szCs w:val="21"/>
          <w:u w:val="single"/>
        </w:rPr>
      </w:pPr>
    </w:p>
    <w:p w14:paraId="1E66B735">
      <w:pPr>
        <w:autoSpaceDE w:val="0"/>
        <w:autoSpaceDN w:val="0"/>
        <w:adjustRightInd w:val="0"/>
        <w:spacing w:line="360" w:lineRule="auto"/>
        <w:jc w:val="left"/>
        <w:rPr>
          <w:rFonts w:hint="eastAsia" w:ascii="宋体" w:cs="宋体"/>
          <w:kern w:val="0"/>
          <w:szCs w:val="21"/>
        </w:rPr>
      </w:pPr>
      <w:r>
        <w:rPr>
          <w:rFonts w:hint="eastAsia" w:ascii="宋体" w:cs="宋体"/>
          <w:kern w:val="0"/>
          <w:szCs w:val="21"/>
          <w:u w:val="single"/>
        </w:rPr>
        <w:t xml:space="preserve">                                                  </w:t>
      </w:r>
      <w:r>
        <w:rPr>
          <w:rFonts w:hint="eastAsia" w:ascii="宋体" w:cs="宋体"/>
          <w:kern w:val="0"/>
          <w:szCs w:val="21"/>
        </w:rPr>
        <w:t>（所有成员单位名称）自愿组成联合体，共同参加</w:t>
      </w:r>
      <w:r>
        <w:rPr>
          <w:rFonts w:hint="eastAsia" w:ascii="宋体" w:cs="宋体"/>
          <w:kern w:val="0"/>
          <w:szCs w:val="21"/>
          <w:u w:val="single"/>
        </w:rPr>
        <w:t xml:space="preserve">     </w:t>
      </w:r>
      <w:bookmarkStart w:id="404" w:name="PO_3000001866_PM031_6"/>
      <w:r>
        <w:rPr>
          <w:rFonts w:hint="eastAsia" w:ascii="宋体" w:cs="宋体"/>
          <w:kern w:val="0"/>
          <w:szCs w:val="21"/>
          <w:u w:val="single"/>
        </w:rPr>
        <w:t>广西国建项目管理有限公司</w:t>
      </w:r>
      <w:bookmarkEnd w:id="404"/>
      <w:r>
        <w:rPr>
          <w:rFonts w:hint="eastAsia" w:ascii="宋体" w:cs="宋体"/>
          <w:kern w:val="0"/>
          <w:szCs w:val="21"/>
          <w:u w:val="single"/>
        </w:rPr>
        <w:t xml:space="preserve">  </w:t>
      </w:r>
      <w:r>
        <w:rPr>
          <w:rFonts w:hint="eastAsia" w:ascii="宋体" w:cs="宋体"/>
          <w:kern w:val="0"/>
          <w:szCs w:val="21"/>
        </w:rPr>
        <w:t>组织的</w:t>
      </w:r>
      <w:r>
        <w:rPr>
          <w:rFonts w:hint="eastAsia" w:ascii="宋体" w:cs="宋体"/>
          <w:kern w:val="0"/>
          <w:szCs w:val="21"/>
          <w:u w:val="single"/>
        </w:rPr>
        <w:t xml:space="preserve">  </w:t>
      </w:r>
      <w:r>
        <w:rPr>
          <w:rFonts w:hint="eastAsia" w:ascii="宋体" w:cs="宋体"/>
          <w:kern w:val="0"/>
          <w:szCs w:val="21"/>
          <w:u w:val="single"/>
          <w:lang w:eastAsia="zh-CN"/>
        </w:rPr>
        <w:t>南宁市第三职业技术学校2026年优质校及优质专业内涵建设服务项目</w:t>
      </w:r>
      <w:r>
        <w:rPr>
          <w:rFonts w:hint="eastAsia" w:ascii="宋体" w:cs="宋体"/>
          <w:kern w:val="0"/>
          <w:szCs w:val="21"/>
          <w:u w:val="single"/>
        </w:rPr>
        <w:t xml:space="preserve">  </w:t>
      </w:r>
      <w:r>
        <w:rPr>
          <w:rFonts w:hint="eastAsia" w:ascii="宋体" w:cs="宋体"/>
          <w:kern w:val="0"/>
          <w:szCs w:val="21"/>
        </w:rPr>
        <w:t>（项目编号：</w:t>
      </w:r>
      <w:r>
        <w:rPr>
          <w:rFonts w:hint="eastAsia" w:ascii="宋体" w:cs="宋体"/>
          <w:kern w:val="0"/>
          <w:szCs w:val="21"/>
          <w:u w:val="single"/>
        </w:rPr>
        <w:t xml:space="preserve"> </w:t>
      </w:r>
      <w:r>
        <w:rPr>
          <w:rFonts w:hint="eastAsia" w:ascii="宋体" w:cs="宋体"/>
          <w:kern w:val="0"/>
          <w:szCs w:val="21"/>
          <w:u w:val="single"/>
          <w:lang w:eastAsia="zh-CN"/>
        </w:rPr>
        <w:t>NNZC2026-G3-990830-GXGJ</w:t>
      </w:r>
      <w:r>
        <w:rPr>
          <w:rFonts w:hint="eastAsia" w:ascii="宋体" w:cs="宋体"/>
          <w:kern w:val="0"/>
          <w:szCs w:val="21"/>
        </w:rPr>
        <w:t>）投标。现就联合体投标事宜订立如下协议：</w:t>
      </w:r>
    </w:p>
    <w:p w14:paraId="3C75F778">
      <w:pPr>
        <w:autoSpaceDE w:val="0"/>
        <w:autoSpaceDN w:val="0"/>
        <w:adjustRightInd w:val="0"/>
        <w:spacing w:line="360" w:lineRule="auto"/>
        <w:ind w:firstLine="420"/>
        <w:jc w:val="left"/>
        <w:rPr>
          <w:rFonts w:hint="eastAsia" w:ascii="宋体" w:hAnsi="宋体" w:cs="宋体"/>
          <w:kern w:val="0"/>
          <w:szCs w:val="21"/>
        </w:rPr>
      </w:pPr>
      <w:r>
        <w:rPr>
          <w:rFonts w:hint="eastAsia" w:ascii="宋体" w:hAnsi="宋体" w:cs="TimesNewRomanPSMT"/>
          <w:kern w:val="0"/>
          <w:szCs w:val="21"/>
        </w:rPr>
        <w:t>1</w:t>
      </w:r>
      <w:r>
        <w:rPr>
          <w:rFonts w:hint="eastAsia" w:ascii="宋体" w:hAnsi="宋体" w:cs="宋体"/>
          <w:kern w:val="0"/>
          <w:szCs w:val="21"/>
        </w:rPr>
        <w:t>、</w:t>
      </w:r>
      <w:r>
        <w:t>________________________</w:t>
      </w:r>
      <w:r>
        <w:rPr>
          <w:rFonts w:hint="eastAsia" w:ascii="宋体" w:hAnsi="宋体" w:cs="宋体"/>
          <w:kern w:val="0"/>
          <w:szCs w:val="21"/>
        </w:rPr>
        <w:t>（某成员单位名称）为联合体名称牵头人。</w:t>
      </w:r>
    </w:p>
    <w:p w14:paraId="1D0BE506">
      <w:pPr>
        <w:autoSpaceDE w:val="0"/>
        <w:autoSpaceDN w:val="0"/>
        <w:adjustRightInd w:val="0"/>
        <w:spacing w:line="360" w:lineRule="auto"/>
        <w:ind w:firstLine="420"/>
        <w:jc w:val="left"/>
        <w:rPr>
          <w:rFonts w:hint="eastAsia" w:ascii="宋体" w:hAnsi="宋体" w:cs="宋体"/>
          <w:kern w:val="0"/>
          <w:szCs w:val="21"/>
        </w:rPr>
      </w:pPr>
      <w:r>
        <w:rPr>
          <w:rFonts w:hint="eastAsia" w:ascii="宋体" w:hAnsi="宋体" w:cs="TimesNewRomanPSMT"/>
          <w:kern w:val="0"/>
          <w:szCs w:val="21"/>
        </w:rPr>
        <w:t>2</w:t>
      </w:r>
      <w:r>
        <w:rPr>
          <w:rFonts w:hint="eastAsia" w:ascii="宋体" w:hAnsi="宋体" w:cs="宋体"/>
          <w:kern w:val="0"/>
          <w:szCs w:val="21"/>
        </w:rPr>
        <w:t>、联合体牵头人合法代表联合体各成员负责本招标项目投标文件编制和合同谈判活动，并代表联合体提交和接收相关的资料、信息及指示，并处理与之有关的一切事务，负责合同实施阶段的主办、组织和协调工作。</w:t>
      </w:r>
    </w:p>
    <w:p w14:paraId="520DCB7D">
      <w:pPr>
        <w:autoSpaceDE w:val="0"/>
        <w:autoSpaceDN w:val="0"/>
        <w:adjustRightInd w:val="0"/>
        <w:spacing w:line="360" w:lineRule="auto"/>
        <w:ind w:firstLine="420"/>
        <w:jc w:val="left"/>
        <w:rPr>
          <w:rFonts w:hint="eastAsia" w:ascii="宋体" w:hAnsi="宋体" w:cs="宋体"/>
          <w:kern w:val="0"/>
          <w:szCs w:val="21"/>
        </w:rPr>
      </w:pPr>
      <w:r>
        <w:rPr>
          <w:rFonts w:hint="eastAsia" w:ascii="宋体" w:hAnsi="宋体" w:cs="宋体"/>
          <w:kern w:val="0"/>
          <w:szCs w:val="21"/>
        </w:rPr>
        <w:t>3、联合体牵头人在本项目中签署和盖章的一切文件和处理的一切事宜，联合体各成员均予以承认。 联合体各成员将严格按照招标文件、投标文件和合同的要求全面履行义务，并向招标人承担连带责任。</w:t>
      </w:r>
    </w:p>
    <w:p w14:paraId="447B8179">
      <w:pPr>
        <w:autoSpaceDE w:val="0"/>
        <w:autoSpaceDN w:val="0"/>
        <w:adjustRightInd w:val="0"/>
        <w:spacing w:line="360" w:lineRule="auto"/>
        <w:ind w:firstLine="420"/>
        <w:jc w:val="left"/>
        <w:rPr>
          <w:rFonts w:hint="eastAsia" w:ascii="宋体" w:hAnsi="宋体" w:cs="宋体"/>
          <w:kern w:val="0"/>
          <w:szCs w:val="21"/>
        </w:rPr>
      </w:pPr>
      <w:r>
        <w:rPr>
          <w:rFonts w:hint="eastAsia" w:ascii="宋体" w:hAnsi="宋体" w:cs="TimesNewRomanPSMT"/>
          <w:kern w:val="0"/>
          <w:szCs w:val="21"/>
        </w:rPr>
        <w:t>4</w:t>
      </w:r>
      <w:r>
        <w:rPr>
          <w:rFonts w:hint="eastAsia" w:ascii="宋体" w:hAnsi="宋体" w:cs="宋体"/>
          <w:kern w:val="0"/>
          <w:szCs w:val="21"/>
        </w:rPr>
        <w:t>、联合体各成员单位内部的职责分工如下</w:t>
      </w:r>
      <w:r>
        <w:rPr>
          <w:rFonts w:hint="eastAsia" w:ascii="宋体" w:hAnsi="宋体" w:cs="宋体"/>
          <w:kern w:val="0"/>
          <w:szCs w:val="21"/>
          <w:u w:val="single"/>
        </w:rPr>
        <w:t>：</w:t>
      </w:r>
      <w:r>
        <w:rPr>
          <w:rFonts w:hint="eastAsia" w:ascii="宋体" w:cs="宋体"/>
          <w:kern w:val="0"/>
          <w:szCs w:val="21"/>
          <w:u w:val="single"/>
        </w:rPr>
        <w:t xml:space="preserve">                                                </w:t>
      </w:r>
      <w:r>
        <w:rPr>
          <w:rFonts w:hint="eastAsia" w:ascii="宋体" w:hAnsi="宋体" w:cs="宋体"/>
          <w:kern w:val="0"/>
          <w:szCs w:val="21"/>
        </w:rPr>
        <w:t>。</w:t>
      </w:r>
    </w:p>
    <w:p w14:paraId="275E19D8">
      <w:pPr>
        <w:pStyle w:val="11"/>
        <w:spacing w:line="360" w:lineRule="auto"/>
        <w:ind w:firstLine="420" w:firstLineChars="200"/>
        <w:rPr>
          <w:rFonts w:hint="eastAsia" w:ascii="Times New Roman" w:hAnsi="Times New Roman"/>
          <w:szCs w:val="21"/>
        </w:rPr>
      </w:pPr>
      <w:r>
        <w:rPr>
          <w:rFonts w:hint="eastAsia" w:hAnsi="宋体" w:cs="宋体"/>
          <w:kern w:val="0"/>
        </w:rPr>
        <w:t>5、本联合体中</w:t>
      </w:r>
      <w:r>
        <w:rPr>
          <w:rFonts w:hint="eastAsia" w:hAnsi="宋体" w:cs="宋体"/>
          <w:kern w:val="0"/>
          <w:u w:val="single"/>
        </w:rPr>
        <w:t>，</w:t>
      </w:r>
      <w:r>
        <w:rPr>
          <w:rFonts w:hint="eastAsia"/>
          <w:u w:val="single"/>
        </w:rPr>
        <w:t>________________________</w:t>
      </w:r>
      <w:r>
        <w:rPr>
          <w:rFonts w:hint="eastAsia" w:hAnsi="宋体" w:cs="宋体"/>
          <w:kern w:val="0"/>
          <w:u w:val="single"/>
        </w:rPr>
        <w:t>（某成员单位名称）为</w:t>
      </w:r>
      <w:r>
        <w:rPr>
          <w:rFonts w:hint="eastAsia"/>
          <w:u w:val="single"/>
        </w:rPr>
        <w:t>______</w:t>
      </w:r>
      <w:r>
        <w:rPr>
          <w:rFonts w:hint="eastAsia"/>
        </w:rPr>
        <w:t>（请填写：中型、小型、微型）企业，其协议合同金额占联合体协议合同总金额的</w:t>
      </w:r>
      <w:r>
        <w:rPr>
          <w:rFonts w:hint="eastAsia"/>
          <w:u w:val="single"/>
        </w:rPr>
        <w:t>______</w:t>
      </w:r>
      <w:r>
        <w:rPr>
          <w:rFonts w:hint="eastAsia"/>
        </w:rPr>
        <w:t>%。【如联合体成员中有小型、微型企业的，请填写此条，否则无需填写；如联合体成员中有多个小型、微型企业的，请逐一列出。】</w:t>
      </w:r>
    </w:p>
    <w:p w14:paraId="2D7155D6">
      <w:pPr>
        <w:autoSpaceDE w:val="0"/>
        <w:autoSpaceDN w:val="0"/>
        <w:adjustRightInd w:val="0"/>
        <w:spacing w:line="360" w:lineRule="auto"/>
        <w:ind w:firstLine="420"/>
        <w:jc w:val="left"/>
        <w:rPr>
          <w:rFonts w:ascii="宋体" w:hAnsi="宋体" w:cs="宋体"/>
          <w:kern w:val="0"/>
          <w:szCs w:val="21"/>
        </w:rPr>
      </w:pPr>
      <w:r>
        <w:rPr>
          <w:rFonts w:hint="eastAsia" w:ascii="宋体" w:hAnsi="宋体" w:cs="TimesNewRomanPSMT"/>
          <w:kern w:val="0"/>
          <w:szCs w:val="21"/>
        </w:rPr>
        <w:t>6</w:t>
      </w:r>
      <w:r>
        <w:rPr>
          <w:rFonts w:hint="eastAsia" w:ascii="宋体" w:hAnsi="宋体" w:cs="宋体"/>
          <w:kern w:val="0"/>
          <w:szCs w:val="21"/>
        </w:rPr>
        <w:t>、本协议书自签署之日起生效，合同履行完毕后自动失效。</w:t>
      </w:r>
    </w:p>
    <w:p w14:paraId="1C3C87A3">
      <w:pPr>
        <w:autoSpaceDE w:val="0"/>
        <w:autoSpaceDN w:val="0"/>
        <w:adjustRightInd w:val="0"/>
        <w:spacing w:line="360" w:lineRule="auto"/>
        <w:ind w:firstLine="420"/>
        <w:jc w:val="left"/>
        <w:rPr>
          <w:rFonts w:hint="eastAsia" w:ascii="宋体" w:hAnsi="宋体" w:cs="宋体"/>
          <w:kern w:val="0"/>
          <w:szCs w:val="21"/>
        </w:rPr>
      </w:pPr>
      <w:r>
        <w:rPr>
          <w:rFonts w:hint="eastAsia" w:ascii="宋体" w:hAnsi="宋体" w:cs="TimesNewRomanPSMT"/>
          <w:kern w:val="0"/>
          <w:szCs w:val="21"/>
        </w:rPr>
        <w:t>7</w:t>
      </w:r>
      <w:r>
        <w:rPr>
          <w:rFonts w:hint="eastAsia" w:ascii="宋体" w:hAnsi="宋体" w:cs="宋体"/>
          <w:kern w:val="0"/>
          <w:szCs w:val="21"/>
        </w:rPr>
        <w:t>、本协议书一式</w:t>
      </w:r>
      <w:r>
        <w:rPr>
          <w:rFonts w:hint="eastAsia" w:ascii="宋体" w:hAnsi="宋体" w:cs="宋体"/>
          <w:kern w:val="0"/>
          <w:szCs w:val="21"/>
          <w:u w:val="single"/>
        </w:rPr>
        <w:t xml:space="preserve">    </w:t>
      </w:r>
      <w:r>
        <w:rPr>
          <w:rFonts w:hint="eastAsia" w:ascii="宋体" w:hAnsi="宋体" w:cs="宋体"/>
          <w:kern w:val="0"/>
          <w:szCs w:val="21"/>
        </w:rPr>
        <w:t>份，联合体成员和采购代理机构各执一份。</w:t>
      </w:r>
    </w:p>
    <w:p w14:paraId="61E3FBA4">
      <w:pPr>
        <w:autoSpaceDE w:val="0"/>
        <w:autoSpaceDN w:val="0"/>
        <w:adjustRightInd w:val="0"/>
        <w:spacing w:line="360" w:lineRule="auto"/>
        <w:ind w:firstLine="420"/>
        <w:jc w:val="left"/>
        <w:rPr>
          <w:rFonts w:hint="eastAsia" w:ascii="宋体" w:cs="宋体"/>
          <w:kern w:val="0"/>
          <w:szCs w:val="21"/>
        </w:rPr>
      </w:pPr>
      <w:r>
        <w:rPr>
          <w:rFonts w:hint="eastAsia" w:ascii="宋体" w:cs="宋体"/>
          <w:kern w:val="0"/>
          <w:szCs w:val="21"/>
        </w:rPr>
        <w:t>注：本协议书由法定代表人签字的，应附法定代表人身份证明；本协议书由委托代理人签字的，应附法定代表人授权委托书。</w:t>
      </w:r>
    </w:p>
    <w:p w14:paraId="50DF076A">
      <w:pPr>
        <w:autoSpaceDE w:val="0"/>
        <w:autoSpaceDN w:val="0"/>
        <w:adjustRightInd w:val="0"/>
        <w:spacing w:line="360" w:lineRule="auto"/>
        <w:jc w:val="left"/>
        <w:rPr>
          <w:rFonts w:hint="eastAsia" w:ascii="宋体" w:cs="宋体"/>
          <w:kern w:val="0"/>
          <w:szCs w:val="21"/>
        </w:rPr>
      </w:pPr>
      <w:r>
        <w:rPr>
          <w:rFonts w:hint="eastAsia" w:ascii="宋体" w:cs="宋体"/>
          <w:kern w:val="0"/>
          <w:szCs w:val="21"/>
        </w:rPr>
        <w:t>牵头人名称：</w:t>
      </w:r>
      <w:r>
        <w:rPr>
          <w:rFonts w:hint="eastAsia" w:ascii="宋体" w:cs="宋体"/>
          <w:kern w:val="0"/>
          <w:szCs w:val="21"/>
          <w:u w:val="single"/>
        </w:rPr>
        <w:t xml:space="preserve">                                       </w:t>
      </w:r>
      <w:r>
        <w:rPr>
          <w:rFonts w:hint="eastAsia" w:ascii="宋体" w:cs="宋体"/>
          <w:kern w:val="0"/>
          <w:szCs w:val="21"/>
        </w:rPr>
        <w:t>（公章/电子签章）</w:t>
      </w:r>
    </w:p>
    <w:p w14:paraId="556552CB">
      <w:pPr>
        <w:autoSpaceDE w:val="0"/>
        <w:autoSpaceDN w:val="0"/>
        <w:adjustRightInd w:val="0"/>
        <w:spacing w:line="360" w:lineRule="auto"/>
        <w:jc w:val="left"/>
        <w:rPr>
          <w:rFonts w:hint="eastAsia" w:ascii="宋体" w:cs="宋体"/>
          <w:kern w:val="0"/>
          <w:szCs w:val="21"/>
        </w:rPr>
      </w:pPr>
      <w:r>
        <w:rPr>
          <w:rFonts w:hint="eastAsia" w:ascii="宋体" w:cs="宋体"/>
          <w:kern w:val="0"/>
          <w:szCs w:val="21"/>
        </w:rPr>
        <w:t>法定代表人或其委托代理人：</w:t>
      </w:r>
      <w:r>
        <w:rPr>
          <w:rFonts w:hint="eastAsia" w:ascii="宋体" w:cs="宋体"/>
          <w:kern w:val="0"/>
          <w:szCs w:val="21"/>
          <w:u w:val="single"/>
        </w:rPr>
        <w:t xml:space="preserve">                         </w:t>
      </w:r>
      <w:r>
        <w:rPr>
          <w:rFonts w:hint="eastAsia" w:ascii="宋体" w:cs="宋体"/>
          <w:kern w:val="0"/>
          <w:szCs w:val="21"/>
        </w:rPr>
        <w:t>（手写签名/电子签名）</w:t>
      </w:r>
    </w:p>
    <w:p w14:paraId="27A59435">
      <w:pPr>
        <w:autoSpaceDE w:val="0"/>
        <w:autoSpaceDN w:val="0"/>
        <w:adjustRightInd w:val="0"/>
        <w:spacing w:line="360" w:lineRule="auto"/>
        <w:jc w:val="left"/>
        <w:rPr>
          <w:rFonts w:hint="eastAsia" w:ascii="宋体" w:cs="宋体"/>
          <w:kern w:val="0"/>
          <w:szCs w:val="21"/>
        </w:rPr>
      </w:pPr>
    </w:p>
    <w:p w14:paraId="11974C05">
      <w:pPr>
        <w:autoSpaceDE w:val="0"/>
        <w:autoSpaceDN w:val="0"/>
        <w:adjustRightInd w:val="0"/>
        <w:spacing w:line="360" w:lineRule="auto"/>
        <w:jc w:val="left"/>
        <w:rPr>
          <w:rFonts w:hint="eastAsia" w:ascii="宋体" w:cs="宋体"/>
          <w:kern w:val="0"/>
          <w:szCs w:val="21"/>
        </w:rPr>
      </w:pPr>
      <w:r>
        <w:rPr>
          <w:rFonts w:hint="eastAsia" w:ascii="宋体" w:cs="宋体"/>
          <w:kern w:val="0"/>
          <w:szCs w:val="21"/>
        </w:rPr>
        <w:t>成员一名称：</w:t>
      </w:r>
      <w:r>
        <w:rPr>
          <w:rFonts w:hint="eastAsia" w:ascii="宋体" w:cs="宋体"/>
          <w:kern w:val="0"/>
          <w:szCs w:val="21"/>
          <w:u w:val="single"/>
        </w:rPr>
        <w:t xml:space="preserve">                                       </w:t>
      </w:r>
      <w:r>
        <w:rPr>
          <w:rFonts w:hint="eastAsia" w:ascii="宋体" w:cs="宋体"/>
          <w:kern w:val="0"/>
          <w:szCs w:val="21"/>
        </w:rPr>
        <w:t>（公章/电子签章）</w:t>
      </w:r>
    </w:p>
    <w:p w14:paraId="06937755">
      <w:pPr>
        <w:autoSpaceDE w:val="0"/>
        <w:autoSpaceDN w:val="0"/>
        <w:adjustRightInd w:val="0"/>
        <w:spacing w:line="360" w:lineRule="auto"/>
        <w:jc w:val="left"/>
        <w:rPr>
          <w:rFonts w:hint="eastAsia" w:ascii="宋体" w:cs="宋体"/>
          <w:kern w:val="0"/>
          <w:szCs w:val="21"/>
        </w:rPr>
      </w:pPr>
      <w:r>
        <w:rPr>
          <w:rFonts w:hint="eastAsia" w:ascii="宋体" w:cs="宋体"/>
          <w:kern w:val="0"/>
          <w:szCs w:val="21"/>
        </w:rPr>
        <w:t>法定代表人或其委托代理人：</w:t>
      </w:r>
      <w:r>
        <w:rPr>
          <w:rFonts w:hint="eastAsia" w:ascii="宋体" w:cs="宋体"/>
          <w:kern w:val="0"/>
          <w:szCs w:val="21"/>
          <w:u w:val="single"/>
        </w:rPr>
        <w:t xml:space="preserve">                         </w:t>
      </w:r>
      <w:r>
        <w:rPr>
          <w:rFonts w:hint="eastAsia" w:ascii="宋体" w:cs="宋体"/>
          <w:kern w:val="0"/>
          <w:szCs w:val="21"/>
        </w:rPr>
        <w:t>（手写签名/电子签名）</w:t>
      </w:r>
    </w:p>
    <w:p w14:paraId="6CEE3B5D">
      <w:pPr>
        <w:autoSpaceDE w:val="0"/>
        <w:autoSpaceDN w:val="0"/>
        <w:adjustRightInd w:val="0"/>
        <w:spacing w:line="360" w:lineRule="auto"/>
        <w:jc w:val="left"/>
        <w:rPr>
          <w:rFonts w:hint="eastAsia" w:ascii="宋体" w:cs="宋体"/>
          <w:kern w:val="0"/>
          <w:szCs w:val="21"/>
        </w:rPr>
      </w:pPr>
    </w:p>
    <w:p w14:paraId="03BCFF2D">
      <w:pPr>
        <w:autoSpaceDE w:val="0"/>
        <w:autoSpaceDN w:val="0"/>
        <w:adjustRightInd w:val="0"/>
        <w:spacing w:line="360" w:lineRule="auto"/>
        <w:jc w:val="left"/>
        <w:rPr>
          <w:rFonts w:hint="eastAsia" w:ascii="宋体" w:cs="宋体"/>
          <w:kern w:val="0"/>
          <w:szCs w:val="21"/>
        </w:rPr>
      </w:pPr>
      <w:r>
        <w:rPr>
          <w:rFonts w:hint="eastAsia" w:ascii="宋体" w:cs="宋体"/>
          <w:kern w:val="0"/>
          <w:szCs w:val="21"/>
        </w:rPr>
        <w:t>成员二名称：</w:t>
      </w:r>
      <w:r>
        <w:rPr>
          <w:rFonts w:hint="eastAsia" w:ascii="宋体" w:cs="宋体"/>
          <w:kern w:val="0"/>
          <w:szCs w:val="21"/>
          <w:u w:val="single"/>
        </w:rPr>
        <w:t xml:space="preserve">                                       </w:t>
      </w:r>
      <w:r>
        <w:rPr>
          <w:rFonts w:hint="eastAsia" w:ascii="宋体" w:cs="宋体"/>
          <w:kern w:val="0"/>
          <w:szCs w:val="21"/>
        </w:rPr>
        <w:t>（公章/电子签章）</w:t>
      </w:r>
    </w:p>
    <w:p w14:paraId="46192D07">
      <w:pPr>
        <w:pStyle w:val="11"/>
        <w:spacing w:line="600" w:lineRule="exact"/>
        <w:rPr>
          <w:rFonts w:hint="eastAsia" w:ascii="仿宋_GB2312" w:hAnsi="仿宋" w:eastAsia="仿宋_GB2312" w:cs="仿宋_GB2312"/>
          <w:kern w:val="0"/>
          <w:sz w:val="24"/>
          <w:lang w:val="zh-CN"/>
        </w:rPr>
      </w:pPr>
      <w:r>
        <w:rPr>
          <w:rFonts w:hint="eastAsia" w:cs="宋体"/>
          <w:kern w:val="0"/>
          <w:szCs w:val="21"/>
        </w:rPr>
        <w:t>法定代表人或其委托代理人：</w:t>
      </w:r>
      <w:r>
        <w:rPr>
          <w:rFonts w:hint="eastAsia" w:cs="宋体"/>
          <w:kern w:val="0"/>
          <w:szCs w:val="21"/>
          <w:u w:val="single"/>
        </w:rPr>
        <w:t xml:space="preserve">                         </w:t>
      </w:r>
      <w:r>
        <w:rPr>
          <w:rFonts w:hint="eastAsia" w:cs="宋体"/>
          <w:kern w:val="0"/>
          <w:szCs w:val="21"/>
        </w:rPr>
        <w:t>（</w:t>
      </w:r>
      <w:r>
        <w:rPr>
          <w:rFonts w:hint="eastAsia" w:hAnsi="Times New Roman" w:cs="宋体"/>
          <w:kern w:val="0"/>
          <w:szCs w:val="21"/>
        </w:rPr>
        <w:t>手写签名</w:t>
      </w:r>
      <w:r>
        <w:rPr>
          <w:rFonts w:hint="eastAsia" w:cs="宋体"/>
          <w:kern w:val="0"/>
          <w:szCs w:val="21"/>
        </w:rPr>
        <w:t>/</w:t>
      </w:r>
      <w:r>
        <w:rPr>
          <w:rFonts w:hint="eastAsia" w:hAnsi="Times New Roman" w:cs="宋体"/>
          <w:kern w:val="0"/>
          <w:szCs w:val="21"/>
        </w:rPr>
        <w:t>电子签名</w:t>
      </w:r>
      <w:r>
        <w:rPr>
          <w:rFonts w:hint="eastAsia" w:cs="宋体"/>
          <w:kern w:val="0"/>
          <w:szCs w:val="21"/>
        </w:rPr>
        <w:t>）</w:t>
      </w:r>
    </w:p>
    <w:p w14:paraId="43E4065D">
      <w:pPr>
        <w:pStyle w:val="11"/>
        <w:spacing w:line="600" w:lineRule="exact"/>
        <w:jc w:val="center"/>
        <w:rPr>
          <w:rFonts w:hint="eastAsia" w:ascii="Times New Roman" w:hAnsi="Times New Roman"/>
        </w:rPr>
      </w:pPr>
    </w:p>
    <w:p w14:paraId="4C4E08D1">
      <w:pPr>
        <w:widowControl/>
        <w:spacing w:line="360" w:lineRule="auto"/>
        <w:jc w:val="left"/>
        <w:rPr>
          <w:rFonts w:hAnsi="宋体"/>
          <w:color w:val="000000"/>
          <w:szCs w:val="21"/>
        </w:rPr>
        <w:sectPr>
          <w:pgSz w:w="11906" w:h="16838"/>
          <w:pgMar w:top="1134" w:right="1134" w:bottom="1134" w:left="1134" w:header="720" w:footer="720" w:gutter="0"/>
          <w:cols w:space="720" w:num="1"/>
          <w:docGrid w:type="lines" w:linePitch="331" w:charSpace="0"/>
        </w:sectPr>
      </w:pPr>
    </w:p>
    <w:p w14:paraId="7D78D52D">
      <w:pPr>
        <w:pStyle w:val="11"/>
      </w:pPr>
    </w:p>
    <w:p w14:paraId="7E2BD54B">
      <w:pPr>
        <w:pStyle w:val="11"/>
        <w:jc w:val="center"/>
        <w:outlineLvl w:val="1"/>
        <w:rPr>
          <w:rFonts w:hint="eastAsia" w:hAnsi="宋体"/>
          <w:b/>
          <w:bCs/>
          <w:color w:val="000000"/>
          <w:sz w:val="28"/>
          <w:szCs w:val="28"/>
        </w:rPr>
      </w:pPr>
      <w:bookmarkStart w:id="405" w:name="_Toc19686838"/>
      <w:bookmarkStart w:id="406" w:name="_Toc211960319"/>
      <w:r>
        <w:rPr>
          <w:rFonts w:hint="eastAsia" w:hAnsi="宋体"/>
          <w:b/>
          <w:bCs/>
          <w:color w:val="000000"/>
          <w:sz w:val="28"/>
          <w:szCs w:val="28"/>
        </w:rPr>
        <w:t>第三节 商务文件格式</w:t>
      </w:r>
      <w:bookmarkEnd w:id="405"/>
      <w:bookmarkEnd w:id="406"/>
    </w:p>
    <w:p w14:paraId="0C9B2951">
      <w:pPr>
        <w:snapToGrid w:val="0"/>
        <w:spacing w:before="165" w:beforeLines="50" w:after="50"/>
        <w:rPr>
          <w:rFonts w:hint="eastAsia" w:ascii="宋体" w:hAnsi="宋体"/>
          <w:color w:val="000000"/>
          <w:sz w:val="30"/>
          <w:szCs w:val="20"/>
        </w:rPr>
      </w:pPr>
    </w:p>
    <w:p w14:paraId="2AF01EC6">
      <w:pPr>
        <w:snapToGrid w:val="0"/>
        <w:spacing w:before="165" w:beforeLines="50" w:after="50"/>
        <w:rPr>
          <w:rFonts w:hint="eastAsia" w:ascii="宋体" w:hAnsi="宋体"/>
          <w:bCs/>
          <w:color w:val="000000"/>
          <w:sz w:val="32"/>
          <w:szCs w:val="20"/>
        </w:rPr>
      </w:pPr>
      <w:r>
        <w:rPr>
          <w:rFonts w:hint="eastAsia" w:ascii="宋体" w:hAnsi="宋体"/>
          <w:color w:val="000000"/>
          <w:sz w:val="24"/>
        </w:rPr>
        <w:t xml:space="preserve">                                                  </w:t>
      </w:r>
      <w:r>
        <w:rPr>
          <w:rFonts w:hint="eastAsia" w:ascii="宋体" w:hAnsi="宋体"/>
          <w:bCs/>
          <w:color w:val="000000"/>
        </w:rPr>
        <w:t xml:space="preserve">             电子投标文件</w:t>
      </w:r>
    </w:p>
    <w:p w14:paraId="5FE09CF5">
      <w:pPr>
        <w:snapToGrid w:val="0"/>
        <w:spacing w:before="165" w:beforeLines="50" w:after="50"/>
        <w:rPr>
          <w:rFonts w:hint="eastAsia" w:ascii="宋体" w:hAnsi="宋体"/>
          <w:color w:val="000000"/>
          <w:sz w:val="24"/>
          <w:szCs w:val="20"/>
        </w:rPr>
      </w:pPr>
    </w:p>
    <w:p w14:paraId="3A95105A">
      <w:pPr>
        <w:snapToGrid w:val="0"/>
        <w:spacing w:before="165" w:beforeLines="50" w:after="50"/>
        <w:jc w:val="center"/>
        <w:rPr>
          <w:rFonts w:hint="eastAsia" w:ascii="宋体" w:hAnsi="宋体"/>
          <w:b/>
          <w:color w:val="000000"/>
          <w:sz w:val="24"/>
          <w:szCs w:val="20"/>
        </w:rPr>
      </w:pPr>
      <w:r>
        <w:rPr>
          <w:rFonts w:hint="eastAsia" w:ascii="宋体" w:hAnsi="宋体"/>
          <w:b/>
          <w:color w:val="000000"/>
          <w:sz w:val="32"/>
          <w:szCs w:val="32"/>
        </w:rPr>
        <w:t>商务文件（封面）</w:t>
      </w:r>
    </w:p>
    <w:p w14:paraId="697C1A1E">
      <w:pPr>
        <w:snapToGrid w:val="0"/>
        <w:spacing w:before="165" w:beforeLines="50" w:after="50"/>
        <w:rPr>
          <w:rFonts w:hint="eastAsia" w:ascii="宋体" w:hAnsi="宋体"/>
          <w:bCs/>
          <w:color w:val="000000"/>
          <w:sz w:val="24"/>
          <w:szCs w:val="20"/>
        </w:rPr>
      </w:pPr>
    </w:p>
    <w:p w14:paraId="547027D7">
      <w:pPr>
        <w:snapToGrid w:val="0"/>
        <w:spacing w:before="165" w:beforeLines="50" w:after="50"/>
        <w:ind w:firstLine="540" w:firstLineChars="225"/>
        <w:rPr>
          <w:rFonts w:hint="eastAsia" w:ascii="宋体" w:hAnsi="宋体" w:eastAsia="宋体"/>
          <w:bCs/>
          <w:color w:val="000000"/>
          <w:sz w:val="24"/>
          <w:lang w:eastAsia="zh-CN"/>
        </w:rPr>
      </w:pPr>
      <w:r>
        <w:rPr>
          <w:rFonts w:hint="eastAsia" w:ascii="宋体" w:hAnsi="宋体"/>
          <w:bCs/>
          <w:color w:val="000000"/>
          <w:sz w:val="24"/>
        </w:rPr>
        <w:t>项目名称：</w:t>
      </w:r>
      <w:r>
        <w:rPr>
          <w:rFonts w:hint="eastAsia" w:ascii="宋体" w:hAnsi="宋体"/>
          <w:bCs/>
          <w:color w:val="000000"/>
          <w:sz w:val="24"/>
          <w:lang w:eastAsia="zh-CN"/>
        </w:rPr>
        <w:t>南宁市第三职业技术学校2026年优质校及优质专业内涵建设服务项目</w:t>
      </w:r>
    </w:p>
    <w:p w14:paraId="1D71F5EA">
      <w:pPr>
        <w:snapToGrid w:val="0"/>
        <w:spacing w:before="165" w:beforeLines="50" w:after="50"/>
        <w:ind w:firstLine="540" w:firstLineChars="225"/>
        <w:rPr>
          <w:rFonts w:hint="eastAsia" w:ascii="宋体" w:hAnsi="宋体"/>
          <w:bCs/>
          <w:color w:val="000000"/>
          <w:sz w:val="24"/>
          <w:szCs w:val="20"/>
        </w:rPr>
      </w:pPr>
    </w:p>
    <w:p w14:paraId="022E279B">
      <w:pPr>
        <w:snapToGrid w:val="0"/>
        <w:spacing w:before="165" w:beforeLines="50" w:after="50"/>
        <w:ind w:firstLine="540" w:firstLineChars="225"/>
        <w:rPr>
          <w:rFonts w:hint="eastAsia" w:ascii="宋体" w:hAnsi="宋体" w:eastAsia="宋体"/>
          <w:bCs/>
          <w:color w:val="000000"/>
          <w:sz w:val="24"/>
          <w:lang w:eastAsia="zh-CN"/>
        </w:rPr>
      </w:pPr>
      <w:r>
        <w:rPr>
          <w:rFonts w:hint="eastAsia" w:ascii="宋体" w:hAnsi="宋体"/>
          <w:bCs/>
          <w:color w:val="000000"/>
          <w:sz w:val="24"/>
        </w:rPr>
        <w:t>项目编号：</w:t>
      </w:r>
      <w:r>
        <w:rPr>
          <w:rFonts w:hint="eastAsia" w:ascii="宋体" w:hAnsi="宋体"/>
          <w:bCs/>
          <w:color w:val="000000"/>
          <w:sz w:val="24"/>
          <w:lang w:eastAsia="zh-CN"/>
        </w:rPr>
        <w:t>NNZC2026-G3-990830-GXGJ</w:t>
      </w:r>
    </w:p>
    <w:p w14:paraId="266309E3">
      <w:pPr>
        <w:snapToGrid w:val="0"/>
        <w:spacing w:before="165" w:beforeLines="50" w:after="50"/>
        <w:ind w:firstLine="540" w:firstLineChars="225"/>
        <w:rPr>
          <w:rFonts w:hint="eastAsia" w:ascii="宋体" w:hAnsi="宋体"/>
          <w:bCs/>
          <w:color w:val="000000"/>
          <w:sz w:val="24"/>
          <w:szCs w:val="20"/>
        </w:rPr>
      </w:pPr>
      <w:r>
        <w:rPr>
          <w:rFonts w:hint="eastAsia" w:ascii="宋体" w:hAnsi="宋体"/>
          <w:bCs/>
          <w:color w:val="000000"/>
          <w:sz w:val="24"/>
        </w:rPr>
        <w:t xml:space="preserve"> </w:t>
      </w:r>
    </w:p>
    <w:p w14:paraId="67216119">
      <w:pPr>
        <w:snapToGrid w:val="0"/>
        <w:spacing w:before="165" w:beforeLines="50" w:after="50"/>
        <w:ind w:firstLine="540" w:firstLineChars="225"/>
        <w:rPr>
          <w:rFonts w:hint="eastAsia" w:ascii="宋体" w:hAnsi="宋体"/>
          <w:bCs/>
          <w:color w:val="000000"/>
          <w:sz w:val="24"/>
        </w:rPr>
      </w:pPr>
      <w:r>
        <w:rPr>
          <w:rFonts w:hint="eastAsia" w:ascii="宋体" w:hAnsi="宋体"/>
          <w:bCs/>
          <w:color w:val="000000"/>
          <w:sz w:val="24"/>
        </w:rPr>
        <w:t>所投分标：</w:t>
      </w:r>
    </w:p>
    <w:p w14:paraId="30BA01A9">
      <w:pPr>
        <w:snapToGrid w:val="0"/>
        <w:spacing w:before="165" w:beforeLines="50" w:after="50"/>
        <w:ind w:firstLine="540" w:firstLineChars="225"/>
        <w:rPr>
          <w:rFonts w:hint="eastAsia" w:ascii="宋体" w:hAnsi="宋体"/>
          <w:bCs/>
          <w:color w:val="000000"/>
          <w:sz w:val="24"/>
          <w:szCs w:val="20"/>
        </w:rPr>
      </w:pPr>
    </w:p>
    <w:p w14:paraId="1895E9FE">
      <w:pPr>
        <w:pStyle w:val="6"/>
        <w:snapToGrid w:val="0"/>
        <w:spacing w:before="50" w:after="50"/>
        <w:ind w:firstLine="540" w:firstLineChars="225"/>
        <w:rPr>
          <w:rFonts w:hint="eastAsia" w:ascii="宋体" w:hAnsi="宋体"/>
          <w:bCs/>
          <w:color w:val="000000"/>
          <w:sz w:val="24"/>
          <w:szCs w:val="24"/>
        </w:rPr>
      </w:pPr>
      <w:r>
        <w:rPr>
          <w:rFonts w:hint="eastAsia" w:ascii="宋体" w:hAnsi="宋体"/>
          <w:bCs/>
          <w:color w:val="000000"/>
          <w:sz w:val="24"/>
          <w:szCs w:val="24"/>
        </w:rPr>
        <w:t>投标人名称：</w:t>
      </w:r>
    </w:p>
    <w:p w14:paraId="45638122">
      <w:pPr>
        <w:pStyle w:val="6"/>
        <w:snapToGrid w:val="0"/>
        <w:spacing w:before="50" w:after="50"/>
        <w:ind w:firstLine="540" w:firstLineChars="225"/>
        <w:rPr>
          <w:rFonts w:hint="eastAsia" w:ascii="宋体" w:hAnsi="宋体"/>
          <w:bCs/>
          <w:color w:val="000000"/>
          <w:sz w:val="24"/>
          <w:szCs w:val="24"/>
        </w:rPr>
      </w:pPr>
    </w:p>
    <w:p w14:paraId="328CD19E">
      <w:pPr>
        <w:pStyle w:val="6"/>
        <w:snapToGrid w:val="0"/>
        <w:spacing w:before="50" w:after="50"/>
        <w:ind w:firstLine="540" w:firstLineChars="225"/>
        <w:rPr>
          <w:rFonts w:hint="eastAsia" w:ascii="宋体" w:hAnsi="宋体"/>
          <w:bCs/>
          <w:color w:val="000000"/>
          <w:sz w:val="24"/>
          <w:szCs w:val="24"/>
        </w:rPr>
      </w:pPr>
      <w:r>
        <w:rPr>
          <w:rFonts w:hint="eastAsia" w:ascii="宋体" w:hAnsi="宋体"/>
          <w:bCs/>
          <w:color w:val="000000"/>
          <w:sz w:val="24"/>
          <w:szCs w:val="24"/>
        </w:rPr>
        <w:t>投标人地址：</w:t>
      </w:r>
    </w:p>
    <w:p w14:paraId="0FB1844B">
      <w:pPr>
        <w:pStyle w:val="6"/>
        <w:snapToGrid w:val="0"/>
        <w:spacing w:before="50" w:after="50"/>
        <w:ind w:firstLine="960" w:firstLineChars="400"/>
        <w:rPr>
          <w:rFonts w:hint="eastAsia" w:ascii="宋体" w:hAnsi="宋体"/>
          <w:bCs/>
          <w:color w:val="000000"/>
          <w:sz w:val="24"/>
          <w:szCs w:val="24"/>
        </w:rPr>
      </w:pPr>
    </w:p>
    <w:p w14:paraId="2F018BF5">
      <w:pPr>
        <w:snapToGrid w:val="0"/>
        <w:spacing w:before="165" w:beforeLines="50" w:after="50"/>
        <w:ind w:firstLine="645"/>
        <w:rPr>
          <w:rFonts w:hint="eastAsia" w:ascii="宋体" w:hAnsi="宋体"/>
          <w:color w:val="000000"/>
          <w:sz w:val="24"/>
        </w:rPr>
      </w:pPr>
      <w:r>
        <w:rPr>
          <w:rFonts w:hint="eastAsia" w:ascii="宋体" w:hAnsi="宋体"/>
          <w:color w:val="000000"/>
          <w:sz w:val="24"/>
        </w:rPr>
        <w:t xml:space="preserve">                        年  月  日</w:t>
      </w:r>
    </w:p>
    <w:p w14:paraId="3A5446D8">
      <w:pPr>
        <w:snapToGrid w:val="0"/>
        <w:spacing w:before="165" w:beforeLines="50" w:after="50"/>
        <w:rPr>
          <w:rFonts w:hint="eastAsia" w:ascii="宋体" w:hAnsi="宋体"/>
          <w:color w:val="000000"/>
          <w:sz w:val="24"/>
          <w:szCs w:val="20"/>
        </w:rPr>
      </w:pPr>
      <w:r>
        <w:rPr>
          <w:rFonts w:hint="eastAsia" w:ascii="宋体" w:hAnsi="宋体"/>
          <w:color w:val="000000"/>
          <w:sz w:val="24"/>
          <w:szCs w:val="20"/>
        </w:rPr>
        <w:t xml:space="preserve"> </w:t>
      </w:r>
    </w:p>
    <w:p w14:paraId="0F545C9F">
      <w:pPr>
        <w:spacing w:line="360" w:lineRule="auto"/>
        <w:ind w:right="420"/>
        <w:rPr>
          <w:rFonts w:hint="eastAsia" w:ascii="宋体" w:hAnsi="宋体"/>
          <w:color w:val="000000"/>
          <w:sz w:val="24"/>
          <w:szCs w:val="20"/>
        </w:rPr>
      </w:pPr>
    </w:p>
    <w:p w14:paraId="1D0A89FB">
      <w:pPr>
        <w:spacing w:line="360" w:lineRule="auto"/>
        <w:ind w:right="420"/>
        <w:rPr>
          <w:rFonts w:hint="eastAsia" w:ascii="宋体" w:hAnsi="宋体"/>
          <w:color w:val="000000"/>
          <w:sz w:val="24"/>
          <w:szCs w:val="20"/>
        </w:rPr>
      </w:pPr>
    </w:p>
    <w:p w14:paraId="644E98B7">
      <w:pPr>
        <w:spacing w:line="360" w:lineRule="auto"/>
        <w:ind w:right="420"/>
        <w:rPr>
          <w:rFonts w:hint="eastAsia" w:ascii="宋体" w:hAnsi="宋体"/>
          <w:color w:val="000000"/>
          <w:sz w:val="24"/>
          <w:szCs w:val="20"/>
        </w:rPr>
      </w:pPr>
    </w:p>
    <w:p w14:paraId="4979C6B9">
      <w:pPr>
        <w:spacing w:line="360" w:lineRule="auto"/>
        <w:ind w:right="420"/>
        <w:rPr>
          <w:rFonts w:hint="eastAsia" w:ascii="宋体" w:hAnsi="宋体"/>
          <w:color w:val="000000"/>
          <w:sz w:val="24"/>
          <w:szCs w:val="20"/>
        </w:rPr>
      </w:pPr>
    </w:p>
    <w:p w14:paraId="77CBF336">
      <w:pPr>
        <w:spacing w:line="360" w:lineRule="auto"/>
        <w:ind w:right="420"/>
        <w:rPr>
          <w:rFonts w:hint="eastAsia" w:ascii="宋体" w:hAnsi="宋体"/>
          <w:color w:val="000000"/>
          <w:sz w:val="24"/>
          <w:szCs w:val="20"/>
        </w:rPr>
      </w:pPr>
    </w:p>
    <w:p w14:paraId="5A581436">
      <w:pPr>
        <w:spacing w:line="360" w:lineRule="auto"/>
        <w:ind w:right="420"/>
        <w:rPr>
          <w:rFonts w:hint="eastAsia" w:ascii="宋体" w:hAnsi="宋体"/>
          <w:color w:val="000000"/>
          <w:sz w:val="24"/>
          <w:szCs w:val="20"/>
        </w:rPr>
      </w:pPr>
    </w:p>
    <w:p w14:paraId="2D8D46CD">
      <w:pPr>
        <w:spacing w:line="360" w:lineRule="auto"/>
        <w:ind w:right="420"/>
        <w:rPr>
          <w:rFonts w:hint="eastAsia" w:ascii="宋体" w:hAnsi="宋体"/>
          <w:color w:val="000000"/>
          <w:sz w:val="24"/>
          <w:szCs w:val="20"/>
        </w:rPr>
      </w:pPr>
    </w:p>
    <w:p w14:paraId="47E88043">
      <w:pPr>
        <w:spacing w:line="360" w:lineRule="auto"/>
        <w:ind w:right="420"/>
        <w:rPr>
          <w:rFonts w:hint="eastAsia" w:ascii="宋体" w:hAnsi="宋体"/>
          <w:color w:val="000000"/>
          <w:sz w:val="24"/>
          <w:szCs w:val="20"/>
        </w:rPr>
      </w:pPr>
    </w:p>
    <w:p w14:paraId="3211D4E3">
      <w:pPr>
        <w:spacing w:line="360" w:lineRule="auto"/>
        <w:ind w:right="420"/>
        <w:rPr>
          <w:rFonts w:hint="eastAsia" w:ascii="宋体" w:hAnsi="宋体"/>
          <w:color w:val="000000"/>
          <w:sz w:val="24"/>
          <w:szCs w:val="20"/>
        </w:rPr>
      </w:pPr>
    </w:p>
    <w:p w14:paraId="43F4FA49">
      <w:pPr>
        <w:spacing w:line="360" w:lineRule="auto"/>
        <w:ind w:right="420"/>
        <w:rPr>
          <w:rFonts w:hint="eastAsia" w:ascii="仿宋_GB2312" w:hAnsi="仿宋" w:eastAsia="仿宋_GB2312" w:cs="仿宋_GB2312"/>
          <w:b/>
          <w:kern w:val="0"/>
          <w:sz w:val="36"/>
          <w:szCs w:val="36"/>
        </w:rPr>
      </w:pPr>
      <w:r>
        <w:rPr>
          <w:rFonts w:hint="eastAsia" w:ascii="仿宋_GB2312" w:hAnsi="仿宋" w:eastAsia="仿宋_GB2312" w:cs="仿宋_GB2312"/>
          <w:b/>
          <w:kern w:val="0"/>
          <w:sz w:val="36"/>
          <w:szCs w:val="36"/>
        </w:rPr>
        <w:t xml:space="preserve"> </w:t>
      </w:r>
    </w:p>
    <w:p w14:paraId="101FE3CE">
      <w:pPr>
        <w:rPr>
          <w:rFonts w:hint="eastAsia" w:ascii="仿宋_GB2312" w:hAnsi="仿宋" w:eastAsia="仿宋_GB2312" w:cs="仿宋_GB2312"/>
          <w:b/>
          <w:kern w:val="0"/>
          <w:sz w:val="24"/>
        </w:rPr>
      </w:pPr>
    </w:p>
    <w:p w14:paraId="780041EC">
      <w:pPr>
        <w:jc w:val="center"/>
        <w:rPr>
          <w:rFonts w:hint="eastAsia" w:ascii="仿宋_GB2312" w:hAnsi="仿宋" w:eastAsia="仿宋_GB2312" w:cs="仿宋_GB2312"/>
          <w:b/>
          <w:kern w:val="0"/>
          <w:sz w:val="28"/>
          <w:szCs w:val="28"/>
        </w:rPr>
      </w:pPr>
      <w:r>
        <w:rPr>
          <w:rFonts w:hint="eastAsia" w:ascii="仿宋_GB2312" w:hAnsi="仿宋" w:eastAsia="仿宋_GB2312" w:cs="仿宋_GB2312"/>
          <w:b/>
          <w:kern w:val="0"/>
          <w:sz w:val="28"/>
          <w:szCs w:val="28"/>
        </w:rPr>
        <w:t>商务文件目录</w:t>
      </w:r>
    </w:p>
    <w:p w14:paraId="5DB12DEE">
      <w:pPr>
        <w:spacing w:line="360" w:lineRule="auto"/>
        <w:ind w:firstLine="480" w:firstLineChars="200"/>
        <w:rPr>
          <w:rFonts w:ascii="仿宋_GB2312" w:hAnsi="仿宋" w:eastAsia="仿宋_GB2312" w:cs="仿宋_GB2312"/>
          <w:kern w:val="0"/>
          <w:sz w:val="24"/>
        </w:rPr>
      </w:pPr>
    </w:p>
    <w:p w14:paraId="1944E0C2">
      <w:pPr>
        <w:spacing w:line="360" w:lineRule="auto"/>
        <w:ind w:firstLine="480" w:firstLineChars="200"/>
        <w:rPr>
          <w:rFonts w:ascii="仿宋_GB2312" w:hAnsi="仿宋" w:eastAsia="仿宋_GB2312" w:cs="仿宋_GB2312"/>
          <w:kern w:val="0"/>
          <w:sz w:val="24"/>
        </w:rPr>
      </w:pPr>
      <w:r>
        <w:rPr>
          <w:rFonts w:hint="eastAsia" w:ascii="仿宋_GB2312" w:hAnsi="仿宋" w:eastAsia="仿宋_GB2312" w:cs="仿宋_GB2312"/>
          <w:kern w:val="0"/>
          <w:sz w:val="24"/>
        </w:rPr>
        <w:t>根据公开招标文件须知前附表的规定及供应商提供的材料自行编写目录（部分格式后附）</w:t>
      </w:r>
    </w:p>
    <w:p w14:paraId="4884A7E6">
      <w:pPr>
        <w:spacing w:line="360" w:lineRule="auto"/>
        <w:rPr>
          <w:rFonts w:hint="eastAsia" w:ascii="仿宋_GB2312" w:hAnsi="仿宋" w:eastAsia="仿宋_GB2312" w:cs="仿宋_GB2312"/>
          <w:b/>
          <w:bCs/>
          <w:sz w:val="24"/>
        </w:rPr>
      </w:pPr>
    </w:p>
    <w:p w14:paraId="3C95A302">
      <w:pPr>
        <w:widowControl/>
        <w:spacing w:line="360" w:lineRule="auto"/>
        <w:jc w:val="left"/>
        <w:rPr>
          <w:rFonts w:ascii="宋体" w:hAnsi="宋体"/>
          <w:color w:val="000000"/>
        </w:rPr>
        <w:sectPr>
          <w:pgSz w:w="11906" w:h="16838"/>
          <w:pgMar w:top="1134" w:right="1134" w:bottom="1134" w:left="1134" w:header="720" w:footer="720" w:gutter="0"/>
          <w:cols w:space="720" w:num="1"/>
          <w:docGrid w:type="lines" w:linePitch="331" w:charSpace="0"/>
        </w:sectPr>
      </w:pPr>
    </w:p>
    <w:p w14:paraId="04CF1E27">
      <w:pPr>
        <w:snapToGrid w:val="0"/>
        <w:spacing w:before="120" w:beforeLines="50" w:after="50"/>
        <w:ind w:left="420"/>
        <w:jc w:val="center"/>
        <w:rPr>
          <w:rFonts w:hint="eastAsia"/>
          <w:b/>
          <w:bCs/>
          <w:sz w:val="30"/>
          <w:szCs w:val="30"/>
        </w:rPr>
      </w:pPr>
      <w:r>
        <w:rPr>
          <w:rFonts w:hint="eastAsia"/>
          <w:b/>
          <w:bCs/>
          <w:sz w:val="30"/>
          <w:szCs w:val="30"/>
        </w:rPr>
        <w:t>一、无串标行为承诺函</w:t>
      </w:r>
    </w:p>
    <w:p w14:paraId="40A157D9">
      <w:pPr>
        <w:snapToGrid w:val="0"/>
        <w:spacing w:before="120" w:beforeLines="50" w:after="50"/>
        <w:ind w:left="420"/>
        <w:jc w:val="center"/>
        <w:rPr>
          <w:rFonts w:ascii="宋体" w:hAnsi="宋体"/>
          <w:b/>
          <w:color w:val="000000"/>
          <w:sz w:val="32"/>
          <w:szCs w:val="32"/>
        </w:rPr>
      </w:pPr>
      <w:r>
        <w:rPr>
          <w:rFonts w:hint="eastAsia" w:ascii="宋体" w:hAnsi="宋体"/>
          <w:b/>
          <w:color w:val="000000"/>
          <w:sz w:val="32"/>
          <w:szCs w:val="32"/>
        </w:rPr>
        <w:t>投标人参加本项目无围标串标行为的承诺函</w:t>
      </w:r>
    </w:p>
    <w:p w14:paraId="6262FD55">
      <w:pPr>
        <w:snapToGrid w:val="0"/>
        <w:spacing w:before="120" w:beforeLines="50" w:after="50"/>
        <w:rPr>
          <w:rFonts w:hint="eastAsia" w:ascii="宋体" w:hAnsi="宋体"/>
          <w:b/>
          <w:color w:val="000000"/>
          <w:szCs w:val="21"/>
        </w:rPr>
      </w:pPr>
    </w:p>
    <w:p w14:paraId="576FA19C">
      <w:pPr>
        <w:snapToGrid w:val="0"/>
        <w:spacing w:before="120" w:beforeLines="50" w:after="50" w:line="360" w:lineRule="auto"/>
        <w:jc w:val="left"/>
        <w:rPr>
          <w:rFonts w:hint="eastAsia" w:ascii="宋体" w:hAnsi="宋体"/>
          <w:b/>
          <w:color w:val="000000"/>
          <w:szCs w:val="21"/>
        </w:rPr>
      </w:pPr>
      <w:r>
        <w:rPr>
          <w:rFonts w:hint="eastAsia" w:ascii="宋体" w:hAnsi="宋体"/>
          <w:b/>
          <w:color w:val="000000"/>
          <w:szCs w:val="21"/>
        </w:rPr>
        <w:t>一、我方承诺无下列相互串通投标的情形：</w:t>
      </w:r>
    </w:p>
    <w:p w14:paraId="3B8804C6">
      <w:pPr>
        <w:snapToGrid w:val="0"/>
        <w:spacing w:before="120" w:beforeLines="50" w:after="50" w:line="360" w:lineRule="auto"/>
        <w:ind w:firstLine="411" w:firstLineChars="196"/>
        <w:jc w:val="left"/>
        <w:rPr>
          <w:rFonts w:hint="eastAsia" w:ascii="宋体" w:hAnsi="宋体"/>
          <w:color w:val="000000"/>
          <w:szCs w:val="21"/>
        </w:rPr>
      </w:pPr>
      <w:r>
        <w:rPr>
          <w:rFonts w:hint="eastAsia" w:ascii="宋体" w:hAnsi="宋体"/>
          <w:color w:val="000000"/>
          <w:szCs w:val="21"/>
        </w:rPr>
        <w:t>1.不同投标人的投标文件由同一单位或者个人编制；或者不同投标人报名的IP地址一致的；或者编制标书硬件设备CPU编号、硬盘编号、网卡地址一致的情况。</w:t>
      </w:r>
    </w:p>
    <w:p w14:paraId="5D66CD3D">
      <w:pPr>
        <w:snapToGrid w:val="0"/>
        <w:spacing w:before="120" w:beforeLines="50" w:after="50" w:line="360" w:lineRule="auto"/>
        <w:ind w:firstLine="411" w:firstLineChars="196"/>
        <w:jc w:val="left"/>
        <w:rPr>
          <w:rFonts w:hint="eastAsia" w:ascii="宋体" w:hAnsi="宋体"/>
          <w:color w:val="000000"/>
          <w:szCs w:val="21"/>
        </w:rPr>
      </w:pPr>
      <w:r>
        <w:rPr>
          <w:rFonts w:hint="eastAsia" w:ascii="宋体" w:hAnsi="宋体"/>
          <w:color w:val="000000"/>
          <w:szCs w:val="21"/>
        </w:rPr>
        <w:t>2.不同投标人委托同一单位或者个人办理投标事宜；</w:t>
      </w:r>
    </w:p>
    <w:p w14:paraId="6C896A77">
      <w:pPr>
        <w:snapToGrid w:val="0"/>
        <w:spacing w:before="120" w:beforeLines="50" w:after="50" w:line="360" w:lineRule="auto"/>
        <w:ind w:firstLine="411" w:firstLineChars="196"/>
        <w:jc w:val="left"/>
        <w:rPr>
          <w:rFonts w:hint="eastAsia" w:ascii="宋体" w:hAnsi="宋体"/>
          <w:color w:val="000000"/>
          <w:szCs w:val="21"/>
        </w:rPr>
      </w:pPr>
      <w:r>
        <w:rPr>
          <w:rFonts w:hint="eastAsia" w:ascii="宋体" w:hAnsi="宋体"/>
          <w:color w:val="000000"/>
          <w:szCs w:val="21"/>
        </w:rPr>
        <w:t>3.不同的投标人的投标文件载明的项目管理员为同一个人；</w:t>
      </w:r>
    </w:p>
    <w:p w14:paraId="4D8A99C3">
      <w:pPr>
        <w:snapToGrid w:val="0"/>
        <w:spacing w:before="120" w:beforeLines="50" w:after="50" w:line="360" w:lineRule="auto"/>
        <w:ind w:firstLine="411" w:firstLineChars="196"/>
        <w:jc w:val="left"/>
        <w:rPr>
          <w:rFonts w:hint="eastAsia" w:ascii="宋体" w:hAnsi="宋体"/>
          <w:color w:val="000000"/>
          <w:szCs w:val="21"/>
        </w:rPr>
      </w:pPr>
      <w:r>
        <w:rPr>
          <w:rFonts w:hint="eastAsia" w:ascii="宋体" w:hAnsi="宋体"/>
          <w:color w:val="000000"/>
          <w:szCs w:val="21"/>
        </w:rPr>
        <w:t>4.不同投标人的投标文件异常一致或者投标报价呈规律性差异；</w:t>
      </w:r>
    </w:p>
    <w:p w14:paraId="654652C9">
      <w:pPr>
        <w:snapToGrid w:val="0"/>
        <w:spacing w:before="120" w:beforeLines="50" w:after="50" w:line="360" w:lineRule="auto"/>
        <w:ind w:firstLine="411" w:firstLineChars="196"/>
        <w:jc w:val="left"/>
        <w:rPr>
          <w:rFonts w:hint="eastAsia" w:ascii="宋体" w:hAnsi="宋体"/>
          <w:color w:val="000000"/>
          <w:szCs w:val="21"/>
        </w:rPr>
      </w:pPr>
      <w:r>
        <w:rPr>
          <w:rFonts w:hint="eastAsia" w:ascii="宋体" w:hAnsi="宋体"/>
          <w:color w:val="000000"/>
          <w:szCs w:val="21"/>
        </w:rPr>
        <w:t>5.不同投标人的投标文件相互混装；</w:t>
      </w:r>
    </w:p>
    <w:p w14:paraId="0E8044E4">
      <w:pPr>
        <w:snapToGrid w:val="0"/>
        <w:spacing w:before="120" w:beforeLines="50" w:after="50" w:line="360" w:lineRule="auto"/>
        <w:ind w:firstLine="411" w:firstLineChars="196"/>
        <w:jc w:val="left"/>
        <w:rPr>
          <w:rFonts w:hint="eastAsia" w:ascii="宋体" w:hAnsi="宋体"/>
          <w:color w:val="000000"/>
          <w:szCs w:val="21"/>
        </w:rPr>
      </w:pPr>
      <w:r>
        <w:rPr>
          <w:rFonts w:hint="eastAsia" w:ascii="宋体" w:hAnsi="宋体"/>
          <w:color w:val="000000"/>
          <w:szCs w:val="21"/>
        </w:rPr>
        <w:t>6.不同投标人的投标保证金从同一单位或者个人账户转出。</w:t>
      </w:r>
    </w:p>
    <w:p w14:paraId="00A54691">
      <w:pPr>
        <w:snapToGrid w:val="0"/>
        <w:spacing w:before="120" w:beforeLines="50" w:after="50" w:line="360" w:lineRule="auto"/>
        <w:jc w:val="left"/>
        <w:rPr>
          <w:rFonts w:hint="eastAsia" w:ascii="宋体" w:hAnsi="宋体"/>
          <w:color w:val="000000"/>
          <w:szCs w:val="21"/>
        </w:rPr>
      </w:pPr>
      <w:r>
        <w:rPr>
          <w:rFonts w:hint="eastAsia" w:ascii="宋体" w:hAnsi="宋体"/>
          <w:b/>
          <w:color w:val="000000"/>
          <w:szCs w:val="21"/>
        </w:rPr>
        <w:t>二、我方承诺无下列恶意串通的情形：</w:t>
      </w:r>
    </w:p>
    <w:p w14:paraId="0E9A60E3">
      <w:pPr>
        <w:snapToGrid w:val="0"/>
        <w:spacing w:before="120" w:beforeLines="50" w:after="50" w:line="360" w:lineRule="auto"/>
        <w:ind w:firstLine="411" w:firstLineChars="196"/>
        <w:jc w:val="left"/>
        <w:rPr>
          <w:rFonts w:hint="eastAsia" w:ascii="宋体" w:hAnsi="宋体"/>
          <w:color w:val="000000"/>
          <w:szCs w:val="21"/>
        </w:rPr>
      </w:pPr>
      <w:r>
        <w:rPr>
          <w:rFonts w:hint="eastAsia" w:ascii="宋体" w:hAnsi="宋体"/>
          <w:color w:val="000000"/>
          <w:szCs w:val="21"/>
        </w:rPr>
        <w:t>1.投标人直接或者间接从采购人或者采购代理机构处获得其他投标人的相关信息并修改其投标文件；</w:t>
      </w:r>
    </w:p>
    <w:p w14:paraId="0BE083DE">
      <w:pPr>
        <w:snapToGrid w:val="0"/>
        <w:spacing w:before="120" w:beforeLines="50" w:after="50" w:line="360" w:lineRule="auto"/>
        <w:ind w:firstLine="411" w:firstLineChars="196"/>
        <w:jc w:val="left"/>
        <w:rPr>
          <w:rFonts w:hint="eastAsia" w:ascii="宋体" w:hAnsi="宋体"/>
          <w:color w:val="000000"/>
          <w:szCs w:val="21"/>
        </w:rPr>
      </w:pPr>
      <w:r>
        <w:rPr>
          <w:rFonts w:hint="eastAsia" w:ascii="宋体" w:hAnsi="宋体"/>
          <w:color w:val="000000"/>
          <w:szCs w:val="21"/>
        </w:rPr>
        <w:t>2.投标人按照采购人或者采购代理机构的授意撤换、修改投标文件；</w:t>
      </w:r>
    </w:p>
    <w:p w14:paraId="61661EB7">
      <w:pPr>
        <w:snapToGrid w:val="0"/>
        <w:spacing w:before="120" w:beforeLines="50" w:after="50" w:line="360" w:lineRule="auto"/>
        <w:ind w:firstLine="411" w:firstLineChars="196"/>
        <w:jc w:val="left"/>
        <w:rPr>
          <w:rFonts w:hint="eastAsia" w:ascii="宋体" w:hAnsi="宋体"/>
          <w:color w:val="000000"/>
          <w:szCs w:val="21"/>
        </w:rPr>
      </w:pPr>
      <w:r>
        <w:rPr>
          <w:rFonts w:hint="eastAsia" w:ascii="宋体" w:hAnsi="宋体"/>
          <w:color w:val="000000"/>
          <w:szCs w:val="21"/>
        </w:rPr>
        <w:t>3.投标人之间协商报价、技术方案等投标文件或者投标文件的实质性内容；</w:t>
      </w:r>
    </w:p>
    <w:p w14:paraId="5D2F0E7C">
      <w:pPr>
        <w:snapToGrid w:val="0"/>
        <w:spacing w:before="120" w:beforeLines="50" w:after="50" w:line="360" w:lineRule="auto"/>
        <w:ind w:firstLine="411" w:firstLineChars="196"/>
        <w:jc w:val="left"/>
        <w:rPr>
          <w:rFonts w:hint="eastAsia" w:ascii="宋体" w:hAnsi="宋体"/>
          <w:color w:val="000000"/>
          <w:szCs w:val="21"/>
        </w:rPr>
      </w:pPr>
      <w:r>
        <w:rPr>
          <w:rFonts w:hint="eastAsia" w:ascii="宋体" w:hAnsi="宋体"/>
          <w:color w:val="000000"/>
          <w:szCs w:val="21"/>
        </w:rPr>
        <w:t>4.属于同一集团、协会、商会等组织成员的投标人按照该组织要求协同参加政府采购活动；</w:t>
      </w:r>
    </w:p>
    <w:p w14:paraId="74C91718">
      <w:pPr>
        <w:snapToGrid w:val="0"/>
        <w:spacing w:before="120" w:beforeLines="50" w:after="50" w:line="360" w:lineRule="auto"/>
        <w:ind w:firstLine="411" w:firstLineChars="196"/>
        <w:jc w:val="left"/>
        <w:rPr>
          <w:rFonts w:hint="eastAsia" w:ascii="宋体" w:hAnsi="宋体"/>
          <w:color w:val="000000"/>
          <w:szCs w:val="21"/>
        </w:rPr>
      </w:pPr>
      <w:r>
        <w:rPr>
          <w:rFonts w:hint="eastAsia" w:ascii="宋体" w:hAnsi="宋体"/>
          <w:color w:val="000000"/>
          <w:szCs w:val="21"/>
        </w:rPr>
        <w:t>5.投标人之间事先约定一致抬高或者压低投标报价，或者在招标项目中事先约定轮流以高价位或者低价位中标，或者事先约定由某一特定投标人中标，然后再参加投标；</w:t>
      </w:r>
    </w:p>
    <w:p w14:paraId="1D86A8C6">
      <w:pPr>
        <w:snapToGrid w:val="0"/>
        <w:spacing w:before="120" w:beforeLines="50" w:after="50" w:line="360" w:lineRule="auto"/>
        <w:ind w:firstLine="411" w:firstLineChars="196"/>
        <w:jc w:val="left"/>
        <w:rPr>
          <w:rFonts w:hint="eastAsia" w:ascii="宋体" w:hAnsi="宋体"/>
          <w:color w:val="000000"/>
          <w:szCs w:val="21"/>
        </w:rPr>
      </w:pPr>
      <w:r>
        <w:rPr>
          <w:rFonts w:hint="eastAsia" w:ascii="宋体" w:hAnsi="宋体"/>
          <w:color w:val="000000"/>
          <w:szCs w:val="21"/>
        </w:rPr>
        <w:t>6.投标人之间商定部分投标人放弃参加政府采购活动或者放弃中标；</w:t>
      </w:r>
    </w:p>
    <w:p w14:paraId="1A2C5BC3">
      <w:pPr>
        <w:snapToGrid w:val="0"/>
        <w:spacing w:before="120" w:beforeLines="50" w:after="50" w:line="360" w:lineRule="auto"/>
        <w:ind w:firstLine="411" w:firstLineChars="196"/>
        <w:jc w:val="left"/>
        <w:rPr>
          <w:rFonts w:hint="eastAsia" w:ascii="宋体" w:hAnsi="宋体"/>
          <w:color w:val="000000"/>
          <w:szCs w:val="21"/>
        </w:rPr>
      </w:pPr>
      <w:r>
        <w:rPr>
          <w:rFonts w:hint="eastAsia" w:ascii="宋体" w:hAnsi="宋体"/>
          <w:color w:val="000000"/>
          <w:szCs w:val="21"/>
        </w:rPr>
        <w:t>7.投标人与采购人或者采购代理机构之间、投标人相互之间，为谋求特定投标人中标或者排斥其他投标人的其他串通行为。</w:t>
      </w:r>
    </w:p>
    <w:p w14:paraId="3270834D">
      <w:pPr>
        <w:snapToGrid w:val="0"/>
        <w:spacing w:before="120" w:beforeLines="50" w:after="50" w:line="360" w:lineRule="auto"/>
        <w:ind w:firstLine="413" w:firstLineChars="196"/>
        <w:jc w:val="left"/>
        <w:rPr>
          <w:rFonts w:hint="eastAsia" w:ascii="宋体" w:hAnsi="宋体"/>
          <w:b/>
          <w:color w:val="000000"/>
          <w:szCs w:val="21"/>
        </w:rPr>
      </w:pPr>
      <w:r>
        <w:rPr>
          <w:rFonts w:hint="eastAsia" w:ascii="宋体" w:hAnsi="宋体"/>
          <w:b/>
          <w:color w:val="000000"/>
          <w:szCs w:val="21"/>
        </w:rPr>
        <w:t>以上情形一经核查属实，接受政府采购监管部门对我方认定存在围标串标行为，我方愿意承担一切后果，并不再寻求任何旨在减轻或者免除法律责任的辩解。</w:t>
      </w:r>
    </w:p>
    <w:p w14:paraId="1ED1F10E">
      <w:pPr>
        <w:snapToGrid w:val="0"/>
        <w:spacing w:line="360" w:lineRule="auto"/>
        <w:ind w:firstLine="4935" w:firstLineChars="2350"/>
        <w:rPr>
          <w:rFonts w:hint="eastAsia" w:ascii="仿宋_GB2312" w:hAnsi="仿宋" w:eastAsia="仿宋_GB2312" w:cs="仿宋_GB2312"/>
          <w:kern w:val="0"/>
          <w:sz w:val="24"/>
        </w:rPr>
      </w:pPr>
      <w:r>
        <w:rPr>
          <w:rFonts w:hAnsi="宋体"/>
          <w:color w:val="000000"/>
          <w:szCs w:val="21"/>
        </w:rPr>
        <w:t xml:space="preserve">  </w:t>
      </w:r>
      <w:r>
        <w:rPr>
          <w:rFonts w:hint="eastAsia" w:ascii="仿宋_GB2312" w:hAnsi="仿宋" w:eastAsia="仿宋_GB2312" w:cs="仿宋_GB2312"/>
          <w:kern w:val="0"/>
          <w:sz w:val="24"/>
          <w:lang w:val="zh-CN"/>
        </w:rPr>
        <w:t>投标人名称(电子签章)：</w:t>
      </w:r>
    </w:p>
    <w:p w14:paraId="4C7A40D5">
      <w:pPr>
        <w:snapToGrid w:val="0"/>
        <w:spacing w:line="360" w:lineRule="auto"/>
        <w:ind w:firstLine="5160" w:firstLineChars="2150"/>
        <w:rPr>
          <w:rFonts w:hint="eastAsia" w:ascii="仿宋_GB2312" w:hAnsi="仿宋" w:eastAsia="仿宋_GB2312" w:cs="仿宋_GB2312"/>
          <w:kern w:val="0"/>
          <w:sz w:val="24"/>
          <w:lang w:val="zh-CN"/>
        </w:rPr>
      </w:pPr>
      <w:r>
        <w:rPr>
          <w:rFonts w:hint="eastAsia" w:ascii="仿宋_GB2312" w:hAnsi="仿宋" w:eastAsia="仿宋_GB2312" w:cs="仿宋_GB2312"/>
          <w:kern w:val="0"/>
          <w:sz w:val="24"/>
          <w:lang w:val="zh-CN"/>
        </w:rPr>
        <w:t>日期</w:t>
      </w:r>
      <w:r>
        <w:rPr>
          <w:rFonts w:hint="eastAsia" w:ascii="仿宋_GB2312" w:hAnsi="仿宋" w:eastAsia="仿宋_GB2312" w:cs="仿宋_GB2312"/>
          <w:kern w:val="0"/>
          <w:sz w:val="24"/>
        </w:rPr>
        <w:t xml:space="preserve">：  年  </w:t>
      </w:r>
      <w:r>
        <w:rPr>
          <w:rFonts w:hint="eastAsia" w:ascii="仿宋_GB2312" w:hAnsi="仿宋" w:eastAsia="仿宋_GB2312" w:cs="仿宋_GB2312"/>
          <w:kern w:val="0"/>
          <w:sz w:val="24"/>
          <w:lang w:val="zh-CN"/>
        </w:rPr>
        <w:t>月</w:t>
      </w:r>
      <w:r>
        <w:rPr>
          <w:rFonts w:hint="eastAsia" w:ascii="仿宋_GB2312" w:hAnsi="仿宋" w:eastAsia="仿宋_GB2312" w:cs="仿宋_GB2312"/>
          <w:kern w:val="0"/>
          <w:sz w:val="24"/>
        </w:rPr>
        <w:t xml:space="preserve">   </w:t>
      </w:r>
      <w:r>
        <w:rPr>
          <w:rFonts w:hint="eastAsia" w:ascii="仿宋_GB2312" w:hAnsi="仿宋" w:eastAsia="仿宋_GB2312" w:cs="仿宋_GB2312"/>
          <w:kern w:val="0"/>
          <w:sz w:val="24"/>
          <w:lang w:val="zh-CN"/>
        </w:rPr>
        <w:t>日</w:t>
      </w:r>
    </w:p>
    <w:p w14:paraId="0F8245CF">
      <w:pPr>
        <w:pStyle w:val="11"/>
        <w:snapToGrid w:val="0"/>
        <w:spacing w:before="295" w:after="295" w:line="360" w:lineRule="auto"/>
        <w:jc w:val="center"/>
        <w:rPr>
          <w:rFonts w:hint="eastAsia" w:hAnsi="宋体"/>
          <w:b/>
          <w:color w:val="000000"/>
          <w:sz w:val="24"/>
        </w:rPr>
      </w:pPr>
      <w:r>
        <w:rPr>
          <w:rFonts w:hint="eastAsia" w:hAnsi="宋体"/>
          <w:b/>
          <w:color w:val="000000"/>
          <w:sz w:val="24"/>
        </w:rPr>
        <w:br w:type="page"/>
      </w:r>
      <w:r>
        <w:rPr>
          <w:rFonts w:hint="eastAsia" w:ascii="Times New Roman" w:hAnsi="Times New Roman"/>
          <w:b/>
          <w:bCs/>
          <w:sz w:val="30"/>
          <w:szCs w:val="30"/>
        </w:rPr>
        <w:t>二、法定代表人身份证明及法定代表人有效身份证正反面复印件</w:t>
      </w:r>
    </w:p>
    <w:p w14:paraId="73385A5B">
      <w:pPr>
        <w:spacing w:before="240" w:beforeLines="100" w:after="120" w:afterLines="50"/>
        <w:ind w:left="540"/>
        <w:jc w:val="center"/>
        <w:rPr>
          <w:rFonts w:hint="eastAsia" w:ascii="宋体" w:hAnsi="Courier New"/>
          <w:b/>
          <w:color w:val="000000"/>
          <w:sz w:val="32"/>
          <w:szCs w:val="32"/>
        </w:rPr>
      </w:pPr>
    </w:p>
    <w:p w14:paraId="0D5A8D36">
      <w:pPr>
        <w:spacing w:before="240" w:beforeLines="100" w:after="120" w:afterLines="50"/>
        <w:ind w:left="540"/>
        <w:jc w:val="center"/>
        <w:rPr>
          <w:rFonts w:hint="eastAsia" w:ascii="黑体" w:hAnsi="宋体" w:eastAsia="黑体"/>
          <w:color w:val="000000"/>
          <w:sz w:val="32"/>
          <w:szCs w:val="32"/>
        </w:rPr>
      </w:pPr>
      <w:r>
        <w:rPr>
          <w:rFonts w:hint="eastAsia" w:ascii="宋体" w:hAnsi="Courier New"/>
          <w:b/>
          <w:color w:val="000000"/>
          <w:sz w:val="32"/>
          <w:szCs w:val="32"/>
        </w:rPr>
        <w:t>法定代表人身份证明</w:t>
      </w:r>
    </w:p>
    <w:p w14:paraId="53B27ADD">
      <w:pPr>
        <w:spacing w:line="500" w:lineRule="exact"/>
        <w:ind w:left="540"/>
        <w:rPr>
          <w:rFonts w:hint="eastAsia" w:ascii="宋体" w:hAnsi="宋体"/>
          <w:color w:val="000000"/>
          <w:sz w:val="24"/>
        </w:rPr>
      </w:pPr>
      <w:r>
        <w:rPr>
          <w:rFonts w:hint="eastAsia" w:ascii="宋体" w:hAnsi="宋体"/>
          <w:color w:val="000000"/>
          <w:sz w:val="24"/>
        </w:rPr>
        <w:t>投 标 人：</w:t>
      </w:r>
      <w:r>
        <w:rPr>
          <w:rFonts w:hint="eastAsia" w:ascii="宋体" w:hAnsi="宋体"/>
          <w:color w:val="000000"/>
          <w:sz w:val="24"/>
          <w:u w:val="single"/>
        </w:rPr>
        <w:t xml:space="preserve">                                                        </w:t>
      </w:r>
    </w:p>
    <w:p w14:paraId="5BF978F4">
      <w:pPr>
        <w:spacing w:line="500" w:lineRule="exact"/>
        <w:ind w:left="540"/>
        <w:rPr>
          <w:rFonts w:hint="eastAsia" w:ascii="宋体" w:hAnsi="宋体"/>
          <w:color w:val="000000"/>
          <w:sz w:val="24"/>
        </w:rPr>
      </w:pPr>
      <w:r>
        <w:rPr>
          <w:rFonts w:hint="eastAsia" w:ascii="宋体" w:hAnsi="宋体"/>
          <w:color w:val="000000"/>
          <w:sz w:val="24"/>
        </w:rPr>
        <w:t>地    址：</w:t>
      </w:r>
      <w:r>
        <w:rPr>
          <w:rFonts w:hint="eastAsia" w:ascii="宋体" w:hAnsi="宋体"/>
          <w:color w:val="000000"/>
          <w:sz w:val="24"/>
          <w:u w:val="single"/>
        </w:rPr>
        <w:t xml:space="preserve">                                                        </w:t>
      </w:r>
    </w:p>
    <w:p w14:paraId="2BF62050">
      <w:pPr>
        <w:spacing w:line="500" w:lineRule="exact"/>
        <w:ind w:left="540"/>
        <w:rPr>
          <w:rFonts w:hint="eastAsia" w:ascii="宋体" w:hAnsi="宋体"/>
          <w:color w:val="000000"/>
          <w:sz w:val="24"/>
        </w:rPr>
      </w:pPr>
      <w:r>
        <w:rPr>
          <w:rFonts w:hint="eastAsia" w:ascii="宋体" w:hAnsi="宋体"/>
          <w:color w:val="000000"/>
          <w:sz w:val="24"/>
        </w:rPr>
        <w:t>姓    名：</w:t>
      </w:r>
      <w:r>
        <w:rPr>
          <w:rFonts w:hint="eastAsia" w:ascii="宋体" w:hAnsi="宋体"/>
          <w:color w:val="000000"/>
          <w:sz w:val="24"/>
          <w:u w:val="single"/>
        </w:rPr>
        <w:t xml:space="preserve">                          </w:t>
      </w:r>
      <w:r>
        <w:rPr>
          <w:rFonts w:hint="eastAsia" w:ascii="宋体" w:hAnsi="宋体"/>
          <w:color w:val="000000"/>
          <w:sz w:val="24"/>
        </w:rPr>
        <w:t>性      别：</w:t>
      </w:r>
      <w:r>
        <w:rPr>
          <w:rFonts w:hint="eastAsia" w:ascii="宋体" w:hAnsi="宋体"/>
          <w:color w:val="000000"/>
          <w:sz w:val="24"/>
          <w:u w:val="single"/>
        </w:rPr>
        <w:t xml:space="preserve">                </w:t>
      </w:r>
    </w:p>
    <w:p w14:paraId="4F8985DB">
      <w:pPr>
        <w:spacing w:line="500" w:lineRule="exact"/>
        <w:ind w:left="540"/>
        <w:rPr>
          <w:rFonts w:hint="eastAsia" w:ascii="宋体" w:hAnsi="宋体"/>
          <w:color w:val="000000"/>
          <w:sz w:val="24"/>
          <w:u w:val="single"/>
        </w:rPr>
      </w:pPr>
      <w:r>
        <w:rPr>
          <w:rFonts w:hint="eastAsia" w:ascii="宋体" w:hAnsi="宋体"/>
          <w:color w:val="000000"/>
          <w:sz w:val="24"/>
        </w:rPr>
        <w:t>年    龄：</w:t>
      </w:r>
      <w:r>
        <w:rPr>
          <w:rFonts w:hint="eastAsia" w:ascii="宋体" w:hAnsi="宋体"/>
          <w:color w:val="000000"/>
          <w:sz w:val="24"/>
          <w:u w:val="single"/>
        </w:rPr>
        <w:t xml:space="preserve">                          </w:t>
      </w:r>
      <w:r>
        <w:rPr>
          <w:rFonts w:hint="eastAsia" w:ascii="宋体" w:hAnsi="宋体"/>
          <w:color w:val="000000"/>
          <w:sz w:val="24"/>
        </w:rPr>
        <w:t>职      务：</w:t>
      </w:r>
      <w:r>
        <w:rPr>
          <w:rFonts w:hint="eastAsia" w:ascii="宋体" w:hAnsi="宋体"/>
          <w:color w:val="000000"/>
          <w:sz w:val="24"/>
          <w:u w:val="single"/>
        </w:rPr>
        <w:t xml:space="preserve">                </w:t>
      </w:r>
    </w:p>
    <w:p w14:paraId="13D1019E">
      <w:pPr>
        <w:spacing w:line="500" w:lineRule="exact"/>
        <w:ind w:left="540"/>
        <w:rPr>
          <w:rFonts w:hint="eastAsia" w:ascii="宋体" w:hAnsi="宋体"/>
          <w:color w:val="000000"/>
          <w:sz w:val="24"/>
        </w:rPr>
      </w:pPr>
      <w:r>
        <w:rPr>
          <w:rFonts w:hint="eastAsia" w:ascii="宋体" w:hAnsi="宋体"/>
          <w:color w:val="000000"/>
          <w:sz w:val="24"/>
        </w:rPr>
        <w:t>身份证</w:t>
      </w:r>
      <w:r>
        <w:rPr>
          <w:rFonts w:hint="eastAsia"/>
          <w:color w:val="000000"/>
          <w:sz w:val="24"/>
        </w:rPr>
        <w:t>号码：</w:t>
      </w:r>
      <w:r>
        <w:rPr>
          <w:color w:val="000000"/>
          <w:sz w:val="24"/>
          <w:u w:val="single"/>
        </w:rPr>
        <w:t xml:space="preserve">                                 </w:t>
      </w:r>
    </w:p>
    <w:p w14:paraId="0E5FA2BE">
      <w:pPr>
        <w:spacing w:line="500" w:lineRule="exact"/>
        <w:ind w:left="540"/>
        <w:rPr>
          <w:rFonts w:hint="eastAsia" w:ascii="宋体" w:hAnsi="宋体"/>
          <w:color w:val="000000"/>
          <w:sz w:val="24"/>
        </w:rPr>
      </w:pPr>
      <w:r>
        <w:rPr>
          <w:rFonts w:hint="eastAsia" w:ascii="宋体" w:hAnsi="宋体"/>
          <w:color w:val="000000"/>
          <w:sz w:val="24"/>
        </w:rPr>
        <w:t>系</w:t>
      </w:r>
      <w:r>
        <w:rPr>
          <w:rFonts w:hint="eastAsia" w:ascii="宋体" w:hAnsi="宋体"/>
          <w:color w:val="000000"/>
          <w:sz w:val="24"/>
          <w:u w:val="single"/>
        </w:rPr>
        <w:t xml:space="preserve">            （投标人名称）              </w:t>
      </w:r>
      <w:r>
        <w:rPr>
          <w:rFonts w:hint="eastAsia" w:ascii="宋体" w:hAnsi="宋体"/>
          <w:color w:val="000000"/>
          <w:sz w:val="24"/>
        </w:rPr>
        <w:t>的法定代表人。</w:t>
      </w:r>
    </w:p>
    <w:p w14:paraId="7E42D8A1">
      <w:pPr>
        <w:spacing w:line="500" w:lineRule="exact"/>
        <w:ind w:left="540"/>
        <w:rPr>
          <w:rFonts w:hint="eastAsia" w:ascii="宋体" w:hAnsi="宋体"/>
          <w:color w:val="000000"/>
          <w:sz w:val="24"/>
        </w:rPr>
      </w:pPr>
      <w:r>
        <w:rPr>
          <w:rFonts w:hint="eastAsia" w:ascii="宋体" w:hAnsi="宋体"/>
          <w:color w:val="000000"/>
          <w:sz w:val="24"/>
        </w:rPr>
        <w:t>特此证明。</w:t>
      </w:r>
    </w:p>
    <w:p w14:paraId="60EB6EA7">
      <w:pPr>
        <w:spacing w:line="500" w:lineRule="exact"/>
        <w:ind w:left="540"/>
        <w:rPr>
          <w:rFonts w:hint="eastAsia" w:ascii="宋体" w:hAnsi="宋体"/>
          <w:color w:val="000000"/>
          <w:sz w:val="24"/>
        </w:rPr>
      </w:pPr>
    </w:p>
    <w:p w14:paraId="5CE7193F">
      <w:pPr>
        <w:spacing w:line="500" w:lineRule="exact"/>
        <w:ind w:left="540"/>
        <w:rPr>
          <w:rFonts w:hint="eastAsia" w:ascii="宋体" w:hAnsi="宋体"/>
          <w:color w:val="000000"/>
          <w:sz w:val="24"/>
        </w:rPr>
      </w:pPr>
    </w:p>
    <w:p w14:paraId="5EE0CDCD">
      <w:pPr>
        <w:spacing w:line="500" w:lineRule="exact"/>
        <w:ind w:left="540"/>
        <w:rPr>
          <w:rFonts w:hint="eastAsia" w:ascii="宋体" w:hAnsi="宋体"/>
          <w:color w:val="000000"/>
          <w:sz w:val="24"/>
        </w:rPr>
      </w:pPr>
      <w:r>
        <w:rPr>
          <w:rFonts w:hint="eastAsia" w:ascii="宋体" w:hAnsi="宋体"/>
          <w:color w:val="000000"/>
          <w:sz w:val="24"/>
        </w:rPr>
        <w:t>附件：法定代表人有效身份证正反面复印件</w:t>
      </w:r>
    </w:p>
    <w:p w14:paraId="22214CA8">
      <w:pPr>
        <w:spacing w:line="500" w:lineRule="exact"/>
        <w:ind w:left="540"/>
        <w:rPr>
          <w:rFonts w:hint="eastAsia" w:ascii="宋体" w:hAnsi="宋体"/>
          <w:color w:val="000000"/>
          <w:sz w:val="24"/>
        </w:rPr>
      </w:pPr>
    </w:p>
    <w:p w14:paraId="3621C22D">
      <w:pPr>
        <w:snapToGrid w:val="0"/>
        <w:spacing w:line="360" w:lineRule="auto"/>
        <w:ind w:firstLine="4935" w:firstLineChars="2350"/>
        <w:rPr>
          <w:rFonts w:hint="eastAsia" w:ascii="仿宋_GB2312" w:hAnsi="仿宋" w:eastAsia="仿宋_GB2312" w:cs="仿宋_GB2312"/>
          <w:kern w:val="0"/>
          <w:sz w:val="24"/>
        </w:rPr>
      </w:pPr>
      <w:r>
        <w:rPr>
          <w:rFonts w:hAnsi="宋体"/>
          <w:color w:val="000000"/>
          <w:szCs w:val="21"/>
        </w:rPr>
        <w:t xml:space="preserve">  </w:t>
      </w:r>
      <w:r>
        <w:rPr>
          <w:rFonts w:hint="eastAsia" w:ascii="仿宋_GB2312" w:hAnsi="仿宋" w:eastAsia="仿宋_GB2312" w:cs="仿宋_GB2312"/>
          <w:kern w:val="0"/>
          <w:sz w:val="24"/>
          <w:lang w:val="zh-CN"/>
        </w:rPr>
        <w:t>投标人名称(电子签章)：</w:t>
      </w:r>
    </w:p>
    <w:p w14:paraId="042F1968">
      <w:pPr>
        <w:snapToGrid w:val="0"/>
        <w:spacing w:line="360" w:lineRule="auto"/>
        <w:ind w:firstLine="5160" w:firstLineChars="2150"/>
        <w:rPr>
          <w:rFonts w:hint="eastAsia" w:ascii="仿宋_GB2312" w:hAnsi="仿宋" w:eastAsia="仿宋_GB2312" w:cs="仿宋_GB2312"/>
          <w:kern w:val="0"/>
          <w:sz w:val="24"/>
          <w:lang w:val="zh-CN"/>
        </w:rPr>
      </w:pPr>
      <w:r>
        <w:rPr>
          <w:rFonts w:hint="eastAsia" w:ascii="仿宋_GB2312" w:hAnsi="仿宋" w:eastAsia="仿宋_GB2312" w:cs="仿宋_GB2312"/>
          <w:kern w:val="0"/>
          <w:sz w:val="24"/>
          <w:lang w:val="zh-CN"/>
        </w:rPr>
        <w:t>日期</w:t>
      </w:r>
      <w:r>
        <w:rPr>
          <w:rFonts w:hint="eastAsia" w:ascii="仿宋_GB2312" w:hAnsi="仿宋" w:eastAsia="仿宋_GB2312" w:cs="仿宋_GB2312"/>
          <w:kern w:val="0"/>
          <w:sz w:val="24"/>
        </w:rPr>
        <w:t xml:space="preserve">：  年  </w:t>
      </w:r>
      <w:r>
        <w:rPr>
          <w:rFonts w:hint="eastAsia" w:ascii="仿宋_GB2312" w:hAnsi="仿宋" w:eastAsia="仿宋_GB2312" w:cs="仿宋_GB2312"/>
          <w:kern w:val="0"/>
          <w:sz w:val="24"/>
          <w:lang w:val="zh-CN"/>
        </w:rPr>
        <w:t>月</w:t>
      </w:r>
      <w:r>
        <w:rPr>
          <w:rFonts w:hint="eastAsia" w:ascii="仿宋_GB2312" w:hAnsi="仿宋" w:eastAsia="仿宋_GB2312" w:cs="仿宋_GB2312"/>
          <w:kern w:val="0"/>
          <w:sz w:val="24"/>
        </w:rPr>
        <w:t xml:space="preserve">   </w:t>
      </w:r>
      <w:r>
        <w:rPr>
          <w:rFonts w:hint="eastAsia" w:ascii="仿宋_GB2312" w:hAnsi="仿宋" w:eastAsia="仿宋_GB2312" w:cs="仿宋_GB2312"/>
          <w:kern w:val="0"/>
          <w:sz w:val="24"/>
          <w:lang w:val="zh-CN"/>
        </w:rPr>
        <w:t>日</w:t>
      </w:r>
    </w:p>
    <w:p w14:paraId="25D1B345">
      <w:pPr>
        <w:snapToGrid w:val="0"/>
        <w:spacing w:before="120" w:beforeLines="50" w:after="50"/>
        <w:jc w:val="center"/>
        <w:rPr>
          <w:rFonts w:hint="eastAsia" w:ascii="宋体" w:hAnsi="宋体"/>
          <w:b/>
          <w:color w:val="000000"/>
          <w:sz w:val="24"/>
        </w:rPr>
      </w:pPr>
    </w:p>
    <w:p w14:paraId="073AF7F5">
      <w:pPr>
        <w:snapToGrid w:val="0"/>
        <w:spacing w:before="120" w:beforeLines="50" w:after="50"/>
        <w:ind w:firstLine="600" w:firstLineChars="250"/>
        <w:jc w:val="left"/>
        <w:rPr>
          <w:rFonts w:hint="eastAsia" w:ascii="宋体" w:hAnsi="宋体" w:eastAsia="宋体"/>
          <w:color w:val="000000"/>
          <w:sz w:val="24"/>
          <w:lang w:eastAsia="zh-CN"/>
        </w:rPr>
      </w:pPr>
      <w:r>
        <w:rPr>
          <w:rFonts w:hint="eastAsia" w:ascii="宋体" w:hAnsi="宋体"/>
          <w:color w:val="000000"/>
          <w:sz w:val="24"/>
        </w:rPr>
        <w:t>注：自然人投标的无需提供</w:t>
      </w:r>
      <w:r>
        <w:rPr>
          <w:rFonts w:hint="eastAsia" w:ascii="宋体" w:hAnsi="宋体"/>
          <w:color w:val="000000"/>
          <w:sz w:val="24"/>
          <w:lang w:eastAsia="zh-CN"/>
        </w:rPr>
        <w:t>。</w:t>
      </w:r>
    </w:p>
    <w:p w14:paraId="167B97A4">
      <w:pPr>
        <w:snapToGrid w:val="0"/>
        <w:spacing w:before="120" w:beforeLines="50" w:after="50"/>
        <w:ind w:firstLine="600" w:firstLineChars="250"/>
        <w:jc w:val="left"/>
        <w:rPr>
          <w:rFonts w:hint="eastAsia" w:ascii="宋体" w:hAnsi="宋体"/>
          <w:color w:val="000000"/>
          <w:sz w:val="24"/>
        </w:rPr>
      </w:pPr>
    </w:p>
    <w:p w14:paraId="5AB06532">
      <w:pPr>
        <w:snapToGrid w:val="0"/>
        <w:spacing w:before="120" w:beforeLines="50" w:after="50"/>
        <w:ind w:firstLine="602" w:firstLineChars="250"/>
        <w:jc w:val="left"/>
        <w:rPr>
          <w:rFonts w:hint="eastAsia" w:ascii="宋体" w:hAnsi="宋体"/>
          <w:b/>
          <w:color w:val="000000"/>
          <w:sz w:val="24"/>
          <w:szCs w:val="20"/>
        </w:rPr>
      </w:pPr>
    </w:p>
    <w:tbl>
      <w:tblPr>
        <w:tblStyle w:val="16"/>
        <w:tblpPr w:leftFromText="180" w:rightFromText="180" w:vertAnchor="text" w:horzAnchor="margin" w:tblpY="1169"/>
        <w:tblW w:w="84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0"/>
      </w:tblGrid>
      <w:tr w14:paraId="01722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5" w:hRule="atLeast"/>
        </w:trPr>
        <w:tc>
          <w:tcPr>
            <w:tcW w:w="8461" w:type="dxa"/>
            <w:tcBorders>
              <w:top w:val="single" w:color="auto" w:sz="4" w:space="0"/>
              <w:left w:val="single" w:color="auto" w:sz="4" w:space="0"/>
              <w:bottom w:val="single" w:color="auto" w:sz="4" w:space="0"/>
              <w:right w:val="single" w:color="auto" w:sz="4" w:space="0"/>
            </w:tcBorders>
            <w:noWrap w:val="0"/>
            <w:vAlign w:val="top"/>
          </w:tcPr>
          <w:p w14:paraId="02229E66">
            <w:pPr>
              <w:spacing w:line="360" w:lineRule="auto"/>
              <w:rPr>
                <w:rFonts w:hint="eastAsia" w:ascii="宋体"/>
                <w:b/>
                <w:sz w:val="24"/>
              </w:rPr>
            </w:pPr>
          </w:p>
          <w:p w14:paraId="4E1EFBA0">
            <w:pPr>
              <w:spacing w:line="360" w:lineRule="auto"/>
              <w:rPr>
                <w:rFonts w:hint="eastAsia" w:ascii="宋体"/>
                <w:b/>
                <w:sz w:val="24"/>
              </w:rPr>
            </w:pPr>
            <w:r>
              <w:rPr>
                <w:rFonts w:hint="eastAsia" w:ascii="宋体"/>
                <w:b/>
                <w:sz w:val="24"/>
              </w:rPr>
              <w:t>法定代表身份证复印件粘贴处（正、反面）</w:t>
            </w:r>
          </w:p>
        </w:tc>
      </w:tr>
    </w:tbl>
    <w:p w14:paraId="5FF4534E">
      <w:pPr>
        <w:pStyle w:val="11"/>
        <w:snapToGrid w:val="0"/>
        <w:spacing w:before="295" w:after="295" w:line="360" w:lineRule="auto"/>
        <w:jc w:val="center"/>
        <w:rPr>
          <w:rFonts w:hint="eastAsia" w:hAnsi="宋体"/>
          <w:b/>
          <w:color w:val="000000"/>
          <w:sz w:val="24"/>
        </w:rPr>
      </w:pPr>
      <w:r>
        <w:rPr>
          <w:rFonts w:hint="eastAsia" w:hAnsi="宋体"/>
          <w:b/>
          <w:color w:val="000000"/>
          <w:sz w:val="24"/>
        </w:rPr>
        <w:t>附件：</w:t>
      </w:r>
      <w:r>
        <w:rPr>
          <w:rFonts w:hint="eastAsia" w:hAnsi="宋体"/>
          <w:b/>
          <w:color w:val="000000"/>
          <w:sz w:val="24"/>
        </w:rPr>
        <w:br w:type="page"/>
      </w:r>
      <w:r>
        <w:rPr>
          <w:rFonts w:hint="eastAsia" w:ascii="Times New Roman" w:hAnsi="Times New Roman"/>
          <w:b/>
          <w:bCs/>
          <w:sz w:val="30"/>
          <w:szCs w:val="30"/>
        </w:rPr>
        <w:t>三、法定代表人授权委托书及委托代理人有效身份证正反面复印件（如有委托时）</w:t>
      </w:r>
    </w:p>
    <w:p w14:paraId="6495B327">
      <w:pPr>
        <w:snapToGrid w:val="0"/>
        <w:spacing w:before="120" w:beforeLines="50" w:after="50"/>
        <w:jc w:val="center"/>
        <w:rPr>
          <w:rFonts w:hint="eastAsia" w:ascii="宋体" w:hAnsi="宋体"/>
          <w:b/>
          <w:color w:val="000000"/>
          <w:sz w:val="32"/>
          <w:szCs w:val="32"/>
        </w:rPr>
      </w:pPr>
      <w:r>
        <w:rPr>
          <w:rFonts w:hint="eastAsia" w:ascii="宋体" w:hAnsi="宋体"/>
          <w:b/>
          <w:color w:val="000000"/>
          <w:sz w:val="32"/>
          <w:szCs w:val="32"/>
        </w:rPr>
        <w:t>法定代表人授权委托书</w:t>
      </w:r>
    </w:p>
    <w:p w14:paraId="7B49792A">
      <w:pPr>
        <w:snapToGrid w:val="0"/>
        <w:spacing w:before="120" w:beforeLines="50" w:after="50"/>
        <w:jc w:val="center"/>
        <w:rPr>
          <w:rFonts w:hint="eastAsia" w:ascii="宋体" w:hAnsi="宋体"/>
          <w:b/>
          <w:color w:val="000000"/>
          <w:sz w:val="24"/>
        </w:rPr>
      </w:pPr>
    </w:p>
    <w:p w14:paraId="5295B947">
      <w:pPr>
        <w:pStyle w:val="11"/>
        <w:spacing w:line="440" w:lineRule="exact"/>
        <w:ind w:firstLine="420" w:firstLineChars="200"/>
        <w:rPr>
          <w:rFonts w:hint="eastAsia" w:ascii="Times New Roman" w:hAnsi="Times New Roman"/>
        </w:rPr>
      </w:pPr>
      <w:r>
        <w:rPr>
          <w:rFonts w:hint="eastAsia" w:ascii="Times New Roman" w:hAnsi="Times New Roman"/>
        </w:rPr>
        <w:t>致：</w:t>
      </w:r>
      <w:r>
        <w:rPr>
          <w:rFonts w:ascii="Times New Roman" w:hAnsi="Times New Roman"/>
          <w:u w:val="single"/>
        </w:rPr>
        <w:t xml:space="preserve"> </w:t>
      </w:r>
      <w:bookmarkStart w:id="407" w:name="PO_3000001866_PM031_7"/>
      <w:r>
        <w:rPr>
          <w:rFonts w:hint="eastAsia" w:ascii="Times New Roman" w:hAnsi="Times New Roman"/>
          <w:u w:val="single"/>
        </w:rPr>
        <w:t>广西国建项目管理有限公司</w:t>
      </w:r>
      <w:bookmarkEnd w:id="407"/>
      <w:r>
        <w:rPr>
          <w:rFonts w:ascii="Times New Roman" w:hAnsi="Times New Roman"/>
          <w:u w:val="single"/>
        </w:rPr>
        <w:t xml:space="preserve"> </w:t>
      </w:r>
    </w:p>
    <w:p w14:paraId="75B0658C">
      <w:pPr>
        <w:pStyle w:val="11"/>
        <w:spacing w:line="440" w:lineRule="exact"/>
        <w:ind w:firstLine="420" w:firstLineChars="200"/>
        <w:rPr>
          <w:rFonts w:ascii="Times New Roman" w:hAnsi="Times New Roman"/>
        </w:rPr>
      </w:pPr>
      <w:r>
        <w:rPr>
          <w:rFonts w:hint="eastAsia" w:ascii="Times New Roman" w:hAnsi="Times New Roman"/>
        </w:rPr>
        <w:t>本人</w:t>
      </w:r>
      <w:r>
        <w:rPr>
          <w:rFonts w:ascii="Times New Roman" w:hAnsi="Times New Roman"/>
          <w:u w:val="single"/>
        </w:rPr>
        <w:t xml:space="preserve">        </w:t>
      </w:r>
      <w:r>
        <w:rPr>
          <w:rFonts w:hint="eastAsia" w:ascii="Times New Roman" w:hAnsi="Times New Roman"/>
        </w:rPr>
        <w:t>（姓名）系</w:t>
      </w:r>
      <w:r>
        <w:rPr>
          <w:rFonts w:ascii="Times New Roman" w:hAnsi="Times New Roman"/>
          <w:u w:val="single"/>
        </w:rPr>
        <w:t xml:space="preserve">                 </w:t>
      </w:r>
      <w:r>
        <w:rPr>
          <w:rFonts w:hint="eastAsia" w:ascii="Times New Roman" w:hAnsi="Times New Roman"/>
        </w:rPr>
        <w:t>（投标人名称）的法定代表人，现授权我单位在职正式员工</w:t>
      </w:r>
      <w:r>
        <w:rPr>
          <w:rFonts w:ascii="Times New Roman" w:hAnsi="Times New Roman"/>
          <w:u w:val="single"/>
        </w:rPr>
        <w:t xml:space="preserve">        </w:t>
      </w:r>
      <w:r>
        <w:rPr>
          <w:rFonts w:hint="eastAsia" w:ascii="Times New Roman" w:hAnsi="Times New Roman"/>
        </w:rPr>
        <w:t>（姓名和职务）为我方代理人。代理人根据授权，以我方名义签署、澄清、说明、补正、递交、撤回、修改贵方组织的</w:t>
      </w:r>
      <w:r>
        <w:rPr>
          <w:rFonts w:hint="eastAsia"/>
          <w:u w:val="single"/>
        </w:rPr>
        <w:t xml:space="preserve"> </w:t>
      </w:r>
      <w:r>
        <w:rPr>
          <w:rFonts w:hint="eastAsia"/>
          <w:u w:val="single"/>
          <w:lang w:eastAsia="zh-CN"/>
        </w:rPr>
        <w:t>南宁市第三职业技术学校2026年优质校及优质专业内涵建设服务项目</w:t>
      </w:r>
      <w:r>
        <w:rPr>
          <w:rFonts w:hint="eastAsia"/>
          <w:u w:val="single"/>
        </w:rPr>
        <w:t xml:space="preserve"> </w:t>
      </w:r>
      <w:r>
        <w:rPr>
          <w:rFonts w:hint="eastAsia"/>
        </w:rPr>
        <w:t>（项目编号：</w:t>
      </w:r>
      <w:r>
        <w:rPr>
          <w:rFonts w:hint="eastAsia" w:hAnsi="宋体"/>
          <w:u w:val="single"/>
          <w:lang w:eastAsia="zh-CN"/>
        </w:rPr>
        <w:t>NNZC2026-G3-990830-GXGJ</w:t>
      </w:r>
      <w:r>
        <w:rPr>
          <w:rFonts w:hint="eastAsia" w:hAnsi="宋体"/>
          <w:u w:val="single"/>
        </w:rPr>
        <w:t xml:space="preserve"> </w:t>
      </w:r>
      <w:r>
        <w:rPr>
          <w:rFonts w:hint="eastAsia"/>
        </w:rPr>
        <w:t>）</w:t>
      </w:r>
      <w:r>
        <w:rPr>
          <w:rFonts w:hint="eastAsia" w:ascii="Times New Roman" w:hAnsi="Times New Roman"/>
        </w:rPr>
        <w:t>的投标文件、签订合同和处理一切有关事宜，其法律后果由我方承担。</w:t>
      </w:r>
    </w:p>
    <w:p w14:paraId="2035E17D">
      <w:pPr>
        <w:pStyle w:val="11"/>
        <w:spacing w:line="440" w:lineRule="exact"/>
        <w:ind w:firstLine="420" w:firstLineChars="200"/>
        <w:rPr>
          <w:rFonts w:ascii="Times New Roman" w:hAnsi="Times New Roman"/>
        </w:rPr>
      </w:pPr>
      <w:r>
        <w:rPr>
          <w:rFonts w:hint="eastAsia" w:ascii="Times New Roman" w:hAnsi="Times New Roman"/>
        </w:rPr>
        <w:t>本授权书于</w:t>
      </w:r>
      <w:r>
        <w:rPr>
          <w:rFonts w:hint="eastAsia"/>
          <w:spacing w:val="10"/>
          <w:sz w:val="24"/>
          <w:u w:val="single"/>
        </w:rPr>
        <w:t xml:space="preserve">    </w:t>
      </w:r>
      <w:r>
        <w:rPr>
          <w:rFonts w:hint="eastAsia" w:ascii="Times New Roman" w:hAnsi="Times New Roman"/>
        </w:rPr>
        <w:t>年</w:t>
      </w:r>
      <w:r>
        <w:rPr>
          <w:rFonts w:hint="eastAsia"/>
          <w:spacing w:val="10"/>
          <w:sz w:val="24"/>
          <w:u w:val="single"/>
        </w:rPr>
        <w:t xml:space="preserve">    </w:t>
      </w:r>
      <w:r>
        <w:rPr>
          <w:rFonts w:hint="eastAsia" w:ascii="Times New Roman" w:hAnsi="Times New Roman"/>
        </w:rPr>
        <w:t>月</w:t>
      </w:r>
      <w:r>
        <w:rPr>
          <w:rFonts w:hint="eastAsia"/>
          <w:spacing w:val="10"/>
          <w:sz w:val="24"/>
          <w:u w:val="single"/>
        </w:rPr>
        <w:t xml:space="preserve">    </w:t>
      </w:r>
      <w:r>
        <w:rPr>
          <w:rFonts w:hint="eastAsia" w:ascii="Times New Roman" w:hAnsi="Times New Roman"/>
        </w:rPr>
        <w:t>日签字生效，委托期限：</w:t>
      </w:r>
      <w:r>
        <w:rPr>
          <w:rFonts w:hint="eastAsia"/>
          <w:spacing w:val="10"/>
          <w:sz w:val="24"/>
          <w:u w:val="single"/>
        </w:rPr>
        <w:t xml:space="preserve">    </w:t>
      </w:r>
      <w:r>
        <w:rPr>
          <w:rFonts w:hint="eastAsia" w:ascii="Times New Roman" w:hAnsi="Times New Roman"/>
        </w:rPr>
        <w:t>。</w:t>
      </w:r>
    </w:p>
    <w:p w14:paraId="79E9EECC">
      <w:pPr>
        <w:pStyle w:val="11"/>
        <w:spacing w:line="360" w:lineRule="auto"/>
        <w:ind w:firstLine="420"/>
        <w:rPr>
          <w:rFonts w:ascii="Times New Roman" w:hAnsi="Times New Roman"/>
        </w:rPr>
      </w:pPr>
      <w:r>
        <w:rPr>
          <w:rFonts w:hint="eastAsia" w:ascii="Times New Roman" w:hAnsi="Times New Roman"/>
        </w:rPr>
        <w:t>代理人无转委托权。</w:t>
      </w:r>
    </w:p>
    <w:p w14:paraId="6D93C5D0">
      <w:pPr>
        <w:pStyle w:val="11"/>
        <w:spacing w:line="360" w:lineRule="auto"/>
        <w:ind w:firstLine="420"/>
        <w:rPr>
          <w:rFonts w:ascii="Times New Roman" w:hAnsi="Times New Roman"/>
        </w:rPr>
      </w:pPr>
    </w:p>
    <w:p w14:paraId="7F289B70">
      <w:pPr>
        <w:pStyle w:val="11"/>
        <w:spacing w:line="360" w:lineRule="auto"/>
        <w:ind w:firstLine="420"/>
        <w:rPr>
          <w:rFonts w:ascii="Times New Roman" w:hAnsi="Times New Roman"/>
          <w:u w:val="single"/>
        </w:rPr>
      </w:pPr>
      <w:r>
        <w:rPr>
          <w:rFonts w:hint="eastAsia" w:ascii="Times New Roman" w:hAnsi="Times New Roman"/>
        </w:rPr>
        <w:t>投标人（或联合体投标</w:t>
      </w:r>
      <w:r>
        <w:rPr>
          <w:rFonts w:hint="eastAsia" w:cs="宋体"/>
          <w:kern w:val="0"/>
          <w:szCs w:val="21"/>
        </w:rPr>
        <w:t>牵头人名称</w:t>
      </w:r>
      <w:r>
        <w:rPr>
          <w:rFonts w:hint="eastAsia" w:ascii="Times New Roman" w:hAnsi="Times New Roman"/>
        </w:rPr>
        <w:t>）（盖单位公章）：</w:t>
      </w:r>
      <w:r>
        <w:rPr>
          <w:rFonts w:ascii="Times New Roman" w:hAnsi="Times New Roman"/>
          <w:u w:val="single"/>
        </w:rPr>
        <w:t xml:space="preserve">                                    </w:t>
      </w:r>
    </w:p>
    <w:p w14:paraId="125FD124">
      <w:pPr>
        <w:pStyle w:val="11"/>
        <w:spacing w:line="360" w:lineRule="auto"/>
        <w:ind w:firstLine="420"/>
        <w:rPr>
          <w:rFonts w:ascii="Times New Roman" w:hAnsi="Times New Roman"/>
          <w:u w:val="single"/>
        </w:rPr>
      </w:pPr>
      <w:r>
        <w:rPr>
          <w:rFonts w:hint="eastAsia" w:ascii="Times New Roman" w:hAnsi="Times New Roman"/>
        </w:rPr>
        <w:t>法定代表人（签字）：</w:t>
      </w:r>
      <w:r>
        <w:rPr>
          <w:rFonts w:ascii="Times New Roman" w:hAnsi="Times New Roman"/>
          <w:u w:val="single"/>
        </w:rPr>
        <w:t xml:space="preserve">                                </w:t>
      </w:r>
    </w:p>
    <w:p w14:paraId="0BF63EE0">
      <w:pPr>
        <w:pStyle w:val="11"/>
        <w:spacing w:line="360" w:lineRule="auto"/>
        <w:ind w:firstLine="420"/>
        <w:rPr>
          <w:rFonts w:ascii="Times New Roman" w:hAnsi="Times New Roman"/>
          <w:u w:val="single"/>
        </w:rPr>
      </w:pPr>
      <w:r>
        <w:rPr>
          <w:rFonts w:hint="eastAsia" w:ascii="Times New Roman" w:hAnsi="Times New Roman"/>
        </w:rPr>
        <w:t>法定代表人身份证号码：</w:t>
      </w:r>
      <w:r>
        <w:rPr>
          <w:rFonts w:ascii="Times New Roman" w:hAnsi="Times New Roman"/>
          <w:u w:val="single"/>
        </w:rPr>
        <w:t xml:space="preserve">                                   </w:t>
      </w:r>
    </w:p>
    <w:p w14:paraId="7E8B57F7">
      <w:pPr>
        <w:pStyle w:val="11"/>
        <w:spacing w:line="360" w:lineRule="auto"/>
        <w:ind w:firstLine="420" w:firstLineChars="200"/>
        <w:rPr>
          <w:rFonts w:ascii="Times New Roman" w:hAnsi="Times New Roman"/>
        </w:rPr>
      </w:pPr>
      <w:r>
        <w:rPr>
          <w:rFonts w:hint="eastAsia" w:ascii="Times New Roman" w:hAnsi="Times New Roman"/>
        </w:rPr>
        <w:t>委托代理人（签字）：</w:t>
      </w:r>
      <w:r>
        <w:rPr>
          <w:rFonts w:ascii="Times New Roman" w:hAnsi="Times New Roman"/>
          <w:u w:val="single"/>
        </w:rPr>
        <w:t xml:space="preserve">                                </w:t>
      </w:r>
    </w:p>
    <w:p w14:paraId="64F6197B">
      <w:pPr>
        <w:pStyle w:val="11"/>
        <w:spacing w:line="360" w:lineRule="auto"/>
        <w:ind w:firstLine="420"/>
        <w:rPr>
          <w:rFonts w:ascii="Times New Roman" w:hAnsi="Times New Roman"/>
          <w:u w:val="single"/>
        </w:rPr>
      </w:pPr>
      <w:r>
        <w:rPr>
          <w:rFonts w:hint="eastAsia" w:ascii="Times New Roman" w:hAnsi="Times New Roman"/>
        </w:rPr>
        <w:t>委托代理人身份证号码：</w:t>
      </w:r>
      <w:r>
        <w:rPr>
          <w:rFonts w:ascii="Times New Roman" w:hAnsi="Times New Roman"/>
          <w:u w:val="single"/>
        </w:rPr>
        <w:t xml:space="preserve">                                   </w:t>
      </w:r>
    </w:p>
    <w:p w14:paraId="52DA7D05">
      <w:pPr>
        <w:pStyle w:val="11"/>
        <w:spacing w:line="360" w:lineRule="auto"/>
        <w:ind w:firstLine="420"/>
        <w:rPr>
          <w:rFonts w:ascii="Times New Roman" w:hAnsi="Times New Roman"/>
          <w:u w:val="single"/>
        </w:rPr>
      </w:pPr>
    </w:p>
    <w:p w14:paraId="512757E4">
      <w:pPr>
        <w:pStyle w:val="11"/>
        <w:spacing w:line="360" w:lineRule="auto"/>
        <w:ind w:firstLine="420"/>
        <w:rPr>
          <w:rFonts w:ascii="Times New Roman" w:hAnsi="Times New Roman"/>
          <w:u w:val="single"/>
        </w:rPr>
      </w:pPr>
      <w:r>
        <w:rPr>
          <w:rFonts w:hint="eastAsia" w:cs="宋体"/>
          <w:kern w:val="0"/>
          <w:szCs w:val="21"/>
        </w:rPr>
        <w:t>成员一名称：</w:t>
      </w:r>
      <w:r>
        <w:rPr>
          <w:rFonts w:hint="eastAsia" w:ascii="Times New Roman" w:hAnsi="Times New Roman"/>
        </w:rPr>
        <w:t>（盖单位公章）：</w:t>
      </w:r>
      <w:r>
        <w:rPr>
          <w:rFonts w:ascii="Times New Roman" w:hAnsi="Times New Roman"/>
          <w:u w:val="single"/>
        </w:rPr>
        <w:t xml:space="preserve">                                    </w:t>
      </w:r>
    </w:p>
    <w:p w14:paraId="5EF9158C">
      <w:pPr>
        <w:pStyle w:val="11"/>
        <w:spacing w:line="360" w:lineRule="auto"/>
        <w:ind w:firstLine="420"/>
        <w:rPr>
          <w:rFonts w:ascii="Times New Roman" w:hAnsi="Times New Roman"/>
          <w:u w:val="single"/>
        </w:rPr>
      </w:pPr>
      <w:r>
        <w:rPr>
          <w:rFonts w:hint="eastAsia" w:ascii="Times New Roman" w:hAnsi="Times New Roman"/>
        </w:rPr>
        <w:t>法定代表人（签字）：</w:t>
      </w:r>
      <w:r>
        <w:rPr>
          <w:rFonts w:ascii="Times New Roman" w:hAnsi="Times New Roman"/>
          <w:u w:val="single"/>
        </w:rPr>
        <w:t xml:space="preserve">                                </w:t>
      </w:r>
    </w:p>
    <w:p w14:paraId="5D93E95E">
      <w:pPr>
        <w:pStyle w:val="11"/>
        <w:spacing w:line="360" w:lineRule="auto"/>
        <w:ind w:firstLine="420"/>
        <w:rPr>
          <w:rFonts w:ascii="Times New Roman" w:hAnsi="Times New Roman"/>
          <w:u w:val="single"/>
        </w:rPr>
      </w:pPr>
    </w:p>
    <w:p w14:paraId="5CD71649">
      <w:pPr>
        <w:autoSpaceDE w:val="0"/>
        <w:autoSpaceDN w:val="0"/>
        <w:adjustRightInd w:val="0"/>
        <w:spacing w:line="360" w:lineRule="auto"/>
        <w:ind w:firstLine="420" w:firstLineChars="200"/>
        <w:jc w:val="left"/>
        <w:rPr>
          <w:rFonts w:ascii="宋体" w:cs="宋体"/>
          <w:kern w:val="0"/>
          <w:szCs w:val="21"/>
        </w:rPr>
      </w:pPr>
      <w:r>
        <w:rPr>
          <w:rFonts w:hint="eastAsia" w:ascii="宋体" w:cs="宋体"/>
          <w:kern w:val="0"/>
          <w:szCs w:val="21"/>
        </w:rPr>
        <w:t>成员二名称：</w:t>
      </w:r>
      <w:r>
        <w:rPr>
          <w:rFonts w:hint="eastAsia" w:ascii="宋体" w:cs="宋体"/>
          <w:kern w:val="0"/>
          <w:szCs w:val="21"/>
          <w:u w:val="single"/>
        </w:rPr>
        <w:t xml:space="preserve">                                       </w:t>
      </w:r>
      <w:r>
        <w:rPr>
          <w:rFonts w:hint="eastAsia" w:ascii="宋体" w:cs="宋体"/>
          <w:kern w:val="0"/>
          <w:szCs w:val="21"/>
        </w:rPr>
        <w:t>（盖单位公章）</w:t>
      </w:r>
    </w:p>
    <w:p w14:paraId="55C98123">
      <w:pPr>
        <w:autoSpaceDE w:val="0"/>
        <w:autoSpaceDN w:val="0"/>
        <w:adjustRightInd w:val="0"/>
        <w:spacing w:line="360" w:lineRule="auto"/>
        <w:ind w:firstLine="420" w:firstLineChars="200"/>
        <w:jc w:val="left"/>
        <w:rPr>
          <w:rFonts w:hint="eastAsia" w:ascii="宋体" w:cs="宋体"/>
          <w:kern w:val="0"/>
          <w:szCs w:val="21"/>
        </w:rPr>
      </w:pPr>
      <w:r>
        <w:rPr>
          <w:rFonts w:hint="eastAsia" w:ascii="宋体" w:cs="宋体"/>
          <w:kern w:val="0"/>
          <w:szCs w:val="21"/>
        </w:rPr>
        <w:t>法定代表人或其委托代理人：</w:t>
      </w:r>
      <w:r>
        <w:rPr>
          <w:rFonts w:hint="eastAsia" w:ascii="宋体" w:cs="宋体"/>
          <w:kern w:val="0"/>
          <w:szCs w:val="21"/>
          <w:u w:val="single"/>
        </w:rPr>
        <w:t xml:space="preserve">                         </w:t>
      </w:r>
      <w:r>
        <w:rPr>
          <w:rFonts w:hint="eastAsia" w:ascii="宋体" w:cs="宋体"/>
          <w:kern w:val="0"/>
          <w:szCs w:val="21"/>
        </w:rPr>
        <w:t>（签字）</w:t>
      </w:r>
    </w:p>
    <w:p w14:paraId="664C47FA">
      <w:pPr>
        <w:pStyle w:val="11"/>
        <w:ind w:firstLine="420" w:firstLineChars="200"/>
        <w:rPr>
          <w:rFonts w:hint="eastAsia"/>
        </w:rPr>
      </w:pPr>
      <w:r>
        <w:rPr>
          <w:rFonts w:hint="eastAsia"/>
        </w:rPr>
        <w:t>......</w:t>
      </w:r>
    </w:p>
    <w:p w14:paraId="140355A4">
      <w:pPr>
        <w:spacing w:line="360" w:lineRule="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注：1.法定代表人和委托代理人必须在授权委托书上亲笔签名，不得使用印章、签名章或者其他电子制版签名代替；</w:t>
      </w:r>
    </w:p>
    <w:p w14:paraId="1147AFA2">
      <w:pPr>
        <w:spacing w:line="360" w:lineRule="auto"/>
        <w:jc w:val="left"/>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2.以联合体形式投标的，本授权委托书应由联合体牵头人的法定代表人按上述规定签署。</w:t>
      </w:r>
    </w:p>
    <w:p w14:paraId="0059A356">
      <w:pPr>
        <w:snapToGrid w:val="0"/>
        <w:spacing w:before="50" w:after="120" w:afterLines="50" w:line="360" w:lineRule="auto"/>
        <w:jc w:val="left"/>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3. 供应商为其他组织或者自然人时，本招标文件规定的法定代表人指负责人或者自然人。本招标文件所称负责人是指参加投标的其他组织营业执照上的负责人，本招标文件所称自然人指参与投标的自然人本人。</w:t>
      </w:r>
    </w:p>
    <w:p w14:paraId="1DE89937">
      <w:pPr>
        <w:snapToGrid w:val="0"/>
        <w:spacing w:before="50" w:after="120" w:afterLines="50" w:line="360" w:lineRule="auto"/>
        <w:jc w:val="left"/>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4. 若为联合体投标须各方签字或盖章。</w:t>
      </w:r>
    </w:p>
    <w:p w14:paraId="089766F6">
      <w:pPr>
        <w:spacing w:line="360" w:lineRule="auto"/>
        <w:rPr>
          <w:rFonts w:hint="eastAsia" w:ascii="宋体"/>
          <w:b/>
          <w:sz w:val="24"/>
        </w:rPr>
      </w:pPr>
    </w:p>
    <w:p w14:paraId="7C6899E6">
      <w:pPr>
        <w:spacing w:line="360" w:lineRule="auto"/>
        <w:rPr>
          <w:rFonts w:hint="eastAsia"/>
          <w:b/>
          <w:sz w:val="24"/>
        </w:rPr>
      </w:pPr>
      <w:r>
        <w:rPr>
          <w:rFonts w:hint="eastAsia" w:ascii="宋体"/>
          <w:b/>
          <w:sz w:val="24"/>
        </w:rPr>
        <w:t>附件：</w:t>
      </w:r>
    </w:p>
    <w:tbl>
      <w:tblPr>
        <w:tblStyle w:val="16"/>
        <w:tblpPr w:leftFromText="180" w:rightFromText="180" w:vertAnchor="text" w:horzAnchor="margin" w:tblpY="263"/>
        <w:tblW w:w="79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90"/>
      </w:tblGrid>
      <w:tr w14:paraId="5E944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0" w:hRule="atLeast"/>
        </w:trPr>
        <w:tc>
          <w:tcPr>
            <w:tcW w:w="7985" w:type="dxa"/>
            <w:tcBorders>
              <w:top w:val="single" w:color="auto" w:sz="4" w:space="0"/>
              <w:left w:val="single" w:color="auto" w:sz="4" w:space="0"/>
              <w:bottom w:val="single" w:color="auto" w:sz="4" w:space="0"/>
              <w:right w:val="single" w:color="auto" w:sz="4" w:space="0"/>
            </w:tcBorders>
            <w:noWrap w:val="0"/>
            <w:vAlign w:val="top"/>
          </w:tcPr>
          <w:p w14:paraId="2829B4B9">
            <w:pPr>
              <w:spacing w:line="360" w:lineRule="auto"/>
              <w:rPr>
                <w:rFonts w:ascii="宋体"/>
                <w:b/>
                <w:sz w:val="24"/>
              </w:rPr>
            </w:pPr>
          </w:p>
          <w:p w14:paraId="3FA0234E">
            <w:pPr>
              <w:spacing w:line="360" w:lineRule="auto"/>
              <w:rPr>
                <w:rFonts w:hint="eastAsia" w:ascii="宋体"/>
                <w:b/>
                <w:sz w:val="24"/>
              </w:rPr>
            </w:pPr>
            <w:r>
              <w:rPr>
                <w:rFonts w:hint="eastAsia" w:ascii="宋体"/>
                <w:b/>
                <w:sz w:val="24"/>
              </w:rPr>
              <w:t>全权代表身份证复印件粘贴处（正、反面）</w:t>
            </w:r>
          </w:p>
        </w:tc>
      </w:tr>
    </w:tbl>
    <w:p w14:paraId="7A64E535">
      <w:pPr>
        <w:snapToGrid w:val="0"/>
        <w:spacing w:before="50" w:after="120" w:afterLines="50" w:line="360" w:lineRule="auto"/>
        <w:jc w:val="left"/>
        <w:rPr>
          <w:rFonts w:hint="eastAsia" w:ascii="仿宋_GB2312" w:hAnsi="仿宋_GB2312" w:eastAsia="仿宋_GB2312" w:cs="仿宋_GB2312"/>
          <w:color w:val="000000"/>
          <w:szCs w:val="21"/>
        </w:rPr>
      </w:pPr>
    </w:p>
    <w:p w14:paraId="09173129">
      <w:pPr>
        <w:snapToGrid w:val="0"/>
        <w:spacing w:before="120" w:beforeLines="50" w:after="50"/>
        <w:ind w:firstLine="566" w:firstLineChars="236"/>
        <w:jc w:val="center"/>
        <w:rPr>
          <w:rFonts w:hint="eastAsia" w:ascii="宋体" w:hAnsi="宋体"/>
          <w:color w:val="000000"/>
        </w:rPr>
      </w:pPr>
      <w:r>
        <w:rPr>
          <w:rFonts w:hint="eastAsia" w:ascii="宋体" w:hAnsi="宋体"/>
          <w:color w:val="000000"/>
          <w:sz w:val="24"/>
        </w:rPr>
        <w:t xml:space="preserve"> </w:t>
      </w:r>
      <w:r>
        <w:rPr>
          <w:rFonts w:hint="eastAsia" w:ascii="宋体" w:hAnsi="宋体"/>
          <w:color w:val="000000"/>
          <w:sz w:val="24"/>
        </w:rPr>
        <w:br w:type="page"/>
      </w:r>
    </w:p>
    <w:p w14:paraId="76541367">
      <w:pPr>
        <w:jc w:val="center"/>
        <w:rPr>
          <w:rFonts w:hint="eastAsia"/>
          <w:b/>
          <w:bCs/>
          <w:sz w:val="30"/>
          <w:szCs w:val="30"/>
        </w:rPr>
      </w:pPr>
      <w:r>
        <w:rPr>
          <w:rFonts w:hint="eastAsia"/>
          <w:b/>
          <w:bCs/>
          <w:sz w:val="30"/>
          <w:szCs w:val="30"/>
        </w:rPr>
        <w:t>四、商务条款偏离表</w:t>
      </w:r>
    </w:p>
    <w:p w14:paraId="1C81A92F">
      <w:pPr>
        <w:jc w:val="center"/>
        <w:rPr>
          <w:rFonts w:ascii="宋体" w:hAnsi="宋体"/>
          <w:b/>
          <w:color w:val="000000"/>
          <w:sz w:val="24"/>
          <w:szCs w:val="20"/>
        </w:rPr>
      </w:pPr>
      <w:r>
        <w:rPr>
          <w:rFonts w:hint="eastAsia" w:ascii="宋体" w:hAnsi="宋体"/>
          <w:color w:val="000000"/>
          <w:sz w:val="30"/>
          <w:szCs w:val="20"/>
        </w:rPr>
        <w:t>(注：按项目需求表具体项目修改)</w:t>
      </w:r>
    </w:p>
    <w:p w14:paraId="05583E13">
      <w:pPr>
        <w:snapToGrid w:val="0"/>
        <w:spacing w:before="50"/>
        <w:jc w:val="left"/>
        <w:rPr>
          <w:rFonts w:hint="eastAsia" w:ascii="宋体" w:hAnsi="宋体"/>
          <w:color w:val="000000"/>
          <w:sz w:val="24"/>
        </w:rPr>
      </w:pPr>
    </w:p>
    <w:p w14:paraId="5F395451">
      <w:pPr>
        <w:pStyle w:val="11"/>
        <w:spacing w:line="360" w:lineRule="auto"/>
        <w:ind w:left="-424" w:leftChars="-202" w:firstLine="846"/>
        <w:rPr>
          <w:rFonts w:hint="eastAsia" w:hAnsi="宋体"/>
          <w:color w:val="000000"/>
          <w:sz w:val="24"/>
          <w:szCs w:val="24"/>
        </w:rPr>
      </w:pPr>
      <w:r>
        <w:rPr>
          <w:rFonts w:hint="eastAsia" w:ascii="Times New Roman" w:hAnsi="Times New Roman"/>
          <w:b/>
          <w:bCs/>
        </w:rPr>
        <w:t>请逐条</w:t>
      </w:r>
      <w:r>
        <w:rPr>
          <w:rFonts w:hint="eastAsia" w:ascii="Times New Roman" w:hAnsi="Times New Roman"/>
        </w:rPr>
        <w:t>对应本项目招标文件第二章“服务需求一览表”中“</w:t>
      </w:r>
      <w:r>
        <w:rPr>
          <w:rFonts w:hint="eastAsia" w:ascii="Times New Roman" w:hAnsi="Times New Roman"/>
          <w:b/>
          <w:bCs/>
        </w:rPr>
        <w:t>商务条款</w:t>
      </w:r>
      <w:r>
        <w:rPr>
          <w:rFonts w:hint="eastAsia" w:ascii="Times New Roman" w:hAnsi="Times New Roman"/>
        </w:rPr>
        <w:t>”的要求，详细填写相应的具体内容。“偏离说明”一栏应当选择“正偏离”、“负偏离”或“无偏离”进行填写。</w:t>
      </w:r>
    </w:p>
    <w:tbl>
      <w:tblPr>
        <w:tblStyle w:val="16"/>
        <w:tblpPr w:leftFromText="180" w:rightFromText="180" w:vertAnchor="text" w:horzAnchor="margin" w:tblpXSpec="center" w:tblpY="9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926"/>
        <w:gridCol w:w="3589"/>
        <w:gridCol w:w="1274"/>
      </w:tblGrid>
      <w:tr w14:paraId="1D6A8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691" w:type="dxa"/>
            <w:tcBorders>
              <w:top w:val="single" w:color="auto" w:sz="4" w:space="0"/>
              <w:left w:val="single" w:color="auto" w:sz="4" w:space="0"/>
              <w:bottom w:val="single" w:color="auto" w:sz="4" w:space="0"/>
              <w:right w:val="single" w:color="auto" w:sz="4" w:space="0"/>
            </w:tcBorders>
            <w:noWrap w:val="0"/>
            <w:vAlign w:val="center"/>
          </w:tcPr>
          <w:p w14:paraId="25B6B951">
            <w:pPr>
              <w:spacing w:line="340" w:lineRule="exact"/>
              <w:jc w:val="center"/>
              <w:rPr>
                <w:rFonts w:hint="eastAsia" w:ascii="宋体" w:hAnsi="宋体"/>
                <w:szCs w:val="21"/>
              </w:rPr>
            </w:pPr>
            <w:r>
              <w:rPr>
                <w:rFonts w:hint="eastAsia" w:ascii="宋体" w:hAnsi="宋体"/>
                <w:szCs w:val="21"/>
              </w:rPr>
              <w:t>项号</w:t>
            </w:r>
          </w:p>
        </w:tc>
        <w:tc>
          <w:tcPr>
            <w:tcW w:w="3926" w:type="dxa"/>
            <w:tcBorders>
              <w:top w:val="single" w:color="auto" w:sz="4" w:space="0"/>
              <w:left w:val="single" w:color="auto" w:sz="4" w:space="0"/>
              <w:bottom w:val="single" w:color="auto" w:sz="4" w:space="0"/>
              <w:right w:val="single" w:color="auto" w:sz="4" w:space="0"/>
            </w:tcBorders>
            <w:noWrap w:val="0"/>
            <w:vAlign w:val="center"/>
          </w:tcPr>
          <w:p w14:paraId="6A06E17D">
            <w:pPr>
              <w:spacing w:line="340" w:lineRule="exact"/>
              <w:jc w:val="center"/>
              <w:rPr>
                <w:rFonts w:hint="eastAsia" w:ascii="宋体" w:hAnsi="宋体"/>
                <w:szCs w:val="21"/>
              </w:rPr>
            </w:pPr>
            <w:r>
              <w:rPr>
                <w:rFonts w:hint="eastAsia" w:ascii="宋体" w:hAnsi="宋体"/>
                <w:szCs w:val="21"/>
              </w:rPr>
              <w:t>招标文件的商务需求</w:t>
            </w:r>
          </w:p>
        </w:tc>
        <w:tc>
          <w:tcPr>
            <w:tcW w:w="3589" w:type="dxa"/>
            <w:tcBorders>
              <w:top w:val="single" w:color="auto" w:sz="4" w:space="0"/>
              <w:left w:val="single" w:color="auto" w:sz="4" w:space="0"/>
              <w:bottom w:val="single" w:color="auto" w:sz="4" w:space="0"/>
              <w:right w:val="single" w:color="auto" w:sz="4" w:space="0"/>
            </w:tcBorders>
            <w:noWrap w:val="0"/>
            <w:vAlign w:val="center"/>
          </w:tcPr>
          <w:p w14:paraId="6B848476">
            <w:pPr>
              <w:spacing w:line="340" w:lineRule="exact"/>
              <w:jc w:val="center"/>
              <w:rPr>
                <w:rFonts w:hint="eastAsia" w:ascii="宋体" w:hAnsi="宋体"/>
                <w:szCs w:val="21"/>
              </w:rPr>
            </w:pPr>
            <w:r>
              <w:rPr>
                <w:rFonts w:hint="eastAsia" w:ascii="宋体" w:hAnsi="宋体"/>
                <w:szCs w:val="21"/>
              </w:rPr>
              <w:t>投标文件承诺的商务条款</w:t>
            </w:r>
          </w:p>
        </w:tc>
        <w:tc>
          <w:tcPr>
            <w:tcW w:w="1274" w:type="dxa"/>
            <w:tcBorders>
              <w:top w:val="single" w:color="auto" w:sz="4" w:space="0"/>
              <w:left w:val="single" w:color="auto" w:sz="4" w:space="0"/>
              <w:bottom w:val="single" w:color="auto" w:sz="4" w:space="0"/>
              <w:right w:val="single" w:color="auto" w:sz="4" w:space="0"/>
            </w:tcBorders>
            <w:noWrap w:val="0"/>
            <w:vAlign w:val="center"/>
          </w:tcPr>
          <w:p w14:paraId="17AE8F00">
            <w:pPr>
              <w:spacing w:line="340" w:lineRule="exact"/>
              <w:jc w:val="center"/>
              <w:rPr>
                <w:rFonts w:hint="eastAsia" w:ascii="宋体" w:hAnsi="宋体"/>
                <w:szCs w:val="21"/>
              </w:rPr>
            </w:pPr>
            <w:r>
              <w:rPr>
                <w:rFonts w:hint="eastAsia" w:ascii="宋体" w:hAnsi="宋体"/>
                <w:szCs w:val="21"/>
              </w:rPr>
              <w:t>偏离说明</w:t>
            </w:r>
          </w:p>
        </w:tc>
      </w:tr>
      <w:tr w14:paraId="438B3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noWrap w:val="0"/>
            <w:vAlign w:val="top"/>
          </w:tcPr>
          <w:p w14:paraId="53CD8BF8">
            <w:pPr>
              <w:spacing w:line="340" w:lineRule="exact"/>
              <w:rPr>
                <w:rFonts w:hint="eastAsia" w:ascii="宋体" w:hAnsi="宋体"/>
                <w:szCs w:val="21"/>
              </w:rPr>
            </w:pPr>
            <w:r>
              <w:rPr>
                <w:rFonts w:hint="eastAsia" w:ascii="宋体" w:hAnsi="宋体"/>
                <w:szCs w:val="21"/>
              </w:rPr>
              <w:t>一</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68E1FDE8">
            <w:pPr>
              <w:spacing w:line="340" w:lineRule="exact"/>
              <w:rPr>
                <w:rFonts w:hint="eastAsia" w:ascii="宋体" w:hAnsi="宋体"/>
                <w:szCs w:val="21"/>
              </w:rPr>
            </w:pPr>
            <w:r>
              <w:rPr>
                <w:rFonts w:hint="eastAsia" w:ascii="宋体" w:hAnsi="宋体"/>
                <w:szCs w:val="21"/>
              </w:rPr>
              <w:t>1  ……</w:t>
            </w:r>
          </w:p>
          <w:p w14:paraId="6A6AE95F">
            <w:pPr>
              <w:spacing w:line="340" w:lineRule="exact"/>
              <w:rPr>
                <w:rFonts w:hint="eastAsia" w:ascii="宋体" w:hAnsi="宋体"/>
                <w:szCs w:val="21"/>
              </w:rPr>
            </w:pPr>
            <w:r>
              <w:rPr>
                <w:rFonts w:hint="eastAsia" w:ascii="宋体" w:hAnsi="宋体"/>
                <w:szCs w:val="21"/>
              </w:rPr>
              <w:t>2  ……</w:t>
            </w:r>
          </w:p>
          <w:p w14:paraId="14DDB383">
            <w:pPr>
              <w:spacing w:line="340" w:lineRule="exact"/>
              <w:rPr>
                <w:rFonts w:hint="eastAsia" w:ascii="宋体" w:hAnsi="宋体"/>
                <w:szCs w:val="21"/>
              </w:rPr>
            </w:pPr>
            <w:r>
              <w:rPr>
                <w:rFonts w:hint="eastAsia" w:ascii="宋体" w:hAnsi="宋体"/>
                <w:szCs w:val="21"/>
              </w:rPr>
              <w:t>3  ……</w:t>
            </w:r>
          </w:p>
          <w:p w14:paraId="13EF9208">
            <w:pPr>
              <w:spacing w:line="340" w:lineRule="exact"/>
              <w:rPr>
                <w:rFonts w:hint="eastAsia" w:ascii="宋体" w:hAnsi="宋体"/>
                <w:szCs w:val="21"/>
              </w:rPr>
            </w:pPr>
            <w:r>
              <w:rPr>
                <w:rFonts w:hint="eastAsia" w:ascii="宋体" w:hAnsi="宋体"/>
                <w:szCs w:val="21"/>
              </w:rPr>
              <w:t>……</w:t>
            </w:r>
          </w:p>
        </w:tc>
        <w:tc>
          <w:tcPr>
            <w:tcW w:w="3589" w:type="dxa"/>
            <w:tcBorders>
              <w:top w:val="single" w:color="auto" w:sz="4" w:space="0"/>
              <w:left w:val="single" w:color="auto" w:sz="4" w:space="0"/>
              <w:bottom w:val="single" w:color="auto" w:sz="4" w:space="0"/>
              <w:right w:val="single" w:color="auto" w:sz="4" w:space="0"/>
            </w:tcBorders>
            <w:noWrap w:val="0"/>
            <w:vAlign w:val="top"/>
          </w:tcPr>
          <w:p w14:paraId="0291564F">
            <w:pPr>
              <w:spacing w:line="340" w:lineRule="exact"/>
              <w:rPr>
                <w:rFonts w:hint="eastAsia" w:ascii="宋体" w:hAnsi="宋体"/>
                <w:szCs w:val="21"/>
              </w:rPr>
            </w:pPr>
            <w:r>
              <w:rPr>
                <w:rFonts w:hint="eastAsia" w:ascii="宋体" w:hAnsi="宋体"/>
                <w:szCs w:val="21"/>
              </w:rPr>
              <w:t>1  ……</w:t>
            </w:r>
          </w:p>
          <w:p w14:paraId="61E3C14C">
            <w:pPr>
              <w:spacing w:line="340" w:lineRule="exact"/>
              <w:rPr>
                <w:rFonts w:hint="eastAsia" w:ascii="宋体" w:hAnsi="宋体"/>
                <w:szCs w:val="21"/>
              </w:rPr>
            </w:pPr>
            <w:r>
              <w:rPr>
                <w:rFonts w:hint="eastAsia" w:ascii="宋体" w:hAnsi="宋体"/>
                <w:szCs w:val="21"/>
              </w:rPr>
              <w:t>2  ……</w:t>
            </w:r>
          </w:p>
          <w:p w14:paraId="4117ABF7">
            <w:pPr>
              <w:spacing w:line="340" w:lineRule="exact"/>
              <w:rPr>
                <w:rFonts w:hint="eastAsia" w:ascii="宋体" w:hAnsi="宋体"/>
                <w:szCs w:val="21"/>
              </w:rPr>
            </w:pPr>
            <w:r>
              <w:rPr>
                <w:rFonts w:hint="eastAsia" w:ascii="宋体" w:hAnsi="宋体"/>
                <w:szCs w:val="21"/>
              </w:rPr>
              <w:t>3  ……</w:t>
            </w:r>
          </w:p>
          <w:p w14:paraId="65E8D907">
            <w:pPr>
              <w:spacing w:line="340" w:lineRule="exact"/>
              <w:rPr>
                <w:rFonts w:hint="eastAsia" w:ascii="宋体" w:hAnsi="宋体"/>
                <w:szCs w:val="21"/>
              </w:rPr>
            </w:pPr>
            <w:r>
              <w:rPr>
                <w:rFonts w:hint="eastAsia" w:ascii="宋体" w:hAnsi="宋体"/>
                <w:szCs w:val="21"/>
              </w:rPr>
              <w:t>……</w:t>
            </w:r>
          </w:p>
        </w:tc>
        <w:tc>
          <w:tcPr>
            <w:tcW w:w="1274" w:type="dxa"/>
            <w:tcBorders>
              <w:top w:val="single" w:color="auto" w:sz="4" w:space="0"/>
              <w:left w:val="single" w:color="auto" w:sz="4" w:space="0"/>
              <w:bottom w:val="single" w:color="auto" w:sz="4" w:space="0"/>
              <w:right w:val="single" w:color="auto" w:sz="4" w:space="0"/>
            </w:tcBorders>
            <w:noWrap w:val="0"/>
            <w:vAlign w:val="top"/>
          </w:tcPr>
          <w:p w14:paraId="76179FCD">
            <w:pPr>
              <w:spacing w:line="300" w:lineRule="exact"/>
              <w:rPr>
                <w:rFonts w:hint="eastAsia" w:ascii="宋体" w:hAnsi="宋体"/>
                <w:szCs w:val="21"/>
              </w:rPr>
            </w:pPr>
            <w:r>
              <w:rPr>
                <w:rFonts w:hint="eastAsia" w:ascii="宋体" w:hAnsi="宋体"/>
                <w:szCs w:val="21"/>
              </w:rPr>
              <w:t>正偏离（负偏离或无偏离）</w:t>
            </w:r>
          </w:p>
        </w:tc>
      </w:tr>
      <w:tr w14:paraId="775A3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noWrap w:val="0"/>
            <w:vAlign w:val="top"/>
          </w:tcPr>
          <w:p w14:paraId="4E518F93">
            <w:pPr>
              <w:spacing w:line="340" w:lineRule="exact"/>
              <w:rPr>
                <w:rFonts w:hint="eastAsia" w:ascii="宋体" w:hAnsi="宋体"/>
                <w:szCs w:val="21"/>
              </w:rPr>
            </w:pPr>
            <w:r>
              <w:rPr>
                <w:rFonts w:hint="eastAsia" w:ascii="宋体" w:hAnsi="宋体"/>
                <w:szCs w:val="21"/>
              </w:rPr>
              <w:t>二</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153F7BCC">
            <w:pPr>
              <w:spacing w:line="340" w:lineRule="exact"/>
              <w:rPr>
                <w:rFonts w:hint="eastAsia" w:ascii="宋体" w:hAnsi="宋体"/>
                <w:szCs w:val="21"/>
              </w:rPr>
            </w:pPr>
            <w:r>
              <w:rPr>
                <w:rFonts w:hint="eastAsia" w:ascii="宋体" w:hAnsi="宋体"/>
                <w:szCs w:val="21"/>
              </w:rPr>
              <w:t>1  ……</w:t>
            </w:r>
          </w:p>
          <w:p w14:paraId="578E6CCD">
            <w:pPr>
              <w:spacing w:line="340" w:lineRule="exact"/>
              <w:rPr>
                <w:rFonts w:hint="eastAsia" w:ascii="宋体" w:hAnsi="宋体"/>
                <w:szCs w:val="21"/>
              </w:rPr>
            </w:pPr>
            <w:r>
              <w:rPr>
                <w:rFonts w:hint="eastAsia" w:ascii="宋体" w:hAnsi="宋体"/>
                <w:szCs w:val="21"/>
              </w:rPr>
              <w:t>2  ……</w:t>
            </w:r>
          </w:p>
          <w:p w14:paraId="53C33B38">
            <w:pPr>
              <w:spacing w:line="340" w:lineRule="exact"/>
              <w:rPr>
                <w:rFonts w:hint="eastAsia" w:ascii="宋体" w:hAnsi="宋体"/>
                <w:szCs w:val="21"/>
              </w:rPr>
            </w:pPr>
            <w:r>
              <w:rPr>
                <w:rFonts w:hint="eastAsia" w:ascii="宋体" w:hAnsi="宋体"/>
                <w:szCs w:val="21"/>
              </w:rPr>
              <w:t>3  ……</w:t>
            </w:r>
          </w:p>
          <w:p w14:paraId="3B3F1425">
            <w:pPr>
              <w:spacing w:line="340" w:lineRule="exact"/>
              <w:rPr>
                <w:rFonts w:hint="eastAsia" w:ascii="宋体" w:hAnsi="宋体"/>
                <w:szCs w:val="21"/>
              </w:rPr>
            </w:pPr>
            <w:r>
              <w:rPr>
                <w:rFonts w:hint="eastAsia" w:ascii="宋体" w:hAnsi="宋体"/>
                <w:szCs w:val="21"/>
              </w:rPr>
              <w:t>……</w:t>
            </w:r>
          </w:p>
        </w:tc>
        <w:tc>
          <w:tcPr>
            <w:tcW w:w="3589" w:type="dxa"/>
            <w:tcBorders>
              <w:top w:val="single" w:color="auto" w:sz="4" w:space="0"/>
              <w:left w:val="single" w:color="auto" w:sz="4" w:space="0"/>
              <w:bottom w:val="single" w:color="auto" w:sz="4" w:space="0"/>
              <w:right w:val="single" w:color="auto" w:sz="4" w:space="0"/>
            </w:tcBorders>
            <w:noWrap w:val="0"/>
            <w:vAlign w:val="top"/>
          </w:tcPr>
          <w:p w14:paraId="443A50BF">
            <w:pPr>
              <w:spacing w:line="340" w:lineRule="exact"/>
              <w:rPr>
                <w:rFonts w:hint="eastAsia" w:ascii="宋体" w:hAnsi="宋体"/>
                <w:szCs w:val="21"/>
              </w:rPr>
            </w:pPr>
            <w:r>
              <w:rPr>
                <w:rFonts w:hint="eastAsia" w:ascii="宋体" w:hAnsi="宋体"/>
                <w:szCs w:val="21"/>
              </w:rPr>
              <w:t>1  ……</w:t>
            </w:r>
          </w:p>
          <w:p w14:paraId="0D8F25A0">
            <w:pPr>
              <w:spacing w:line="340" w:lineRule="exact"/>
              <w:rPr>
                <w:rFonts w:hint="eastAsia" w:ascii="宋体" w:hAnsi="宋体"/>
                <w:szCs w:val="21"/>
              </w:rPr>
            </w:pPr>
            <w:r>
              <w:rPr>
                <w:rFonts w:hint="eastAsia" w:ascii="宋体" w:hAnsi="宋体"/>
                <w:szCs w:val="21"/>
              </w:rPr>
              <w:t>2  ……</w:t>
            </w:r>
          </w:p>
          <w:p w14:paraId="5F9A74A7">
            <w:pPr>
              <w:spacing w:line="340" w:lineRule="exact"/>
              <w:rPr>
                <w:rFonts w:hint="eastAsia" w:ascii="宋体" w:hAnsi="宋体"/>
                <w:szCs w:val="21"/>
              </w:rPr>
            </w:pPr>
            <w:r>
              <w:rPr>
                <w:rFonts w:hint="eastAsia" w:ascii="宋体" w:hAnsi="宋体"/>
                <w:szCs w:val="21"/>
              </w:rPr>
              <w:t>3  ……</w:t>
            </w:r>
          </w:p>
          <w:p w14:paraId="3C02A94B">
            <w:pPr>
              <w:spacing w:line="340" w:lineRule="exact"/>
              <w:rPr>
                <w:rFonts w:hint="eastAsia" w:ascii="宋体" w:hAnsi="宋体"/>
                <w:szCs w:val="21"/>
              </w:rPr>
            </w:pPr>
            <w:r>
              <w:rPr>
                <w:rFonts w:hint="eastAsia" w:ascii="宋体" w:hAnsi="宋体"/>
                <w:szCs w:val="21"/>
              </w:rPr>
              <w:t>……</w:t>
            </w:r>
          </w:p>
        </w:tc>
        <w:tc>
          <w:tcPr>
            <w:tcW w:w="1274" w:type="dxa"/>
            <w:tcBorders>
              <w:top w:val="single" w:color="auto" w:sz="4" w:space="0"/>
              <w:left w:val="single" w:color="auto" w:sz="4" w:space="0"/>
              <w:bottom w:val="single" w:color="auto" w:sz="4" w:space="0"/>
              <w:right w:val="single" w:color="auto" w:sz="4" w:space="0"/>
            </w:tcBorders>
            <w:noWrap w:val="0"/>
            <w:vAlign w:val="top"/>
          </w:tcPr>
          <w:p w14:paraId="5262BA99">
            <w:pPr>
              <w:spacing w:line="300" w:lineRule="exact"/>
              <w:rPr>
                <w:rFonts w:hint="eastAsia" w:ascii="宋体" w:hAnsi="宋体"/>
                <w:szCs w:val="21"/>
              </w:rPr>
            </w:pPr>
            <w:r>
              <w:rPr>
                <w:rFonts w:hint="eastAsia" w:ascii="宋体" w:hAnsi="宋体"/>
                <w:szCs w:val="21"/>
              </w:rPr>
              <w:t>正偏离（负偏离或无偏离）</w:t>
            </w:r>
          </w:p>
        </w:tc>
      </w:tr>
      <w:tr w14:paraId="5E6ED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trPr>
        <w:tc>
          <w:tcPr>
            <w:tcW w:w="691" w:type="dxa"/>
            <w:tcBorders>
              <w:top w:val="single" w:color="auto" w:sz="4" w:space="0"/>
              <w:left w:val="single" w:color="auto" w:sz="4" w:space="0"/>
              <w:bottom w:val="single" w:color="auto" w:sz="4" w:space="0"/>
              <w:right w:val="single" w:color="auto" w:sz="4" w:space="0"/>
            </w:tcBorders>
            <w:noWrap w:val="0"/>
            <w:vAlign w:val="top"/>
          </w:tcPr>
          <w:p w14:paraId="2CABB391">
            <w:pPr>
              <w:spacing w:line="340" w:lineRule="exact"/>
              <w:rPr>
                <w:rFonts w:hint="eastAsia" w:ascii="宋体" w:hAnsi="宋体"/>
                <w:szCs w:val="21"/>
              </w:rPr>
            </w:pPr>
            <w:r>
              <w:rPr>
                <w:rFonts w:hint="eastAsia" w:ascii="宋体" w:hAnsi="宋体"/>
                <w:szCs w:val="21"/>
              </w:rPr>
              <w:t>...</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3C5FEE5D">
            <w:pPr>
              <w:spacing w:line="340" w:lineRule="exact"/>
              <w:rPr>
                <w:rFonts w:hint="eastAsia" w:ascii="宋体" w:hAnsi="宋体"/>
                <w:szCs w:val="21"/>
              </w:rPr>
            </w:pPr>
            <w:r>
              <w:rPr>
                <w:rFonts w:hint="eastAsia" w:ascii="宋体" w:hAnsi="宋体"/>
                <w:szCs w:val="21"/>
              </w:rPr>
              <w:t>1  ……</w:t>
            </w:r>
          </w:p>
          <w:p w14:paraId="4A444E7E">
            <w:pPr>
              <w:spacing w:line="340" w:lineRule="exact"/>
              <w:rPr>
                <w:rFonts w:hint="eastAsia" w:ascii="宋体" w:hAnsi="宋体"/>
                <w:szCs w:val="21"/>
              </w:rPr>
            </w:pPr>
            <w:r>
              <w:rPr>
                <w:rFonts w:hint="eastAsia" w:ascii="宋体" w:hAnsi="宋体"/>
                <w:szCs w:val="21"/>
              </w:rPr>
              <w:t>2  ……</w:t>
            </w:r>
          </w:p>
          <w:p w14:paraId="2009805B">
            <w:pPr>
              <w:spacing w:line="340" w:lineRule="exact"/>
              <w:rPr>
                <w:rFonts w:hint="eastAsia" w:ascii="宋体" w:hAnsi="宋体"/>
                <w:szCs w:val="21"/>
              </w:rPr>
            </w:pPr>
            <w:r>
              <w:rPr>
                <w:rFonts w:hint="eastAsia" w:ascii="宋体" w:hAnsi="宋体"/>
                <w:szCs w:val="21"/>
              </w:rPr>
              <w:t>3  ……</w:t>
            </w:r>
          </w:p>
          <w:p w14:paraId="011C437A">
            <w:pPr>
              <w:spacing w:line="340" w:lineRule="exact"/>
              <w:rPr>
                <w:rFonts w:hint="eastAsia" w:ascii="宋体" w:hAnsi="宋体"/>
                <w:szCs w:val="21"/>
              </w:rPr>
            </w:pPr>
            <w:r>
              <w:rPr>
                <w:rFonts w:hint="eastAsia" w:ascii="宋体" w:hAnsi="宋体"/>
                <w:szCs w:val="21"/>
              </w:rPr>
              <w:t>……</w:t>
            </w:r>
          </w:p>
        </w:tc>
        <w:tc>
          <w:tcPr>
            <w:tcW w:w="3589" w:type="dxa"/>
            <w:tcBorders>
              <w:top w:val="single" w:color="auto" w:sz="4" w:space="0"/>
              <w:left w:val="single" w:color="auto" w:sz="4" w:space="0"/>
              <w:bottom w:val="single" w:color="auto" w:sz="4" w:space="0"/>
              <w:right w:val="single" w:color="auto" w:sz="4" w:space="0"/>
            </w:tcBorders>
            <w:noWrap w:val="0"/>
            <w:vAlign w:val="top"/>
          </w:tcPr>
          <w:p w14:paraId="2B991389">
            <w:pPr>
              <w:spacing w:line="340" w:lineRule="exact"/>
              <w:rPr>
                <w:rFonts w:hint="eastAsia" w:ascii="宋体" w:hAnsi="宋体"/>
                <w:szCs w:val="21"/>
              </w:rPr>
            </w:pPr>
            <w:r>
              <w:rPr>
                <w:rFonts w:hint="eastAsia" w:ascii="宋体" w:hAnsi="宋体"/>
                <w:szCs w:val="21"/>
              </w:rPr>
              <w:t>1  ……</w:t>
            </w:r>
          </w:p>
          <w:p w14:paraId="7E4E6792">
            <w:pPr>
              <w:spacing w:line="340" w:lineRule="exact"/>
              <w:rPr>
                <w:rFonts w:hint="eastAsia" w:ascii="宋体" w:hAnsi="宋体"/>
                <w:szCs w:val="21"/>
              </w:rPr>
            </w:pPr>
            <w:r>
              <w:rPr>
                <w:rFonts w:hint="eastAsia" w:ascii="宋体" w:hAnsi="宋体"/>
                <w:szCs w:val="21"/>
              </w:rPr>
              <w:t>2  ……</w:t>
            </w:r>
          </w:p>
          <w:p w14:paraId="0EA2A9E5">
            <w:pPr>
              <w:spacing w:line="340" w:lineRule="exact"/>
              <w:rPr>
                <w:rFonts w:hint="eastAsia" w:ascii="宋体" w:hAnsi="宋体"/>
                <w:szCs w:val="21"/>
              </w:rPr>
            </w:pPr>
            <w:r>
              <w:rPr>
                <w:rFonts w:hint="eastAsia" w:ascii="宋体" w:hAnsi="宋体"/>
                <w:szCs w:val="21"/>
              </w:rPr>
              <w:t>3  ……</w:t>
            </w:r>
          </w:p>
          <w:p w14:paraId="2C63CB85">
            <w:pPr>
              <w:spacing w:line="340" w:lineRule="exact"/>
              <w:rPr>
                <w:rFonts w:hint="eastAsia" w:ascii="宋体" w:hAnsi="宋体"/>
                <w:szCs w:val="21"/>
              </w:rPr>
            </w:pPr>
            <w:r>
              <w:rPr>
                <w:rFonts w:hint="eastAsia" w:ascii="宋体" w:hAnsi="宋体"/>
                <w:szCs w:val="21"/>
              </w:rPr>
              <w:t>……</w:t>
            </w:r>
          </w:p>
        </w:tc>
        <w:tc>
          <w:tcPr>
            <w:tcW w:w="1274" w:type="dxa"/>
            <w:tcBorders>
              <w:top w:val="single" w:color="auto" w:sz="4" w:space="0"/>
              <w:left w:val="single" w:color="auto" w:sz="4" w:space="0"/>
              <w:bottom w:val="single" w:color="auto" w:sz="4" w:space="0"/>
              <w:right w:val="single" w:color="auto" w:sz="4" w:space="0"/>
            </w:tcBorders>
            <w:noWrap w:val="0"/>
            <w:vAlign w:val="top"/>
          </w:tcPr>
          <w:p w14:paraId="615E53FC">
            <w:pPr>
              <w:spacing w:line="300" w:lineRule="exact"/>
              <w:rPr>
                <w:rFonts w:hint="eastAsia" w:ascii="宋体" w:hAnsi="宋体"/>
                <w:szCs w:val="21"/>
              </w:rPr>
            </w:pPr>
            <w:r>
              <w:rPr>
                <w:rFonts w:hint="eastAsia" w:ascii="宋体" w:hAnsi="宋体"/>
                <w:szCs w:val="21"/>
              </w:rPr>
              <w:t>正偏离（负偏离或无偏离）</w:t>
            </w:r>
          </w:p>
        </w:tc>
      </w:tr>
      <w:tr w14:paraId="457AD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9480" w:type="dxa"/>
            <w:gridSpan w:val="4"/>
            <w:tcBorders>
              <w:top w:val="single" w:color="auto" w:sz="4" w:space="0"/>
              <w:left w:val="single" w:color="auto" w:sz="4" w:space="0"/>
              <w:bottom w:val="single" w:color="auto" w:sz="4" w:space="0"/>
              <w:right w:val="single" w:color="auto" w:sz="4" w:space="0"/>
            </w:tcBorders>
            <w:noWrap w:val="0"/>
            <w:vAlign w:val="top"/>
          </w:tcPr>
          <w:p w14:paraId="675E00BA">
            <w:pPr>
              <w:spacing w:line="340" w:lineRule="exact"/>
              <w:rPr>
                <w:rFonts w:hint="eastAsia" w:ascii="宋体" w:hAnsi="宋体"/>
                <w:szCs w:val="21"/>
              </w:rPr>
            </w:pPr>
            <w:r>
              <w:rPr>
                <w:rFonts w:hint="eastAsia" w:ascii="宋体" w:hAnsi="宋体"/>
                <w:szCs w:val="21"/>
                <w:u w:val="single"/>
              </w:rPr>
              <w:t>　　</w:t>
            </w:r>
            <w:r>
              <w:rPr>
                <w:rFonts w:hint="eastAsia" w:ascii="宋体" w:hAnsi="宋体"/>
                <w:szCs w:val="21"/>
              </w:rPr>
              <w:t>分标（此处有分标时填写具体分标号，无分标时填写“无”）</w:t>
            </w:r>
          </w:p>
        </w:tc>
      </w:tr>
    </w:tbl>
    <w:p w14:paraId="2F950B23">
      <w:pPr>
        <w:pStyle w:val="11"/>
        <w:spacing w:line="360" w:lineRule="auto"/>
        <w:ind w:left="-708" w:leftChars="-337"/>
        <w:rPr>
          <w:rFonts w:hint="eastAsia" w:ascii="Times New Roman" w:hAnsi="Times New Roman"/>
        </w:rPr>
      </w:pPr>
    </w:p>
    <w:p w14:paraId="01BEE577">
      <w:pPr>
        <w:pStyle w:val="11"/>
        <w:spacing w:line="360" w:lineRule="auto"/>
        <w:ind w:left="-708" w:leftChars="-337"/>
        <w:rPr>
          <w:rFonts w:ascii="Times New Roman" w:hAnsi="Times New Roman"/>
        </w:rPr>
      </w:pPr>
      <w:r>
        <w:rPr>
          <w:rFonts w:hint="eastAsia" w:ascii="Times New Roman" w:hAnsi="Times New Roman"/>
        </w:rPr>
        <w:t>注：</w:t>
      </w:r>
    </w:p>
    <w:p w14:paraId="2344445B">
      <w:pPr>
        <w:pStyle w:val="11"/>
        <w:spacing w:line="360" w:lineRule="auto"/>
        <w:ind w:left="-708" w:leftChars="-337" w:firstLine="420" w:firstLineChars="200"/>
        <w:rPr>
          <w:rFonts w:ascii="Times New Roman" w:hAnsi="Times New Roman"/>
        </w:rPr>
      </w:pPr>
      <w:r>
        <w:rPr>
          <w:rFonts w:ascii="Times New Roman" w:hAnsi="Times New Roman"/>
        </w:rPr>
        <w:t>1.</w:t>
      </w:r>
      <w:r>
        <w:rPr>
          <w:rFonts w:hint="eastAsia" w:ascii="Times New Roman" w:hAnsi="Times New Roman"/>
        </w:rPr>
        <w:t>表格内容均需按要求填写并盖章，不得留空，否则按投标无效处理。</w:t>
      </w:r>
    </w:p>
    <w:p w14:paraId="2BF4D609">
      <w:pPr>
        <w:pStyle w:val="11"/>
        <w:spacing w:line="360" w:lineRule="auto"/>
        <w:ind w:left="-603" w:leftChars="-287" w:firstLine="315" w:firstLineChars="150"/>
        <w:rPr>
          <w:rFonts w:ascii="Times New Roman" w:hAnsi="Times New Roman"/>
        </w:rPr>
      </w:pPr>
      <w:r>
        <w:rPr>
          <w:rFonts w:ascii="Times New Roman" w:hAnsi="Times New Roman"/>
        </w:rPr>
        <w:t>2.</w:t>
      </w:r>
      <w:r>
        <w:rPr>
          <w:rFonts w:hint="eastAsia" w:ascii="Times New Roman" w:hAnsi="Times New Roman"/>
        </w:rPr>
        <w:t>如果招标文件需求为小于或大于某个数值标准时，投标文件承诺不得直接复制招标文件需求，投标文件承诺内容应当写明投标服务具体参数或商务响应承诺的具体数值，否则按投标无效处理。如该采购需求属于不能明确具体数值的，采购人应在此采购需求的数值后标注◆号，对标注◆号的采购需求不适用上述“投标无效”条款”</w:t>
      </w:r>
    </w:p>
    <w:p w14:paraId="3A34B8BB">
      <w:pPr>
        <w:pStyle w:val="11"/>
        <w:spacing w:line="360" w:lineRule="auto"/>
        <w:ind w:left="-708" w:leftChars="-337" w:firstLine="420" w:firstLineChars="200"/>
        <w:rPr>
          <w:rFonts w:ascii="Times New Roman" w:hAnsi="Times New Roman"/>
        </w:rPr>
      </w:pPr>
      <w:r>
        <w:rPr>
          <w:rFonts w:ascii="Times New Roman" w:hAnsi="Times New Roman"/>
        </w:rPr>
        <w:t>3.</w:t>
      </w:r>
      <w:r>
        <w:rPr>
          <w:rFonts w:hint="eastAsia" w:ascii="Times New Roman" w:hAnsi="Times New Roman"/>
        </w:rPr>
        <w:t>当投标文件的商务内容低于招标文件要求时，投标人应当如实写明“负偏离”，否则视为虚假应标。</w:t>
      </w:r>
    </w:p>
    <w:p w14:paraId="734F5424">
      <w:pPr>
        <w:pStyle w:val="11"/>
        <w:spacing w:line="360" w:lineRule="auto"/>
        <w:ind w:left="-708" w:leftChars="-337" w:firstLine="420" w:firstLineChars="200"/>
        <w:rPr>
          <w:rFonts w:ascii="Times New Roman" w:hAnsi="Times New Roman"/>
        </w:rPr>
      </w:pPr>
      <w:r>
        <w:rPr>
          <w:rFonts w:hint="eastAsia" w:hAnsi="宋体" w:cs="宋体"/>
          <w:szCs w:val="21"/>
        </w:rPr>
        <w:t>4.采购需求中带“▲”及“★”的条款，也要分别在本表“</w:t>
      </w:r>
      <w:r>
        <w:rPr>
          <w:rFonts w:hint="eastAsia" w:hAnsi="宋体"/>
          <w:szCs w:val="21"/>
        </w:rPr>
        <w:t>投标文件的商务需求</w:t>
      </w:r>
      <w:r>
        <w:rPr>
          <w:rFonts w:hint="eastAsia" w:hAnsi="宋体" w:cs="宋体"/>
          <w:szCs w:val="21"/>
        </w:rPr>
        <w:t>”、“</w:t>
      </w:r>
      <w:r>
        <w:rPr>
          <w:rFonts w:hint="eastAsia" w:hAnsi="宋体"/>
          <w:szCs w:val="21"/>
        </w:rPr>
        <w:t>投标文件承诺的商务条款</w:t>
      </w:r>
      <w:r>
        <w:rPr>
          <w:rFonts w:hint="eastAsia" w:hAnsi="宋体" w:cs="宋体"/>
          <w:szCs w:val="21"/>
        </w:rPr>
        <w:t>”中标记。</w:t>
      </w:r>
    </w:p>
    <w:p w14:paraId="0F8E5415">
      <w:pPr>
        <w:snapToGrid w:val="0"/>
        <w:spacing w:before="50" w:after="50"/>
        <w:rPr>
          <w:rFonts w:ascii="宋体" w:hAnsi="宋体"/>
          <w:color w:val="000000"/>
          <w:sz w:val="24"/>
        </w:rPr>
      </w:pPr>
    </w:p>
    <w:p w14:paraId="0B9863A1">
      <w:pPr>
        <w:snapToGrid w:val="0"/>
        <w:spacing w:line="360" w:lineRule="auto"/>
        <w:ind w:firstLine="4935" w:firstLineChars="2350"/>
        <w:rPr>
          <w:rFonts w:hint="eastAsia" w:ascii="仿宋_GB2312" w:hAnsi="仿宋" w:eastAsia="仿宋_GB2312" w:cs="仿宋_GB2312"/>
          <w:kern w:val="0"/>
          <w:sz w:val="24"/>
        </w:rPr>
      </w:pPr>
      <w:r>
        <w:rPr>
          <w:rFonts w:hAnsi="宋体"/>
          <w:color w:val="000000"/>
          <w:szCs w:val="21"/>
        </w:rPr>
        <w:t xml:space="preserve">  </w:t>
      </w:r>
      <w:r>
        <w:rPr>
          <w:rFonts w:hint="eastAsia" w:ascii="仿宋_GB2312" w:hAnsi="仿宋" w:eastAsia="仿宋_GB2312" w:cs="仿宋_GB2312"/>
          <w:kern w:val="0"/>
          <w:sz w:val="24"/>
          <w:lang w:val="zh-CN"/>
        </w:rPr>
        <w:t>投标人名称(电子签章)：</w:t>
      </w:r>
    </w:p>
    <w:p w14:paraId="14520E8B">
      <w:pPr>
        <w:snapToGrid w:val="0"/>
        <w:spacing w:line="360" w:lineRule="auto"/>
        <w:ind w:firstLine="5160" w:firstLineChars="2150"/>
        <w:rPr>
          <w:rFonts w:hint="eastAsia" w:ascii="仿宋_GB2312" w:hAnsi="仿宋" w:eastAsia="仿宋_GB2312" w:cs="仿宋_GB2312"/>
          <w:kern w:val="0"/>
          <w:sz w:val="24"/>
          <w:lang w:val="zh-CN"/>
        </w:rPr>
      </w:pPr>
      <w:r>
        <w:rPr>
          <w:rFonts w:hint="eastAsia" w:ascii="仿宋_GB2312" w:hAnsi="仿宋" w:eastAsia="仿宋_GB2312" w:cs="仿宋_GB2312"/>
          <w:kern w:val="0"/>
          <w:sz w:val="24"/>
          <w:lang w:val="zh-CN"/>
        </w:rPr>
        <w:t>日期</w:t>
      </w:r>
      <w:r>
        <w:rPr>
          <w:rFonts w:hint="eastAsia" w:ascii="仿宋_GB2312" w:hAnsi="仿宋" w:eastAsia="仿宋_GB2312" w:cs="仿宋_GB2312"/>
          <w:kern w:val="0"/>
          <w:sz w:val="24"/>
        </w:rPr>
        <w:t xml:space="preserve">：  年  </w:t>
      </w:r>
      <w:r>
        <w:rPr>
          <w:rFonts w:hint="eastAsia" w:ascii="仿宋_GB2312" w:hAnsi="仿宋" w:eastAsia="仿宋_GB2312" w:cs="仿宋_GB2312"/>
          <w:kern w:val="0"/>
          <w:sz w:val="24"/>
          <w:lang w:val="zh-CN"/>
        </w:rPr>
        <w:t>月</w:t>
      </w:r>
      <w:r>
        <w:rPr>
          <w:rFonts w:hint="eastAsia" w:ascii="仿宋_GB2312" w:hAnsi="仿宋" w:eastAsia="仿宋_GB2312" w:cs="仿宋_GB2312"/>
          <w:kern w:val="0"/>
          <w:sz w:val="24"/>
        </w:rPr>
        <w:t xml:space="preserve">   </w:t>
      </w:r>
      <w:r>
        <w:rPr>
          <w:rFonts w:hint="eastAsia" w:ascii="仿宋_GB2312" w:hAnsi="仿宋" w:eastAsia="仿宋_GB2312" w:cs="仿宋_GB2312"/>
          <w:kern w:val="0"/>
          <w:sz w:val="24"/>
          <w:lang w:val="zh-CN"/>
        </w:rPr>
        <w:t>日</w:t>
      </w:r>
    </w:p>
    <w:p w14:paraId="78968EE8">
      <w:pPr>
        <w:widowControl/>
        <w:jc w:val="left"/>
        <w:rPr>
          <w:rFonts w:ascii="宋体" w:hAnsi="宋体"/>
          <w:szCs w:val="21"/>
        </w:rPr>
        <w:sectPr>
          <w:pgSz w:w="11906" w:h="16838"/>
          <w:pgMar w:top="1440" w:right="1797" w:bottom="1440" w:left="1797" w:header="851" w:footer="992" w:gutter="0"/>
          <w:cols w:space="720" w:num="1"/>
        </w:sectPr>
      </w:pPr>
    </w:p>
    <w:p w14:paraId="247BA125">
      <w:pPr>
        <w:snapToGrid w:val="0"/>
        <w:spacing w:before="165" w:beforeLines="50" w:after="50"/>
        <w:ind w:firstLine="602" w:firstLineChars="200"/>
        <w:jc w:val="center"/>
        <w:rPr>
          <w:rFonts w:hint="eastAsia"/>
          <w:b/>
          <w:bCs/>
          <w:sz w:val="30"/>
          <w:szCs w:val="30"/>
        </w:rPr>
      </w:pPr>
      <w:r>
        <w:rPr>
          <w:rFonts w:hint="eastAsia"/>
          <w:b/>
          <w:bCs/>
          <w:sz w:val="30"/>
          <w:szCs w:val="30"/>
        </w:rPr>
        <w:t>五、投标人情况介绍</w:t>
      </w:r>
    </w:p>
    <w:p w14:paraId="21CE8DA7">
      <w:pPr>
        <w:spacing w:line="360" w:lineRule="auto"/>
        <w:ind w:firstLine="4048" w:firstLineChars="1687"/>
        <w:rPr>
          <w:rFonts w:ascii="仿宋_GB2312" w:hAnsi="仿宋" w:eastAsia="仿宋_GB2312" w:cs="仿宋_GB2312"/>
          <w:kern w:val="0"/>
          <w:sz w:val="24"/>
        </w:rPr>
      </w:pPr>
      <w:r>
        <w:rPr>
          <w:rFonts w:hint="eastAsia" w:ascii="宋体" w:hAnsi="宋体"/>
          <w:sz w:val="24"/>
        </w:rPr>
        <w:t>（格式自拟）</w:t>
      </w:r>
    </w:p>
    <w:p w14:paraId="0DB180DE">
      <w:pPr>
        <w:snapToGrid w:val="0"/>
        <w:spacing w:line="360" w:lineRule="auto"/>
        <w:ind w:firstLine="4935" w:firstLineChars="2350"/>
        <w:rPr>
          <w:rFonts w:hint="eastAsia" w:hAnsi="宋体"/>
          <w:color w:val="000000"/>
          <w:szCs w:val="21"/>
        </w:rPr>
      </w:pPr>
      <w:r>
        <w:rPr>
          <w:rFonts w:hAnsi="宋体"/>
          <w:color w:val="000000"/>
          <w:szCs w:val="21"/>
        </w:rPr>
        <w:t xml:space="preserve"> </w:t>
      </w:r>
    </w:p>
    <w:p w14:paraId="3AD997CC">
      <w:pPr>
        <w:snapToGrid w:val="0"/>
        <w:spacing w:line="360" w:lineRule="auto"/>
        <w:ind w:firstLine="4935" w:firstLineChars="2350"/>
        <w:rPr>
          <w:rFonts w:hAnsi="宋体"/>
          <w:color w:val="000000"/>
          <w:szCs w:val="21"/>
        </w:rPr>
      </w:pPr>
    </w:p>
    <w:p w14:paraId="5FFEEFC3">
      <w:pPr>
        <w:snapToGrid w:val="0"/>
        <w:spacing w:line="360" w:lineRule="auto"/>
        <w:ind w:firstLine="4935" w:firstLineChars="2350"/>
        <w:rPr>
          <w:rFonts w:hAnsi="宋体"/>
          <w:color w:val="000000"/>
          <w:szCs w:val="21"/>
        </w:rPr>
      </w:pPr>
    </w:p>
    <w:p w14:paraId="1595AD16">
      <w:pPr>
        <w:snapToGrid w:val="0"/>
        <w:spacing w:line="360" w:lineRule="auto"/>
        <w:ind w:firstLine="4935" w:firstLineChars="2350"/>
        <w:rPr>
          <w:rFonts w:hAnsi="宋体"/>
          <w:color w:val="000000"/>
          <w:szCs w:val="21"/>
        </w:rPr>
      </w:pPr>
    </w:p>
    <w:p w14:paraId="0C289AFB">
      <w:pPr>
        <w:snapToGrid w:val="0"/>
        <w:spacing w:line="360" w:lineRule="auto"/>
        <w:ind w:firstLine="4935" w:firstLineChars="2350"/>
        <w:rPr>
          <w:rFonts w:ascii="仿宋_GB2312" w:hAnsi="仿宋" w:eastAsia="仿宋_GB2312" w:cs="仿宋_GB2312"/>
          <w:kern w:val="0"/>
          <w:sz w:val="24"/>
        </w:rPr>
      </w:pPr>
      <w:r>
        <w:rPr>
          <w:rFonts w:hAnsi="宋体"/>
          <w:color w:val="000000"/>
          <w:szCs w:val="21"/>
        </w:rPr>
        <w:t xml:space="preserve">  </w:t>
      </w:r>
      <w:r>
        <w:rPr>
          <w:rFonts w:hint="eastAsia" w:ascii="仿宋_GB2312" w:hAnsi="仿宋" w:eastAsia="仿宋_GB2312" w:cs="仿宋_GB2312"/>
          <w:kern w:val="0"/>
          <w:sz w:val="24"/>
          <w:lang w:val="zh-CN"/>
        </w:rPr>
        <w:t>投标人名称(电子签章)：</w:t>
      </w:r>
    </w:p>
    <w:p w14:paraId="0FA8EB83">
      <w:pPr>
        <w:snapToGrid w:val="0"/>
        <w:spacing w:line="360" w:lineRule="auto"/>
        <w:ind w:firstLine="5160" w:firstLineChars="2150"/>
        <w:rPr>
          <w:rFonts w:hint="eastAsia" w:ascii="仿宋_GB2312" w:hAnsi="仿宋" w:eastAsia="仿宋_GB2312" w:cs="仿宋_GB2312"/>
          <w:kern w:val="0"/>
          <w:sz w:val="24"/>
          <w:lang w:val="zh-CN"/>
        </w:rPr>
      </w:pPr>
      <w:r>
        <w:rPr>
          <w:rFonts w:hint="eastAsia" w:ascii="仿宋_GB2312" w:hAnsi="仿宋" w:eastAsia="仿宋_GB2312" w:cs="仿宋_GB2312"/>
          <w:kern w:val="0"/>
          <w:sz w:val="24"/>
          <w:lang w:val="zh-CN"/>
        </w:rPr>
        <w:t>日期</w:t>
      </w:r>
      <w:r>
        <w:rPr>
          <w:rFonts w:hint="eastAsia" w:ascii="仿宋_GB2312" w:hAnsi="仿宋" w:eastAsia="仿宋_GB2312" w:cs="仿宋_GB2312"/>
          <w:kern w:val="0"/>
          <w:sz w:val="24"/>
        </w:rPr>
        <w:t xml:space="preserve">：  年  </w:t>
      </w:r>
      <w:r>
        <w:rPr>
          <w:rFonts w:hint="eastAsia" w:ascii="仿宋_GB2312" w:hAnsi="仿宋" w:eastAsia="仿宋_GB2312" w:cs="仿宋_GB2312"/>
          <w:kern w:val="0"/>
          <w:sz w:val="24"/>
          <w:lang w:val="zh-CN"/>
        </w:rPr>
        <w:t>月</w:t>
      </w:r>
      <w:r>
        <w:rPr>
          <w:rFonts w:hint="eastAsia" w:ascii="仿宋_GB2312" w:hAnsi="仿宋" w:eastAsia="仿宋_GB2312" w:cs="仿宋_GB2312"/>
          <w:kern w:val="0"/>
          <w:sz w:val="24"/>
        </w:rPr>
        <w:t xml:space="preserve">   </w:t>
      </w:r>
      <w:r>
        <w:rPr>
          <w:rFonts w:hint="eastAsia" w:ascii="仿宋_GB2312" w:hAnsi="仿宋" w:eastAsia="仿宋_GB2312" w:cs="仿宋_GB2312"/>
          <w:kern w:val="0"/>
          <w:sz w:val="24"/>
          <w:lang w:val="zh-CN"/>
        </w:rPr>
        <w:t>日</w:t>
      </w:r>
    </w:p>
    <w:p w14:paraId="211345FD">
      <w:pPr>
        <w:snapToGrid w:val="0"/>
        <w:spacing w:before="165" w:beforeLines="50" w:after="50"/>
        <w:ind w:firstLine="602" w:firstLineChars="200"/>
        <w:jc w:val="center"/>
        <w:rPr>
          <w:rFonts w:hint="eastAsia"/>
          <w:b/>
          <w:bCs/>
          <w:sz w:val="30"/>
          <w:szCs w:val="30"/>
        </w:rPr>
      </w:pPr>
    </w:p>
    <w:p w14:paraId="34D7764F">
      <w:pPr>
        <w:widowControl/>
        <w:jc w:val="left"/>
        <w:rPr>
          <w:b/>
          <w:bCs/>
          <w:sz w:val="30"/>
          <w:szCs w:val="30"/>
        </w:rPr>
        <w:sectPr>
          <w:pgSz w:w="11906" w:h="16838"/>
          <w:pgMar w:top="1134" w:right="1134" w:bottom="1134" w:left="1134" w:header="720" w:footer="720" w:gutter="0"/>
          <w:cols w:space="720" w:num="1"/>
          <w:docGrid w:type="lines" w:linePitch="331" w:charSpace="0"/>
        </w:sectPr>
      </w:pPr>
    </w:p>
    <w:p w14:paraId="128E25E3">
      <w:pPr>
        <w:numPr>
          <w:ilvl w:val="0"/>
          <w:numId w:val="0"/>
        </w:numPr>
        <w:snapToGrid w:val="0"/>
        <w:spacing w:before="165" w:beforeLines="50" w:after="50"/>
        <w:ind w:firstLine="602" w:firstLineChars="200"/>
        <w:jc w:val="center"/>
        <w:rPr>
          <w:rFonts w:hint="eastAsia"/>
          <w:b/>
          <w:bCs/>
          <w:sz w:val="30"/>
          <w:szCs w:val="30"/>
        </w:rPr>
      </w:pPr>
      <w:r>
        <w:rPr>
          <w:rFonts w:hint="eastAsia"/>
          <w:b/>
          <w:bCs/>
          <w:kern w:val="2"/>
          <w:sz w:val="30"/>
          <w:szCs w:val="30"/>
          <w:lang w:val="en-US" w:eastAsia="zh-CN" w:bidi="ar-SA"/>
        </w:rPr>
        <w:t>六、</w:t>
      </w:r>
      <w:r>
        <w:rPr>
          <w:rFonts w:hint="eastAsia"/>
          <w:b/>
          <w:bCs/>
          <w:sz w:val="30"/>
          <w:szCs w:val="30"/>
        </w:rPr>
        <w:t>除招标文件规定必须提供以外，投标人认为需要提供的其他证明材料。</w:t>
      </w:r>
    </w:p>
    <w:p w14:paraId="2C088301">
      <w:pPr>
        <w:numPr>
          <w:ilvl w:val="0"/>
          <w:numId w:val="0"/>
        </w:numPr>
        <w:snapToGrid w:val="0"/>
        <w:spacing w:before="165" w:beforeLines="50" w:after="50"/>
        <w:jc w:val="center"/>
        <w:rPr>
          <w:rFonts w:hint="eastAsia"/>
          <w:b w:val="0"/>
          <w:bCs w:val="0"/>
          <w:sz w:val="30"/>
          <w:szCs w:val="30"/>
        </w:rPr>
      </w:pPr>
      <w:r>
        <w:rPr>
          <w:rFonts w:hint="eastAsia" w:ascii="宋体" w:hAnsi="宋体" w:eastAsia="宋体" w:cs="Times New Roman"/>
          <w:sz w:val="24"/>
        </w:rPr>
        <w:t>（投标人根据“第二章 采购需求”及“第四章 评标方法及评标标准”提供有关证明材料）</w:t>
      </w:r>
    </w:p>
    <w:p w14:paraId="05F8A3C8">
      <w:pPr>
        <w:numPr>
          <w:ilvl w:val="0"/>
          <w:numId w:val="0"/>
        </w:numPr>
        <w:snapToGrid w:val="0"/>
        <w:spacing w:before="165" w:beforeLines="50" w:after="50"/>
        <w:ind w:firstLine="602" w:firstLineChars="200"/>
        <w:jc w:val="center"/>
        <w:rPr>
          <w:rFonts w:hint="eastAsia"/>
          <w:b/>
          <w:bCs/>
          <w:sz w:val="30"/>
          <w:szCs w:val="30"/>
        </w:rPr>
      </w:pPr>
    </w:p>
    <w:p w14:paraId="61859E2A">
      <w:pPr>
        <w:numPr>
          <w:ilvl w:val="0"/>
          <w:numId w:val="0"/>
        </w:numPr>
        <w:snapToGrid w:val="0"/>
        <w:spacing w:before="165" w:beforeLines="50" w:after="50"/>
        <w:ind w:firstLine="602" w:firstLineChars="200"/>
        <w:jc w:val="center"/>
        <w:rPr>
          <w:rFonts w:hint="eastAsia"/>
          <w:b/>
          <w:bCs/>
          <w:sz w:val="30"/>
          <w:szCs w:val="30"/>
        </w:rPr>
      </w:pPr>
      <w:r>
        <w:rPr>
          <w:rFonts w:hint="eastAsia"/>
          <w:b/>
          <w:bCs/>
          <w:sz w:val="30"/>
          <w:szCs w:val="30"/>
        </w:rPr>
        <w:t>投标人类似的业绩证明文件（如有要求）</w:t>
      </w:r>
    </w:p>
    <w:p w14:paraId="529CEAE9">
      <w:pPr>
        <w:pStyle w:val="2"/>
        <w:rPr>
          <w:rFonts w:hint="eastAsia"/>
        </w:rPr>
      </w:pPr>
    </w:p>
    <w:p w14:paraId="4FF8B4A7">
      <w:pPr>
        <w:autoSpaceDE w:val="0"/>
        <w:autoSpaceDN w:val="0"/>
        <w:spacing w:line="360" w:lineRule="auto"/>
        <w:ind w:firstLine="120"/>
        <w:rPr>
          <w:rFonts w:hint="eastAsia" w:ascii="宋体" w:hAnsi="宋体"/>
          <w:color w:val="000000"/>
          <w:sz w:val="24"/>
        </w:rPr>
      </w:pPr>
      <w:r>
        <w:rPr>
          <w:rFonts w:hint="eastAsia" w:ascii="仿宋_GB2312" w:hAnsi="仿宋" w:eastAsia="仿宋_GB2312" w:cs="仿宋_GB2312"/>
          <w:b/>
          <w:sz w:val="24"/>
        </w:rPr>
        <w:t>附表 ：相关项目业绩一览表（投标人同类项目合同复印件</w:t>
      </w:r>
      <w:r>
        <w:rPr>
          <w:rFonts w:hint="eastAsia" w:ascii="仿宋_GB2312" w:hAnsi="仿宋" w:eastAsia="仿宋_GB2312" w:cs="仿宋_GB2312"/>
          <w:b/>
          <w:sz w:val="24"/>
          <w:lang w:val="en-US" w:eastAsia="zh-CN"/>
        </w:rPr>
        <w:t>或中标（成交）通知书</w:t>
      </w:r>
      <w:r>
        <w:rPr>
          <w:rFonts w:hint="eastAsia" w:ascii="仿宋_GB2312" w:hAnsi="仿宋" w:eastAsia="仿宋_GB2312" w:cs="仿宋_GB2312"/>
          <w:b/>
          <w:sz w:val="24"/>
        </w:rPr>
        <w:t>、用户验收报告、用户评价意见格式自拟）</w:t>
      </w:r>
    </w:p>
    <w:tbl>
      <w:tblPr>
        <w:tblStyle w:val="16"/>
        <w:tblW w:w="0" w:type="auto"/>
        <w:tblInd w:w="113"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628"/>
        <w:gridCol w:w="3420"/>
        <w:gridCol w:w="1715"/>
        <w:gridCol w:w="1559"/>
        <w:gridCol w:w="1559"/>
        <w:gridCol w:w="1418"/>
        <w:gridCol w:w="2268"/>
      </w:tblGrid>
      <w:tr w14:paraId="105EC9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trPr>
        <w:tc>
          <w:tcPr>
            <w:tcW w:w="2628" w:type="dxa"/>
            <w:vMerge w:val="restart"/>
            <w:tcBorders>
              <w:top w:val="single" w:color="auto" w:sz="4" w:space="0"/>
              <w:left w:val="single" w:color="auto" w:sz="4" w:space="0"/>
              <w:bottom w:val="single" w:color="auto" w:sz="4" w:space="0"/>
              <w:right w:val="single" w:color="auto" w:sz="4" w:space="0"/>
            </w:tcBorders>
            <w:noWrap w:val="0"/>
            <w:vAlign w:val="center"/>
          </w:tcPr>
          <w:p w14:paraId="24CA4109">
            <w:pPr>
              <w:snapToGrid w:val="0"/>
              <w:spacing w:line="240" w:lineRule="exact"/>
              <w:jc w:val="center"/>
              <w:rPr>
                <w:rFonts w:hint="eastAsia" w:ascii="宋体" w:hAnsi="宋体"/>
                <w:color w:val="000000"/>
                <w:sz w:val="24"/>
              </w:rPr>
            </w:pPr>
            <w:r>
              <w:rPr>
                <w:rFonts w:hint="eastAsia" w:ascii="宋体" w:hAnsi="宋体"/>
                <w:color w:val="000000"/>
                <w:sz w:val="24"/>
              </w:rPr>
              <w:t>采购人名称</w:t>
            </w:r>
          </w:p>
        </w:tc>
        <w:tc>
          <w:tcPr>
            <w:tcW w:w="3420" w:type="dxa"/>
            <w:vMerge w:val="restart"/>
            <w:tcBorders>
              <w:top w:val="single" w:color="auto" w:sz="4" w:space="0"/>
              <w:left w:val="single" w:color="auto" w:sz="4" w:space="0"/>
              <w:bottom w:val="single" w:color="auto" w:sz="4" w:space="0"/>
              <w:right w:val="single" w:color="auto" w:sz="4" w:space="0"/>
            </w:tcBorders>
            <w:noWrap w:val="0"/>
            <w:vAlign w:val="center"/>
          </w:tcPr>
          <w:p w14:paraId="3511655D">
            <w:pPr>
              <w:snapToGrid w:val="0"/>
              <w:spacing w:line="240" w:lineRule="exact"/>
              <w:jc w:val="center"/>
              <w:rPr>
                <w:rFonts w:hint="eastAsia" w:ascii="宋体" w:hAnsi="宋体"/>
                <w:color w:val="000000"/>
                <w:sz w:val="24"/>
              </w:rPr>
            </w:pPr>
            <w:r>
              <w:rPr>
                <w:rFonts w:hint="eastAsia" w:ascii="宋体" w:hAnsi="宋体"/>
                <w:color w:val="000000"/>
                <w:sz w:val="24"/>
              </w:rPr>
              <w:t>项目名称</w:t>
            </w:r>
          </w:p>
        </w:tc>
        <w:tc>
          <w:tcPr>
            <w:tcW w:w="1715" w:type="dxa"/>
            <w:vMerge w:val="restart"/>
            <w:tcBorders>
              <w:top w:val="single" w:color="auto" w:sz="4" w:space="0"/>
              <w:left w:val="single" w:color="auto" w:sz="4" w:space="0"/>
              <w:bottom w:val="single" w:color="auto" w:sz="4" w:space="0"/>
              <w:right w:val="single" w:color="auto" w:sz="4" w:space="0"/>
            </w:tcBorders>
            <w:noWrap w:val="0"/>
            <w:vAlign w:val="center"/>
          </w:tcPr>
          <w:p w14:paraId="397C5F71">
            <w:pPr>
              <w:snapToGrid w:val="0"/>
              <w:spacing w:line="240" w:lineRule="exact"/>
              <w:jc w:val="center"/>
              <w:rPr>
                <w:rFonts w:hint="eastAsia" w:ascii="宋体" w:hAnsi="宋体"/>
                <w:color w:val="000000"/>
                <w:sz w:val="24"/>
              </w:rPr>
            </w:pPr>
            <w:r>
              <w:rPr>
                <w:rFonts w:hint="eastAsia" w:ascii="宋体" w:hAnsi="宋体"/>
                <w:color w:val="000000"/>
                <w:sz w:val="24"/>
              </w:rPr>
              <w:t>合同</w:t>
            </w:r>
          </w:p>
          <w:p w14:paraId="57F95BAF">
            <w:pPr>
              <w:snapToGrid w:val="0"/>
              <w:spacing w:line="240" w:lineRule="exact"/>
              <w:jc w:val="center"/>
              <w:rPr>
                <w:rFonts w:hint="eastAsia" w:ascii="宋体" w:hAnsi="宋体"/>
                <w:color w:val="000000"/>
                <w:sz w:val="24"/>
              </w:rPr>
            </w:pPr>
            <w:r>
              <w:rPr>
                <w:rFonts w:hint="eastAsia" w:ascii="宋体" w:hAnsi="宋体"/>
                <w:color w:val="000000"/>
                <w:sz w:val="24"/>
              </w:rPr>
              <w:t>金额</w:t>
            </w:r>
          </w:p>
          <w:p w14:paraId="21E3F538">
            <w:pPr>
              <w:snapToGrid w:val="0"/>
              <w:spacing w:line="240" w:lineRule="exact"/>
              <w:jc w:val="center"/>
              <w:rPr>
                <w:rFonts w:hint="eastAsia" w:ascii="宋体" w:hAnsi="宋体"/>
                <w:color w:val="000000"/>
                <w:sz w:val="24"/>
              </w:rPr>
            </w:pPr>
            <w:r>
              <w:rPr>
                <w:rFonts w:hint="eastAsia" w:ascii="宋体" w:hAnsi="宋体"/>
                <w:color w:val="000000"/>
                <w:sz w:val="24"/>
              </w:rPr>
              <w:t>（万元）</w:t>
            </w:r>
          </w:p>
        </w:tc>
        <w:tc>
          <w:tcPr>
            <w:tcW w:w="4536" w:type="dxa"/>
            <w:gridSpan w:val="3"/>
            <w:tcBorders>
              <w:top w:val="single" w:color="auto" w:sz="4" w:space="0"/>
              <w:left w:val="single" w:color="auto" w:sz="4" w:space="0"/>
              <w:bottom w:val="single" w:color="auto" w:sz="4" w:space="0"/>
              <w:right w:val="single" w:color="auto" w:sz="4" w:space="0"/>
            </w:tcBorders>
            <w:noWrap w:val="0"/>
            <w:vAlign w:val="center"/>
          </w:tcPr>
          <w:p w14:paraId="460474FF">
            <w:pPr>
              <w:snapToGrid w:val="0"/>
              <w:spacing w:line="240" w:lineRule="exact"/>
              <w:jc w:val="center"/>
              <w:rPr>
                <w:rFonts w:hint="eastAsia" w:ascii="宋体" w:hAnsi="宋体"/>
                <w:color w:val="000000"/>
                <w:sz w:val="24"/>
              </w:rPr>
            </w:pPr>
            <w:r>
              <w:rPr>
                <w:rFonts w:hint="eastAsia" w:ascii="宋体" w:hAnsi="宋体"/>
                <w:color w:val="000000"/>
                <w:sz w:val="24"/>
              </w:rPr>
              <w:t>附件在投标文件中页码</w:t>
            </w:r>
          </w:p>
        </w:tc>
        <w:tc>
          <w:tcPr>
            <w:tcW w:w="2268" w:type="dxa"/>
            <w:vMerge w:val="restart"/>
            <w:tcBorders>
              <w:top w:val="single" w:color="auto" w:sz="4" w:space="0"/>
              <w:left w:val="single" w:color="auto" w:sz="4" w:space="0"/>
              <w:bottom w:val="single" w:color="auto" w:sz="4" w:space="0"/>
              <w:right w:val="single" w:color="auto" w:sz="4" w:space="0"/>
            </w:tcBorders>
            <w:noWrap w:val="0"/>
            <w:vAlign w:val="center"/>
          </w:tcPr>
          <w:p w14:paraId="72914B37">
            <w:pPr>
              <w:snapToGrid w:val="0"/>
              <w:spacing w:line="240" w:lineRule="exact"/>
              <w:jc w:val="center"/>
              <w:rPr>
                <w:rFonts w:hint="eastAsia" w:ascii="宋体" w:hAnsi="宋体"/>
                <w:color w:val="000000"/>
                <w:sz w:val="24"/>
              </w:rPr>
            </w:pPr>
            <w:r>
              <w:rPr>
                <w:rFonts w:hint="eastAsia" w:ascii="宋体" w:hAnsi="宋体"/>
                <w:color w:val="000000"/>
                <w:sz w:val="24"/>
              </w:rPr>
              <w:t>采购人联系人及</w:t>
            </w:r>
          </w:p>
          <w:p w14:paraId="416A5685">
            <w:pPr>
              <w:snapToGrid w:val="0"/>
              <w:spacing w:line="240" w:lineRule="exact"/>
              <w:jc w:val="center"/>
              <w:rPr>
                <w:rFonts w:hint="eastAsia" w:ascii="宋体" w:hAnsi="宋体"/>
                <w:color w:val="000000"/>
                <w:sz w:val="24"/>
              </w:rPr>
            </w:pPr>
            <w:r>
              <w:rPr>
                <w:rFonts w:hint="eastAsia" w:ascii="宋体" w:hAnsi="宋体"/>
                <w:color w:val="000000"/>
                <w:sz w:val="24"/>
              </w:rPr>
              <w:t>联系电话</w:t>
            </w:r>
          </w:p>
        </w:tc>
      </w:tr>
      <w:tr w14:paraId="3D5093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6" w:hRule="atLeast"/>
        </w:trPr>
        <w:tc>
          <w:tcPr>
            <w:tcW w:w="2628" w:type="dxa"/>
            <w:vMerge w:val="continue"/>
            <w:tcBorders>
              <w:top w:val="single" w:color="auto" w:sz="4" w:space="0"/>
              <w:left w:val="single" w:color="auto" w:sz="4" w:space="0"/>
              <w:bottom w:val="single" w:color="auto" w:sz="4" w:space="0"/>
              <w:right w:val="single" w:color="auto" w:sz="4" w:space="0"/>
            </w:tcBorders>
            <w:noWrap w:val="0"/>
            <w:vAlign w:val="center"/>
          </w:tcPr>
          <w:p w14:paraId="3C275FE8">
            <w:pPr>
              <w:widowControl/>
              <w:jc w:val="left"/>
              <w:rPr>
                <w:rFonts w:ascii="宋体" w:hAnsi="宋体"/>
                <w:color w:val="000000"/>
                <w:sz w:val="24"/>
              </w:rPr>
            </w:pPr>
          </w:p>
        </w:tc>
        <w:tc>
          <w:tcPr>
            <w:tcW w:w="3420" w:type="dxa"/>
            <w:vMerge w:val="continue"/>
            <w:tcBorders>
              <w:top w:val="single" w:color="auto" w:sz="4" w:space="0"/>
              <w:left w:val="single" w:color="auto" w:sz="4" w:space="0"/>
              <w:bottom w:val="single" w:color="auto" w:sz="4" w:space="0"/>
              <w:right w:val="single" w:color="auto" w:sz="4" w:space="0"/>
            </w:tcBorders>
            <w:noWrap w:val="0"/>
            <w:vAlign w:val="center"/>
          </w:tcPr>
          <w:p w14:paraId="75295E2B">
            <w:pPr>
              <w:widowControl/>
              <w:jc w:val="left"/>
              <w:rPr>
                <w:rFonts w:ascii="宋体" w:hAnsi="宋体"/>
                <w:color w:val="000000"/>
                <w:sz w:val="24"/>
              </w:rPr>
            </w:pPr>
          </w:p>
        </w:tc>
        <w:tc>
          <w:tcPr>
            <w:tcW w:w="1715" w:type="dxa"/>
            <w:vMerge w:val="continue"/>
            <w:tcBorders>
              <w:top w:val="single" w:color="auto" w:sz="4" w:space="0"/>
              <w:left w:val="single" w:color="auto" w:sz="4" w:space="0"/>
              <w:bottom w:val="single" w:color="auto" w:sz="4" w:space="0"/>
              <w:right w:val="single" w:color="auto" w:sz="4" w:space="0"/>
            </w:tcBorders>
            <w:noWrap w:val="0"/>
            <w:vAlign w:val="center"/>
          </w:tcPr>
          <w:p w14:paraId="3817925F">
            <w:pPr>
              <w:widowControl/>
              <w:jc w:val="left"/>
              <w:rPr>
                <w:rFonts w:ascii="宋体" w:hAnsi="宋体"/>
                <w:color w:val="000000"/>
                <w:sz w:val="24"/>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14:paraId="16F6785A">
            <w:pPr>
              <w:snapToGrid w:val="0"/>
              <w:spacing w:line="240" w:lineRule="exact"/>
              <w:jc w:val="center"/>
              <w:rPr>
                <w:rFonts w:hint="eastAsia" w:ascii="宋体" w:hAnsi="宋体"/>
                <w:color w:val="000000"/>
                <w:sz w:val="24"/>
              </w:rPr>
            </w:pPr>
            <w:r>
              <w:rPr>
                <w:rFonts w:hint="eastAsia" w:ascii="宋体" w:hAnsi="宋体"/>
                <w:color w:val="000000"/>
                <w:sz w:val="24"/>
              </w:rPr>
              <w:t>合同</w:t>
            </w:r>
          </w:p>
        </w:tc>
        <w:tc>
          <w:tcPr>
            <w:tcW w:w="1559" w:type="dxa"/>
            <w:tcBorders>
              <w:top w:val="single" w:color="auto" w:sz="4" w:space="0"/>
              <w:left w:val="single" w:color="auto" w:sz="4" w:space="0"/>
              <w:bottom w:val="single" w:color="auto" w:sz="4" w:space="0"/>
              <w:right w:val="single" w:color="auto" w:sz="4" w:space="0"/>
            </w:tcBorders>
            <w:noWrap w:val="0"/>
            <w:vAlign w:val="center"/>
          </w:tcPr>
          <w:p w14:paraId="5F6FEDB4">
            <w:pPr>
              <w:snapToGrid w:val="0"/>
              <w:spacing w:line="240" w:lineRule="exact"/>
              <w:jc w:val="center"/>
              <w:rPr>
                <w:rFonts w:hint="eastAsia" w:ascii="宋体" w:hAnsi="宋体"/>
                <w:color w:val="000000"/>
                <w:sz w:val="24"/>
              </w:rPr>
            </w:pPr>
            <w:r>
              <w:rPr>
                <w:rFonts w:hint="eastAsia" w:ascii="宋体" w:hAnsi="宋体"/>
                <w:color w:val="000000"/>
                <w:sz w:val="24"/>
              </w:rPr>
              <w:t>验收报告</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24C797DA">
            <w:pPr>
              <w:snapToGrid w:val="0"/>
              <w:spacing w:line="240" w:lineRule="exact"/>
              <w:jc w:val="center"/>
              <w:rPr>
                <w:rFonts w:hint="eastAsia" w:ascii="宋体" w:hAnsi="宋体"/>
                <w:color w:val="000000"/>
                <w:sz w:val="24"/>
              </w:rPr>
            </w:pPr>
            <w:r>
              <w:rPr>
                <w:rFonts w:hint="eastAsia" w:ascii="宋体" w:hAnsi="宋体"/>
                <w:color w:val="000000"/>
                <w:sz w:val="24"/>
              </w:rPr>
              <w:t>用户评价</w:t>
            </w:r>
          </w:p>
        </w:tc>
        <w:tc>
          <w:tcPr>
            <w:tcW w:w="2268" w:type="dxa"/>
            <w:vMerge w:val="continue"/>
            <w:tcBorders>
              <w:top w:val="single" w:color="auto" w:sz="4" w:space="0"/>
              <w:left w:val="single" w:color="auto" w:sz="4" w:space="0"/>
              <w:bottom w:val="single" w:color="auto" w:sz="4" w:space="0"/>
              <w:right w:val="single" w:color="auto" w:sz="4" w:space="0"/>
            </w:tcBorders>
            <w:noWrap w:val="0"/>
            <w:vAlign w:val="center"/>
          </w:tcPr>
          <w:p w14:paraId="1535277D">
            <w:pPr>
              <w:widowControl/>
              <w:jc w:val="left"/>
              <w:rPr>
                <w:rFonts w:ascii="宋体" w:hAnsi="宋体"/>
                <w:color w:val="000000"/>
                <w:sz w:val="24"/>
              </w:rPr>
            </w:pPr>
          </w:p>
        </w:tc>
      </w:tr>
      <w:tr w14:paraId="3E9E61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2628" w:type="dxa"/>
            <w:tcBorders>
              <w:top w:val="single" w:color="auto" w:sz="4" w:space="0"/>
              <w:left w:val="single" w:color="auto" w:sz="4" w:space="0"/>
              <w:bottom w:val="single" w:color="auto" w:sz="4" w:space="0"/>
              <w:right w:val="single" w:color="auto" w:sz="4" w:space="0"/>
            </w:tcBorders>
            <w:noWrap w:val="0"/>
            <w:vAlign w:val="top"/>
          </w:tcPr>
          <w:p w14:paraId="0C0F8C50">
            <w:pPr>
              <w:snapToGrid w:val="0"/>
              <w:spacing w:line="240" w:lineRule="exact"/>
              <w:jc w:val="left"/>
              <w:rPr>
                <w:rFonts w:hint="eastAsia" w:ascii="宋体" w:hAnsi="宋体"/>
                <w:color w:val="000000"/>
                <w:sz w:val="24"/>
              </w:rPr>
            </w:pPr>
          </w:p>
        </w:tc>
        <w:tc>
          <w:tcPr>
            <w:tcW w:w="3420" w:type="dxa"/>
            <w:tcBorders>
              <w:top w:val="single" w:color="auto" w:sz="4" w:space="0"/>
              <w:left w:val="single" w:color="auto" w:sz="4" w:space="0"/>
              <w:bottom w:val="single" w:color="auto" w:sz="4" w:space="0"/>
              <w:right w:val="single" w:color="auto" w:sz="4" w:space="0"/>
            </w:tcBorders>
            <w:noWrap w:val="0"/>
            <w:vAlign w:val="top"/>
          </w:tcPr>
          <w:p w14:paraId="731A6AEE">
            <w:pPr>
              <w:snapToGrid w:val="0"/>
              <w:spacing w:line="240" w:lineRule="exact"/>
              <w:jc w:val="left"/>
              <w:rPr>
                <w:rFonts w:hint="eastAsia" w:ascii="宋体" w:hAnsi="宋体"/>
                <w:color w:val="000000"/>
                <w:sz w:val="24"/>
              </w:rPr>
            </w:pPr>
          </w:p>
        </w:tc>
        <w:tc>
          <w:tcPr>
            <w:tcW w:w="1715" w:type="dxa"/>
            <w:tcBorders>
              <w:top w:val="single" w:color="auto" w:sz="4" w:space="0"/>
              <w:left w:val="single" w:color="auto" w:sz="4" w:space="0"/>
              <w:bottom w:val="single" w:color="auto" w:sz="4" w:space="0"/>
              <w:right w:val="single" w:color="auto" w:sz="4" w:space="0"/>
            </w:tcBorders>
            <w:noWrap w:val="0"/>
            <w:vAlign w:val="top"/>
          </w:tcPr>
          <w:p w14:paraId="3A7165D2">
            <w:pPr>
              <w:snapToGrid w:val="0"/>
              <w:spacing w:line="240" w:lineRule="exact"/>
              <w:jc w:val="left"/>
              <w:rPr>
                <w:rFonts w:hint="eastAsia" w:ascii="宋体" w:hAnsi="宋体"/>
                <w:color w:val="000000"/>
                <w:sz w:val="24"/>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56D60908">
            <w:pPr>
              <w:snapToGrid w:val="0"/>
              <w:spacing w:line="240" w:lineRule="exact"/>
              <w:jc w:val="left"/>
              <w:rPr>
                <w:rFonts w:hint="eastAsia" w:ascii="宋体" w:hAnsi="宋体"/>
                <w:color w:val="000000"/>
                <w:sz w:val="24"/>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295771D4">
            <w:pPr>
              <w:snapToGrid w:val="0"/>
              <w:spacing w:line="240" w:lineRule="exact"/>
              <w:jc w:val="left"/>
              <w:rPr>
                <w:rFonts w:hint="eastAsia" w:ascii="宋体" w:hAnsi="宋体"/>
                <w:color w:val="000000"/>
                <w:sz w:val="24"/>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527143EB">
            <w:pPr>
              <w:snapToGrid w:val="0"/>
              <w:spacing w:line="240" w:lineRule="exact"/>
              <w:jc w:val="left"/>
              <w:rPr>
                <w:rFonts w:hint="eastAsia" w:ascii="宋体" w:hAnsi="宋体"/>
                <w:color w:val="000000"/>
                <w:sz w:val="24"/>
              </w:rPr>
            </w:pPr>
          </w:p>
        </w:tc>
        <w:tc>
          <w:tcPr>
            <w:tcW w:w="2268" w:type="dxa"/>
            <w:tcBorders>
              <w:top w:val="single" w:color="auto" w:sz="4" w:space="0"/>
              <w:left w:val="single" w:color="auto" w:sz="4" w:space="0"/>
              <w:bottom w:val="single" w:color="auto" w:sz="4" w:space="0"/>
              <w:right w:val="single" w:color="auto" w:sz="4" w:space="0"/>
            </w:tcBorders>
            <w:noWrap w:val="0"/>
            <w:vAlign w:val="top"/>
          </w:tcPr>
          <w:p w14:paraId="377F5162">
            <w:pPr>
              <w:snapToGrid w:val="0"/>
              <w:spacing w:line="240" w:lineRule="exact"/>
              <w:jc w:val="left"/>
              <w:rPr>
                <w:rFonts w:hint="eastAsia" w:ascii="宋体" w:hAnsi="宋体"/>
                <w:color w:val="000000"/>
                <w:sz w:val="24"/>
              </w:rPr>
            </w:pPr>
          </w:p>
        </w:tc>
      </w:tr>
      <w:tr w14:paraId="46E27D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628" w:type="dxa"/>
            <w:tcBorders>
              <w:top w:val="single" w:color="auto" w:sz="4" w:space="0"/>
              <w:left w:val="single" w:color="auto" w:sz="4" w:space="0"/>
              <w:bottom w:val="single" w:color="auto" w:sz="4" w:space="0"/>
              <w:right w:val="single" w:color="auto" w:sz="4" w:space="0"/>
            </w:tcBorders>
            <w:noWrap w:val="0"/>
            <w:vAlign w:val="top"/>
          </w:tcPr>
          <w:p w14:paraId="31600AA2">
            <w:pPr>
              <w:snapToGrid w:val="0"/>
              <w:spacing w:before="50" w:after="165" w:afterLines="50" w:line="400" w:lineRule="exact"/>
              <w:jc w:val="left"/>
              <w:rPr>
                <w:rFonts w:hint="eastAsia" w:ascii="宋体" w:hAnsi="宋体"/>
                <w:color w:val="000000"/>
                <w:sz w:val="24"/>
              </w:rPr>
            </w:pPr>
          </w:p>
        </w:tc>
        <w:tc>
          <w:tcPr>
            <w:tcW w:w="3420" w:type="dxa"/>
            <w:tcBorders>
              <w:top w:val="single" w:color="auto" w:sz="4" w:space="0"/>
              <w:left w:val="single" w:color="auto" w:sz="4" w:space="0"/>
              <w:bottom w:val="single" w:color="auto" w:sz="4" w:space="0"/>
              <w:right w:val="single" w:color="auto" w:sz="4" w:space="0"/>
            </w:tcBorders>
            <w:noWrap w:val="0"/>
            <w:vAlign w:val="top"/>
          </w:tcPr>
          <w:p w14:paraId="4E6BF295">
            <w:pPr>
              <w:snapToGrid w:val="0"/>
              <w:spacing w:before="50" w:after="165" w:afterLines="50" w:line="400" w:lineRule="exact"/>
              <w:jc w:val="left"/>
              <w:rPr>
                <w:rFonts w:hint="eastAsia" w:ascii="宋体" w:hAnsi="宋体"/>
                <w:color w:val="000000"/>
                <w:sz w:val="24"/>
              </w:rPr>
            </w:pPr>
          </w:p>
        </w:tc>
        <w:tc>
          <w:tcPr>
            <w:tcW w:w="1715" w:type="dxa"/>
            <w:tcBorders>
              <w:top w:val="single" w:color="auto" w:sz="4" w:space="0"/>
              <w:left w:val="single" w:color="auto" w:sz="4" w:space="0"/>
              <w:bottom w:val="single" w:color="auto" w:sz="4" w:space="0"/>
              <w:right w:val="single" w:color="auto" w:sz="4" w:space="0"/>
            </w:tcBorders>
            <w:noWrap w:val="0"/>
            <w:vAlign w:val="top"/>
          </w:tcPr>
          <w:p w14:paraId="4F93A1B9">
            <w:pPr>
              <w:snapToGrid w:val="0"/>
              <w:spacing w:before="50" w:after="165" w:afterLines="50" w:line="400" w:lineRule="exact"/>
              <w:jc w:val="left"/>
              <w:rPr>
                <w:rFonts w:hint="eastAsia" w:ascii="宋体" w:hAnsi="宋体"/>
                <w:color w:val="000000"/>
                <w:sz w:val="24"/>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394CC5B3">
            <w:pPr>
              <w:snapToGrid w:val="0"/>
              <w:spacing w:before="50" w:after="165" w:afterLines="50" w:line="400" w:lineRule="exact"/>
              <w:jc w:val="left"/>
              <w:rPr>
                <w:rFonts w:hint="eastAsia" w:ascii="宋体" w:hAnsi="宋体"/>
                <w:color w:val="000000"/>
                <w:sz w:val="24"/>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0F59D699">
            <w:pPr>
              <w:snapToGrid w:val="0"/>
              <w:spacing w:before="50" w:after="165" w:afterLines="50" w:line="400" w:lineRule="exact"/>
              <w:jc w:val="left"/>
              <w:rPr>
                <w:rFonts w:hint="eastAsia" w:ascii="宋体" w:hAnsi="宋体"/>
                <w:color w:val="000000"/>
                <w:sz w:val="24"/>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336A2326">
            <w:pPr>
              <w:snapToGrid w:val="0"/>
              <w:spacing w:before="50" w:after="165" w:afterLines="50" w:line="400" w:lineRule="exact"/>
              <w:jc w:val="left"/>
              <w:rPr>
                <w:rFonts w:hint="eastAsia" w:ascii="宋体" w:hAnsi="宋体"/>
                <w:color w:val="000000"/>
                <w:sz w:val="24"/>
              </w:rPr>
            </w:pPr>
          </w:p>
        </w:tc>
        <w:tc>
          <w:tcPr>
            <w:tcW w:w="2268" w:type="dxa"/>
            <w:tcBorders>
              <w:top w:val="single" w:color="auto" w:sz="4" w:space="0"/>
              <w:left w:val="single" w:color="auto" w:sz="4" w:space="0"/>
              <w:bottom w:val="single" w:color="auto" w:sz="4" w:space="0"/>
              <w:right w:val="single" w:color="auto" w:sz="4" w:space="0"/>
            </w:tcBorders>
            <w:noWrap w:val="0"/>
            <w:vAlign w:val="top"/>
          </w:tcPr>
          <w:p w14:paraId="5DBA446F">
            <w:pPr>
              <w:snapToGrid w:val="0"/>
              <w:spacing w:before="50" w:after="165" w:afterLines="50" w:line="400" w:lineRule="exact"/>
              <w:jc w:val="left"/>
              <w:rPr>
                <w:rFonts w:hint="eastAsia" w:ascii="宋体" w:hAnsi="宋体"/>
                <w:color w:val="000000"/>
                <w:sz w:val="24"/>
              </w:rPr>
            </w:pPr>
          </w:p>
        </w:tc>
      </w:tr>
      <w:tr w14:paraId="48E017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2628" w:type="dxa"/>
            <w:tcBorders>
              <w:top w:val="single" w:color="auto" w:sz="4" w:space="0"/>
              <w:left w:val="single" w:color="auto" w:sz="4" w:space="0"/>
              <w:bottom w:val="single" w:color="auto" w:sz="4" w:space="0"/>
              <w:right w:val="single" w:color="auto" w:sz="4" w:space="0"/>
            </w:tcBorders>
            <w:noWrap w:val="0"/>
            <w:vAlign w:val="top"/>
          </w:tcPr>
          <w:p w14:paraId="108DACB6">
            <w:pPr>
              <w:snapToGrid w:val="0"/>
              <w:spacing w:before="50" w:after="165" w:afterLines="50" w:line="400" w:lineRule="exact"/>
              <w:jc w:val="left"/>
              <w:rPr>
                <w:rFonts w:hint="eastAsia" w:ascii="宋体" w:hAnsi="宋体"/>
                <w:color w:val="000000"/>
                <w:sz w:val="24"/>
              </w:rPr>
            </w:pPr>
          </w:p>
        </w:tc>
        <w:tc>
          <w:tcPr>
            <w:tcW w:w="3420" w:type="dxa"/>
            <w:tcBorders>
              <w:top w:val="single" w:color="auto" w:sz="4" w:space="0"/>
              <w:left w:val="single" w:color="auto" w:sz="4" w:space="0"/>
              <w:bottom w:val="single" w:color="auto" w:sz="4" w:space="0"/>
              <w:right w:val="single" w:color="auto" w:sz="4" w:space="0"/>
            </w:tcBorders>
            <w:noWrap w:val="0"/>
            <w:vAlign w:val="top"/>
          </w:tcPr>
          <w:p w14:paraId="59816358">
            <w:pPr>
              <w:snapToGrid w:val="0"/>
              <w:spacing w:before="50" w:after="165" w:afterLines="50" w:line="400" w:lineRule="exact"/>
              <w:jc w:val="left"/>
              <w:rPr>
                <w:rFonts w:hint="eastAsia" w:ascii="宋体" w:hAnsi="宋体"/>
                <w:color w:val="000000"/>
                <w:sz w:val="24"/>
              </w:rPr>
            </w:pPr>
          </w:p>
        </w:tc>
        <w:tc>
          <w:tcPr>
            <w:tcW w:w="1715" w:type="dxa"/>
            <w:tcBorders>
              <w:top w:val="single" w:color="auto" w:sz="4" w:space="0"/>
              <w:left w:val="single" w:color="auto" w:sz="4" w:space="0"/>
              <w:bottom w:val="single" w:color="auto" w:sz="4" w:space="0"/>
              <w:right w:val="single" w:color="auto" w:sz="4" w:space="0"/>
            </w:tcBorders>
            <w:noWrap w:val="0"/>
            <w:vAlign w:val="top"/>
          </w:tcPr>
          <w:p w14:paraId="5D8DF573">
            <w:pPr>
              <w:snapToGrid w:val="0"/>
              <w:spacing w:before="50" w:after="165" w:afterLines="50" w:line="400" w:lineRule="exact"/>
              <w:jc w:val="left"/>
              <w:rPr>
                <w:rFonts w:hint="eastAsia" w:ascii="宋体" w:hAnsi="宋体"/>
                <w:color w:val="000000"/>
                <w:sz w:val="24"/>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2CE951B9">
            <w:pPr>
              <w:snapToGrid w:val="0"/>
              <w:spacing w:before="50" w:after="165" w:afterLines="50" w:line="400" w:lineRule="exact"/>
              <w:jc w:val="left"/>
              <w:rPr>
                <w:rFonts w:hint="eastAsia" w:ascii="宋体" w:hAnsi="宋体"/>
                <w:color w:val="000000"/>
                <w:sz w:val="24"/>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0A8D9F3E">
            <w:pPr>
              <w:snapToGrid w:val="0"/>
              <w:spacing w:before="50" w:after="165" w:afterLines="50" w:line="400" w:lineRule="exact"/>
              <w:jc w:val="left"/>
              <w:rPr>
                <w:rFonts w:hint="eastAsia" w:ascii="宋体" w:hAnsi="宋体"/>
                <w:color w:val="000000"/>
                <w:sz w:val="24"/>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252AC224">
            <w:pPr>
              <w:snapToGrid w:val="0"/>
              <w:spacing w:before="50" w:after="165" w:afterLines="50" w:line="400" w:lineRule="exact"/>
              <w:jc w:val="left"/>
              <w:rPr>
                <w:rFonts w:hint="eastAsia" w:ascii="宋体" w:hAnsi="宋体"/>
                <w:color w:val="000000"/>
                <w:sz w:val="24"/>
              </w:rPr>
            </w:pPr>
          </w:p>
        </w:tc>
        <w:tc>
          <w:tcPr>
            <w:tcW w:w="2268" w:type="dxa"/>
            <w:tcBorders>
              <w:top w:val="single" w:color="auto" w:sz="4" w:space="0"/>
              <w:left w:val="single" w:color="auto" w:sz="4" w:space="0"/>
              <w:bottom w:val="single" w:color="auto" w:sz="4" w:space="0"/>
              <w:right w:val="single" w:color="auto" w:sz="4" w:space="0"/>
            </w:tcBorders>
            <w:noWrap w:val="0"/>
            <w:vAlign w:val="top"/>
          </w:tcPr>
          <w:p w14:paraId="28D15558">
            <w:pPr>
              <w:snapToGrid w:val="0"/>
              <w:spacing w:before="50" w:after="165" w:afterLines="50" w:line="400" w:lineRule="exact"/>
              <w:jc w:val="left"/>
              <w:rPr>
                <w:rFonts w:hint="eastAsia" w:ascii="宋体" w:hAnsi="宋体"/>
                <w:color w:val="000000"/>
                <w:sz w:val="24"/>
              </w:rPr>
            </w:pPr>
          </w:p>
        </w:tc>
      </w:tr>
      <w:tr w14:paraId="67C93D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628" w:type="dxa"/>
            <w:tcBorders>
              <w:top w:val="single" w:color="auto" w:sz="4" w:space="0"/>
              <w:left w:val="single" w:color="auto" w:sz="4" w:space="0"/>
              <w:bottom w:val="single" w:color="auto" w:sz="4" w:space="0"/>
              <w:right w:val="single" w:color="auto" w:sz="4" w:space="0"/>
            </w:tcBorders>
            <w:noWrap w:val="0"/>
            <w:vAlign w:val="top"/>
          </w:tcPr>
          <w:p w14:paraId="2253EB4C">
            <w:pPr>
              <w:snapToGrid w:val="0"/>
              <w:spacing w:before="50" w:after="165" w:afterLines="50" w:line="400" w:lineRule="exact"/>
              <w:jc w:val="left"/>
              <w:rPr>
                <w:rFonts w:hint="eastAsia" w:ascii="宋体" w:hAnsi="宋体"/>
                <w:color w:val="000000"/>
                <w:sz w:val="24"/>
              </w:rPr>
            </w:pPr>
          </w:p>
        </w:tc>
        <w:tc>
          <w:tcPr>
            <w:tcW w:w="3420" w:type="dxa"/>
            <w:tcBorders>
              <w:top w:val="single" w:color="auto" w:sz="4" w:space="0"/>
              <w:left w:val="single" w:color="auto" w:sz="4" w:space="0"/>
              <w:bottom w:val="single" w:color="auto" w:sz="4" w:space="0"/>
              <w:right w:val="single" w:color="auto" w:sz="4" w:space="0"/>
            </w:tcBorders>
            <w:noWrap w:val="0"/>
            <w:vAlign w:val="top"/>
          </w:tcPr>
          <w:p w14:paraId="3D28738D">
            <w:pPr>
              <w:snapToGrid w:val="0"/>
              <w:spacing w:before="50" w:after="165" w:afterLines="50" w:line="400" w:lineRule="exact"/>
              <w:jc w:val="left"/>
              <w:rPr>
                <w:rFonts w:hint="eastAsia" w:ascii="宋体" w:hAnsi="宋体"/>
                <w:color w:val="000000"/>
                <w:sz w:val="24"/>
              </w:rPr>
            </w:pPr>
          </w:p>
        </w:tc>
        <w:tc>
          <w:tcPr>
            <w:tcW w:w="1715" w:type="dxa"/>
            <w:tcBorders>
              <w:top w:val="single" w:color="auto" w:sz="4" w:space="0"/>
              <w:left w:val="single" w:color="auto" w:sz="4" w:space="0"/>
              <w:bottom w:val="single" w:color="auto" w:sz="4" w:space="0"/>
              <w:right w:val="single" w:color="auto" w:sz="4" w:space="0"/>
            </w:tcBorders>
            <w:noWrap w:val="0"/>
            <w:vAlign w:val="top"/>
          </w:tcPr>
          <w:p w14:paraId="2B59F7AA">
            <w:pPr>
              <w:snapToGrid w:val="0"/>
              <w:spacing w:before="50" w:after="165" w:afterLines="50" w:line="400" w:lineRule="exact"/>
              <w:jc w:val="left"/>
              <w:rPr>
                <w:rFonts w:hint="eastAsia" w:ascii="宋体" w:hAnsi="宋体"/>
                <w:color w:val="000000"/>
                <w:sz w:val="24"/>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72CC50F1">
            <w:pPr>
              <w:snapToGrid w:val="0"/>
              <w:spacing w:before="50" w:after="165" w:afterLines="50" w:line="400" w:lineRule="exact"/>
              <w:jc w:val="left"/>
              <w:rPr>
                <w:rFonts w:hint="eastAsia" w:ascii="宋体" w:hAnsi="宋体"/>
                <w:color w:val="000000"/>
                <w:sz w:val="24"/>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248244FE">
            <w:pPr>
              <w:snapToGrid w:val="0"/>
              <w:spacing w:before="50" w:after="165" w:afterLines="50" w:line="400" w:lineRule="exact"/>
              <w:jc w:val="left"/>
              <w:rPr>
                <w:rFonts w:hint="eastAsia" w:ascii="宋体" w:hAnsi="宋体"/>
                <w:color w:val="000000"/>
                <w:sz w:val="24"/>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1266C061">
            <w:pPr>
              <w:snapToGrid w:val="0"/>
              <w:spacing w:before="50" w:after="165" w:afterLines="50" w:line="400" w:lineRule="exact"/>
              <w:jc w:val="left"/>
              <w:rPr>
                <w:rFonts w:hint="eastAsia" w:ascii="宋体" w:hAnsi="宋体"/>
                <w:color w:val="000000"/>
                <w:sz w:val="24"/>
              </w:rPr>
            </w:pPr>
          </w:p>
        </w:tc>
        <w:tc>
          <w:tcPr>
            <w:tcW w:w="2268" w:type="dxa"/>
            <w:tcBorders>
              <w:top w:val="single" w:color="auto" w:sz="4" w:space="0"/>
              <w:left w:val="single" w:color="auto" w:sz="4" w:space="0"/>
              <w:bottom w:val="single" w:color="auto" w:sz="4" w:space="0"/>
              <w:right w:val="single" w:color="auto" w:sz="4" w:space="0"/>
            </w:tcBorders>
            <w:noWrap w:val="0"/>
            <w:vAlign w:val="top"/>
          </w:tcPr>
          <w:p w14:paraId="7B828AB1">
            <w:pPr>
              <w:snapToGrid w:val="0"/>
              <w:spacing w:before="50" w:after="165" w:afterLines="50" w:line="400" w:lineRule="exact"/>
              <w:jc w:val="left"/>
              <w:rPr>
                <w:rFonts w:hint="eastAsia" w:ascii="宋体" w:hAnsi="宋体"/>
                <w:color w:val="000000"/>
                <w:sz w:val="24"/>
              </w:rPr>
            </w:pPr>
          </w:p>
        </w:tc>
      </w:tr>
      <w:tr w14:paraId="4B9EF4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628" w:type="dxa"/>
            <w:tcBorders>
              <w:top w:val="single" w:color="auto" w:sz="4" w:space="0"/>
              <w:left w:val="single" w:color="auto" w:sz="4" w:space="0"/>
              <w:bottom w:val="single" w:color="auto" w:sz="4" w:space="0"/>
              <w:right w:val="single" w:color="auto" w:sz="4" w:space="0"/>
            </w:tcBorders>
            <w:noWrap w:val="0"/>
            <w:vAlign w:val="top"/>
          </w:tcPr>
          <w:p w14:paraId="164F60E1">
            <w:pPr>
              <w:snapToGrid w:val="0"/>
              <w:spacing w:before="50" w:after="165" w:afterLines="50" w:line="400" w:lineRule="exact"/>
              <w:jc w:val="left"/>
              <w:rPr>
                <w:rFonts w:hint="eastAsia" w:ascii="宋体" w:hAnsi="宋体"/>
                <w:color w:val="000000"/>
                <w:sz w:val="24"/>
              </w:rPr>
            </w:pPr>
          </w:p>
        </w:tc>
        <w:tc>
          <w:tcPr>
            <w:tcW w:w="3420" w:type="dxa"/>
            <w:tcBorders>
              <w:top w:val="single" w:color="auto" w:sz="4" w:space="0"/>
              <w:left w:val="single" w:color="auto" w:sz="4" w:space="0"/>
              <w:bottom w:val="single" w:color="auto" w:sz="4" w:space="0"/>
              <w:right w:val="single" w:color="auto" w:sz="4" w:space="0"/>
            </w:tcBorders>
            <w:noWrap w:val="0"/>
            <w:vAlign w:val="top"/>
          </w:tcPr>
          <w:p w14:paraId="363D0F92">
            <w:pPr>
              <w:snapToGrid w:val="0"/>
              <w:spacing w:before="50" w:after="165" w:afterLines="50" w:line="400" w:lineRule="exact"/>
              <w:jc w:val="left"/>
              <w:rPr>
                <w:rFonts w:hint="eastAsia" w:ascii="宋体" w:hAnsi="宋体"/>
                <w:color w:val="000000"/>
                <w:sz w:val="24"/>
              </w:rPr>
            </w:pPr>
          </w:p>
        </w:tc>
        <w:tc>
          <w:tcPr>
            <w:tcW w:w="1715" w:type="dxa"/>
            <w:tcBorders>
              <w:top w:val="single" w:color="auto" w:sz="4" w:space="0"/>
              <w:left w:val="single" w:color="auto" w:sz="4" w:space="0"/>
              <w:bottom w:val="single" w:color="auto" w:sz="4" w:space="0"/>
              <w:right w:val="single" w:color="auto" w:sz="4" w:space="0"/>
            </w:tcBorders>
            <w:noWrap w:val="0"/>
            <w:vAlign w:val="top"/>
          </w:tcPr>
          <w:p w14:paraId="2496E4A1">
            <w:pPr>
              <w:snapToGrid w:val="0"/>
              <w:spacing w:before="50" w:after="165" w:afterLines="50" w:line="400" w:lineRule="exact"/>
              <w:jc w:val="left"/>
              <w:rPr>
                <w:rFonts w:hint="eastAsia" w:ascii="宋体" w:hAnsi="宋体"/>
                <w:color w:val="000000"/>
                <w:sz w:val="24"/>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2612F771">
            <w:pPr>
              <w:snapToGrid w:val="0"/>
              <w:spacing w:before="50" w:after="165" w:afterLines="50" w:line="400" w:lineRule="exact"/>
              <w:jc w:val="left"/>
              <w:rPr>
                <w:rFonts w:hint="eastAsia" w:ascii="宋体" w:hAnsi="宋体"/>
                <w:color w:val="000000"/>
                <w:sz w:val="24"/>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039A1232">
            <w:pPr>
              <w:snapToGrid w:val="0"/>
              <w:spacing w:before="50" w:after="165" w:afterLines="50" w:line="400" w:lineRule="exact"/>
              <w:jc w:val="left"/>
              <w:rPr>
                <w:rFonts w:hint="eastAsia" w:ascii="宋体" w:hAnsi="宋体"/>
                <w:color w:val="000000"/>
                <w:sz w:val="24"/>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689C33A6">
            <w:pPr>
              <w:snapToGrid w:val="0"/>
              <w:spacing w:before="50" w:after="165" w:afterLines="50" w:line="400" w:lineRule="exact"/>
              <w:jc w:val="left"/>
              <w:rPr>
                <w:rFonts w:hint="eastAsia" w:ascii="宋体" w:hAnsi="宋体"/>
                <w:color w:val="000000"/>
                <w:sz w:val="24"/>
              </w:rPr>
            </w:pPr>
          </w:p>
        </w:tc>
        <w:tc>
          <w:tcPr>
            <w:tcW w:w="2268" w:type="dxa"/>
            <w:tcBorders>
              <w:top w:val="single" w:color="auto" w:sz="4" w:space="0"/>
              <w:left w:val="single" w:color="auto" w:sz="4" w:space="0"/>
              <w:bottom w:val="single" w:color="auto" w:sz="4" w:space="0"/>
              <w:right w:val="single" w:color="auto" w:sz="4" w:space="0"/>
            </w:tcBorders>
            <w:noWrap w:val="0"/>
            <w:vAlign w:val="top"/>
          </w:tcPr>
          <w:p w14:paraId="5B8C78CA">
            <w:pPr>
              <w:snapToGrid w:val="0"/>
              <w:spacing w:before="50" w:after="165" w:afterLines="50" w:line="400" w:lineRule="exact"/>
              <w:jc w:val="left"/>
              <w:rPr>
                <w:rFonts w:hint="eastAsia" w:ascii="宋体" w:hAnsi="宋体"/>
                <w:color w:val="000000"/>
                <w:sz w:val="24"/>
              </w:rPr>
            </w:pPr>
          </w:p>
        </w:tc>
      </w:tr>
    </w:tbl>
    <w:p w14:paraId="2DB13548">
      <w:pPr>
        <w:pStyle w:val="11"/>
        <w:spacing w:line="360" w:lineRule="auto"/>
        <w:ind w:left="72"/>
        <w:rPr>
          <w:rFonts w:hint="eastAsia" w:ascii="Times New Roman" w:hAnsi="Times New Roman"/>
        </w:rPr>
      </w:pPr>
      <w:r>
        <w:rPr>
          <w:rFonts w:hint="eastAsia" w:ascii="Times New Roman" w:hAnsi="Times New Roman"/>
        </w:rPr>
        <w:t>注：投标人可按上述的格式自行编制，</w:t>
      </w:r>
      <w:r>
        <w:rPr>
          <w:rFonts w:hint="eastAsia" w:ascii="Times New Roman" w:hAnsi="Times New Roman"/>
          <w:lang w:val="en-US" w:eastAsia="zh-CN"/>
        </w:rPr>
        <w:t>如有</w:t>
      </w:r>
      <w:r>
        <w:rPr>
          <w:rFonts w:hint="eastAsia" w:ascii="Times New Roman" w:hAnsi="Times New Roman"/>
        </w:rPr>
        <w:t>随表提交相应的合同复印件</w:t>
      </w:r>
      <w:r>
        <w:rPr>
          <w:rFonts w:hint="eastAsia" w:ascii="Times New Roman" w:hAnsi="Times New Roman"/>
          <w:lang w:val="en-US" w:eastAsia="zh-CN"/>
        </w:rPr>
        <w:t>或中标（成交）通知书</w:t>
      </w:r>
      <w:r>
        <w:rPr>
          <w:rFonts w:hint="eastAsia" w:ascii="Times New Roman" w:hAnsi="Times New Roman"/>
        </w:rPr>
        <w:t>和用户单位验收证明并注明所在投标人商务技术文件页码。</w:t>
      </w:r>
    </w:p>
    <w:p w14:paraId="57DAF9B0">
      <w:pPr>
        <w:snapToGrid w:val="0"/>
        <w:spacing w:line="360" w:lineRule="auto"/>
        <w:ind w:firstLine="4935" w:firstLineChars="2350"/>
        <w:rPr>
          <w:rFonts w:hAnsi="宋体"/>
          <w:color w:val="000000"/>
          <w:szCs w:val="21"/>
        </w:rPr>
      </w:pPr>
      <w:r>
        <w:rPr>
          <w:rFonts w:hAnsi="宋体"/>
          <w:color w:val="000000"/>
          <w:szCs w:val="21"/>
        </w:rPr>
        <w:t xml:space="preserve"> </w:t>
      </w:r>
    </w:p>
    <w:p w14:paraId="1CA8DDD5">
      <w:pPr>
        <w:snapToGrid w:val="0"/>
        <w:spacing w:line="360" w:lineRule="auto"/>
        <w:ind w:firstLine="10080" w:firstLineChars="4800"/>
        <w:rPr>
          <w:rFonts w:ascii="仿宋_GB2312" w:hAnsi="仿宋" w:eastAsia="仿宋_GB2312" w:cs="仿宋_GB2312"/>
          <w:kern w:val="0"/>
          <w:sz w:val="24"/>
        </w:rPr>
      </w:pPr>
      <w:r>
        <w:rPr>
          <w:rFonts w:hAnsi="宋体"/>
          <w:color w:val="000000"/>
          <w:szCs w:val="21"/>
        </w:rPr>
        <w:t xml:space="preserve"> </w:t>
      </w:r>
      <w:r>
        <w:rPr>
          <w:rFonts w:hint="eastAsia" w:ascii="仿宋_GB2312" w:hAnsi="仿宋" w:eastAsia="仿宋_GB2312" w:cs="仿宋_GB2312"/>
          <w:kern w:val="0"/>
          <w:sz w:val="24"/>
          <w:lang w:val="zh-CN"/>
        </w:rPr>
        <w:t>投标人名称(电子签章)：</w:t>
      </w:r>
    </w:p>
    <w:p w14:paraId="6B0F4179">
      <w:pPr>
        <w:snapToGrid w:val="0"/>
        <w:spacing w:line="360" w:lineRule="auto"/>
        <w:ind w:firstLine="10320" w:firstLineChars="4300"/>
        <w:rPr>
          <w:rFonts w:hint="eastAsia" w:ascii="仿宋_GB2312" w:hAnsi="仿宋" w:eastAsia="仿宋_GB2312" w:cs="仿宋_GB2312"/>
          <w:kern w:val="0"/>
          <w:sz w:val="24"/>
          <w:lang w:val="zh-CN"/>
        </w:rPr>
      </w:pPr>
      <w:r>
        <w:rPr>
          <w:rFonts w:hint="eastAsia" w:ascii="仿宋_GB2312" w:hAnsi="仿宋" w:eastAsia="仿宋_GB2312" w:cs="仿宋_GB2312"/>
          <w:kern w:val="0"/>
          <w:sz w:val="24"/>
          <w:lang w:val="zh-CN"/>
        </w:rPr>
        <w:t>日期</w:t>
      </w:r>
      <w:r>
        <w:rPr>
          <w:rFonts w:hint="eastAsia" w:ascii="仿宋_GB2312" w:hAnsi="仿宋" w:eastAsia="仿宋_GB2312" w:cs="仿宋_GB2312"/>
          <w:kern w:val="0"/>
          <w:sz w:val="24"/>
        </w:rPr>
        <w:t xml:space="preserve">：  年  </w:t>
      </w:r>
      <w:r>
        <w:rPr>
          <w:rFonts w:hint="eastAsia" w:ascii="仿宋_GB2312" w:hAnsi="仿宋" w:eastAsia="仿宋_GB2312" w:cs="仿宋_GB2312"/>
          <w:kern w:val="0"/>
          <w:sz w:val="24"/>
          <w:lang w:val="zh-CN"/>
        </w:rPr>
        <w:t>月</w:t>
      </w:r>
      <w:r>
        <w:rPr>
          <w:rFonts w:hint="eastAsia" w:ascii="仿宋_GB2312" w:hAnsi="仿宋" w:eastAsia="仿宋_GB2312" w:cs="仿宋_GB2312"/>
          <w:kern w:val="0"/>
          <w:sz w:val="24"/>
        </w:rPr>
        <w:t xml:space="preserve">   </w:t>
      </w:r>
      <w:r>
        <w:rPr>
          <w:rFonts w:hint="eastAsia" w:ascii="仿宋_GB2312" w:hAnsi="仿宋" w:eastAsia="仿宋_GB2312" w:cs="仿宋_GB2312"/>
          <w:kern w:val="0"/>
          <w:sz w:val="24"/>
          <w:lang w:val="zh-CN"/>
        </w:rPr>
        <w:t>日</w:t>
      </w:r>
    </w:p>
    <w:p w14:paraId="32CEE7EB">
      <w:pPr>
        <w:widowControl/>
        <w:spacing w:line="360" w:lineRule="auto"/>
        <w:jc w:val="left"/>
        <w:rPr>
          <w:rFonts w:ascii="仿宋_GB2312" w:hAnsi="仿宋" w:eastAsia="仿宋_GB2312" w:cs="仿宋_GB2312"/>
          <w:kern w:val="0"/>
          <w:sz w:val="24"/>
          <w:lang w:val="zh-CN"/>
        </w:rPr>
        <w:sectPr>
          <w:pgSz w:w="16838" w:h="11906" w:orient="landscape"/>
          <w:pgMar w:top="1134" w:right="1134" w:bottom="1134" w:left="1134" w:header="720" w:footer="720" w:gutter="0"/>
          <w:cols w:space="720" w:num="1"/>
          <w:docGrid w:type="lines" w:linePitch="331" w:charSpace="0"/>
        </w:sectPr>
      </w:pPr>
    </w:p>
    <w:p w14:paraId="2FEC277D">
      <w:pPr>
        <w:pStyle w:val="11"/>
        <w:jc w:val="center"/>
        <w:outlineLvl w:val="1"/>
        <w:rPr>
          <w:rFonts w:hint="eastAsia" w:hAnsi="宋体"/>
          <w:b/>
          <w:bCs/>
          <w:color w:val="000000"/>
          <w:sz w:val="28"/>
          <w:szCs w:val="28"/>
        </w:rPr>
      </w:pPr>
      <w:bookmarkStart w:id="408" w:name="_Toc211960320"/>
      <w:bookmarkStart w:id="409" w:name="_Toc19686839"/>
      <w:r>
        <w:rPr>
          <w:rFonts w:hint="eastAsia" w:hAnsi="宋体"/>
          <w:b/>
          <w:bCs/>
          <w:color w:val="000000"/>
          <w:sz w:val="28"/>
          <w:szCs w:val="28"/>
        </w:rPr>
        <w:t>第四节 技术文件格式</w:t>
      </w:r>
      <w:bookmarkEnd w:id="408"/>
      <w:bookmarkEnd w:id="409"/>
    </w:p>
    <w:p w14:paraId="7721DF87">
      <w:pPr>
        <w:snapToGrid w:val="0"/>
        <w:spacing w:before="165" w:beforeLines="50" w:after="50"/>
        <w:rPr>
          <w:rFonts w:hint="eastAsia" w:ascii="宋体" w:hAnsi="宋体"/>
          <w:bCs/>
          <w:color w:val="000000"/>
          <w:sz w:val="32"/>
          <w:szCs w:val="20"/>
        </w:rPr>
      </w:pPr>
      <w:r>
        <w:rPr>
          <w:rFonts w:hint="eastAsia" w:ascii="宋体" w:hAnsi="宋体"/>
          <w:color w:val="000000"/>
          <w:sz w:val="24"/>
        </w:rPr>
        <w:t xml:space="preserve">                                                  </w:t>
      </w:r>
      <w:r>
        <w:rPr>
          <w:rFonts w:hint="eastAsia" w:ascii="宋体" w:hAnsi="宋体"/>
          <w:bCs/>
          <w:color w:val="000000"/>
        </w:rPr>
        <w:t>电子投标文件</w:t>
      </w:r>
    </w:p>
    <w:p w14:paraId="1B6BC633">
      <w:pPr>
        <w:snapToGrid w:val="0"/>
        <w:spacing w:before="165" w:beforeLines="50" w:after="50"/>
        <w:rPr>
          <w:rFonts w:hint="eastAsia" w:ascii="宋体" w:hAnsi="宋体"/>
          <w:color w:val="000000"/>
          <w:sz w:val="24"/>
          <w:szCs w:val="20"/>
        </w:rPr>
      </w:pPr>
    </w:p>
    <w:p w14:paraId="26D7C7B9">
      <w:pPr>
        <w:snapToGrid w:val="0"/>
        <w:spacing w:before="165" w:beforeLines="50" w:after="50"/>
        <w:jc w:val="center"/>
        <w:rPr>
          <w:rFonts w:hint="eastAsia" w:ascii="宋体" w:hAnsi="宋体"/>
          <w:b/>
          <w:bCs/>
          <w:color w:val="000000"/>
          <w:sz w:val="32"/>
          <w:szCs w:val="32"/>
        </w:rPr>
      </w:pPr>
    </w:p>
    <w:p w14:paraId="79500AE3">
      <w:pPr>
        <w:snapToGrid w:val="0"/>
        <w:spacing w:before="165" w:beforeLines="50" w:after="50"/>
        <w:jc w:val="center"/>
        <w:rPr>
          <w:rFonts w:hint="eastAsia" w:ascii="宋体" w:hAnsi="宋体"/>
          <w:b/>
          <w:bCs/>
          <w:color w:val="000000"/>
          <w:sz w:val="32"/>
          <w:szCs w:val="32"/>
        </w:rPr>
      </w:pPr>
    </w:p>
    <w:p w14:paraId="7C5364C9">
      <w:pPr>
        <w:snapToGrid w:val="0"/>
        <w:spacing w:before="165" w:beforeLines="50" w:after="50"/>
        <w:jc w:val="center"/>
        <w:rPr>
          <w:rFonts w:hint="eastAsia" w:ascii="宋体" w:hAnsi="宋体"/>
          <w:b/>
          <w:bCs/>
          <w:color w:val="000000"/>
          <w:sz w:val="32"/>
          <w:szCs w:val="32"/>
        </w:rPr>
      </w:pPr>
    </w:p>
    <w:p w14:paraId="1A38F8A8">
      <w:pPr>
        <w:snapToGrid w:val="0"/>
        <w:spacing w:before="165" w:beforeLines="50" w:after="50"/>
        <w:jc w:val="center"/>
        <w:rPr>
          <w:rFonts w:hint="eastAsia" w:ascii="宋体" w:hAnsi="宋体"/>
          <w:b/>
          <w:bCs/>
          <w:color w:val="000000"/>
          <w:sz w:val="32"/>
          <w:szCs w:val="32"/>
        </w:rPr>
      </w:pPr>
      <w:r>
        <w:rPr>
          <w:rFonts w:hint="eastAsia" w:ascii="宋体" w:hAnsi="宋体"/>
          <w:b/>
          <w:bCs/>
          <w:color w:val="000000"/>
          <w:sz w:val="32"/>
          <w:szCs w:val="32"/>
        </w:rPr>
        <w:t>技术文件（封面）</w:t>
      </w:r>
    </w:p>
    <w:p w14:paraId="069289A6">
      <w:pPr>
        <w:snapToGrid w:val="0"/>
        <w:spacing w:before="165" w:beforeLines="50" w:after="50"/>
        <w:rPr>
          <w:rFonts w:hint="eastAsia" w:ascii="宋体" w:hAnsi="宋体"/>
          <w:bCs/>
          <w:color w:val="000000"/>
          <w:sz w:val="24"/>
          <w:szCs w:val="20"/>
        </w:rPr>
      </w:pPr>
    </w:p>
    <w:p w14:paraId="03141D70">
      <w:pPr>
        <w:snapToGrid w:val="0"/>
        <w:spacing w:before="165" w:beforeLines="50" w:after="50" w:line="400" w:lineRule="exact"/>
        <w:ind w:firstLine="360" w:firstLineChars="150"/>
        <w:rPr>
          <w:rFonts w:hint="eastAsia" w:ascii="宋体" w:hAnsi="宋体" w:eastAsia="宋体"/>
          <w:bCs/>
          <w:color w:val="000000"/>
          <w:sz w:val="24"/>
          <w:szCs w:val="20"/>
          <w:lang w:eastAsia="zh-CN"/>
        </w:rPr>
      </w:pPr>
      <w:r>
        <w:rPr>
          <w:rFonts w:hint="eastAsia" w:ascii="宋体" w:hAnsi="宋体"/>
          <w:bCs/>
          <w:color w:val="000000"/>
          <w:sz w:val="24"/>
        </w:rPr>
        <w:t xml:space="preserve">项目名称： </w:t>
      </w:r>
      <w:r>
        <w:rPr>
          <w:rFonts w:hint="eastAsia" w:ascii="宋体" w:hAnsi="宋体"/>
          <w:bCs/>
          <w:color w:val="000000"/>
          <w:sz w:val="24"/>
          <w:lang w:eastAsia="zh-CN"/>
        </w:rPr>
        <w:t>南宁市第三职业技术学校2026年优质校及优质专业内涵建设服务项目</w:t>
      </w:r>
    </w:p>
    <w:p w14:paraId="1A6F1F97">
      <w:pPr>
        <w:snapToGrid w:val="0"/>
        <w:spacing w:before="165" w:beforeLines="50" w:after="50" w:line="400" w:lineRule="exact"/>
        <w:ind w:firstLine="360" w:firstLineChars="150"/>
        <w:rPr>
          <w:rFonts w:hint="eastAsia" w:ascii="宋体" w:hAnsi="宋体" w:eastAsia="宋体"/>
          <w:bCs/>
          <w:color w:val="000000"/>
          <w:sz w:val="24"/>
          <w:lang w:eastAsia="zh-CN"/>
        </w:rPr>
      </w:pPr>
      <w:r>
        <w:rPr>
          <w:rFonts w:hint="eastAsia" w:ascii="宋体" w:hAnsi="宋体"/>
          <w:bCs/>
          <w:color w:val="000000"/>
          <w:sz w:val="24"/>
        </w:rPr>
        <w:t xml:space="preserve">项目编号： </w:t>
      </w:r>
      <w:r>
        <w:rPr>
          <w:rFonts w:hint="eastAsia" w:ascii="宋体" w:hAnsi="宋体"/>
          <w:bCs/>
          <w:color w:val="000000"/>
          <w:sz w:val="24"/>
          <w:lang w:eastAsia="zh-CN"/>
        </w:rPr>
        <w:t>NNZC2026-G3-990830-GXGJ</w:t>
      </w:r>
    </w:p>
    <w:p w14:paraId="6F7C1D96">
      <w:pPr>
        <w:snapToGrid w:val="0"/>
        <w:spacing w:before="165" w:beforeLines="50" w:after="50" w:line="400" w:lineRule="exact"/>
        <w:ind w:firstLine="360" w:firstLineChars="150"/>
        <w:rPr>
          <w:rFonts w:hint="eastAsia" w:ascii="宋体" w:hAnsi="宋体"/>
          <w:bCs/>
          <w:color w:val="000000"/>
          <w:sz w:val="24"/>
        </w:rPr>
      </w:pPr>
      <w:r>
        <w:rPr>
          <w:rFonts w:hint="eastAsia" w:ascii="宋体" w:hAnsi="宋体"/>
          <w:bCs/>
          <w:color w:val="000000"/>
          <w:sz w:val="24"/>
        </w:rPr>
        <w:t>所投分标：</w:t>
      </w:r>
    </w:p>
    <w:p w14:paraId="6BED1E5C">
      <w:pPr>
        <w:snapToGrid w:val="0"/>
        <w:spacing w:before="165" w:beforeLines="50" w:after="50" w:line="400" w:lineRule="exact"/>
        <w:ind w:firstLine="360" w:firstLineChars="150"/>
        <w:rPr>
          <w:rFonts w:hint="eastAsia" w:ascii="宋体" w:hAnsi="宋体"/>
          <w:bCs/>
          <w:color w:val="000000"/>
          <w:sz w:val="24"/>
        </w:rPr>
      </w:pPr>
      <w:r>
        <w:rPr>
          <w:rFonts w:hint="eastAsia" w:ascii="宋体" w:hAnsi="宋体"/>
          <w:bCs/>
          <w:color w:val="000000"/>
          <w:sz w:val="24"/>
        </w:rPr>
        <w:t>投标人名称：</w:t>
      </w:r>
    </w:p>
    <w:p w14:paraId="2FFD74C7">
      <w:pPr>
        <w:snapToGrid w:val="0"/>
        <w:spacing w:before="165" w:beforeLines="50" w:after="50" w:line="400" w:lineRule="exact"/>
        <w:ind w:firstLine="360" w:firstLineChars="150"/>
        <w:rPr>
          <w:rFonts w:hint="eastAsia" w:ascii="宋体" w:hAnsi="宋体"/>
          <w:bCs/>
          <w:color w:val="000000"/>
          <w:sz w:val="24"/>
        </w:rPr>
      </w:pPr>
      <w:r>
        <w:rPr>
          <w:rFonts w:hint="eastAsia" w:ascii="宋体" w:hAnsi="宋体"/>
          <w:bCs/>
          <w:color w:val="000000"/>
          <w:sz w:val="24"/>
        </w:rPr>
        <w:t>投标人地址：</w:t>
      </w:r>
    </w:p>
    <w:p w14:paraId="2556A7AE">
      <w:pPr>
        <w:snapToGrid w:val="0"/>
        <w:spacing w:before="165" w:beforeLines="50" w:after="50"/>
        <w:ind w:firstLine="645"/>
        <w:jc w:val="center"/>
        <w:rPr>
          <w:rFonts w:hint="eastAsia" w:ascii="宋体" w:hAnsi="宋体"/>
          <w:color w:val="000000"/>
          <w:sz w:val="24"/>
        </w:rPr>
      </w:pPr>
      <w:r>
        <w:rPr>
          <w:rFonts w:hint="eastAsia" w:ascii="宋体" w:hAnsi="宋体"/>
          <w:color w:val="000000"/>
          <w:sz w:val="24"/>
        </w:rPr>
        <w:t xml:space="preserve">                        年    月    日</w:t>
      </w:r>
    </w:p>
    <w:p w14:paraId="6B9C710C">
      <w:pPr>
        <w:snapToGrid w:val="0"/>
        <w:spacing w:before="165" w:beforeLines="50" w:after="50"/>
        <w:ind w:firstLine="645"/>
        <w:jc w:val="center"/>
        <w:rPr>
          <w:rFonts w:hint="eastAsia" w:ascii="宋体" w:hAnsi="宋体"/>
          <w:color w:val="000000"/>
          <w:sz w:val="24"/>
          <w:szCs w:val="20"/>
        </w:rPr>
      </w:pPr>
    </w:p>
    <w:p w14:paraId="27D3D0DB">
      <w:pPr>
        <w:jc w:val="center"/>
        <w:rPr>
          <w:rFonts w:ascii="宋体" w:hAnsi="宋体"/>
          <w:b/>
          <w:bCs/>
          <w:color w:val="000000"/>
          <w:sz w:val="24"/>
        </w:rPr>
      </w:pPr>
      <w:r>
        <w:rPr>
          <w:rFonts w:hint="eastAsia" w:ascii="宋体" w:hAnsi="宋体"/>
          <w:b/>
          <w:bCs/>
          <w:color w:val="000000"/>
          <w:sz w:val="24"/>
        </w:rPr>
        <w:br w:type="page"/>
      </w:r>
    </w:p>
    <w:p w14:paraId="5774CC8E">
      <w:pPr>
        <w:jc w:val="center"/>
        <w:rPr>
          <w:rFonts w:hint="eastAsia" w:ascii="仿宋_GB2312" w:hAnsi="仿宋" w:eastAsia="仿宋_GB2312" w:cs="仿宋_GB2312"/>
          <w:b/>
          <w:kern w:val="0"/>
          <w:sz w:val="28"/>
          <w:szCs w:val="28"/>
        </w:rPr>
      </w:pPr>
      <w:r>
        <w:rPr>
          <w:rFonts w:hint="eastAsia" w:ascii="仿宋_GB2312" w:hAnsi="仿宋" w:eastAsia="仿宋_GB2312" w:cs="仿宋_GB2312"/>
          <w:b/>
          <w:kern w:val="0"/>
          <w:sz w:val="28"/>
          <w:szCs w:val="28"/>
        </w:rPr>
        <w:t>技术文件目录</w:t>
      </w:r>
    </w:p>
    <w:p w14:paraId="0DF04A45">
      <w:pPr>
        <w:spacing w:line="360" w:lineRule="auto"/>
        <w:ind w:firstLine="480" w:firstLineChars="200"/>
        <w:rPr>
          <w:rFonts w:ascii="仿宋_GB2312" w:hAnsi="仿宋" w:eastAsia="仿宋_GB2312" w:cs="仿宋_GB2312"/>
          <w:kern w:val="0"/>
          <w:sz w:val="24"/>
        </w:rPr>
      </w:pPr>
    </w:p>
    <w:p w14:paraId="4B58498A">
      <w:pPr>
        <w:spacing w:line="360" w:lineRule="auto"/>
        <w:ind w:firstLine="480" w:firstLineChars="200"/>
        <w:rPr>
          <w:rFonts w:ascii="仿宋_GB2312" w:hAnsi="仿宋" w:eastAsia="仿宋_GB2312" w:cs="仿宋_GB2312"/>
          <w:kern w:val="0"/>
          <w:sz w:val="24"/>
        </w:rPr>
      </w:pPr>
      <w:r>
        <w:rPr>
          <w:rFonts w:hint="eastAsia" w:ascii="仿宋_GB2312" w:hAnsi="仿宋" w:eastAsia="仿宋_GB2312" w:cs="仿宋_GB2312"/>
          <w:kern w:val="0"/>
          <w:sz w:val="24"/>
        </w:rPr>
        <w:t>根据公开招标文件须知前附表的规定及供应商提供的材料自行编写目录（部分格式后附）</w:t>
      </w:r>
    </w:p>
    <w:p w14:paraId="635CA235">
      <w:pPr>
        <w:spacing w:line="360" w:lineRule="auto"/>
        <w:rPr>
          <w:rFonts w:hint="eastAsia" w:ascii="仿宋_GB2312" w:hAnsi="仿宋" w:eastAsia="仿宋_GB2312" w:cs="仿宋_GB2312"/>
          <w:b/>
          <w:bCs/>
          <w:sz w:val="24"/>
        </w:rPr>
      </w:pPr>
    </w:p>
    <w:p w14:paraId="4F149243">
      <w:pPr>
        <w:snapToGrid w:val="0"/>
        <w:spacing w:before="165" w:beforeLines="50" w:after="50"/>
        <w:ind w:left="143" w:leftChars="68" w:firstLine="472" w:firstLineChars="196"/>
        <w:jc w:val="left"/>
        <w:rPr>
          <w:rFonts w:hint="eastAsia" w:ascii="宋体" w:hAnsi="宋体"/>
          <w:b/>
          <w:color w:val="000000"/>
          <w:sz w:val="24"/>
        </w:rPr>
      </w:pPr>
    </w:p>
    <w:p w14:paraId="359675C1">
      <w:pPr>
        <w:snapToGrid w:val="0"/>
        <w:spacing w:before="165" w:beforeLines="50" w:after="50"/>
        <w:ind w:left="143" w:leftChars="68" w:firstLine="472" w:firstLineChars="196"/>
        <w:jc w:val="left"/>
        <w:rPr>
          <w:rFonts w:hint="eastAsia" w:ascii="宋体" w:hAnsi="宋体"/>
          <w:b/>
          <w:color w:val="000000"/>
          <w:sz w:val="24"/>
        </w:rPr>
      </w:pPr>
      <w:r>
        <w:rPr>
          <w:rFonts w:hint="eastAsia" w:ascii="宋体" w:hAnsi="宋体"/>
          <w:b/>
          <w:color w:val="000000"/>
          <w:sz w:val="24"/>
        </w:rPr>
        <w:br w:type="page"/>
      </w:r>
      <w:r>
        <w:rPr>
          <w:rFonts w:hint="eastAsia" w:ascii="宋体" w:hAnsi="宋体"/>
          <w:b/>
          <w:color w:val="000000"/>
          <w:sz w:val="24"/>
        </w:rPr>
        <w:t xml:space="preserve"> </w:t>
      </w:r>
    </w:p>
    <w:p w14:paraId="2BBF9B81">
      <w:pPr>
        <w:pStyle w:val="11"/>
        <w:spacing w:line="500" w:lineRule="exact"/>
        <w:jc w:val="center"/>
        <w:rPr>
          <w:rFonts w:hint="eastAsia" w:ascii="Times New Roman" w:hAnsi="Times New Roman"/>
          <w:b/>
          <w:bCs/>
          <w:sz w:val="30"/>
          <w:szCs w:val="30"/>
        </w:rPr>
      </w:pPr>
      <w:r>
        <w:rPr>
          <w:rFonts w:hint="eastAsia" w:ascii="Times New Roman" w:hAnsi="Times New Roman"/>
          <w:b/>
          <w:bCs/>
          <w:sz w:val="30"/>
          <w:szCs w:val="30"/>
        </w:rPr>
        <w:t>一、服务需求偏离表</w:t>
      </w:r>
    </w:p>
    <w:p w14:paraId="0DC415C1">
      <w:pPr>
        <w:pStyle w:val="11"/>
        <w:spacing w:line="440" w:lineRule="exact"/>
        <w:ind w:firstLine="420" w:firstLineChars="200"/>
      </w:pPr>
    </w:p>
    <w:p w14:paraId="3D59ED9E">
      <w:pPr>
        <w:pStyle w:val="11"/>
        <w:spacing w:line="600" w:lineRule="exact"/>
        <w:ind w:firstLine="480" w:firstLineChars="200"/>
        <w:rPr>
          <w:rFonts w:hint="eastAsia" w:hAnsi="宋体"/>
          <w:sz w:val="24"/>
          <w:szCs w:val="24"/>
        </w:rPr>
      </w:pPr>
      <w:r>
        <w:rPr>
          <w:rFonts w:hint="eastAsia" w:hAnsi="宋体"/>
          <w:sz w:val="24"/>
          <w:szCs w:val="24"/>
        </w:rPr>
        <w:t>请根据所投服务的实际技术参数，</w:t>
      </w:r>
      <w:r>
        <w:rPr>
          <w:rFonts w:hint="eastAsia" w:hAnsi="宋体"/>
          <w:b/>
          <w:sz w:val="28"/>
          <w:szCs w:val="28"/>
        </w:rPr>
        <w:t>逐条对应</w:t>
      </w:r>
      <w:r>
        <w:rPr>
          <w:rFonts w:hint="eastAsia" w:hAnsi="宋体"/>
          <w:sz w:val="24"/>
          <w:szCs w:val="24"/>
        </w:rPr>
        <w:t>本项目招标文件第二章“服务需求一览表”中的</w:t>
      </w:r>
      <w:r>
        <w:rPr>
          <w:rFonts w:hint="eastAsia" w:ascii="宋体" w:hAnsi="宋体" w:eastAsia="宋体" w:cs="Times New Roman"/>
          <w:b/>
          <w:sz w:val="28"/>
          <w:szCs w:val="28"/>
        </w:rPr>
        <w:t>服务内容及要求</w:t>
      </w:r>
      <w:r>
        <w:rPr>
          <w:rFonts w:hint="eastAsia" w:hAnsi="宋体"/>
          <w:sz w:val="24"/>
          <w:szCs w:val="24"/>
        </w:rPr>
        <w:t>详细填写相应的具体内容。“偏离说明”一栏应当选择“正偏离”、“负偏离”或“无偏离”进行填写。</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4"/>
        <w:gridCol w:w="1260"/>
        <w:gridCol w:w="2310"/>
        <w:gridCol w:w="1516"/>
        <w:gridCol w:w="3297"/>
        <w:gridCol w:w="1168"/>
      </w:tblGrid>
      <w:tr w14:paraId="5017F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634" w:type="dxa"/>
            <w:vMerge w:val="restart"/>
            <w:tcBorders>
              <w:top w:val="single" w:color="auto" w:sz="4" w:space="0"/>
              <w:left w:val="single" w:color="auto" w:sz="4" w:space="0"/>
              <w:bottom w:val="single" w:color="auto" w:sz="4" w:space="0"/>
              <w:right w:val="single" w:color="auto" w:sz="4" w:space="0"/>
            </w:tcBorders>
            <w:noWrap w:val="0"/>
            <w:vAlign w:val="center"/>
          </w:tcPr>
          <w:p w14:paraId="301D275C">
            <w:pPr>
              <w:rPr>
                <w:rFonts w:hint="eastAsia" w:ascii="宋体" w:hAnsi="宋体"/>
                <w:szCs w:val="21"/>
              </w:rPr>
            </w:pPr>
            <w:r>
              <w:rPr>
                <w:rFonts w:hint="eastAsia" w:ascii="宋体" w:hAnsi="宋体"/>
                <w:szCs w:val="21"/>
              </w:rPr>
              <w:t>项号</w:t>
            </w:r>
          </w:p>
        </w:tc>
        <w:tc>
          <w:tcPr>
            <w:tcW w:w="3570" w:type="dxa"/>
            <w:gridSpan w:val="2"/>
            <w:tcBorders>
              <w:top w:val="single" w:color="auto" w:sz="4" w:space="0"/>
              <w:left w:val="single" w:color="auto" w:sz="4" w:space="0"/>
              <w:bottom w:val="single" w:color="auto" w:sz="4" w:space="0"/>
              <w:right w:val="single" w:color="auto" w:sz="4" w:space="0"/>
            </w:tcBorders>
            <w:noWrap w:val="0"/>
            <w:vAlign w:val="center"/>
          </w:tcPr>
          <w:p w14:paraId="67CB4398">
            <w:pPr>
              <w:jc w:val="center"/>
              <w:rPr>
                <w:rFonts w:hint="eastAsia" w:ascii="宋体" w:hAnsi="宋体"/>
                <w:szCs w:val="21"/>
              </w:rPr>
            </w:pPr>
            <w:r>
              <w:rPr>
                <w:rFonts w:hint="eastAsia" w:ascii="宋体" w:hAnsi="宋体"/>
                <w:szCs w:val="21"/>
              </w:rPr>
              <w:t>招标文件需求</w:t>
            </w:r>
          </w:p>
        </w:tc>
        <w:tc>
          <w:tcPr>
            <w:tcW w:w="4813" w:type="dxa"/>
            <w:gridSpan w:val="2"/>
            <w:tcBorders>
              <w:top w:val="single" w:color="auto" w:sz="4" w:space="0"/>
              <w:left w:val="single" w:color="auto" w:sz="4" w:space="0"/>
              <w:bottom w:val="single" w:color="auto" w:sz="4" w:space="0"/>
              <w:right w:val="single" w:color="auto" w:sz="4" w:space="0"/>
            </w:tcBorders>
            <w:noWrap w:val="0"/>
            <w:vAlign w:val="center"/>
          </w:tcPr>
          <w:p w14:paraId="75744140">
            <w:pPr>
              <w:jc w:val="center"/>
              <w:rPr>
                <w:rFonts w:hint="eastAsia" w:ascii="宋体" w:hAnsi="宋体"/>
                <w:szCs w:val="21"/>
              </w:rPr>
            </w:pPr>
            <w:r>
              <w:rPr>
                <w:rFonts w:hint="eastAsia" w:ascii="宋体" w:hAnsi="宋体"/>
                <w:szCs w:val="21"/>
              </w:rPr>
              <w:t>投标文件承诺</w:t>
            </w:r>
          </w:p>
        </w:tc>
        <w:tc>
          <w:tcPr>
            <w:tcW w:w="1168" w:type="dxa"/>
            <w:vMerge w:val="restart"/>
            <w:tcBorders>
              <w:top w:val="single" w:color="auto" w:sz="4" w:space="0"/>
              <w:left w:val="single" w:color="auto" w:sz="4" w:space="0"/>
              <w:bottom w:val="single" w:color="auto" w:sz="4" w:space="0"/>
              <w:right w:val="single" w:color="auto" w:sz="4" w:space="0"/>
            </w:tcBorders>
            <w:noWrap w:val="0"/>
            <w:vAlign w:val="center"/>
          </w:tcPr>
          <w:p w14:paraId="6603DE36">
            <w:pPr>
              <w:rPr>
                <w:rFonts w:hint="eastAsia" w:ascii="宋体" w:hAnsi="宋体"/>
                <w:szCs w:val="21"/>
              </w:rPr>
            </w:pPr>
            <w:r>
              <w:rPr>
                <w:rFonts w:hint="eastAsia" w:ascii="宋体" w:hAnsi="宋体"/>
                <w:szCs w:val="21"/>
              </w:rPr>
              <w:t>偏离说明</w:t>
            </w:r>
          </w:p>
        </w:tc>
      </w:tr>
      <w:tr w14:paraId="74CD5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jc w:val="center"/>
        </w:trPr>
        <w:tc>
          <w:tcPr>
            <w:tcW w:w="10185" w:type="dxa"/>
            <w:vMerge w:val="continue"/>
            <w:tcBorders>
              <w:top w:val="single" w:color="auto" w:sz="4" w:space="0"/>
              <w:left w:val="single" w:color="auto" w:sz="4" w:space="0"/>
              <w:bottom w:val="single" w:color="auto" w:sz="4" w:space="0"/>
              <w:right w:val="single" w:color="auto" w:sz="4" w:space="0"/>
            </w:tcBorders>
            <w:noWrap w:val="0"/>
            <w:vAlign w:val="center"/>
          </w:tcPr>
          <w:p w14:paraId="0DA0B468">
            <w:pPr>
              <w:widowControl/>
              <w:jc w:val="left"/>
              <w:rPr>
                <w:rFonts w:ascii="宋体" w:hAnsi="宋体"/>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D0674D1">
            <w:pPr>
              <w:jc w:val="center"/>
              <w:rPr>
                <w:rFonts w:hint="eastAsia" w:ascii="宋体" w:hAnsi="宋体"/>
                <w:szCs w:val="21"/>
              </w:rPr>
            </w:pPr>
            <w:r>
              <w:rPr>
                <w:rFonts w:hint="eastAsia" w:ascii="宋体" w:hAnsi="宋体" w:cs="宋体"/>
                <w:szCs w:val="21"/>
              </w:rPr>
              <w:t>标的</w:t>
            </w:r>
            <w:r>
              <w:rPr>
                <w:rFonts w:hint="eastAsia" w:ascii="宋体" w:hAnsi="宋体"/>
                <w:szCs w:val="21"/>
              </w:rPr>
              <w:t>名称</w:t>
            </w:r>
          </w:p>
        </w:tc>
        <w:tc>
          <w:tcPr>
            <w:tcW w:w="2310" w:type="dxa"/>
            <w:tcBorders>
              <w:top w:val="single" w:color="auto" w:sz="4" w:space="0"/>
              <w:left w:val="single" w:color="auto" w:sz="4" w:space="0"/>
              <w:bottom w:val="single" w:color="auto" w:sz="4" w:space="0"/>
              <w:right w:val="single" w:color="auto" w:sz="4" w:space="0"/>
            </w:tcBorders>
            <w:noWrap w:val="0"/>
            <w:vAlign w:val="center"/>
          </w:tcPr>
          <w:p w14:paraId="6D0D40FC">
            <w:pPr>
              <w:jc w:val="center"/>
              <w:rPr>
                <w:rFonts w:hint="eastAsia" w:ascii="宋体" w:hAnsi="宋体"/>
                <w:szCs w:val="21"/>
              </w:rPr>
            </w:pPr>
            <w:r>
              <w:rPr>
                <w:rFonts w:hint="eastAsia" w:ascii="宋体" w:hAnsi="宋体"/>
                <w:szCs w:val="21"/>
              </w:rPr>
              <w:t>服务参数</w:t>
            </w:r>
          </w:p>
        </w:tc>
        <w:tc>
          <w:tcPr>
            <w:tcW w:w="1516" w:type="dxa"/>
            <w:tcBorders>
              <w:top w:val="single" w:color="auto" w:sz="4" w:space="0"/>
              <w:left w:val="single" w:color="auto" w:sz="4" w:space="0"/>
              <w:bottom w:val="single" w:color="auto" w:sz="4" w:space="0"/>
              <w:right w:val="single" w:color="auto" w:sz="4" w:space="0"/>
            </w:tcBorders>
            <w:noWrap w:val="0"/>
            <w:vAlign w:val="center"/>
          </w:tcPr>
          <w:p w14:paraId="3CF5DAD4">
            <w:pPr>
              <w:jc w:val="center"/>
              <w:rPr>
                <w:rFonts w:hint="eastAsia" w:ascii="宋体" w:hAnsi="宋体"/>
                <w:szCs w:val="21"/>
              </w:rPr>
            </w:pPr>
            <w:r>
              <w:rPr>
                <w:rFonts w:hint="eastAsia" w:ascii="宋体" w:hAnsi="宋体" w:cs="宋体"/>
                <w:szCs w:val="21"/>
              </w:rPr>
              <w:t>标的</w:t>
            </w:r>
            <w:r>
              <w:rPr>
                <w:rFonts w:hint="eastAsia" w:ascii="宋体" w:hAnsi="宋体"/>
                <w:szCs w:val="21"/>
              </w:rPr>
              <w:t>名称</w:t>
            </w:r>
          </w:p>
        </w:tc>
        <w:tc>
          <w:tcPr>
            <w:tcW w:w="3297" w:type="dxa"/>
            <w:tcBorders>
              <w:top w:val="single" w:color="auto" w:sz="4" w:space="0"/>
              <w:left w:val="single" w:color="auto" w:sz="4" w:space="0"/>
              <w:bottom w:val="single" w:color="auto" w:sz="4" w:space="0"/>
              <w:right w:val="single" w:color="auto" w:sz="4" w:space="0"/>
            </w:tcBorders>
            <w:noWrap w:val="0"/>
            <w:vAlign w:val="center"/>
          </w:tcPr>
          <w:p w14:paraId="4714AF9A">
            <w:pPr>
              <w:jc w:val="center"/>
              <w:rPr>
                <w:rFonts w:hint="eastAsia" w:ascii="宋体" w:hAnsi="宋体"/>
                <w:szCs w:val="21"/>
              </w:rPr>
            </w:pPr>
            <w:r>
              <w:rPr>
                <w:rFonts w:hint="eastAsia" w:ascii="宋体" w:hAnsi="宋体"/>
                <w:szCs w:val="21"/>
              </w:rPr>
              <w:t>所提供服务的内容</w:t>
            </w:r>
          </w:p>
        </w:tc>
        <w:tc>
          <w:tcPr>
            <w:tcW w:w="1168" w:type="dxa"/>
            <w:vMerge w:val="continue"/>
            <w:tcBorders>
              <w:top w:val="single" w:color="auto" w:sz="4" w:space="0"/>
              <w:left w:val="single" w:color="auto" w:sz="4" w:space="0"/>
              <w:bottom w:val="single" w:color="auto" w:sz="4" w:space="0"/>
              <w:right w:val="single" w:color="auto" w:sz="4" w:space="0"/>
            </w:tcBorders>
            <w:noWrap w:val="0"/>
            <w:vAlign w:val="center"/>
          </w:tcPr>
          <w:p w14:paraId="1CFD3401">
            <w:pPr>
              <w:widowControl/>
              <w:jc w:val="left"/>
              <w:rPr>
                <w:rFonts w:ascii="宋体" w:hAnsi="宋体"/>
                <w:szCs w:val="21"/>
              </w:rPr>
            </w:pPr>
          </w:p>
        </w:tc>
      </w:tr>
      <w:tr w14:paraId="307E6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14:paraId="4584507B">
            <w:pPr>
              <w:rPr>
                <w:rFonts w:hint="eastAsia" w:ascii="宋体" w:hAnsi="宋体"/>
                <w:szCs w:val="21"/>
              </w:rPr>
            </w:pPr>
            <w:r>
              <w:rPr>
                <w:rFonts w:hint="eastAsia" w:ascii="宋体" w:hAnsi="宋体"/>
                <w:szCs w:val="21"/>
              </w:rPr>
              <w:t>1</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07472B4E">
            <w:pPr>
              <w:rPr>
                <w:rFonts w:hint="eastAsia" w:ascii="宋体" w:hAnsi="宋体"/>
                <w:szCs w:val="21"/>
              </w:rPr>
            </w:pPr>
            <w:r>
              <w:rPr>
                <w:rFonts w:hint="eastAsia" w:ascii="宋体" w:hAnsi="宋体"/>
                <w:szCs w:val="21"/>
              </w:rPr>
              <w:t>……</w:t>
            </w:r>
          </w:p>
        </w:tc>
        <w:tc>
          <w:tcPr>
            <w:tcW w:w="2310" w:type="dxa"/>
            <w:tcBorders>
              <w:top w:val="single" w:color="auto" w:sz="4" w:space="0"/>
              <w:left w:val="single" w:color="auto" w:sz="4" w:space="0"/>
              <w:bottom w:val="single" w:color="auto" w:sz="4" w:space="0"/>
              <w:right w:val="single" w:color="auto" w:sz="4" w:space="0"/>
            </w:tcBorders>
            <w:noWrap w:val="0"/>
            <w:vAlign w:val="center"/>
          </w:tcPr>
          <w:p w14:paraId="775C3962">
            <w:pPr>
              <w:rPr>
                <w:rFonts w:hint="eastAsia" w:ascii="宋体" w:hAnsi="宋体"/>
                <w:szCs w:val="21"/>
              </w:rPr>
            </w:pPr>
            <w:r>
              <w:rPr>
                <w:rFonts w:hint="eastAsia" w:ascii="宋体" w:hAnsi="宋体"/>
                <w:szCs w:val="21"/>
              </w:rPr>
              <w:t>1  ……</w:t>
            </w:r>
          </w:p>
          <w:p w14:paraId="59C3121E">
            <w:pPr>
              <w:rPr>
                <w:rFonts w:hint="eastAsia" w:ascii="宋体" w:hAnsi="宋体"/>
                <w:szCs w:val="21"/>
              </w:rPr>
            </w:pPr>
            <w:r>
              <w:rPr>
                <w:rFonts w:hint="eastAsia" w:ascii="宋体" w:hAnsi="宋体"/>
                <w:szCs w:val="21"/>
              </w:rPr>
              <w:t>2  ……</w:t>
            </w:r>
          </w:p>
          <w:p w14:paraId="5C92D4CF">
            <w:pPr>
              <w:rPr>
                <w:rFonts w:hint="eastAsia" w:ascii="宋体" w:hAnsi="宋体"/>
                <w:szCs w:val="21"/>
              </w:rPr>
            </w:pPr>
            <w:r>
              <w:rPr>
                <w:rFonts w:hint="eastAsia" w:ascii="宋体" w:hAnsi="宋体"/>
                <w:szCs w:val="21"/>
              </w:rPr>
              <w:t>3  ……</w:t>
            </w:r>
          </w:p>
          <w:p w14:paraId="33DA78DB">
            <w:pPr>
              <w:rPr>
                <w:rFonts w:hint="eastAsia" w:ascii="宋体" w:hAnsi="宋体"/>
                <w:szCs w:val="21"/>
              </w:rPr>
            </w:pPr>
            <w:r>
              <w:rPr>
                <w:rFonts w:hint="eastAsia" w:ascii="宋体" w:hAnsi="宋体"/>
                <w:szCs w:val="21"/>
              </w:rPr>
              <w:t>……</w:t>
            </w:r>
          </w:p>
        </w:tc>
        <w:tc>
          <w:tcPr>
            <w:tcW w:w="1516" w:type="dxa"/>
            <w:tcBorders>
              <w:top w:val="single" w:color="auto" w:sz="4" w:space="0"/>
              <w:left w:val="single" w:color="auto" w:sz="4" w:space="0"/>
              <w:bottom w:val="single" w:color="auto" w:sz="4" w:space="0"/>
              <w:right w:val="single" w:color="auto" w:sz="4" w:space="0"/>
            </w:tcBorders>
            <w:noWrap w:val="0"/>
            <w:vAlign w:val="center"/>
          </w:tcPr>
          <w:p w14:paraId="0FE6A938">
            <w:pPr>
              <w:rPr>
                <w:rFonts w:hint="eastAsia" w:ascii="宋体" w:hAnsi="宋体"/>
                <w:szCs w:val="21"/>
              </w:rPr>
            </w:pPr>
            <w:r>
              <w:rPr>
                <w:rFonts w:hint="eastAsia" w:ascii="宋体" w:hAnsi="宋体"/>
                <w:szCs w:val="21"/>
              </w:rPr>
              <w:t>……</w:t>
            </w:r>
          </w:p>
        </w:tc>
        <w:tc>
          <w:tcPr>
            <w:tcW w:w="3297" w:type="dxa"/>
            <w:tcBorders>
              <w:top w:val="single" w:color="auto" w:sz="4" w:space="0"/>
              <w:left w:val="single" w:color="auto" w:sz="4" w:space="0"/>
              <w:bottom w:val="single" w:color="auto" w:sz="4" w:space="0"/>
              <w:right w:val="single" w:color="auto" w:sz="4" w:space="0"/>
            </w:tcBorders>
            <w:noWrap w:val="0"/>
            <w:vAlign w:val="center"/>
          </w:tcPr>
          <w:p w14:paraId="09E17CB8">
            <w:pPr>
              <w:rPr>
                <w:rFonts w:hint="eastAsia" w:ascii="宋体" w:hAnsi="宋体"/>
                <w:szCs w:val="21"/>
              </w:rPr>
            </w:pPr>
            <w:r>
              <w:rPr>
                <w:rFonts w:hint="eastAsia" w:ascii="宋体" w:hAnsi="宋体"/>
                <w:szCs w:val="21"/>
              </w:rPr>
              <w:t>1  ……</w:t>
            </w:r>
          </w:p>
          <w:p w14:paraId="31C29686">
            <w:pPr>
              <w:rPr>
                <w:rFonts w:hint="eastAsia" w:ascii="宋体" w:hAnsi="宋体"/>
                <w:szCs w:val="21"/>
              </w:rPr>
            </w:pPr>
            <w:r>
              <w:rPr>
                <w:rFonts w:hint="eastAsia" w:ascii="宋体" w:hAnsi="宋体"/>
                <w:szCs w:val="21"/>
              </w:rPr>
              <w:t>2  ……</w:t>
            </w:r>
          </w:p>
          <w:p w14:paraId="1209E7B3">
            <w:pPr>
              <w:rPr>
                <w:rFonts w:hint="eastAsia" w:ascii="宋体" w:hAnsi="宋体"/>
                <w:szCs w:val="21"/>
              </w:rPr>
            </w:pPr>
            <w:r>
              <w:rPr>
                <w:rFonts w:hint="eastAsia" w:ascii="宋体" w:hAnsi="宋体"/>
                <w:szCs w:val="21"/>
              </w:rPr>
              <w:t>3  ……</w:t>
            </w:r>
          </w:p>
          <w:p w14:paraId="2B5A5442">
            <w:pPr>
              <w:rPr>
                <w:rFonts w:hint="eastAsia" w:ascii="宋体" w:hAnsi="宋体"/>
                <w:szCs w:val="21"/>
              </w:rPr>
            </w:pPr>
            <w:r>
              <w:rPr>
                <w:rFonts w:hint="eastAsia" w:ascii="宋体" w:hAnsi="宋体"/>
                <w:szCs w:val="21"/>
              </w:rPr>
              <w:t>……</w:t>
            </w:r>
          </w:p>
        </w:tc>
        <w:tc>
          <w:tcPr>
            <w:tcW w:w="1168" w:type="dxa"/>
            <w:tcBorders>
              <w:top w:val="single" w:color="auto" w:sz="4" w:space="0"/>
              <w:left w:val="single" w:color="auto" w:sz="4" w:space="0"/>
              <w:bottom w:val="single" w:color="auto" w:sz="4" w:space="0"/>
              <w:right w:val="single" w:color="auto" w:sz="4" w:space="0"/>
            </w:tcBorders>
            <w:noWrap w:val="0"/>
            <w:vAlign w:val="center"/>
          </w:tcPr>
          <w:p w14:paraId="3573FBE9">
            <w:pPr>
              <w:rPr>
                <w:rFonts w:hint="eastAsia" w:ascii="宋体" w:hAnsi="宋体"/>
                <w:szCs w:val="21"/>
              </w:rPr>
            </w:pPr>
            <w:r>
              <w:rPr>
                <w:rFonts w:hint="eastAsia" w:ascii="宋体" w:hAnsi="宋体"/>
                <w:szCs w:val="21"/>
              </w:rPr>
              <w:t>正偏离（负偏离或无偏离）</w:t>
            </w:r>
          </w:p>
        </w:tc>
      </w:tr>
      <w:tr w14:paraId="5D77E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14:paraId="088B17EA">
            <w:pPr>
              <w:rPr>
                <w:rFonts w:hint="eastAsia" w:ascii="宋体" w:hAnsi="宋体"/>
                <w:szCs w:val="21"/>
              </w:rPr>
            </w:pPr>
            <w:r>
              <w:rPr>
                <w:rFonts w:hint="eastAsia" w:ascii="宋体" w:hAnsi="宋体"/>
                <w:szCs w:val="21"/>
              </w:rPr>
              <w:t>2</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0DACE1E6">
            <w:pPr>
              <w:rPr>
                <w:rFonts w:hint="eastAsia" w:ascii="宋体" w:hAnsi="宋体"/>
                <w:szCs w:val="21"/>
              </w:rPr>
            </w:pPr>
            <w:r>
              <w:rPr>
                <w:rFonts w:hint="eastAsia" w:ascii="宋体" w:hAnsi="宋体"/>
                <w:szCs w:val="21"/>
              </w:rPr>
              <w:t>……</w:t>
            </w:r>
          </w:p>
        </w:tc>
        <w:tc>
          <w:tcPr>
            <w:tcW w:w="2310" w:type="dxa"/>
            <w:tcBorders>
              <w:top w:val="single" w:color="auto" w:sz="4" w:space="0"/>
              <w:left w:val="single" w:color="auto" w:sz="4" w:space="0"/>
              <w:bottom w:val="single" w:color="auto" w:sz="4" w:space="0"/>
              <w:right w:val="single" w:color="auto" w:sz="4" w:space="0"/>
            </w:tcBorders>
            <w:noWrap w:val="0"/>
            <w:vAlign w:val="center"/>
          </w:tcPr>
          <w:p w14:paraId="15D5806D">
            <w:pPr>
              <w:rPr>
                <w:rFonts w:hint="eastAsia" w:ascii="宋体" w:hAnsi="宋体"/>
                <w:szCs w:val="21"/>
              </w:rPr>
            </w:pPr>
            <w:r>
              <w:rPr>
                <w:rFonts w:hint="eastAsia" w:ascii="宋体" w:hAnsi="宋体"/>
                <w:szCs w:val="21"/>
              </w:rPr>
              <w:t>1  ……</w:t>
            </w:r>
          </w:p>
          <w:p w14:paraId="5096C91E">
            <w:pPr>
              <w:rPr>
                <w:rFonts w:hint="eastAsia" w:ascii="宋体" w:hAnsi="宋体"/>
                <w:szCs w:val="21"/>
              </w:rPr>
            </w:pPr>
            <w:r>
              <w:rPr>
                <w:rFonts w:hint="eastAsia" w:ascii="宋体" w:hAnsi="宋体"/>
                <w:szCs w:val="21"/>
              </w:rPr>
              <w:t>2  ……</w:t>
            </w:r>
          </w:p>
          <w:p w14:paraId="47E1B21B">
            <w:pPr>
              <w:rPr>
                <w:rFonts w:hint="eastAsia" w:ascii="宋体" w:hAnsi="宋体"/>
                <w:szCs w:val="21"/>
              </w:rPr>
            </w:pPr>
            <w:r>
              <w:rPr>
                <w:rFonts w:hint="eastAsia" w:ascii="宋体" w:hAnsi="宋体"/>
                <w:szCs w:val="21"/>
              </w:rPr>
              <w:t>3  ……</w:t>
            </w:r>
          </w:p>
          <w:p w14:paraId="258E0910">
            <w:pPr>
              <w:rPr>
                <w:rFonts w:hint="eastAsia" w:ascii="宋体" w:hAnsi="宋体"/>
                <w:szCs w:val="21"/>
              </w:rPr>
            </w:pPr>
            <w:r>
              <w:rPr>
                <w:rFonts w:hint="eastAsia" w:ascii="宋体" w:hAnsi="宋体"/>
                <w:szCs w:val="21"/>
              </w:rPr>
              <w:t>……</w:t>
            </w:r>
          </w:p>
        </w:tc>
        <w:tc>
          <w:tcPr>
            <w:tcW w:w="1516" w:type="dxa"/>
            <w:tcBorders>
              <w:top w:val="single" w:color="auto" w:sz="4" w:space="0"/>
              <w:left w:val="single" w:color="auto" w:sz="4" w:space="0"/>
              <w:bottom w:val="single" w:color="auto" w:sz="4" w:space="0"/>
              <w:right w:val="single" w:color="auto" w:sz="4" w:space="0"/>
            </w:tcBorders>
            <w:noWrap w:val="0"/>
            <w:vAlign w:val="center"/>
          </w:tcPr>
          <w:p w14:paraId="3E92C2AC">
            <w:pPr>
              <w:rPr>
                <w:rFonts w:hint="eastAsia" w:ascii="宋体" w:hAnsi="宋体"/>
                <w:szCs w:val="21"/>
              </w:rPr>
            </w:pPr>
            <w:r>
              <w:rPr>
                <w:rFonts w:hint="eastAsia" w:ascii="宋体" w:hAnsi="宋体"/>
                <w:szCs w:val="21"/>
              </w:rPr>
              <w:t>……</w:t>
            </w:r>
          </w:p>
        </w:tc>
        <w:tc>
          <w:tcPr>
            <w:tcW w:w="3297" w:type="dxa"/>
            <w:tcBorders>
              <w:top w:val="single" w:color="auto" w:sz="4" w:space="0"/>
              <w:left w:val="single" w:color="auto" w:sz="4" w:space="0"/>
              <w:bottom w:val="single" w:color="auto" w:sz="4" w:space="0"/>
              <w:right w:val="single" w:color="auto" w:sz="4" w:space="0"/>
            </w:tcBorders>
            <w:noWrap w:val="0"/>
            <w:vAlign w:val="center"/>
          </w:tcPr>
          <w:p w14:paraId="706BAA67">
            <w:pPr>
              <w:rPr>
                <w:rFonts w:hint="eastAsia" w:ascii="宋体" w:hAnsi="宋体"/>
                <w:szCs w:val="21"/>
              </w:rPr>
            </w:pPr>
            <w:r>
              <w:rPr>
                <w:rFonts w:hint="eastAsia" w:ascii="宋体" w:hAnsi="宋体"/>
                <w:szCs w:val="21"/>
              </w:rPr>
              <w:t>1  ……</w:t>
            </w:r>
          </w:p>
          <w:p w14:paraId="25A886AE">
            <w:pPr>
              <w:rPr>
                <w:rFonts w:hint="eastAsia" w:ascii="宋体" w:hAnsi="宋体"/>
                <w:szCs w:val="21"/>
              </w:rPr>
            </w:pPr>
            <w:r>
              <w:rPr>
                <w:rFonts w:hint="eastAsia" w:ascii="宋体" w:hAnsi="宋体"/>
                <w:szCs w:val="21"/>
              </w:rPr>
              <w:t>2  ……</w:t>
            </w:r>
          </w:p>
          <w:p w14:paraId="77B304C4">
            <w:pPr>
              <w:rPr>
                <w:rFonts w:hint="eastAsia" w:ascii="宋体" w:hAnsi="宋体"/>
                <w:szCs w:val="21"/>
              </w:rPr>
            </w:pPr>
            <w:r>
              <w:rPr>
                <w:rFonts w:hint="eastAsia" w:ascii="宋体" w:hAnsi="宋体"/>
                <w:szCs w:val="21"/>
              </w:rPr>
              <w:t>3  ……</w:t>
            </w:r>
          </w:p>
          <w:p w14:paraId="536B09FA">
            <w:pPr>
              <w:rPr>
                <w:rFonts w:hint="eastAsia" w:ascii="宋体" w:hAnsi="宋体"/>
                <w:szCs w:val="21"/>
              </w:rPr>
            </w:pPr>
            <w:r>
              <w:rPr>
                <w:rFonts w:hint="eastAsia" w:ascii="宋体" w:hAnsi="宋体"/>
                <w:szCs w:val="21"/>
              </w:rPr>
              <w:t>……</w:t>
            </w:r>
          </w:p>
        </w:tc>
        <w:tc>
          <w:tcPr>
            <w:tcW w:w="1168" w:type="dxa"/>
            <w:tcBorders>
              <w:top w:val="single" w:color="auto" w:sz="4" w:space="0"/>
              <w:left w:val="single" w:color="auto" w:sz="4" w:space="0"/>
              <w:bottom w:val="single" w:color="auto" w:sz="4" w:space="0"/>
              <w:right w:val="single" w:color="auto" w:sz="4" w:space="0"/>
            </w:tcBorders>
            <w:noWrap w:val="0"/>
            <w:vAlign w:val="center"/>
          </w:tcPr>
          <w:p w14:paraId="522CCBBA">
            <w:pPr>
              <w:rPr>
                <w:rFonts w:hint="eastAsia" w:ascii="宋体" w:hAnsi="宋体"/>
                <w:szCs w:val="21"/>
              </w:rPr>
            </w:pPr>
            <w:r>
              <w:rPr>
                <w:rFonts w:hint="eastAsia" w:ascii="宋体" w:hAnsi="宋体"/>
                <w:szCs w:val="21"/>
              </w:rPr>
              <w:t>正偏离（负偏离或无偏离）</w:t>
            </w:r>
          </w:p>
        </w:tc>
      </w:tr>
      <w:tr w14:paraId="46F78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14:paraId="7C3A270E">
            <w:pPr>
              <w:rPr>
                <w:rFonts w:hint="eastAsia" w:ascii="宋体" w:hAnsi="宋体"/>
                <w:szCs w:val="21"/>
              </w:rPr>
            </w:pPr>
            <w:r>
              <w:rPr>
                <w:rFonts w:hint="eastAsia" w:ascii="宋体" w:hAnsi="宋体"/>
                <w:szCs w:val="21"/>
              </w:rPr>
              <w:t>...</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43FB5815">
            <w:pPr>
              <w:rPr>
                <w:rFonts w:hint="eastAsia" w:ascii="宋体" w:hAnsi="宋体"/>
                <w:szCs w:val="21"/>
              </w:rPr>
            </w:pPr>
          </w:p>
        </w:tc>
        <w:tc>
          <w:tcPr>
            <w:tcW w:w="2310" w:type="dxa"/>
            <w:tcBorders>
              <w:top w:val="single" w:color="auto" w:sz="4" w:space="0"/>
              <w:left w:val="single" w:color="auto" w:sz="4" w:space="0"/>
              <w:bottom w:val="single" w:color="auto" w:sz="4" w:space="0"/>
              <w:right w:val="single" w:color="auto" w:sz="4" w:space="0"/>
            </w:tcBorders>
            <w:noWrap w:val="0"/>
            <w:vAlign w:val="center"/>
          </w:tcPr>
          <w:p w14:paraId="1A6E5669">
            <w:pPr>
              <w:rPr>
                <w:rFonts w:hint="eastAsia" w:ascii="宋体" w:hAnsi="宋体"/>
                <w:szCs w:val="21"/>
              </w:rPr>
            </w:pPr>
          </w:p>
        </w:tc>
        <w:tc>
          <w:tcPr>
            <w:tcW w:w="1516" w:type="dxa"/>
            <w:tcBorders>
              <w:top w:val="single" w:color="auto" w:sz="4" w:space="0"/>
              <w:left w:val="single" w:color="auto" w:sz="4" w:space="0"/>
              <w:bottom w:val="single" w:color="auto" w:sz="4" w:space="0"/>
              <w:right w:val="single" w:color="auto" w:sz="4" w:space="0"/>
            </w:tcBorders>
            <w:noWrap w:val="0"/>
            <w:vAlign w:val="center"/>
          </w:tcPr>
          <w:p w14:paraId="7A48214A">
            <w:pPr>
              <w:rPr>
                <w:rFonts w:hint="eastAsia" w:ascii="宋体" w:hAnsi="宋体"/>
                <w:szCs w:val="21"/>
              </w:rPr>
            </w:pPr>
          </w:p>
        </w:tc>
        <w:tc>
          <w:tcPr>
            <w:tcW w:w="3297" w:type="dxa"/>
            <w:tcBorders>
              <w:top w:val="single" w:color="auto" w:sz="4" w:space="0"/>
              <w:left w:val="single" w:color="auto" w:sz="4" w:space="0"/>
              <w:bottom w:val="single" w:color="auto" w:sz="4" w:space="0"/>
              <w:right w:val="single" w:color="auto" w:sz="4" w:space="0"/>
            </w:tcBorders>
            <w:noWrap w:val="0"/>
            <w:vAlign w:val="center"/>
          </w:tcPr>
          <w:p w14:paraId="113358A0">
            <w:pPr>
              <w:rPr>
                <w:rFonts w:hint="eastAsia" w:ascii="宋体" w:hAnsi="宋体"/>
                <w:szCs w:val="21"/>
              </w:rPr>
            </w:pPr>
          </w:p>
        </w:tc>
        <w:tc>
          <w:tcPr>
            <w:tcW w:w="1168" w:type="dxa"/>
            <w:tcBorders>
              <w:top w:val="single" w:color="auto" w:sz="4" w:space="0"/>
              <w:left w:val="single" w:color="auto" w:sz="4" w:space="0"/>
              <w:bottom w:val="single" w:color="auto" w:sz="4" w:space="0"/>
              <w:right w:val="single" w:color="auto" w:sz="4" w:space="0"/>
            </w:tcBorders>
            <w:noWrap w:val="0"/>
            <w:vAlign w:val="center"/>
          </w:tcPr>
          <w:p w14:paraId="66F7AD1B">
            <w:pPr>
              <w:rPr>
                <w:rFonts w:hint="eastAsia" w:ascii="宋体" w:hAnsi="宋体"/>
                <w:szCs w:val="21"/>
              </w:rPr>
            </w:pPr>
          </w:p>
        </w:tc>
      </w:tr>
      <w:tr w14:paraId="43A83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10185" w:type="dxa"/>
            <w:gridSpan w:val="6"/>
            <w:tcBorders>
              <w:top w:val="single" w:color="auto" w:sz="4" w:space="0"/>
              <w:left w:val="single" w:color="auto" w:sz="4" w:space="0"/>
              <w:bottom w:val="single" w:color="auto" w:sz="4" w:space="0"/>
              <w:right w:val="single" w:color="auto" w:sz="4" w:space="0"/>
            </w:tcBorders>
            <w:noWrap w:val="0"/>
            <w:vAlign w:val="center"/>
          </w:tcPr>
          <w:p w14:paraId="1449C2E6">
            <w:pPr>
              <w:rPr>
                <w:rFonts w:hint="eastAsia" w:ascii="宋体" w:hAnsi="宋体"/>
                <w:szCs w:val="21"/>
              </w:rPr>
            </w:pPr>
            <w:r>
              <w:rPr>
                <w:rFonts w:hint="eastAsia" w:ascii="宋体" w:hAnsi="宋体"/>
                <w:szCs w:val="21"/>
                <w:u w:val="single"/>
              </w:rPr>
              <w:t>　　</w:t>
            </w:r>
            <w:r>
              <w:rPr>
                <w:rFonts w:hint="eastAsia" w:ascii="宋体" w:hAnsi="宋体"/>
                <w:szCs w:val="21"/>
              </w:rPr>
              <w:t>分标（此处有分标时填写具体分标号，无分标时填写“无”）</w:t>
            </w:r>
          </w:p>
        </w:tc>
      </w:tr>
    </w:tbl>
    <w:p w14:paraId="15C2775A">
      <w:pPr>
        <w:pStyle w:val="11"/>
        <w:spacing w:line="360" w:lineRule="auto"/>
        <w:rPr>
          <w:rFonts w:hint="eastAsia" w:hAnsi="宋体"/>
          <w:szCs w:val="21"/>
        </w:rPr>
      </w:pPr>
      <w:r>
        <w:rPr>
          <w:rFonts w:hint="eastAsia" w:hAnsi="宋体"/>
          <w:szCs w:val="21"/>
        </w:rPr>
        <w:t>注：</w:t>
      </w:r>
    </w:p>
    <w:p w14:paraId="25F10591">
      <w:pPr>
        <w:pStyle w:val="11"/>
        <w:spacing w:line="360" w:lineRule="auto"/>
        <w:rPr>
          <w:rFonts w:hint="eastAsia" w:hAnsi="宋体"/>
          <w:szCs w:val="21"/>
        </w:rPr>
      </w:pPr>
      <w:r>
        <w:rPr>
          <w:rFonts w:hint="eastAsia" w:hAnsi="宋体" w:cs="宋体"/>
          <w:szCs w:val="21"/>
        </w:rPr>
        <w:t>1.</w:t>
      </w:r>
      <w:r>
        <w:rPr>
          <w:rFonts w:hint="eastAsia" w:hAnsi="宋体"/>
          <w:szCs w:val="21"/>
        </w:rPr>
        <w:t>表格内容均需按要求填写并盖章，不得留空，</w:t>
      </w:r>
      <w:r>
        <w:rPr>
          <w:rFonts w:hint="eastAsia" w:hAnsi="宋体"/>
          <w:bCs/>
          <w:szCs w:val="21"/>
        </w:rPr>
        <w:t>否则按投标无效处理</w:t>
      </w:r>
      <w:r>
        <w:rPr>
          <w:rFonts w:hint="eastAsia" w:hAnsi="宋体"/>
          <w:szCs w:val="21"/>
        </w:rPr>
        <w:t>。</w:t>
      </w:r>
    </w:p>
    <w:p w14:paraId="11ABCC48">
      <w:pPr>
        <w:pStyle w:val="11"/>
        <w:spacing w:line="360" w:lineRule="auto"/>
        <w:rPr>
          <w:rFonts w:hint="eastAsia" w:hAnsi="宋体"/>
          <w:szCs w:val="21"/>
        </w:rPr>
      </w:pPr>
      <w:r>
        <w:rPr>
          <w:rFonts w:hint="eastAsia" w:hAnsi="宋体"/>
          <w:bCs/>
          <w:szCs w:val="21"/>
        </w:rPr>
        <w:t>2.当投标文件的服务内容低于招标文件要求时，投标人应当如实写明“负偏离”，否则视为虚假应标。</w:t>
      </w:r>
    </w:p>
    <w:p w14:paraId="32C6DDFD">
      <w:pPr>
        <w:pStyle w:val="11"/>
        <w:spacing w:line="360" w:lineRule="auto"/>
        <w:rPr>
          <w:rFonts w:hint="eastAsia"/>
        </w:rPr>
      </w:pPr>
      <w:r>
        <w:rPr>
          <w:rFonts w:hint="eastAsia"/>
        </w:rPr>
        <w:t>3.</w:t>
      </w:r>
      <w:r>
        <w:rPr>
          <w:rFonts w:hint="eastAsia" w:hAnsi="宋体" w:cs="宋体"/>
          <w:szCs w:val="21"/>
        </w:rPr>
        <w:t>采购需求中带“▲”及“★”的条款，也要分别在本表“</w:t>
      </w:r>
      <w:r>
        <w:rPr>
          <w:rFonts w:hint="eastAsia" w:hAnsi="宋体"/>
          <w:szCs w:val="21"/>
        </w:rPr>
        <w:t>服务参数</w:t>
      </w:r>
      <w:r>
        <w:rPr>
          <w:rFonts w:hint="eastAsia" w:hAnsi="宋体" w:cs="宋体"/>
          <w:szCs w:val="21"/>
        </w:rPr>
        <w:t>”、“</w:t>
      </w:r>
      <w:r>
        <w:rPr>
          <w:rFonts w:hint="eastAsia" w:hAnsi="宋体"/>
          <w:szCs w:val="21"/>
        </w:rPr>
        <w:t>所提供服务的内容</w:t>
      </w:r>
      <w:r>
        <w:rPr>
          <w:rFonts w:hint="eastAsia" w:hAnsi="宋体" w:cs="宋体"/>
          <w:szCs w:val="21"/>
        </w:rPr>
        <w:t>”中标记。</w:t>
      </w:r>
    </w:p>
    <w:p w14:paraId="430FDB30">
      <w:pPr>
        <w:snapToGrid w:val="0"/>
        <w:spacing w:line="360" w:lineRule="auto"/>
        <w:ind w:firstLine="5640" w:firstLineChars="2350"/>
        <w:rPr>
          <w:rFonts w:hint="eastAsia" w:ascii="仿宋_GB2312" w:hAnsi="仿宋" w:eastAsia="仿宋_GB2312" w:cs="仿宋_GB2312"/>
          <w:kern w:val="0"/>
          <w:sz w:val="24"/>
          <w:lang w:val="zh-CN"/>
        </w:rPr>
      </w:pPr>
    </w:p>
    <w:p w14:paraId="67682EEA">
      <w:pPr>
        <w:snapToGrid w:val="0"/>
        <w:spacing w:line="360" w:lineRule="auto"/>
        <w:ind w:firstLine="5640" w:firstLineChars="2350"/>
        <w:rPr>
          <w:rFonts w:hint="eastAsia" w:ascii="仿宋_GB2312" w:hAnsi="仿宋" w:eastAsia="仿宋_GB2312" w:cs="仿宋_GB2312"/>
          <w:kern w:val="0"/>
          <w:sz w:val="24"/>
        </w:rPr>
      </w:pPr>
      <w:r>
        <w:rPr>
          <w:rFonts w:hint="eastAsia" w:ascii="仿宋_GB2312" w:hAnsi="仿宋" w:eastAsia="仿宋_GB2312" w:cs="仿宋_GB2312"/>
          <w:kern w:val="0"/>
          <w:sz w:val="24"/>
          <w:lang w:val="zh-CN"/>
        </w:rPr>
        <w:t>投标人名称(电子签章)：</w:t>
      </w:r>
    </w:p>
    <w:p w14:paraId="1A3AED7B">
      <w:pPr>
        <w:snapToGrid w:val="0"/>
        <w:spacing w:line="360" w:lineRule="auto"/>
        <w:ind w:firstLine="5160" w:firstLineChars="2150"/>
        <w:rPr>
          <w:rFonts w:hint="eastAsia" w:ascii="仿宋_GB2312" w:hAnsi="仿宋" w:eastAsia="仿宋_GB2312" w:cs="仿宋_GB2312"/>
          <w:kern w:val="0"/>
          <w:sz w:val="24"/>
          <w:lang w:val="zh-CN"/>
        </w:rPr>
      </w:pPr>
      <w:r>
        <w:rPr>
          <w:rFonts w:hint="eastAsia" w:ascii="仿宋_GB2312" w:hAnsi="仿宋" w:eastAsia="仿宋_GB2312" w:cs="仿宋_GB2312"/>
          <w:kern w:val="0"/>
          <w:sz w:val="24"/>
          <w:lang w:val="zh-CN"/>
        </w:rPr>
        <w:t>日期</w:t>
      </w:r>
      <w:r>
        <w:rPr>
          <w:rFonts w:hint="eastAsia" w:ascii="仿宋_GB2312" w:hAnsi="仿宋" w:eastAsia="仿宋_GB2312" w:cs="仿宋_GB2312"/>
          <w:kern w:val="0"/>
          <w:sz w:val="24"/>
        </w:rPr>
        <w:t xml:space="preserve">：  年  </w:t>
      </w:r>
      <w:r>
        <w:rPr>
          <w:rFonts w:hint="eastAsia" w:ascii="仿宋_GB2312" w:hAnsi="仿宋" w:eastAsia="仿宋_GB2312" w:cs="仿宋_GB2312"/>
          <w:kern w:val="0"/>
          <w:sz w:val="24"/>
          <w:lang w:val="zh-CN"/>
        </w:rPr>
        <w:t>月</w:t>
      </w:r>
      <w:r>
        <w:rPr>
          <w:rFonts w:hint="eastAsia" w:ascii="仿宋_GB2312" w:hAnsi="仿宋" w:eastAsia="仿宋_GB2312" w:cs="仿宋_GB2312"/>
          <w:kern w:val="0"/>
          <w:sz w:val="24"/>
        </w:rPr>
        <w:t xml:space="preserve">   </w:t>
      </w:r>
      <w:r>
        <w:rPr>
          <w:rFonts w:hint="eastAsia" w:ascii="仿宋_GB2312" w:hAnsi="仿宋" w:eastAsia="仿宋_GB2312" w:cs="仿宋_GB2312"/>
          <w:kern w:val="0"/>
          <w:sz w:val="24"/>
          <w:lang w:val="zh-CN"/>
        </w:rPr>
        <w:t>日</w:t>
      </w:r>
    </w:p>
    <w:p w14:paraId="1187C55B">
      <w:pPr>
        <w:widowControl/>
        <w:jc w:val="left"/>
        <w:rPr>
          <w:rFonts w:ascii="宋体" w:hAnsi="宋体"/>
          <w:color w:val="000000"/>
          <w:sz w:val="30"/>
          <w:szCs w:val="20"/>
        </w:rPr>
        <w:sectPr>
          <w:pgSz w:w="11906" w:h="16838"/>
          <w:pgMar w:top="1134" w:right="1134" w:bottom="1134" w:left="1134" w:header="720" w:footer="720" w:gutter="0"/>
          <w:cols w:space="720" w:num="1"/>
          <w:docGrid w:type="lines" w:linePitch="331" w:charSpace="0"/>
        </w:sectPr>
      </w:pPr>
    </w:p>
    <w:p w14:paraId="1E703922">
      <w:pPr>
        <w:snapToGrid w:val="0"/>
        <w:spacing w:before="165" w:beforeLines="50" w:after="50"/>
        <w:jc w:val="center"/>
        <w:rPr>
          <w:rFonts w:hint="eastAsia"/>
          <w:b/>
          <w:bCs/>
          <w:sz w:val="30"/>
          <w:szCs w:val="30"/>
        </w:rPr>
      </w:pPr>
      <w:r>
        <w:rPr>
          <w:rFonts w:hint="eastAsia"/>
          <w:b/>
          <w:bCs/>
          <w:sz w:val="30"/>
          <w:szCs w:val="30"/>
        </w:rPr>
        <w:t>二、组织服务方案</w:t>
      </w:r>
    </w:p>
    <w:p w14:paraId="37A80BC1">
      <w:pPr>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rPr>
        <w:t>（由投标人根据采购需求及招标文件要求编制）</w:t>
      </w:r>
    </w:p>
    <w:p w14:paraId="50C95843">
      <w:pPr>
        <w:rPr>
          <w:rFonts w:hint="eastAsia" w:ascii="仿宋_GB2312" w:hAnsi="仿宋" w:eastAsia="仿宋_GB2312" w:cs="仿宋_GB2312"/>
          <w:b/>
          <w:bCs/>
          <w:kern w:val="0"/>
          <w:sz w:val="24"/>
          <w:lang w:val="zh-CN"/>
        </w:rPr>
      </w:pPr>
    </w:p>
    <w:p w14:paraId="10CDE839">
      <w:pPr>
        <w:rPr>
          <w:rFonts w:hint="eastAsia" w:ascii="仿宋_GB2312" w:hAnsi="仿宋" w:eastAsia="仿宋_GB2312" w:cs="仿宋_GB2312"/>
          <w:b/>
          <w:bCs/>
          <w:kern w:val="0"/>
          <w:sz w:val="24"/>
          <w:lang w:val="zh-CN"/>
        </w:rPr>
      </w:pPr>
    </w:p>
    <w:p w14:paraId="72F0FEC4">
      <w:pPr>
        <w:rPr>
          <w:rFonts w:hint="eastAsia" w:ascii="仿宋_GB2312" w:hAnsi="仿宋" w:eastAsia="仿宋_GB2312" w:cs="仿宋_GB2312"/>
          <w:b/>
          <w:bCs/>
          <w:kern w:val="0"/>
          <w:sz w:val="24"/>
          <w:lang w:val="zh-CN"/>
        </w:rPr>
      </w:pPr>
    </w:p>
    <w:p w14:paraId="38F03E28">
      <w:pPr>
        <w:rPr>
          <w:rFonts w:hint="eastAsia" w:ascii="仿宋_GB2312" w:hAnsi="仿宋" w:eastAsia="仿宋_GB2312" w:cs="仿宋_GB2312"/>
          <w:b/>
          <w:bCs/>
          <w:kern w:val="0"/>
          <w:sz w:val="24"/>
          <w:lang w:val="zh-CN"/>
        </w:rPr>
      </w:pPr>
      <w:bookmarkStart w:id="410" w:name="_Toc78473822"/>
      <w:r>
        <w:rPr>
          <w:rFonts w:hint="eastAsia" w:ascii="仿宋_GB2312" w:hAnsi="仿宋" w:eastAsia="仿宋_GB2312" w:cs="仿宋_GB2312"/>
          <w:b/>
          <w:bCs/>
          <w:kern w:val="0"/>
          <w:sz w:val="24"/>
          <w:lang w:val="zh-CN"/>
        </w:rPr>
        <w:t>附表：项目实施进度计划表</w:t>
      </w:r>
      <w:r>
        <w:rPr>
          <w:rFonts w:hint="eastAsia" w:ascii="仿宋_GB2312" w:hAnsi="仿宋" w:eastAsia="仿宋_GB2312" w:cs="仿宋_GB2312"/>
          <w:b/>
          <w:sz w:val="24"/>
        </w:rPr>
        <w:t>(以生效日算起)</w:t>
      </w:r>
      <w:bookmarkEnd w:id="410"/>
      <w:r>
        <w:rPr>
          <w:rFonts w:hint="eastAsia" w:ascii="仿宋_GB2312" w:hAnsi="仿宋" w:eastAsia="仿宋_GB2312" w:cs="仿宋_GB2312"/>
          <w:b/>
          <w:sz w:val="24"/>
        </w:rPr>
        <w:t xml:space="preserve"> </w:t>
      </w:r>
    </w:p>
    <w:tbl>
      <w:tblPr>
        <w:tblStyle w:val="16"/>
        <w:tblW w:w="0" w:type="auto"/>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14:paraId="679D8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trPr>
        <w:tc>
          <w:tcPr>
            <w:tcW w:w="1188" w:type="dxa"/>
            <w:tcBorders>
              <w:top w:val="single" w:color="auto" w:sz="4" w:space="0"/>
              <w:left w:val="single" w:color="auto" w:sz="4" w:space="0"/>
              <w:bottom w:val="single" w:color="auto" w:sz="4" w:space="0"/>
              <w:right w:val="single" w:color="auto" w:sz="4" w:space="0"/>
            </w:tcBorders>
            <w:noWrap w:val="0"/>
            <w:vAlign w:val="center"/>
          </w:tcPr>
          <w:p w14:paraId="258C76E3">
            <w:pPr>
              <w:spacing w:line="360" w:lineRule="auto"/>
              <w:rPr>
                <w:rFonts w:hint="eastAsia" w:ascii="仿宋_GB2312" w:hAnsi="仿宋" w:eastAsia="仿宋_GB2312" w:cs="仿宋_GB2312"/>
                <w:sz w:val="24"/>
              </w:rPr>
            </w:pPr>
            <w:r>
              <w:rPr>
                <w:rFonts w:hint="eastAsia"/>
              </w:rPr>
              <mc:AlternateContent>
                <mc:Choice Requires="wpg">
                  <w:drawing>
                    <wp:anchor distT="0" distB="0" distL="114300" distR="114300" simplePos="0" relativeHeight="251659264" behindDoc="0" locked="0" layoutInCell="1" allowOverlap="1">
                      <wp:simplePos x="0" y="0"/>
                      <wp:positionH relativeFrom="column">
                        <wp:posOffset>-65405</wp:posOffset>
                      </wp:positionH>
                      <wp:positionV relativeFrom="paragraph">
                        <wp:posOffset>0</wp:posOffset>
                      </wp:positionV>
                      <wp:extent cx="748030" cy="1181100"/>
                      <wp:effectExtent l="3810" t="2540" r="10160" b="5080"/>
                      <wp:wrapNone/>
                      <wp:docPr id="10" name="组合 10"/>
                      <wp:cNvGraphicFramePr/>
                      <a:graphic xmlns:a="http://schemas.openxmlformats.org/drawingml/2006/main">
                        <a:graphicData uri="http://schemas.microsoft.com/office/word/2010/wordprocessingGroup">
                          <wpg:wgp>
                            <wpg:cNvGrpSpPr/>
                            <wpg:grpSpPr>
                              <a:xfrm>
                                <a:off x="0" y="0"/>
                                <a:ext cx="748030" cy="1181100"/>
                                <a:chOff x="0" y="0"/>
                                <a:chExt cx="1178" cy="1860"/>
                              </a:xfrm>
                              <a:effectLst/>
                            </wpg:grpSpPr>
                            <wps:wsp>
                              <wps:cNvPr id="11" name="__TH_L2"/>
                              <wps:cNvCnPr/>
                              <wps:spPr bwMode="auto">
                                <a:xfrm>
                                  <a:off x="0" y="0"/>
                                  <a:ext cx="1178" cy="1860"/>
                                </a:xfrm>
                                <a:prstGeom prst="line">
                                  <a:avLst/>
                                </a:prstGeom>
                                <a:noFill/>
                                <a:ln w="6350">
                                  <a:solidFill>
                                    <a:srgbClr val="000000"/>
                                  </a:solidFill>
                                  <a:round/>
                                </a:ln>
                                <a:effectLst/>
                              </wps:spPr>
                              <wps:bodyPr/>
                            </wps:wsp>
                            <wps:wsp>
                              <wps:cNvPr id="12" name="__TH_B113"/>
                              <wps:cNvSpPr txBox="1">
                                <a:spLocks noChangeArrowheads="1"/>
                              </wps:cNvSpPr>
                              <wps:spPr bwMode="auto">
                                <a:xfrm>
                                  <a:off x="455" y="122"/>
                                  <a:ext cx="253" cy="263"/>
                                </a:xfrm>
                                <a:prstGeom prst="rect">
                                  <a:avLst/>
                                </a:prstGeom>
                                <a:noFill/>
                                <a:ln>
                                  <a:noFill/>
                                </a:ln>
                                <a:effectLst/>
                              </wps:spPr>
                              <wps:txbx>
                                <w:txbxContent>
                                  <w:p w14:paraId="171DBCB9">
                                    <w:pPr>
                                      <w:snapToGrid w:val="0"/>
                                    </w:pPr>
                                    <w:r>
                                      <w:rPr>
                                        <w:rFonts w:hint="eastAsia"/>
                                      </w:rPr>
                                      <w:t>工</w:t>
                                    </w:r>
                                  </w:p>
                                </w:txbxContent>
                              </wps:txbx>
                              <wps:bodyPr rot="0" vert="horz" wrap="square" lIns="0" tIns="0" rIns="0" bIns="0" anchor="t" anchorCtr="0" upright="1">
                                <a:noAutofit/>
                              </wps:bodyPr>
                            </wps:wsp>
                            <wps:wsp>
                              <wps:cNvPr id="13" name="__TH_B124"/>
                              <wps:cNvSpPr txBox="1">
                                <a:spLocks noChangeArrowheads="1"/>
                              </wps:cNvSpPr>
                              <wps:spPr bwMode="auto">
                                <a:xfrm>
                                  <a:off x="643" y="419"/>
                                  <a:ext cx="253" cy="263"/>
                                </a:xfrm>
                                <a:prstGeom prst="rect">
                                  <a:avLst/>
                                </a:prstGeom>
                                <a:noFill/>
                                <a:ln>
                                  <a:noFill/>
                                </a:ln>
                                <a:effectLst/>
                              </wps:spPr>
                              <wps:txbx>
                                <w:txbxContent>
                                  <w:p w14:paraId="0D2C5DDB">
                                    <w:pPr>
                                      <w:snapToGrid w:val="0"/>
                                    </w:pPr>
                                    <w:r>
                                      <w:rPr>
                                        <w:rFonts w:hint="eastAsia"/>
                                      </w:rPr>
                                      <w:t>作</w:t>
                                    </w:r>
                                  </w:p>
                                </w:txbxContent>
                              </wps:txbx>
                              <wps:bodyPr rot="0" vert="horz" wrap="square" lIns="0" tIns="0" rIns="0" bIns="0" anchor="t" anchorCtr="0" upright="1">
                                <a:noAutofit/>
                              </wps:bodyPr>
                            </wps:wsp>
                            <wps:wsp>
                              <wps:cNvPr id="14" name="__TH_B135"/>
                              <wps:cNvSpPr txBox="1">
                                <a:spLocks noChangeArrowheads="1"/>
                              </wps:cNvSpPr>
                              <wps:spPr bwMode="auto">
                                <a:xfrm>
                                  <a:off x="831" y="717"/>
                                  <a:ext cx="253" cy="262"/>
                                </a:xfrm>
                                <a:prstGeom prst="rect">
                                  <a:avLst/>
                                </a:prstGeom>
                                <a:noFill/>
                                <a:ln>
                                  <a:noFill/>
                                </a:ln>
                                <a:effectLst/>
                              </wps:spPr>
                              <wps:txbx>
                                <w:txbxContent>
                                  <w:p w14:paraId="73B24C3E">
                                    <w:pPr>
                                      <w:snapToGrid w:val="0"/>
                                    </w:pPr>
                                    <w:r>
                                      <w:rPr>
                                        <w:rFonts w:hint="eastAsia"/>
                                      </w:rPr>
                                      <w:t>日</w:t>
                                    </w:r>
                                  </w:p>
                                </w:txbxContent>
                              </wps:txbx>
                              <wps:bodyPr rot="0" vert="horz" wrap="square" lIns="0" tIns="0" rIns="0" bIns="0" anchor="t" anchorCtr="0" upright="1">
                                <a:noAutofit/>
                              </wps:bodyPr>
                            </wps:wsp>
                          </wpg:wgp>
                        </a:graphicData>
                      </a:graphic>
                    </wp:anchor>
                  </w:drawing>
                </mc:Choice>
                <mc:Fallback>
                  <w:pict>
                    <v:group id="_x0000_s1026" o:spid="_x0000_s1026" o:spt="203" style="position:absolute;left:0pt;margin-left:-5.15pt;margin-top:0pt;height:93pt;width:58.9pt;z-index:251659264;mso-width-relative:page;mso-height-relative:page;" coordsize="1178,1860" o:gfxdata="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">
                      <o:lock v:ext="edit" aspectratio="f"/>
                      <v:line id="__TH_L2" o:spid="_x0000_s1026" o:spt="20" style="position:absolute;left:0;top:0;height:1860;width:1178;" filled="f" stroked="t" coordsize="21600,21600" o:gfxdata="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h9fiCLgAAADbAAAA&#10;DwAAAAAAAAABACAAAAAiAAAAZHJzL2Rvd25yZXYueG1sUEsBAhQAFAAAAAgAh07iQDMvBZ47AAAA&#10;OQAAABAAAAAAAAAAAQAgAAAABwEAAGRycy9zaGFwZXhtbC54bWxQSwUGAAAAAAYABgBbAQAAsQMA&#10;AAAA&#10;">
                        <v:fill on="f" focussize="0,0"/>
                        <v:stroke weight="0.5pt" color="#000000" joinstyle="round"/>
                        <v:imagedata o:title=""/>
                        <o:lock v:ext="edit" aspectratio="f"/>
                      </v:line>
                      <v:shape id="__TH_B113" o:spid="_x0000_s1026" o:spt="202" type="#_x0000_t202" style="position:absolute;left:455;top:122;height:263;width:253;" filled="f" stroked="f" coordsize="21600,21600" o:gfxdata="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WUylS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171DBCB9">
                              <w:pPr>
                                <w:snapToGrid w:val="0"/>
                              </w:pPr>
                              <w:r>
                                <w:rPr>
                                  <w:rFonts w:hint="eastAsia"/>
                                </w:rPr>
                                <w:t>工</w:t>
                              </w:r>
                            </w:p>
                          </w:txbxContent>
                        </v:textbox>
                      </v:shape>
                      <v:shape id="__TH_B124" o:spid="_x0000_s1026" o:spt="202" type="#_x0000_t202" style="position:absolute;left:643;top:419;height:263;width:253;" filled="f" stroked="f" coordsize="21600,21600" o:gfxdata="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rYb8+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0D2C5DDB">
                              <w:pPr>
                                <w:snapToGrid w:val="0"/>
                              </w:pPr>
                              <w:r>
                                <w:rPr>
                                  <w:rFonts w:hint="eastAsia"/>
                                </w:rPr>
                                <w:t>作</w:t>
                              </w:r>
                            </w:p>
                          </w:txbxContent>
                        </v:textbox>
                      </v:shape>
                      <v:shape id="__TH_B135" o:spid="_x0000_s1026" o:spt="202" type="#_x0000_t202" style="position:absolute;left:831;top:717;height:262;width:253;" filled="f" stroked="f" coordsize="21600,21600" o:gfxdata="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Ux97u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73B24C3E">
                              <w:pPr>
                                <w:snapToGrid w:val="0"/>
                              </w:pPr>
                              <w:r>
                                <w:rPr>
                                  <w:rFonts w:hint="eastAsia"/>
                                </w:rPr>
                                <w:t>日</w:t>
                              </w:r>
                            </w:p>
                          </w:txbxContent>
                        </v:textbox>
                      </v:shape>
                    </v:group>
                  </w:pict>
                </mc:Fallback>
              </mc:AlternateContent>
            </w:r>
          </w:p>
          <w:p w14:paraId="1AF4F547">
            <w:pPr>
              <w:spacing w:line="360" w:lineRule="auto"/>
              <w:rPr>
                <w:rFonts w:hint="eastAsia" w:ascii="仿宋_GB2312" w:hAnsi="仿宋" w:eastAsia="仿宋_GB2312" w:cs="仿宋_GB2312"/>
                <w:sz w:val="24"/>
              </w:rPr>
            </w:pPr>
          </w:p>
          <w:p w14:paraId="33BB5102">
            <w:pPr>
              <w:spacing w:line="360" w:lineRule="auto"/>
              <w:rPr>
                <w:rFonts w:hint="eastAsia" w:ascii="仿宋_GB2312" w:hAnsi="仿宋" w:eastAsia="仿宋_GB2312" w:cs="仿宋_GB2312"/>
                <w:sz w:val="24"/>
              </w:rPr>
            </w:pPr>
          </w:p>
          <w:p w14:paraId="12099739">
            <w:pPr>
              <w:spacing w:line="360" w:lineRule="auto"/>
              <w:rPr>
                <w:rFonts w:hint="eastAsia" w:ascii="仿宋_GB2312" w:hAnsi="仿宋" w:eastAsia="仿宋_GB2312" w:cs="仿宋_GB2312"/>
                <w:sz w:val="24"/>
              </w:rPr>
            </w:pPr>
            <w:r>
              <w:rPr>
                <w:rFonts w:hint="eastAsia" w:ascii="仿宋_GB2312" w:hAnsi="仿宋" w:eastAsia="仿宋_GB2312" w:cs="仿宋_GB2312"/>
                <w:sz w:val="24"/>
              </w:rPr>
              <w:t>内容</w:t>
            </w:r>
          </w:p>
        </w:tc>
        <w:tc>
          <w:tcPr>
            <w:tcW w:w="552" w:type="dxa"/>
            <w:tcBorders>
              <w:top w:val="single" w:color="auto" w:sz="4" w:space="0"/>
              <w:left w:val="single" w:color="auto" w:sz="4" w:space="0"/>
              <w:bottom w:val="single" w:color="auto" w:sz="4" w:space="0"/>
              <w:right w:val="single" w:color="auto" w:sz="4" w:space="0"/>
            </w:tcBorders>
            <w:noWrap w:val="0"/>
            <w:vAlign w:val="center"/>
          </w:tcPr>
          <w:p w14:paraId="065BDBBE">
            <w:pPr>
              <w:spacing w:line="360" w:lineRule="auto"/>
              <w:rPr>
                <w:rFonts w:hint="eastAsia" w:ascii="仿宋_GB2312" w:hAnsi="仿宋" w:eastAsia="仿宋_GB2312" w:cs="仿宋_GB2312"/>
                <w:sz w:val="24"/>
              </w:rPr>
            </w:pPr>
            <w:r>
              <w:rPr>
                <w:rFonts w:hint="eastAsia" w:ascii="仿宋_GB2312" w:hAnsi="仿宋" w:eastAsia="仿宋_GB2312" w:cs="仿宋_GB2312"/>
                <w:sz w:val="24"/>
              </w:rPr>
              <w:t>1</w:t>
            </w:r>
          </w:p>
        </w:tc>
        <w:tc>
          <w:tcPr>
            <w:tcW w:w="552" w:type="dxa"/>
            <w:tcBorders>
              <w:top w:val="single" w:color="auto" w:sz="4" w:space="0"/>
              <w:left w:val="single" w:color="auto" w:sz="4" w:space="0"/>
              <w:bottom w:val="single" w:color="auto" w:sz="4" w:space="0"/>
              <w:right w:val="single" w:color="auto" w:sz="4" w:space="0"/>
            </w:tcBorders>
            <w:noWrap w:val="0"/>
            <w:vAlign w:val="center"/>
          </w:tcPr>
          <w:p w14:paraId="53FC8B13">
            <w:pPr>
              <w:spacing w:line="360" w:lineRule="auto"/>
              <w:rPr>
                <w:rFonts w:hint="eastAsia" w:ascii="仿宋_GB2312" w:hAnsi="仿宋" w:eastAsia="仿宋_GB2312" w:cs="仿宋_GB2312"/>
                <w:sz w:val="24"/>
              </w:rPr>
            </w:pPr>
            <w:r>
              <w:rPr>
                <w:rFonts w:hint="eastAsia" w:ascii="仿宋_GB2312" w:hAnsi="仿宋" w:eastAsia="仿宋_GB2312" w:cs="仿宋_GB2312"/>
                <w:sz w:val="24"/>
              </w:rPr>
              <w:t>2</w:t>
            </w:r>
          </w:p>
        </w:tc>
        <w:tc>
          <w:tcPr>
            <w:tcW w:w="552" w:type="dxa"/>
            <w:tcBorders>
              <w:top w:val="single" w:color="auto" w:sz="4" w:space="0"/>
              <w:left w:val="single" w:color="auto" w:sz="4" w:space="0"/>
              <w:bottom w:val="single" w:color="auto" w:sz="4" w:space="0"/>
              <w:right w:val="single" w:color="auto" w:sz="4" w:space="0"/>
            </w:tcBorders>
            <w:noWrap w:val="0"/>
            <w:vAlign w:val="center"/>
          </w:tcPr>
          <w:p w14:paraId="57EAF245">
            <w:pPr>
              <w:spacing w:line="360" w:lineRule="auto"/>
              <w:rPr>
                <w:rFonts w:hint="eastAsia" w:ascii="仿宋_GB2312" w:hAnsi="仿宋" w:eastAsia="仿宋_GB2312" w:cs="仿宋_GB2312"/>
                <w:sz w:val="24"/>
              </w:rPr>
            </w:pPr>
            <w:r>
              <w:rPr>
                <w:rFonts w:hint="eastAsia" w:ascii="仿宋_GB2312" w:hAnsi="仿宋" w:eastAsia="仿宋_GB2312" w:cs="仿宋_GB2312"/>
                <w:sz w:val="24"/>
              </w:rPr>
              <w:t>3</w:t>
            </w:r>
          </w:p>
        </w:tc>
        <w:tc>
          <w:tcPr>
            <w:tcW w:w="552" w:type="dxa"/>
            <w:tcBorders>
              <w:top w:val="single" w:color="auto" w:sz="4" w:space="0"/>
              <w:left w:val="single" w:color="auto" w:sz="4" w:space="0"/>
              <w:bottom w:val="single" w:color="auto" w:sz="4" w:space="0"/>
              <w:right w:val="single" w:color="auto" w:sz="4" w:space="0"/>
            </w:tcBorders>
            <w:noWrap w:val="0"/>
            <w:vAlign w:val="center"/>
          </w:tcPr>
          <w:p w14:paraId="14C0A89D">
            <w:pPr>
              <w:spacing w:line="360" w:lineRule="auto"/>
              <w:rPr>
                <w:rFonts w:hint="eastAsia" w:ascii="仿宋_GB2312" w:hAnsi="仿宋" w:eastAsia="仿宋_GB2312" w:cs="仿宋_GB2312"/>
                <w:sz w:val="24"/>
              </w:rPr>
            </w:pPr>
            <w:r>
              <w:rPr>
                <w:rFonts w:hint="eastAsia" w:ascii="仿宋_GB2312" w:hAnsi="仿宋" w:eastAsia="仿宋_GB2312" w:cs="仿宋_GB2312"/>
                <w:sz w:val="24"/>
              </w:rPr>
              <w:t>4</w:t>
            </w:r>
          </w:p>
        </w:tc>
        <w:tc>
          <w:tcPr>
            <w:tcW w:w="552" w:type="dxa"/>
            <w:tcBorders>
              <w:top w:val="single" w:color="auto" w:sz="4" w:space="0"/>
              <w:left w:val="single" w:color="auto" w:sz="4" w:space="0"/>
              <w:bottom w:val="single" w:color="auto" w:sz="4" w:space="0"/>
              <w:right w:val="single" w:color="auto" w:sz="4" w:space="0"/>
            </w:tcBorders>
            <w:noWrap w:val="0"/>
            <w:vAlign w:val="center"/>
          </w:tcPr>
          <w:p w14:paraId="043E3EDE">
            <w:pPr>
              <w:spacing w:line="360" w:lineRule="auto"/>
              <w:rPr>
                <w:rFonts w:hint="eastAsia" w:ascii="仿宋_GB2312" w:hAnsi="仿宋" w:eastAsia="仿宋_GB2312" w:cs="仿宋_GB2312"/>
                <w:sz w:val="24"/>
              </w:rPr>
            </w:pPr>
            <w:r>
              <w:rPr>
                <w:rFonts w:hint="eastAsia" w:ascii="仿宋_GB2312" w:hAnsi="仿宋" w:eastAsia="仿宋_GB2312" w:cs="仿宋_GB2312"/>
                <w:sz w:val="24"/>
              </w:rPr>
              <w:t>5</w:t>
            </w:r>
          </w:p>
        </w:tc>
        <w:tc>
          <w:tcPr>
            <w:tcW w:w="552" w:type="dxa"/>
            <w:tcBorders>
              <w:top w:val="single" w:color="auto" w:sz="4" w:space="0"/>
              <w:left w:val="single" w:color="auto" w:sz="4" w:space="0"/>
              <w:bottom w:val="single" w:color="auto" w:sz="4" w:space="0"/>
              <w:right w:val="single" w:color="auto" w:sz="4" w:space="0"/>
            </w:tcBorders>
            <w:noWrap w:val="0"/>
            <w:vAlign w:val="center"/>
          </w:tcPr>
          <w:p w14:paraId="4774A7C1">
            <w:pPr>
              <w:spacing w:line="360" w:lineRule="auto"/>
              <w:rPr>
                <w:rFonts w:hint="eastAsia" w:ascii="仿宋_GB2312" w:hAnsi="仿宋" w:eastAsia="仿宋_GB2312" w:cs="仿宋_GB2312"/>
                <w:sz w:val="24"/>
              </w:rPr>
            </w:pPr>
            <w:r>
              <w:rPr>
                <w:rFonts w:hint="eastAsia" w:ascii="仿宋_GB2312" w:hAnsi="仿宋" w:eastAsia="仿宋_GB2312" w:cs="仿宋_GB2312"/>
                <w:sz w:val="24"/>
              </w:rPr>
              <w:t>6</w:t>
            </w:r>
          </w:p>
        </w:tc>
        <w:tc>
          <w:tcPr>
            <w:tcW w:w="553" w:type="dxa"/>
            <w:tcBorders>
              <w:top w:val="single" w:color="auto" w:sz="4" w:space="0"/>
              <w:left w:val="single" w:color="auto" w:sz="4" w:space="0"/>
              <w:bottom w:val="single" w:color="auto" w:sz="4" w:space="0"/>
              <w:right w:val="single" w:color="auto" w:sz="4" w:space="0"/>
            </w:tcBorders>
            <w:noWrap w:val="0"/>
            <w:vAlign w:val="center"/>
          </w:tcPr>
          <w:p w14:paraId="2CC39399">
            <w:pPr>
              <w:spacing w:line="360" w:lineRule="auto"/>
              <w:rPr>
                <w:rFonts w:hint="eastAsia" w:ascii="仿宋_GB2312" w:hAnsi="仿宋" w:eastAsia="仿宋_GB2312" w:cs="仿宋_GB2312"/>
                <w:sz w:val="24"/>
              </w:rPr>
            </w:pPr>
            <w:r>
              <w:rPr>
                <w:rFonts w:hint="eastAsia" w:ascii="仿宋_GB2312" w:hAnsi="仿宋" w:eastAsia="仿宋_GB2312" w:cs="仿宋_GB2312"/>
                <w:sz w:val="24"/>
              </w:rPr>
              <w:t>7</w:t>
            </w:r>
          </w:p>
        </w:tc>
        <w:tc>
          <w:tcPr>
            <w:tcW w:w="553" w:type="dxa"/>
            <w:tcBorders>
              <w:top w:val="single" w:color="auto" w:sz="4" w:space="0"/>
              <w:left w:val="single" w:color="auto" w:sz="4" w:space="0"/>
              <w:bottom w:val="single" w:color="auto" w:sz="4" w:space="0"/>
              <w:right w:val="single" w:color="auto" w:sz="4" w:space="0"/>
            </w:tcBorders>
            <w:noWrap w:val="0"/>
            <w:vAlign w:val="center"/>
          </w:tcPr>
          <w:p w14:paraId="081BA611">
            <w:pPr>
              <w:spacing w:line="360" w:lineRule="auto"/>
              <w:rPr>
                <w:rFonts w:hint="eastAsia" w:ascii="仿宋_GB2312" w:hAnsi="仿宋" w:eastAsia="仿宋_GB2312" w:cs="仿宋_GB2312"/>
                <w:sz w:val="24"/>
              </w:rPr>
            </w:pPr>
            <w:r>
              <w:rPr>
                <w:rFonts w:hint="eastAsia" w:ascii="仿宋_GB2312" w:hAnsi="仿宋" w:eastAsia="仿宋_GB2312" w:cs="仿宋_GB2312"/>
                <w:sz w:val="24"/>
              </w:rPr>
              <w:t>8</w:t>
            </w:r>
          </w:p>
        </w:tc>
        <w:tc>
          <w:tcPr>
            <w:tcW w:w="553" w:type="dxa"/>
            <w:tcBorders>
              <w:top w:val="single" w:color="auto" w:sz="4" w:space="0"/>
              <w:left w:val="single" w:color="auto" w:sz="4" w:space="0"/>
              <w:bottom w:val="single" w:color="auto" w:sz="4" w:space="0"/>
              <w:right w:val="single" w:color="auto" w:sz="4" w:space="0"/>
            </w:tcBorders>
            <w:noWrap w:val="0"/>
            <w:vAlign w:val="center"/>
          </w:tcPr>
          <w:p w14:paraId="063413BD">
            <w:pPr>
              <w:spacing w:line="360" w:lineRule="auto"/>
              <w:rPr>
                <w:rFonts w:hint="eastAsia" w:ascii="仿宋_GB2312" w:hAnsi="仿宋" w:eastAsia="仿宋_GB2312" w:cs="仿宋_GB2312"/>
                <w:sz w:val="24"/>
              </w:rPr>
            </w:pPr>
            <w:r>
              <w:rPr>
                <w:rFonts w:hint="eastAsia" w:ascii="仿宋_GB2312" w:hAnsi="仿宋" w:eastAsia="仿宋_GB2312" w:cs="仿宋_GB2312"/>
                <w:sz w:val="24"/>
              </w:rPr>
              <w:t>9</w:t>
            </w:r>
          </w:p>
        </w:tc>
        <w:tc>
          <w:tcPr>
            <w:tcW w:w="553" w:type="dxa"/>
            <w:tcBorders>
              <w:top w:val="single" w:color="auto" w:sz="4" w:space="0"/>
              <w:left w:val="single" w:color="auto" w:sz="4" w:space="0"/>
              <w:bottom w:val="single" w:color="auto" w:sz="4" w:space="0"/>
              <w:right w:val="single" w:color="auto" w:sz="4" w:space="0"/>
            </w:tcBorders>
            <w:noWrap w:val="0"/>
            <w:vAlign w:val="center"/>
          </w:tcPr>
          <w:p w14:paraId="1C5DCE12">
            <w:pPr>
              <w:spacing w:line="360" w:lineRule="auto"/>
              <w:rPr>
                <w:rFonts w:hint="eastAsia" w:ascii="仿宋_GB2312" w:hAnsi="仿宋" w:eastAsia="仿宋_GB2312" w:cs="仿宋_GB2312"/>
                <w:sz w:val="24"/>
              </w:rPr>
            </w:pPr>
            <w:r>
              <w:rPr>
                <w:rFonts w:hint="eastAsia" w:ascii="仿宋_GB2312" w:hAnsi="仿宋" w:eastAsia="仿宋_GB2312" w:cs="仿宋_GB2312"/>
                <w:sz w:val="24"/>
              </w:rPr>
              <w:t>10</w:t>
            </w:r>
          </w:p>
        </w:tc>
        <w:tc>
          <w:tcPr>
            <w:tcW w:w="553" w:type="dxa"/>
            <w:tcBorders>
              <w:top w:val="single" w:color="auto" w:sz="4" w:space="0"/>
              <w:left w:val="single" w:color="auto" w:sz="4" w:space="0"/>
              <w:bottom w:val="single" w:color="auto" w:sz="4" w:space="0"/>
              <w:right w:val="single" w:color="auto" w:sz="4" w:space="0"/>
            </w:tcBorders>
            <w:noWrap w:val="0"/>
            <w:vAlign w:val="center"/>
          </w:tcPr>
          <w:p w14:paraId="2F999103">
            <w:pPr>
              <w:spacing w:line="360" w:lineRule="auto"/>
              <w:rPr>
                <w:rFonts w:hint="eastAsia" w:ascii="仿宋_GB2312" w:hAnsi="仿宋" w:eastAsia="仿宋_GB2312" w:cs="仿宋_GB2312"/>
                <w:sz w:val="24"/>
              </w:rPr>
            </w:pPr>
            <w:r>
              <w:rPr>
                <w:rFonts w:hint="eastAsia" w:ascii="仿宋_GB2312" w:hAnsi="仿宋" w:eastAsia="仿宋_GB2312" w:cs="仿宋_GB2312"/>
                <w:sz w:val="24"/>
              </w:rPr>
              <w:t>11</w:t>
            </w:r>
          </w:p>
        </w:tc>
        <w:tc>
          <w:tcPr>
            <w:tcW w:w="553" w:type="dxa"/>
            <w:tcBorders>
              <w:top w:val="single" w:color="auto" w:sz="4" w:space="0"/>
              <w:left w:val="single" w:color="auto" w:sz="4" w:space="0"/>
              <w:bottom w:val="single" w:color="auto" w:sz="4" w:space="0"/>
              <w:right w:val="single" w:color="auto" w:sz="4" w:space="0"/>
            </w:tcBorders>
            <w:noWrap w:val="0"/>
            <w:vAlign w:val="center"/>
          </w:tcPr>
          <w:p w14:paraId="6F41EB21">
            <w:pPr>
              <w:spacing w:line="360" w:lineRule="auto"/>
              <w:rPr>
                <w:rFonts w:hint="eastAsia" w:ascii="仿宋_GB2312" w:hAnsi="仿宋" w:eastAsia="仿宋_GB2312" w:cs="仿宋_GB2312"/>
                <w:sz w:val="24"/>
              </w:rPr>
            </w:pPr>
            <w:r>
              <w:rPr>
                <w:rFonts w:hint="eastAsia" w:ascii="仿宋_GB2312" w:hAnsi="仿宋" w:eastAsia="仿宋_GB2312" w:cs="仿宋_GB2312"/>
                <w:sz w:val="24"/>
              </w:rPr>
              <w:t>12</w:t>
            </w:r>
          </w:p>
        </w:tc>
        <w:tc>
          <w:tcPr>
            <w:tcW w:w="553" w:type="dxa"/>
            <w:tcBorders>
              <w:top w:val="single" w:color="auto" w:sz="4" w:space="0"/>
              <w:left w:val="single" w:color="auto" w:sz="4" w:space="0"/>
              <w:bottom w:val="single" w:color="auto" w:sz="4" w:space="0"/>
              <w:right w:val="single" w:color="auto" w:sz="4" w:space="0"/>
            </w:tcBorders>
            <w:noWrap w:val="0"/>
            <w:vAlign w:val="center"/>
          </w:tcPr>
          <w:p w14:paraId="7E91D8D9">
            <w:pPr>
              <w:spacing w:line="360" w:lineRule="auto"/>
              <w:rPr>
                <w:rFonts w:hint="eastAsia" w:ascii="仿宋_GB2312" w:hAnsi="仿宋" w:eastAsia="仿宋_GB2312" w:cs="仿宋_GB2312"/>
                <w:sz w:val="24"/>
              </w:rPr>
            </w:pPr>
            <w:r>
              <w:rPr>
                <w:rFonts w:hint="eastAsia" w:ascii="仿宋_GB2312" w:hAnsi="仿宋" w:eastAsia="仿宋_GB2312" w:cs="仿宋_GB2312"/>
                <w:sz w:val="24"/>
              </w:rPr>
              <w:t>13</w:t>
            </w:r>
          </w:p>
        </w:tc>
        <w:tc>
          <w:tcPr>
            <w:tcW w:w="553" w:type="dxa"/>
            <w:tcBorders>
              <w:top w:val="single" w:color="auto" w:sz="4" w:space="0"/>
              <w:left w:val="single" w:color="auto" w:sz="4" w:space="0"/>
              <w:bottom w:val="single" w:color="auto" w:sz="4" w:space="0"/>
              <w:right w:val="single" w:color="auto" w:sz="4" w:space="0"/>
            </w:tcBorders>
            <w:noWrap w:val="0"/>
            <w:vAlign w:val="center"/>
          </w:tcPr>
          <w:p w14:paraId="6F26F457">
            <w:pPr>
              <w:spacing w:line="360" w:lineRule="auto"/>
              <w:rPr>
                <w:rFonts w:hint="eastAsia" w:ascii="仿宋_GB2312" w:hAnsi="仿宋" w:eastAsia="仿宋_GB2312" w:cs="仿宋_GB2312"/>
                <w:sz w:val="24"/>
              </w:rPr>
            </w:pPr>
            <w:r>
              <w:rPr>
                <w:rFonts w:hint="eastAsia" w:ascii="仿宋_GB2312" w:hAnsi="仿宋" w:eastAsia="仿宋_GB2312" w:cs="仿宋_GB2312"/>
                <w:sz w:val="24"/>
              </w:rPr>
              <w:t>14</w:t>
            </w:r>
          </w:p>
        </w:tc>
        <w:tc>
          <w:tcPr>
            <w:tcW w:w="553" w:type="dxa"/>
            <w:tcBorders>
              <w:top w:val="single" w:color="auto" w:sz="4" w:space="0"/>
              <w:left w:val="single" w:color="auto" w:sz="4" w:space="0"/>
              <w:bottom w:val="single" w:color="auto" w:sz="4" w:space="0"/>
              <w:right w:val="single" w:color="auto" w:sz="4" w:space="0"/>
            </w:tcBorders>
            <w:noWrap w:val="0"/>
            <w:vAlign w:val="center"/>
          </w:tcPr>
          <w:p w14:paraId="3FD1F443">
            <w:pPr>
              <w:spacing w:line="360" w:lineRule="auto"/>
              <w:rPr>
                <w:rFonts w:hint="eastAsia" w:ascii="仿宋_GB2312" w:hAnsi="仿宋" w:eastAsia="仿宋_GB2312" w:cs="仿宋_GB2312"/>
                <w:sz w:val="24"/>
              </w:rPr>
            </w:pPr>
            <w:r>
              <w:rPr>
                <w:rFonts w:hint="eastAsia" w:ascii="仿宋_GB2312" w:hAnsi="仿宋" w:eastAsia="仿宋_GB2312" w:cs="仿宋_GB2312"/>
                <w:sz w:val="24"/>
              </w:rPr>
              <w:t>15</w:t>
            </w:r>
          </w:p>
        </w:tc>
        <w:tc>
          <w:tcPr>
            <w:tcW w:w="553" w:type="dxa"/>
            <w:tcBorders>
              <w:top w:val="single" w:color="auto" w:sz="4" w:space="0"/>
              <w:left w:val="single" w:color="auto" w:sz="4" w:space="0"/>
              <w:bottom w:val="single" w:color="auto" w:sz="4" w:space="0"/>
              <w:right w:val="single" w:color="auto" w:sz="4" w:space="0"/>
            </w:tcBorders>
            <w:noWrap w:val="0"/>
            <w:vAlign w:val="center"/>
          </w:tcPr>
          <w:p w14:paraId="6F13993F">
            <w:pPr>
              <w:spacing w:line="360" w:lineRule="auto"/>
              <w:rPr>
                <w:rFonts w:hint="eastAsia" w:ascii="仿宋_GB2312" w:hAnsi="仿宋" w:eastAsia="仿宋_GB2312" w:cs="仿宋_GB2312"/>
                <w:sz w:val="24"/>
              </w:rPr>
            </w:pPr>
            <w:r>
              <w:rPr>
                <w:rFonts w:hint="eastAsia" w:ascii="仿宋_GB2312" w:hAnsi="仿宋" w:eastAsia="仿宋_GB2312" w:cs="仿宋_GB2312"/>
                <w:sz w:val="24"/>
              </w:rPr>
              <w:t>…</w:t>
            </w:r>
          </w:p>
        </w:tc>
      </w:tr>
      <w:tr w14:paraId="15FAD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noWrap w:val="0"/>
            <w:vAlign w:val="center"/>
          </w:tcPr>
          <w:p w14:paraId="58BFEF82">
            <w:pPr>
              <w:spacing w:line="360" w:lineRule="auto"/>
              <w:rPr>
                <w:rFonts w:hint="eastAsia" w:ascii="仿宋_GB2312" w:hAnsi="仿宋" w:eastAsia="仿宋_GB2312" w:cs="仿宋_GB2312"/>
                <w:sz w:val="24"/>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42675C59">
            <w:pPr>
              <w:spacing w:line="360" w:lineRule="auto"/>
              <w:rPr>
                <w:rFonts w:hint="eastAsia" w:ascii="仿宋_GB2312" w:hAnsi="仿宋" w:eastAsia="仿宋_GB2312" w:cs="仿宋_GB2312"/>
                <w:sz w:val="24"/>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0F407623">
            <w:pPr>
              <w:spacing w:line="360" w:lineRule="auto"/>
              <w:rPr>
                <w:rFonts w:hint="eastAsia" w:ascii="仿宋_GB2312" w:hAnsi="仿宋" w:eastAsia="仿宋_GB2312" w:cs="仿宋_GB2312"/>
                <w:sz w:val="24"/>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5013831D">
            <w:pPr>
              <w:spacing w:line="360" w:lineRule="auto"/>
              <w:rPr>
                <w:rFonts w:hint="eastAsia" w:ascii="仿宋_GB2312" w:hAnsi="仿宋" w:eastAsia="仿宋_GB2312" w:cs="仿宋_GB2312"/>
                <w:sz w:val="24"/>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52103CAB">
            <w:pPr>
              <w:spacing w:line="360" w:lineRule="auto"/>
              <w:rPr>
                <w:rFonts w:hint="eastAsia" w:ascii="仿宋_GB2312" w:hAnsi="仿宋" w:eastAsia="仿宋_GB2312" w:cs="仿宋_GB2312"/>
                <w:sz w:val="24"/>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3B81D376">
            <w:pPr>
              <w:spacing w:line="360" w:lineRule="auto"/>
              <w:rPr>
                <w:rFonts w:hint="eastAsia" w:ascii="仿宋_GB2312" w:hAnsi="仿宋" w:eastAsia="仿宋_GB2312" w:cs="仿宋_GB2312"/>
                <w:sz w:val="24"/>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7E092B37">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54DADE51">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47AB6F7E">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59888A62">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45496D6B">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436A916A">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728603B7">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7488D455">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1D8F40C3">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2CDB2851">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520D0FBF">
            <w:pPr>
              <w:spacing w:line="360" w:lineRule="auto"/>
              <w:rPr>
                <w:rFonts w:hint="eastAsia" w:ascii="仿宋_GB2312" w:hAnsi="仿宋" w:eastAsia="仿宋_GB2312" w:cs="仿宋_GB2312"/>
                <w:sz w:val="24"/>
              </w:rPr>
            </w:pPr>
          </w:p>
        </w:tc>
      </w:tr>
      <w:tr w14:paraId="2500A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noWrap w:val="0"/>
            <w:vAlign w:val="center"/>
          </w:tcPr>
          <w:p w14:paraId="7062C8D0">
            <w:pPr>
              <w:spacing w:line="360" w:lineRule="auto"/>
              <w:rPr>
                <w:rFonts w:hint="eastAsia" w:ascii="仿宋_GB2312" w:hAnsi="仿宋" w:eastAsia="仿宋_GB2312" w:cs="仿宋_GB2312"/>
                <w:sz w:val="24"/>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4C338ECF">
            <w:pPr>
              <w:spacing w:line="360" w:lineRule="auto"/>
              <w:rPr>
                <w:rFonts w:hint="eastAsia" w:ascii="仿宋_GB2312" w:hAnsi="仿宋" w:eastAsia="仿宋_GB2312" w:cs="仿宋_GB2312"/>
                <w:sz w:val="24"/>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7D8CF627">
            <w:pPr>
              <w:spacing w:line="360" w:lineRule="auto"/>
              <w:rPr>
                <w:rFonts w:hint="eastAsia" w:ascii="仿宋_GB2312" w:hAnsi="仿宋" w:eastAsia="仿宋_GB2312" w:cs="仿宋_GB2312"/>
                <w:sz w:val="24"/>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29A08D27">
            <w:pPr>
              <w:spacing w:line="360" w:lineRule="auto"/>
              <w:rPr>
                <w:rFonts w:hint="eastAsia" w:ascii="仿宋_GB2312" w:hAnsi="仿宋" w:eastAsia="仿宋_GB2312" w:cs="仿宋_GB2312"/>
                <w:sz w:val="24"/>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0F6D092F">
            <w:pPr>
              <w:spacing w:line="360" w:lineRule="auto"/>
              <w:rPr>
                <w:rFonts w:hint="eastAsia" w:ascii="仿宋_GB2312" w:hAnsi="仿宋" w:eastAsia="仿宋_GB2312" w:cs="仿宋_GB2312"/>
                <w:sz w:val="24"/>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77A60AB8">
            <w:pPr>
              <w:spacing w:line="360" w:lineRule="auto"/>
              <w:rPr>
                <w:rFonts w:hint="eastAsia" w:ascii="仿宋_GB2312" w:hAnsi="仿宋" w:eastAsia="仿宋_GB2312" w:cs="仿宋_GB2312"/>
                <w:sz w:val="24"/>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7BF510D7">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2BF63DDF">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6837A3E0">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47E9C8D2">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20D34AD9">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39931C66">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6DB4C9A6">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7975563F">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53D80E1E">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617CF000">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4FD19985">
            <w:pPr>
              <w:spacing w:line="360" w:lineRule="auto"/>
              <w:rPr>
                <w:rFonts w:hint="eastAsia" w:ascii="仿宋_GB2312" w:hAnsi="仿宋" w:eastAsia="仿宋_GB2312" w:cs="仿宋_GB2312"/>
                <w:sz w:val="24"/>
              </w:rPr>
            </w:pPr>
          </w:p>
        </w:tc>
      </w:tr>
      <w:tr w14:paraId="79E36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noWrap w:val="0"/>
            <w:vAlign w:val="center"/>
          </w:tcPr>
          <w:p w14:paraId="0C9858E1">
            <w:pPr>
              <w:spacing w:line="360" w:lineRule="auto"/>
              <w:rPr>
                <w:rFonts w:hint="eastAsia" w:ascii="仿宋_GB2312" w:hAnsi="仿宋" w:eastAsia="仿宋_GB2312" w:cs="仿宋_GB2312"/>
                <w:sz w:val="24"/>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642C3716">
            <w:pPr>
              <w:spacing w:line="360" w:lineRule="auto"/>
              <w:rPr>
                <w:rFonts w:hint="eastAsia" w:ascii="仿宋_GB2312" w:hAnsi="仿宋" w:eastAsia="仿宋_GB2312" w:cs="仿宋_GB2312"/>
                <w:sz w:val="24"/>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0D41EE4E">
            <w:pPr>
              <w:spacing w:line="360" w:lineRule="auto"/>
              <w:rPr>
                <w:rFonts w:hint="eastAsia" w:ascii="仿宋_GB2312" w:hAnsi="仿宋" w:eastAsia="仿宋_GB2312" w:cs="仿宋_GB2312"/>
                <w:sz w:val="24"/>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4409C93C">
            <w:pPr>
              <w:spacing w:line="360" w:lineRule="auto"/>
              <w:rPr>
                <w:rFonts w:hint="eastAsia" w:ascii="仿宋_GB2312" w:hAnsi="仿宋" w:eastAsia="仿宋_GB2312" w:cs="仿宋_GB2312"/>
                <w:sz w:val="24"/>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2BCA729E">
            <w:pPr>
              <w:spacing w:line="360" w:lineRule="auto"/>
              <w:rPr>
                <w:rFonts w:hint="eastAsia" w:ascii="仿宋_GB2312" w:hAnsi="仿宋" w:eastAsia="仿宋_GB2312" w:cs="仿宋_GB2312"/>
                <w:sz w:val="24"/>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0FFD63E5">
            <w:pPr>
              <w:spacing w:line="360" w:lineRule="auto"/>
              <w:rPr>
                <w:rFonts w:hint="eastAsia" w:ascii="仿宋_GB2312" w:hAnsi="仿宋" w:eastAsia="仿宋_GB2312" w:cs="仿宋_GB2312"/>
                <w:sz w:val="24"/>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664EFCB1">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6F4A1C8B">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033391CF">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28C4F308">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08200BBD">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169C352D">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699C5FA9">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62ADB019">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17233BFE">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72D17A86">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487B2395">
            <w:pPr>
              <w:spacing w:line="360" w:lineRule="auto"/>
              <w:rPr>
                <w:rFonts w:hint="eastAsia" w:ascii="仿宋_GB2312" w:hAnsi="仿宋" w:eastAsia="仿宋_GB2312" w:cs="仿宋_GB2312"/>
                <w:sz w:val="24"/>
              </w:rPr>
            </w:pPr>
          </w:p>
        </w:tc>
      </w:tr>
      <w:tr w14:paraId="723E7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noWrap w:val="0"/>
            <w:vAlign w:val="center"/>
          </w:tcPr>
          <w:p w14:paraId="36D793D2">
            <w:pPr>
              <w:spacing w:line="360" w:lineRule="auto"/>
              <w:rPr>
                <w:rFonts w:hint="eastAsia" w:ascii="仿宋_GB2312" w:hAnsi="仿宋" w:eastAsia="仿宋_GB2312" w:cs="仿宋_GB2312"/>
                <w:sz w:val="24"/>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7B1B3245">
            <w:pPr>
              <w:spacing w:line="360" w:lineRule="auto"/>
              <w:rPr>
                <w:rFonts w:hint="eastAsia" w:ascii="仿宋_GB2312" w:hAnsi="仿宋" w:eastAsia="仿宋_GB2312" w:cs="仿宋_GB2312"/>
                <w:sz w:val="24"/>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0CA33D1D">
            <w:pPr>
              <w:spacing w:line="360" w:lineRule="auto"/>
              <w:rPr>
                <w:rFonts w:hint="eastAsia" w:ascii="仿宋_GB2312" w:hAnsi="仿宋" w:eastAsia="仿宋_GB2312" w:cs="仿宋_GB2312"/>
                <w:sz w:val="24"/>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7F32C952">
            <w:pPr>
              <w:spacing w:line="360" w:lineRule="auto"/>
              <w:rPr>
                <w:rFonts w:hint="eastAsia" w:ascii="仿宋_GB2312" w:hAnsi="仿宋" w:eastAsia="仿宋_GB2312" w:cs="仿宋_GB2312"/>
                <w:sz w:val="24"/>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36444164">
            <w:pPr>
              <w:spacing w:line="360" w:lineRule="auto"/>
              <w:rPr>
                <w:rFonts w:hint="eastAsia" w:ascii="仿宋_GB2312" w:hAnsi="仿宋" w:eastAsia="仿宋_GB2312" w:cs="仿宋_GB2312"/>
                <w:sz w:val="24"/>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4FE97EBA">
            <w:pPr>
              <w:spacing w:line="360" w:lineRule="auto"/>
              <w:rPr>
                <w:rFonts w:hint="eastAsia" w:ascii="仿宋_GB2312" w:hAnsi="仿宋" w:eastAsia="仿宋_GB2312" w:cs="仿宋_GB2312"/>
                <w:sz w:val="24"/>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4F362983">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1FA35D8E">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582C7D70">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274C7AFD">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1DCBD2B9">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54EC8C24">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68F5A7A5">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2C484962">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00C116D7">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2A63D6EC">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204C273B">
            <w:pPr>
              <w:spacing w:line="360" w:lineRule="auto"/>
              <w:rPr>
                <w:rFonts w:hint="eastAsia" w:ascii="仿宋_GB2312" w:hAnsi="仿宋" w:eastAsia="仿宋_GB2312" w:cs="仿宋_GB2312"/>
                <w:sz w:val="24"/>
              </w:rPr>
            </w:pPr>
          </w:p>
        </w:tc>
      </w:tr>
      <w:tr w14:paraId="07641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noWrap w:val="0"/>
            <w:vAlign w:val="center"/>
          </w:tcPr>
          <w:p w14:paraId="3A10C648">
            <w:pPr>
              <w:spacing w:line="360" w:lineRule="auto"/>
              <w:rPr>
                <w:rFonts w:hint="eastAsia" w:ascii="仿宋_GB2312" w:hAnsi="仿宋" w:eastAsia="仿宋_GB2312" w:cs="仿宋_GB2312"/>
                <w:sz w:val="24"/>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1284E855">
            <w:pPr>
              <w:spacing w:line="360" w:lineRule="auto"/>
              <w:rPr>
                <w:rFonts w:hint="eastAsia" w:ascii="仿宋_GB2312" w:hAnsi="仿宋" w:eastAsia="仿宋_GB2312" w:cs="仿宋_GB2312"/>
                <w:sz w:val="24"/>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672BFE7C">
            <w:pPr>
              <w:spacing w:line="360" w:lineRule="auto"/>
              <w:rPr>
                <w:rFonts w:hint="eastAsia" w:ascii="仿宋_GB2312" w:hAnsi="仿宋" w:eastAsia="仿宋_GB2312" w:cs="仿宋_GB2312"/>
                <w:sz w:val="24"/>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4955C9E9">
            <w:pPr>
              <w:spacing w:line="360" w:lineRule="auto"/>
              <w:rPr>
                <w:rFonts w:hint="eastAsia" w:ascii="仿宋_GB2312" w:hAnsi="仿宋" w:eastAsia="仿宋_GB2312" w:cs="仿宋_GB2312"/>
                <w:sz w:val="24"/>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3B3912FD">
            <w:pPr>
              <w:spacing w:line="360" w:lineRule="auto"/>
              <w:rPr>
                <w:rFonts w:hint="eastAsia" w:ascii="仿宋_GB2312" w:hAnsi="仿宋" w:eastAsia="仿宋_GB2312" w:cs="仿宋_GB2312"/>
                <w:sz w:val="24"/>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30A7C690">
            <w:pPr>
              <w:spacing w:line="360" w:lineRule="auto"/>
              <w:rPr>
                <w:rFonts w:hint="eastAsia" w:ascii="仿宋_GB2312" w:hAnsi="仿宋" w:eastAsia="仿宋_GB2312" w:cs="仿宋_GB2312"/>
                <w:sz w:val="24"/>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22769887">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2D080E86">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7C4DB78E">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40CE4CFF">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743F0BA1">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0B3C6BF9">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29DC524F">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1655F10D">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26A5AD40">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37B50F16">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4FD8D700">
            <w:pPr>
              <w:spacing w:line="360" w:lineRule="auto"/>
              <w:rPr>
                <w:rFonts w:hint="eastAsia" w:ascii="仿宋_GB2312" w:hAnsi="仿宋" w:eastAsia="仿宋_GB2312" w:cs="仿宋_GB2312"/>
                <w:sz w:val="24"/>
              </w:rPr>
            </w:pPr>
          </w:p>
        </w:tc>
      </w:tr>
      <w:tr w14:paraId="09C43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noWrap w:val="0"/>
            <w:vAlign w:val="center"/>
          </w:tcPr>
          <w:p w14:paraId="7904B75C">
            <w:pPr>
              <w:spacing w:line="360" w:lineRule="auto"/>
              <w:rPr>
                <w:rFonts w:hint="eastAsia" w:ascii="仿宋_GB2312" w:hAnsi="仿宋" w:eastAsia="仿宋_GB2312" w:cs="仿宋_GB2312"/>
                <w:sz w:val="24"/>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344ED80C">
            <w:pPr>
              <w:spacing w:line="360" w:lineRule="auto"/>
              <w:rPr>
                <w:rFonts w:hint="eastAsia" w:ascii="仿宋_GB2312" w:hAnsi="仿宋" w:eastAsia="仿宋_GB2312" w:cs="仿宋_GB2312"/>
                <w:sz w:val="24"/>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54A0EFAD">
            <w:pPr>
              <w:spacing w:line="360" w:lineRule="auto"/>
              <w:rPr>
                <w:rFonts w:hint="eastAsia" w:ascii="仿宋_GB2312" w:hAnsi="仿宋" w:eastAsia="仿宋_GB2312" w:cs="仿宋_GB2312"/>
                <w:sz w:val="24"/>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3EE65B5F">
            <w:pPr>
              <w:spacing w:line="360" w:lineRule="auto"/>
              <w:rPr>
                <w:rFonts w:hint="eastAsia" w:ascii="仿宋_GB2312" w:hAnsi="仿宋" w:eastAsia="仿宋_GB2312" w:cs="仿宋_GB2312"/>
                <w:sz w:val="24"/>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415771C0">
            <w:pPr>
              <w:spacing w:line="360" w:lineRule="auto"/>
              <w:rPr>
                <w:rFonts w:hint="eastAsia" w:ascii="仿宋_GB2312" w:hAnsi="仿宋" w:eastAsia="仿宋_GB2312" w:cs="仿宋_GB2312"/>
                <w:sz w:val="24"/>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5F53C150">
            <w:pPr>
              <w:spacing w:line="360" w:lineRule="auto"/>
              <w:rPr>
                <w:rFonts w:hint="eastAsia" w:ascii="仿宋_GB2312" w:hAnsi="仿宋" w:eastAsia="仿宋_GB2312" w:cs="仿宋_GB2312"/>
                <w:sz w:val="24"/>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554B8AE0">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213F0720">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2D9319F9">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4307CB03">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511029B5">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49F6379E">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2305B77F">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0EA62583">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6C318E3D">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548A8874">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25A1E5E2">
            <w:pPr>
              <w:spacing w:line="360" w:lineRule="auto"/>
              <w:rPr>
                <w:rFonts w:hint="eastAsia" w:ascii="仿宋_GB2312" w:hAnsi="仿宋" w:eastAsia="仿宋_GB2312" w:cs="仿宋_GB2312"/>
                <w:sz w:val="24"/>
              </w:rPr>
            </w:pPr>
          </w:p>
        </w:tc>
      </w:tr>
      <w:tr w14:paraId="3E514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noWrap w:val="0"/>
            <w:vAlign w:val="center"/>
          </w:tcPr>
          <w:p w14:paraId="4A669EF5">
            <w:pPr>
              <w:spacing w:line="360" w:lineRule="auto"/>
              <w:rPr>
                <w:rFonts w:hint="eastAsia" w:ascii="仿宋_GB2312" w:hAnsi="仿宋" w:eastAsia="仿宋_GB2312" w:cs="仿宋_GB2312"/>
                <w:sz w:val="24"/>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1E58C2AA">
            <w:pPr>
              <w:spacing w:line="360" w:lineRule="auto"/>
              <w:rPr>
                <w:rFonts w:hint="eastAsia" w:ascii="仿宋_GB2312" w:hAnsi="仿宋" w:eastAsia="仿宋_GB2312" w:cs="仿宋_GB2312"/>
                <w:sz w:val="24"/>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7A3CCBFA">
            <w:pPr>
              <w:spacing w:line="360" w:lineRule="auto"/>
              <w:rPr>
                <w:rFonts w:hint="eastAsia" w:ascii="仿宋_GB2312" w:hAnsi="仿宋" w:eastAsia="仿宋_GB2312" w:cs="仿宋_GB2312"/>
                <w:sz w:val="24"/>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2567314B">
            <w:pPr>
              <w:spacing w:line="360" w:lineRule="auto"/>
              <w:rPr>
                <w:rFonts w:hint="eastAsia" w:ascii="仿宋_GB2312" w:hAnsi="仿宋" w:eastAsia="仿宋_GB2312" w:cs="仿宋_GB2312"/>
                <w:sz w:val="24"/>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2894D4A4">
            <w:pPr>
              <w:spacing w:line="360" w:lineRule="auto"/>
              <w:rPr>
                <w:rFonts w:hint="eastAsia" w:ascii="仿宋_GB2312" w:hAnsi="仿宋" w:eastAsia="仿宋_GB2312" w:cs="仿宋_GB2312"/>
                <w:sz w:val="24"/>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0C16FBEB">
            <w:pPr>
              <w:spacing w:line="360" w:lineRule="auto"/>
              <w:rPr>
                <w:rFonts w:hint="eastAsia" w:ascii="仿宋_GB2312" w:hAnsi="仿宋" w:eastAsia="仿宋_GB2312" w:cs="仿宋_GB2312"/>
                <w:sz w:val="24"/>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522C7055">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204E99E5">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130AF563">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5F492938">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5FA8E744">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5C9ECE0F">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1E5E8BD3">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37A6C9FB">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2E3BE0F9">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41987DA8">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30329163">
            <w:pPr>
              <w:spacing w:line="360" w:lineRule="auto"/>
              <w:rPr>
                <w:rFonts w:hint="eastAsia" w:ascii="仿宋_GB2312" w:hAnsi="仿宋" w:eastAsia="仿宋_GB2312" w:cs="仿宋_GB2312"/>
                <w:sz w:val="24"/>
              </w:rPr>
            </w:pPr>
          </w:p>
        </w:tc>
      </w:tr>
      <w:tr w14:paraId="2A424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noWrap w:val="0"/>
            <w:vAlign w:val="center"/>
          </w:tcPr>
          <w:p w14:paraId="4DCEA3CF">
            <w:pPr>
              <w:spacing w:line="360" w:lineRule="auto"/>
              <w:rPr>
                <w:rFonts w:hint="eastAsia" w:ascii="仿宋_GB2312" w:hAnsi="仿宋" w:eastAsia="仿宋_GB2312" w:cs="仿宋_GB2312"/>
                <w:sz w:val="24"/>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05C6F079">
            <w:pPr>
              <w:spacing w:line="360" w:lineRule="auto"/>
              <w:rPr>
                <w:rFonts w:hint="eastAsia" w:ascii="仿宋_GB2312" w:hAnsi="仿宋" w:eastAsia="仿宋_GB2312" w:cs="仿宋_GB2312"/>
                <w:sz w:val="24"/>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2752E42E">
            <w:pPr>
              <w:spacing w:line="360" w:lineRule="auto"/>
              <w:rPr>
                <w:rFonts w:hint="eastAsia" w:ascii="仿宋_GB2312" w:hAnsi="仿宋" w:eastAsia="仿宋_GB2312" w:cs="仿宋_GB2312"/>
                <w:sz w:val="24"/>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3365B468">
            <w:pPr>
              <w:spacing w:line="360" w:lineRule="auto"/>
              <w:rPr>
                <w:rFonts w:hint="eastAsia" w:ascii="仿宋_GB2312" w:hAnsi="仿宋" w:eastAsia="仿宋_GB2312" w:cs="仿宋_GB2312"/>
                <w:sz w:val="24"/>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21430055">
            <w:pPr>
              <w:spacing w:line="360" w:lineRule="auto"/>
              <w:rPr>
                <w:rFonts w:hint="eastAsia" w:ascii="仿宋_GB2312" w:hAnsi="仿宋" w:eastAsia="仿宋_GB2312" w:cs="仿宋_GB2312"/>
                <w:sz w:val="24"/>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4D0394E7">
            <w:pPr>
              <w:spacing w:line="360" w:lineRule="auto"/>
              <w:rPr>
                <w:rFonts w:hint="eastAsia" w:ascii="仿宋_GB2312" w:hAnsi="仿宋" w:eastAsia="仿宋_GB2312" w:cs="仿宋_GB2312"/>
                <w:sz w:val="24"/>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3F40E7E0">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32881D82">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7988E08A">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689DFF85">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21E81273">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6009B321">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692D9E85">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281F8306">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49CC86F7">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2ED82802">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6BEC7C08">
            <w:pPr>
              <w:spacing w:line="360" w:lineRule="auto"/>
              <w:rPr>
                <w:rFonts w:hint="eastAsia" w:ascii="仿宋_GB2312" w:hAnsi="仿宋" w:eastAsia="仿宋_GB2312" w:cs="仿宋_GB2312"/>
                <w:sz w:val="24"/>
              </w:rPr>
            </w:pPr>
          </w:p>
        </w:tc>
      </w:tr>
      <w:tr w14:paraId="05F70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noWrap w:val="0"/>
            <w:vAlign w:val="center"/>
          </w:tcPr>
          <w:p w14:paraId="7E50AE5F">
            <w:pPr>
              <w:spacing w:line="360" w:lineRule="auto"/>
              <w:rPr>
                <w:rFonts w:hint="eastAsia" w:ascii="仿宋_GB2312" w:hAnsi="仿宋" w:eastAsia="仿宋_GB2312" w:cs="仿宋_GB2312"/>
                <w:sz w:val="24"/>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5060C453">
            <w:pPr>
              <w:spacing w:line="360" w:lineRule="auto"/>
              <w:rPr>
                <w:rFonts w:hint="eastAsia" w:ascii="仿宋_GB2312" w:hAnsi="仿宋" w:eastAsia="仿宋_GB2312" w:cs="仿宋_GB2312"/>
                <w:sz w:val="24"/>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4C8F98B4">
            <w:pPr>
              <w:spacing w:line="360" w:lineRule="auto"/>
              <w:rPr>
                <w:rFonts w:hint="eastAsia" w:ascii="仿宋_GB2312" w:hAnsi="仿宋" w:eastAsia="仿宋_GB2312" w:cs="仿宋_GB2312"/>
                <w:sz w:val="24"/>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5DC7CAB6">
            <w:pPr>
              <w:spacing w:line="360" w:lineRule="auto"/>
              <w:rPr>
                <w:rFonts w:hint="eastAsia" w:ascii="仿宋_GB2312" w:hAnsi="仿宋" w:eastAsia="仿宋_GB2312" w:cs="仿宋_GB2312"/>
                <w:sz w:val="24"/>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39D94F3A">
            <w:pPr>
              <w:spacing w:line="360" w:lineRule="auto"/>
              <w:rPr>
                <w:rFonts w:hint="eastAsia" w:ascii="仿宋_GB2312" w:hAnsi="仿宋" w:eastAsia="仿宋_GB2312" w:cs="仿宋_GB2312"/>
                <w:sz w:val="24"/>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6D5D39B6">
            <w:pPr>
              <w:spacing w:line="360" w:lineRule="auto"/>
              <w:rPr>
                <w:rFonts w:hint="eastAsia" w:ascii="仿宋_GB2312" w:hAnsi="仿宋" w:eastAsia="仿宋_GB2312" w:cs="仿宋_GB2312"/>
                <w:sz w:val="24"/>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229844FD">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7075AF7E">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05797C34">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31802B59">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351DDB11">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6907241C">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5C4CE7A8">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75979B72">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3FB6472C">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1BA0291D">
            <w:pPr>
              <w:spacing w:line="360" w:lineRule="auto"/>
              <w:rPr>
                <w:rFonts w:hint="eastAsia" w:ascii="仿宋_GB2312" w:hAnsi="仿宋" w:eastAsia="仿宋_GB2312" w:cs="仿宋_GB2312"/>
                <w:sz w:val="24"/>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5B48120F">
            <w:pPr>
              <w:spacing w:line="360" w:lineRule="auto"/>
              <w:rPr>
                <w:rFonts w:hint="eastAsia" w:ascii="仿宋_GB2312" w:hAnsi="仿宋" w:eastAsia="仿宋_GB2312" w:cs="仿宋_GB2312"/>
                <w:sz w:val="24"/>
              </w:rPr>
            </w:pPr>
          </w:p>
        </w:tc>
      </w:tr>
    </w:tbl>
    <w:p w14:paraId="52A30056">
      <w:pPr>
        <w:autoSpaceDE w:val="0"/>
        <w:autoSpaceDN w:val="0"/>
        <w:spacing w:line="360" w:lineRule="auto"/>
        <w:rPr>
          <w:rFonts w:hint="eastAsia" w:ascii="仿宋_GB2312" w:hAnsi="仿宋" w:eastAsia="仿宋_GB2312" w:cs="仿宋_GB2312"/>
          <w:kern w:val="0"/>
          <w:sz w:val="24"/>
        </w:rPr>
      </w:pPr>
      <w:r>
        <w:rPr>
          <w:rFonts w:hint="eastAsia" w:ascii="仿宋_GB2312" w:hAnsi="仿宋" w:eastAsia="仿宋_GB2312" w:cs="仿宋_GB2312"/>
          <w:b/>
          <w:sz w:val="24"/>
        </w:rPr>
        <w:t>注：投标人可按上述时间表的格式自行编制切合实际的具体时间表。</w:t>
      </w:r>
    </w:p>
    <w:p w14:paraId="141040E9">
      <w:pPr>
        <w:autoSpaceDE w:val="0"/>
        <w:autoSpaceDN w:val="0"/>
        <w:spacing w:line="360" w:lineRule="auto"/>
        <w:ind w:firstLine="4440" w:firstLineChars="1850"/>
        <w:rPr>
          <w:rFonts w:hint="eastAsia" w:ascii="仿宋_GB2312" w:hAnsi="仿宋" w:eastAsia="仿宋_GB2312" w:cs="仿宋_GB2312"/>
          <w:kern w:val="0"/>
          <w:sz w:val="24"/>
        </w:rPr>
      </w:pPr>
      <w:r>
        <w:rPr>
          <w:rFonts w:hint="eastAsia" w:ascii="仿宋_GB2312" w:hAnsi="仿宋" w:eastAsia="仿宋_GB2312" w:cs="仿宋_GB2312"/>
          <w:kern w:val="0"/>
          <w:sz w:val="24"/>
        </w:rPr>
        <w:t>投标人名称（电子签章）：</w:t>
      </w:r>
    </w:p>
    <w:p w14:paraId="3D2184E1">
      <w:pPr>
        <w:autoSpaceDE w:val="0"/>
        <w:autoSpaceDN w:val="0"/>
        <w:spacing w:line="360" w:lineRule="auto"/>
        <w:rPr>
          <w:rFonts w:hint="eastAsia" w:ascii="仿宋_GB2312" w:hAnsi="仿宋" w:eastAsia="仿宋_GB2312" w:cs="仿宋_GB2312"/>
          <w:b/>
          <w:bCs/>
          <w:sz w:val="32"/>
          <w:szCs w:val="32"/>
        </w:rPr>
      </w:pPr>
      <w:r>
        <w:rPr>
          <w:rFonts w:hint="eastAsia" w:ascii="仿宋_GB2312" w:hAnsi="仿宋" w:eastAsia="仿宋_GB2312" w:cs="仿宋_GB2312"/>
          <w:kern w:val="0"/>
          <w:sz w:val="24"/>
        </w:rPr>
        <w:t xml:space="preserve">                                     </w:t>
      </w:r>
      <w:r>
        <w:rPr>
          <w:rFonts w:hint="eastAsia" w:ascii="仿宋_GB2312" w:hAnsi="仿宋" w:eastAsia="仿宋_GB2312" w:cs="仿宋_GB2312"/>
          <w:kern w:val="0"/>
          <w:sz w:val="24"/>
          <w:lang w:val="zh-CN"/>
        </w:rPr>
        <w:t>日期：  年  月   日</w:t>
      </w:r>
    </w:p>
    <w:p w14:paraId="067A9860">
      <w:pPr>
        <w:snapToGrid w:val="0"/>
        <w:spacing w:line="360" w:lineRule="auto"/>
        <w:ind w:firstLine="4935" w:firstLineChars="2350"/>
        <w:rPr>
          <w:rFonts w:hint="eastAsia" w:hAnsi="宋体"/>
          <w:color w:val="000000"/>
          <w:szCs w:val="21"/>
        </w:rPr>
      </w:pPr>
      <w:r>
        <w:rPr>
          <w:rFonts w:hAnsi="宋体"/>
          <w:color w:val="000000"/>
          <w:szCs w:val="21"/>
        </w:rPr>
        <w:t xml:space="preserve"> </w:t>
      </w:r>
    </w:p>
    <w:p w14:paraId="48AB5EFD">
      <w:pPr>
        <w:snapToGrid w:val="0"/>
        <w:spacing w:before="165" w:beforeLines="50" w:after="50"/>
        <w:jc w:val="center"/>
        <w:rPr>
          <w:b/>
          <w:bCs/>
          <w:sz w:val="30"/>
          <w:szCs w:val="30"/>
        </w:rPr>
      </w:pPr>
      <w:r>
        <w:rPr>
          <w:rFonts w:hint="eastAsia"/>
          <w:b/>
          <w:bCs/>
          <w:sz w:val="30"/>
          <w:szCs w:val="30"/>
        </w:rPr>
        <w:br w:type="page"/>
      </w:r>
      <w:r>
        <w:rPr>
          <w:rFonts w:hint="eastAsia"/>
          <w:b/>
          <w:bCs/>
          <w:sz w:val="30"/>
          <w:szCs w:val="30"/>
        </w:rPr>
        <w:t>三、售后服务方案</w:t>
      </w:r>
    </w:p>
    <w:p w14:paraId="140B11E0">
      <w:pPr>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rPr>
        <w:t>（由投标人根据采购需求及招标文件要求编制）</w:t>
      </w:r>
    </w:p>
    <w:p w14:paraId="134066B2">
      <w:pPr>
        <w:snapToGrid w:val="0"/>
        <w:spacing w:before="165" w:beforeLines="50" w:after="50"/>
        <w:ind w:left="142"/>
        <w:jc w:val="center"/>
        <w:rPr>
          <w:rFonts w:hint="eastAsia" w:ascii="宋体" w:hAnsi="宋体"/>
          <w:b/>
          <w:color w:val="000000"/>
          <w:sz w:val="32"/>
          <w:szCs w:val="32"/>
        </w:rPr>
      </w:pPr>
    </w:p>
    <w:p w14:paraId="159B3E98">
      <w:pPr>
        <w:autoSpaceDE w:val="0"/>
        <w:autoSpaceDN w:val="0"/>
        <w:spacing w:line="360" w:lineRule="auto"/>
        <w:rPr>
          <w:rFonts w:hint="eastAsia" w:ascii="仿宋_GB2312" w:hAnsi="仿宋" w:eastAsia="仿宋_GB2312" w:cs="仿宋_GB2312"/>
          <w:b/>
          <w:sz w:val="24"/>
        </w:rPr>
      </w:pPr>
      <w:r>
        <w:rPr>
          <w:rFonts w:hint="eastAsia" w:ascii="仿宋_GB2312" w:hAnsi="仿宋" w:eastAsia="仿宋_GB2312" w:cs="仿宋_GB2312"/>
          <w:b/>
          <w:sz w:val="24"/>
        </w:rPr>
        <w:t>附表A：售后服务机构情况表</w:t>
      </w:r>
      <w:r>
        <w:rPr>
          <w:rFonts w:hint="eastAsia" w:ascii="仿宋_GB2312" w:hAnsi="仿宋" w:eastAsia="仿宋_GB2312" w:cs="仿宋_GB2312"/>
          <w:sz w:val="24"/>
        </w:rPr>
        <w:t>（按此格式自制）</w:t>
      </w:r>
    </w:p>
    <w:tbl>
      <w:tblPr>
        <w:tblStyle w:val="16"/>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340"/>
        <w:gridCol w:w="1095"/>
        <w:gridCol w:w="1245"/>
        <w:gridCol w:w="1980"/>
        <w:gridCol w:w="1260"/>
      </w:tblGrid>
      <w:tr w14:paraId="2BE0D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noWrap w:val="0"/>
            <w:vAlign w:val="top"/>
          </w:tcPr>
          <w:p w14:paraId="0066CDD0">
            <w:pPr>
              <w:autoSpaceDE w:val="0"/>
              <w:autoSpaceDN w:val="0"/>
              <w:spacing w:line="360" w:lineRule="auto"/>
              <w:jc w:val="center"/>
              <w:rPr>
                <w:rFonts w:hint="eastAsia" w:ascii="仿宋_GB2312" w:hAnsi="仿宋" w:eastAsia="仿宋_GB2312" w:cs="仿宋_GB2312"/>
                <w:b/>
                <w:sz w:val="24"/>
              </w:rPr>
            </w:pPr>
            <w:r>
              <w:rPr>
                <w:rFonts w:hint="eastAsia" w:ascii="仿宋_GB2312" w:hAnsi="仿宋" w:eastAsia="仿宋_GB2312" w:cs="仿宋_GB2312"/>
                <w:b/>
                <w:sz w:val="24"/>
              </w:rPr>
              <w:t>序号</w:t>
            </w:r>
          </w:p>
        </w:tc>
        <w:tc>
          <w:tcPr>
            <w:tcW w:w="2340" w:type="dxa"/>
            <w:tcBorders>
              <w:top w:val="single" w:color="auto" w:sz="4" w:space="0"/>
              <w:left w:val="single" w:color="auto" w:sz="4" w:space="0"/>
              <w:bottom w:val="single" w:color="auto" w:sz="4" w:space="0"/>
              <w:right w:val="single" w:color="auto" w:sz="4" w:space="0"/>
            </w:tcBorders>
            <w:noWrap w:val="0"/>
            <w:vAlign w:val="top"/>
          </w:tcPr>
          <w:p w14:paraId="439CC34A">
            <w:pPr>
              <w:autoSpaceDE w:val="0"/>
              <w:autoSpaceDN w:val="0"/>
              <w:spacing w:line="360" w:lineRule="auto"/>
              <w:jc w:val="center"/>
              <w:rPr>
                <w:rFonts w:hint="eastAsia" w:ascii="仿宋_GB2312" w:hAnsi="仿宋" w:eastAsia="仿宋_GB2312" w:cs="仿宋_GB2312"/>
                <w:b/>
                <w:sz w:val="24"/>
              </w:rPr>
            </w:pPr>
            <w:r>
              <w:rPr>
                <w:rFonts w:hint="eastAsia" w:ascii="仿宋_GB2312" w:hAnsi="仿宋" w:eastAsia="仿宋_GB2312" w:cs="仿宋_GB2312"/>
                <w:b/>
                <w:sz w:val="24"/>
              </w:rPr>
              <w:t>机构名称</w:t>
            </w:r>
          </w:p>
        </w:tc>
        <w:tc>
          <w:tcPr>
            <w:tcW w:w="1095" w:type="dxa"/>
            <w:tcBorders>
              <w:top w:val="single" w:color="auto" w:sz="4" w:space="0"/>
              <w:left w:val="single" w:color="auto" w:sz="4" w:space="0"/>
              <w:bottom w:val="single" w:color="auto" w:sz="4" w:space="0"/>
              <w:right w:val="single" w:color="auto" w:sz="4" w:space="0"/>
            </w:tcBorders>
            <w:noWrap w:val="0"/>
            <w:vAlign w:val="top"/>
          </w:tcPr>
          <w:p w14:paraId="06AF54F4">
            <w:pPr>
              <w:autoSpaceDE w:val="0"/>
              <w:autoSpaceDN w:val="0"/>
              <w:spacing w:line="360" w:lineRule="auto"/>
              <w:jc w:val="center"/>
              <w:rPr>
                <w:rFonts w:hint="eastAsia" w:ascii="仿宋_GB2312" w:hAnsi="仿宋" w:eastAsia="仿宋_GB2312" w:cs="仿宋_GB2312"/>
                <w:b/>
                <w:sz w:val="24"/>
              </w:rPr>
            </w:pPr>
            <w:r>
              <w:rPr>
                <w:rFonts w:hint="eastAsia" w:ascii="仿宋_GB2312" w:hAnsi="仿宋" w:eastAsia="仿宋_GB2312" w:cs="仿宋_GB2312"/>
                <w:b/>
                <w:sz w:val="24"/>
              </w:rPr>
              <w:t>机构性质</w:t>
            </w:r>
          </w:p>
        </w:tc>
        <w:tc>
          <w:tcPr>
            <w:tcW w:w="1245" w:type="dxa"/>
            <w:tcBorders>
              <w:top w:val="single" w:color="auto" w:sz="4" w:space="0"/>
              <w:left w:val="single" w:color="auto" w:sz="4" w:space="0"/>
              <w:bottom w:val="single" w:color="auto" w:sz="4" w:space="0"/>
              <w:right w:val="single" w:color="auto" w:sz="4" w:space="0"/>
            </w:tcBorders>
            <w:noWrap w:val="0"/>
            <w:vAlign w:val="top"/>
          </w:tcPr>
          <w:p w14:paraId="29BC9002">
            <w:pPr>
              <w:autoSpaceDE w:val="0"/>
              <w:autoSpaceDN w:val="0"/>
              <w:spacing w:line="360" w:lineRule="auto"/>
              <w:jc w:val="center"/>
              <w:rPr>
                <w:rFonts w:hint="eastAsia" w:ascii="仿宋_GB2312" w:hAnsi="仿宋" w:eastAsia="仿宋_GB2312" w:cs="仿宋_GB2312"/>
                <w:b/>
                <w:sz w:val="24"/>
              </w:rPr>
            </w:pPr>
            <w:r>
              <w:rPr>
                <w:rFonts w:hint="eastAsia" w:ascii="仿宋_GB2312" w:hAnsi="仿宋" w:eastAsia="仿宋_GB2312" w:cs="仿宋_GB2312"/>
                <w:b/>
                <w:sz w:val="24"/>
              </w:rPr>
              <w:t>注册地址</w:t>
            </w:r>
          </w:p>
        </w:tc>
        <w:tc>
          <w:tcPr>
            <w:tcW w:w="1980" w:type="dxa"/>
            <w:tcBorders>
              <w:top w:val="single" w:color="auto" w:sz="4" w:space="0"/>
              <w:left w:val="single" w:color="auto" w:sz="4" w:space="0"/>
              <w:bottom w:val="single" w:color="auto" w:sz="4" w:space="0"/>
              <w:right w:val="single" w:color="auto" w:sz="4" w:space="0"/>
            </w:tcBorders>
            <w:noWrap w:val="0"/>
            <w:vAlign w:val="top"/>
          </w:tcPr>
          <w:p w14:paraId="45D1F2D8">
            <w:pPr>
              <w:autoSpaceDE w:val="0"/>
              <w:autoSpaceDN w:val="0"/>
              <w:spacing w:line="360" w:lineRule="auto"/>
              <w:jc w:val="center"/>
              <w:rPr>
                <w:rFonts w:hint="eastAsia" w:ascii="仿宋_GB2312" w:hAnsi="仿宋" w:eastAsia="仿宋_GB2312" w:cs="仿宋_GB2312"/>
                <w:b/>
                <w:sz w:val="24"/>
              </w:rPr>
            </w:pPr>
            <w:r>
              <w:rPr>
                <w:rFonts w:hint="eastAsia" w:ascii="仿宋_GB2312" w:hAnsi="仿宋" w:eastAsia="仿宋_GB2312" w:cs="仿宋_GB2312"/>
                <w:b/>
                <w:sz w:val="24"/>
              </w:rPr>
              <w:t>服务技术人员数量</w:t>
            </w:r>
          </w:p>
        </w:tc>
        <w:tc>
          <w:tcPr>
            <w:tcW w:w="1260" w:type="dxa"/>
            <w:tcBorders>
              <w:top w:val="single" w:color="auto" w:sz="4" w:space="0"/>
              <w:left w:val="single" w:color="auto" w:sz="4" w:space="0"/>
              <w:bottom w:val="single" w:color="auto" w:sz="4" w:space="0"/>
              <w:right w:val="single" w:color="auto" w:sz="4" w:space="0"/>
            </w:tcBorders>
            <w:noWrap w:val="0"/>
            <w:vAlign w:val="top"/>
          </w:tcPr>
          <w:p w14:paraId="04977200">
            <w:pPr>
              <w:autoSpaceDE w:val="0"/>
              <w:autoSpaceDN w:val="0"/>
              <w:spacing w:line="360" w:lineRule="auto"/>
              <w:jc w:val="center"/>
              <w:rPr>
                <w:rFonts w:hint="eastAsia" w:ascii="仿宋_GB2312" w:hAnsi="仿宋" w:eastAsia="仿宋_GB2312" w:cs="仿宋_GB2312"/>
                <w:b/>
                <w:sz w:val="24"/>
              </w:rPr>
            </w:pPr>
            <w:r>
              <w:rPr>
                <w:rFonts w:hint="eastAsia" w:ascii="仿宋_GB2312" w:hAnsi="仿宋" w:eastAsia="仿宋_GB2312" w:cs="仿宋_GB2312"/>
                <w:b/>
                <w:sz w:val="24"/>
              </w:rPr>
              <w:t>联系电话</w:t>
            </w:r>
          </w:p>
        </w:tc>
      </w:tr>
      <w:tr w14:paraId="7C8DA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noWrap w:val="0"/>
            <w:vAlign w:val="top"/>
          </w:tcPr>
          <w:p w14:paraId="5221EEDF">
            <w:pPr>
              <w:autoSpaceDE w:val="0"/>
              <w:autoSpaceDN w:val="0"/>
              <w:spacing w:line="360" w:lineRule="auto"/>
              <w:jc w:val="center"/>
              <w:rPr>
                <w:rFonts w:hint="eastAsia" w:ascii="仿宋_GB2312" w:hAnsi="仿宋" w:eastAsia="仿宋_GB2312" w:cs="仿宋_GB2312"/>
                <w:sz w:val="24"/>
              </w:rPr>
            </w:pPr>
          </w:p>
        </w:tc>
        <w:tc>
          <w:tcPr>
            <w:tcW w:w="2340" w:type="dxa"/>
            <w:tcBorders>
              <w:top w:val="single" w:color="auto" w:sz="4" w:space="0"/>
              <w:left w:val="single" w:color="auto" w:sz="4" w:space="0"/>
              <w:bottom w:val="single" w:color="auto" w:sz="4" w:space="0"/>
              <w:right w:val="single" w:color="auto" w:sz="4" w:space="0"/>
            </w:tcBorders>
            <w:noWrap w:val="0"/>
            <w:vAlign w:val="top"/>
          </w:tcPr>
          <w:p w14:paraId="3B034E76">
            <w:pPr>
              <w:autoSpaceDE w:val="0"/>
              <w:autoSpaceDN w:val="0"/>
              <w:spacing w:line="360" w:lineRule="auto"/>
              <w:jc w:val="center"/>
              <w:rPr>
                <w:rFonts w:hint="eastAsia" w:ascii="仿宋_GB2312" w:hAnsi="仿宋" w:eastAsia="仿宋_GB2312" w:cs="仿宋_GB2312"/>
                <w:sz w:val="24"/>
              </w:rPr>
            </w:pPr>
          </w:p>
        </w:tc>
        <w:tc>
          <w:tcPr>
            <w:tcW w:w="1095" w:type="dxa"/>
            <w:tcBorders>
              <w:top w:val="single" w:color="auto" w:sz="4" w:space="0"/>
              <w:left w:val="single" w:color="auto" w:sz="4" w:space="0"/>
              <w:bottom w:val="single" w:color="auto" w:sz="4" w:space="0"/>
              <w:right w:val="single" w:color="auto" w:sz="4" w:space="0"/>
            </w:tcBorders>
            <w:noWrap w:val="0"/>
            <w:vAlign w:val="top"/>
          </w:tcPr>
          <w:p w14:paraId="5809D44B">
            <w:pPr>
              <w:autoSpaceDE w:val="0"/>
              <w:autoSpaceDN w:val="0"/>
              <w:spacing w:line="360" w:lineRule="auto"/>
              <w:jc w:val="center"/>
              <w:rPr>
                <w:rFonts w:hint="eastAsia" w:ascii="仿宋_GB2312" w:hAnsi="仿宋" w:eastAsia="仿宋_GB2312" w:cs="仿宋_GB2312"/>
                <w:sz w:val="24"/>
              </w:rPr>
            </w:pPr>
          </w:p>
        </w:tc>
        <w:tc>
          <w:tcPr>
            <w:tcW w:w="1245" w:type="dxa"/>
            <w:tcBorders>
              <w:top w:val="single" w:color="auto" w:sz="4" w:space="0"/>
              <w:left w:val="single" w:color="auto" w:sz="4" w:space="0"/>
              <w:bottom w:val="single" w:color="auto" w:sz="4" w:space="0"/>
              <w:right w:val="single" w:color="auto" w:sz="4" w:space="0"/>
            </w:tcBorders>
            <w:noWrap w:val="0"/>
            <w:vAlign w:val="top"/>
          </w:tcPr>
          <w:p w14:paraId="1FC0E2C8">
            <w:pPr>
              <w:autoSpaceDE w:val="0"/>
              <w:autoSpaceDN w:val="0"/>
              <w:spacing w:line="360" w:lineRule="auto"/>
              <w:jc w:val="center"/>
              <w:rPr>
                <w:rFonts w:hint="eastAsia" w:ascii="仿宋_GB2312" w:hAnsi="仿宋" w:eastAsia="仿宋_GB2312" w:cs="仿宋_GB2312"/>
                <w:sz w:val="24"/>
              </w:rPr>
            </w:pPr>
          </w:p>
        </w:tc>
        <w:tc>
          <w:tcPr>
            <w:tcW w:w="1980" w:type="dxa"/>
            <w:tcBorders>
              <w:top w:val="single" w:color="auto" w:sz="4" w:space="0"/>
              <w:left w:val="single" w:color="auto" w:sz="4" w:space="0"/>
              <w:bottom w:val="single" w:color="auto" w:sz="4" w:space="0"/>
              <w:right w:val="single" w:color="auto" w:sz="4" w:space="0"/>
            </w:tcBorders>
            <w:noWrap w:val="0"/>
            <w:vAlign w:val="top"/>
          </w:tcPr>
          <w:p w14:paraId="45CB3EC0">
            <w:pPr>
              <w:autoSpaceDE w:val="0"/>
              <w:autoSpaceDN w:val="0"/>
              <w:spacing w:line="360" w:lineRule="auto"/>
              <w:jc w:val="center"/>
              <w:rPr>
                <w:rFonts w:hint="eastAsia" w:ascii="仿宋_GB2312" w:hAnsi="仿宋" w:eastAsia="仿宋_GB2312" w:cs="仿宋_GB2312"/>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1F62309C">
            <w:pPr>
              <w:autoSpaceDE w:val="0"/>
              <w:autoSpaceDN w:val="0"/>
              <w:spacing w:line="360" w:lineRule="auto"/>
              <w:jc w:val="center"/>
              <w:rPr>
                <w:rFonts w:hint="eastAsia" w:ascii="仿宋_GB2312" w:hAnsi="仿宋" w:eastAsia="仿宋_GB2312" w:cs="仿宋_GB2312"/>
                <w:sz w:val="24"/>
              </w:rPr>
            </w:pPr>
          </w:p>
        </w:tc>
      </w:tr>
      <w:tr w14:paraId="43962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noWrap w:val="0"/>
            <w:vAlign w:val="top"/>
          </w:tcPr>
          <w:p w14:paraId="25B076D4">
            <w:pPr>
              <w:autoSpaceDE w:val="0"/>
              <w:autoSpaceDN w:val="0"/>
              <w:spacing w:line="360" w:lineRule="auto"/>
              <w:jc w:val="center"/>
              <w:rPr>
                <w:rFonts w:hint="eastAsia" w:ascii="仿宋_GB2312" w:hAnsi="仿宋" w:eastAsia="仿宋_GB2312" w:cs="仿宋_GB2312"/>
                <w:sz w:val="24"/>
              </w:rPr>
            </w:pPr>
          </w:p>
        </w:tc>
        <w:tc>
          <w:tcPr>
            <w:tcW w:w="2340" w:type="dxa"/>
            <w:tcBorders>
              <w:top w:val="single" w:color="auto" w:sz="4" w:space="0"/>
              <w:left w:val="single" w:color="auto" w:sz="4" w:space="0"/>
              <w:bottom w:val="single" w:color="auto" w:sz="4" w:space="0"/>
              <w:right w:val="single" w:color="auto" w:sz="4" w:space="0"/>
            </w:tcBorders>
            <w:noWrap w:val="0"/>
            <w:vAlign w:val="top"/>
          </w:tcPr>
          <w:p w14:paraId="0CA84A04">
            <w:pPr>
              <w:autoSpaceDE w:val="0"/>
              <w:autoSpaceDN w:val="0"/>
              <w:spacing w:line="360" w:lineRule="auto"/>
              <w:jc w:val="center"/>
              <w:rPr>
                <w:rFonts w:hint="eastAsia" w:ascii="仿宋_GB2312" w:hAnsi="仿宋" w:eastAsia="仿宋_GB2312" w:cs="仿宋_GB2312"/>
                <w:sz w:val="24"/>
              </w:rPr>
            </w:pPr>
          </w:p>
        </w:tc>
        <w:tc>
          <w:tcPr>
            <w:tcW w:w="1095" w:type="dxa"/>
            <w:tcBorders>
              <w:top w:val="single" w:color="auto" w:sz="4" w:space="0"/>
              <w:left w:val="single" w:color="auto" w:sz="4" w:space="0"/>
              <w:bottom w:val="single" w:color="auto" w:sz="4" w:space="0"/>
              <w:right w:val="single" w:color="auto" w:sz="4" w:space="0"/>
            </w:tcBorders>
            <w:noWrap w:val="0"/>
            <w:vAlign w:val="top"/>
          </w:tcPr>
          <w:p w14:paraId="1FF60296">
            <w:pPr>
              <w:autoSpaceDE w:val="0"/>
              <w:autoSpaceDN w:val="0"/>
              <w:spacing w:line="360" w:lineRule="auto"/>
              <w:jc w:val="center"/>
              <w:rPr>
                <w:rFonts w:hint="eastAsia" w:ascii="仿宋_GB2312" w:hAnsi="仿宋" w:eastAsia="仿宋_GB2312" w:cs="仿宋_GB2312"/>
                <w:sz w:val="24"/>
              </w:rPr>
            </w:pPr>
          </w:p>
        </w:tc>
        <w:tc>
          <w:tcPr>
            <w:tcW w:w="1245" w:type="dxa"/>
            <w:tcBorders>
              <w:top w:val="single" w:color="auto" w:sz="4" w:space="0"/>
              <w:left w:val="single" w:color="auto" w:sz="4" w:space="0"/>
              <w:bottom w:val="single" w:color="auto" w:sz="4" w:space="0"/>
              <w:right w:val="single" w:color="auto" w:sz="4" w:space="0"/>
            </w:tcBorders>
            <w:noWrap w:val="0"/>
            <w:vAlign w:val="top"/>
          </w:tcPr>
          <w:p w14:paraId="243F7BAD">
            <w:pPr>
              <w:autoSpaceDE w:val="0"/>
              <w:autoSpaceDN w:val="0"/>
              <w:spacing w:line="360" w:lineRule="auto"/>
              <w:jc w:val="center"/>
              <w:rPr>
                <w:rFonts w:hint="eastAsia" w:ascii="仿宋_GB2312" w:hAnsi="仿宋" w:eastAsia="仿宋_GB2312" w:cs="仿宋_GB2312"/>
                <w:sz w:val="24"/>
              </w:rPr>
            </w:pPr>
          </w:p>
        </w:tc>
        <w:tc>
          <w:tcPr>
            <w:tcW w:w="1980" w:type="dxa"/>
            <w:tcBorders>
              <w:top w:val="single" w:color="auto" w:sz="4" w:space="0"/>
              <w:left w:val="single" w:color="auto" w:sz="4" w:space="0"/>
              <w:bottom w:val="single" w:color="auto" w:sz="4" w:space="0"/>
              <w:right w:val="single" w:color="auto" w:sz="4" w:space="0"/>
            </w:tcBorders>
            <w:noWrap w:val="0"/>
            <w:vAlign w:val="top"/>
          </w:tcPr>
          <w:p w14:paraId="6D259EE9">
            <w:pPr>
              <w:autoSpaceDE w:val="0"/>
              <w:autoSpaceDN w:val="0"/>
              <w:spacing w:line="360" w:lineRule="auto"/>
              <w:jc w:val="center"/>
              <w:rPr>
                <w:rFonts w:hint="eastAsia" w:ascii="仿宋_GB2312" w:hAnsi="仿宋" w:eastAsia="仿宋_GB2312" w:cs="仿宋_GB2312"/>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281D24CE">
            <w:pPr>
              <w:autoSpaceDE w:val="0"/>
              <w:autoSpaceDN w:val="0"/>
              <w:spacing w:line="360" w:lineRule="auto"/>
              <w:jc w:val="center"/>
              <w:rPr>
                <w:rFonts w:hint="eastAsia" w:ascii="仿宋_GB2312" w:hAnsi="仿宋" w:eastAsia="仿宋_GB2312" w:cs="仿宋_GB2312"/>
                <w:sz w:val="24"/>
              </w:rPr>
            </w:pPr>
          </w:p>
        </w:tc>
      </w:tr>
      <w:tr w14:paraId="0E5AF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noWrap w:val="0"/>
            <w:vAlign w:val="top"/>
          </w:tcPr>
          <w:p w14:paraId="14A6311A">
            <w:pPr>
              <w:autoSpaceDE w:val="0"/>
              <w:autoSpaceDN w:val="0"/>
              <w:spacing w:line="360" w:lineRule="auto"/>
              <w:jc w:val="center"/>
              <w:rPr>
                <w:rFonts w:hint="eastAsia" w:ascii="仿宋_GB2312" w:hAnsi="仿宋" w:eastAsia="仿宋_GB2312" w:cs="仿宋_GB2312"/>
                <w:sz w:val="24"/>
              </w:rPr>
            </w:pPr>
          </w:p>
        </w:tc>
        <w:tc>
          <w:tcPr>
            <w:tcW w:w="2340" w:type="dxa"/>
            <w:tcBorders>
              <w:top w:val="single" w:color="auto" w:sz="4" w:space="0"/>
              <w:left w:val="single" w:color="auto" w:sz="4" w:space="0"/>
              <w:bottom w:val="single" w:color="auto" w:sz="4" w:space="0"/>
              <w:right w:val="single" w:color="auto" w:sz="4" w:space="0"/>
            </w:tcBorders>
            <w:noWrap w:val="0"/>
            <w:vAlign w:val="top"/>
          </w:tcPr>
          <w:p w14:paraId="4D60BC8B">
            <w:pPr>
              <w:autoSpaceDE w:val="0"/>
              <w:autoSpaceDN w:val="0"/>
              <w:spacing w:line="360" w:lineRule="auto"/>
              <w:jc w:val="center"/>
              <w:rPr>
                <w:rFonts w:hint="eastAsia" w:ascii="仿宋_GB2312" w:hAnsi="仿宋" w:eastAsia="仿宋_GB2312" w:cs="仿宋_GB2312"/>
                <w:sz w:val="24"/>
              </w:rPr>
            </w:pPr>
          </w:p>
        </w:tc>
        <w:tc>
          <w:tcPr>
            <w:tcW w:w="1095" w:type="dxa"/>
            <w:tcBorders>
              <w:top w:val="single" w:color="auto" w:sz="4" w:space="0"/>
              <w:left w:val="single" w:color="auto" w:sz="4" w:space="0"/>
              <w:bottom w:val="single" w:color="auto" w:sz="4" w:space="0"/>
              <w:right w:val="single" w:color="auto" w:sz="4" w:space="0"/>
            </w:tcBorders>
            <w:noWrap w:val="0"/>
            <w:vAlign w:val="top"/>
          </w:tcPr>
          <w:p w14:paraId="6731937F">
            <w:pPr>
              <w:autoSpaceDE w:val="0"/>
              <w:autoSpaceDN w:val="0"/>
              <w:spacing w:line="360" w:lineRule="auto"/>
              <w:jc w:val="center"/>
              <w:rPr>
                <w:rFonts w:hint="eastAsia" w:ascii="仿宋_GB2312" w:hAnsi="仿宋" w:eastAsia="仿宋_GB2312" w:cs="仿宋_GB2312"/>
                <w:sz w:val="24"/>
              </w:rPr>
            </w:pPr>
          </w:p>
        </w:tc>
        <w:tc>
          <w:tcPr>
            <w:tcW w:w="1245" w:type="dxa"/>
            <w:tcBorders>
              <w:top w:val="single" w:color="auto" w:sz="4" w:space="0"/>
              <w:left w:val="single" w:color="auto" w:sz="4" w:space="0"/>
              <w:bottom w:val="single" w:color="auto" w:sz="4" w:space="0"/>
              <w:right w:val="single" w:color="auto" w:sz="4" w:space="0"/>
            </w:tcBorders>
            <w:noWrap w:val="0"/>
            <w:vAlign w:val="top"/>
          </w:tcPr>
          <w:p w14:paraId="0C33F846">
            <w:pPr>
              <w:autoSpaceDE w:val="0"/>
              <w:autoSpaceDN w:val="0"/>
              <w:spacing w:line="360" w:lineRule="auto"/>
              <w:jc w:val="center"/>
              <w:rPr>
                <w:rFonts w:hint="eastAsia" w:ascii="仿宋_GB2312" w:hAnsi="仿宋" w:eastAsia="仿宋_GB2312" w:cs="仿宋_GB2312"/>
                <w:sz w:val="24"/>
              </w:rPr>
            </w:pPr>
          </w:p>
        </w:tc>
        <w:tc>
          <w:tcPr>
            <w:tcW w:w="1980" w:type="dxa"/>
            <w:tcBorders>
              <w:top w:val="single" w:color="auto" w:sz="4" w:space="0"/>
              <w:left w:val="single" w:color="auto" w:sz="4" w:space="0"/>
              <w:bottom w:val="single" w:color="auto" w:sz="4" w:space="0"/>
              <w:right w:val="single" w:color="auto" w:sz="4" w:space="0"/>
            </w:tcBorders>
            <w:noWrap w:val="0"/>
            <w:vAlign w:val="top"/>
          </w:tcPr>
          <w:p w14:paraId="2EBA8C39">
            <w:pPr>
              <w:autoSpaceDE w:val="0"/>
              <w:autoSpaceDN w:val="0"/>
              <w:spacing w:line="360" w:lineRule="auto"/>
              <w:jc w:val="center"/>
              <w:rPr>
                <w:rFonts w:hint="eastAsia" w:ascii="仿宋_GB2312" w:hAnsi="仿宋" w:eastAsia="仿宋_GB2312" w:cs="仿宋_GB2312"/>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5012344C">
            <w:pPr>
              <w:autoSpaceDE w:val="0"/>
              <w:autoSpaceDN w:val="0"/>
              <w:spacing w:line="360" w:lineRule="auto"/>
              <w:jc w:val="center"/>
              <w:rPr>
                <w:rFonts w:hint="eastAsia" w:ascii="仿宋_GB2312" w:hAnsi="仿宋" w:eastAsia="仿宋_GB2312" w:cs="仿宋_GB2312"/>
                <w:sz w:val="24"/>
              </w:rPr>
            </w:pPr>
          </w:p>
        </w:tc>
      </w:tr>
    </w:tbl>
    <w:p w14:paraId="438B35DC">
      <w:pPr>
        <w:autoSpaceDE w:val="0"/>
        <w:autoSpaceDN w:val="0"/>
        <w:spacing w:line="360" w:lineRule="auto"/>
        <w:rPr>
          <w:rFonts w:hint="eastAsia" w:ascii="仿宋_GB2312" w:hAnsi="仿宋" w:eastAsia="仿宋_GB2312" w:cs="仿宋_GB2312"/>
          <w:b/>
          <w:sz w:val="24"/>
        </w:rPr>
      </w:pPr>
      <w:r>
        <w:rPr>
          <w:rFonts w:hint="eastAsia" w:ascii="仿宋_GB2312" w:hAnsi="仿宋" w:eastAsia="仿宋_GB2312" w:cs="仿宋_GB2312"/>
          <w:b/>
          <w:sz w:val="24"/>
        </w:rPr>
        <w:t>注：关于项目涉及的所有售后服务机构均在本表注明，包括投标人本单位和符合条件的第三方服务机构；</w:t>
      </w:r>
    </w:p>
    <w:p w14:paraId="1774F7D1">
      <w:pPr>
        <w:autoSpaceDE w:val="0"/>
        <w:autoSpaceDN w:val="0"/>
        <w:spacing w:line="360" w:lineRule="auto"/>
        <w:rPr>
          <w:rFonts w:hint="eastAsia" w:ascii="仿宋_GB2312" w:hAnsi="仿宋" w:eastAsia="仿宋_GB2312" w:cs="仿宋_GB2312"/>
          <w:kern w:val="0"/>
          <w:sz w:val="24"/>
        </w:rPr>
      </w:pPr>
    </w:p>
    <w:p w14:paraId="62F4C62E">
      <w:pPr>
        <w:autoSpaceDE w:val="0"/>
        <w:autoSpaceDN w:val="0"/>
        <w:spacing w:line="360" w:lineRule="auto"/>
        <w:rPr>
          <w:rFonts w:hint="eastAsia" w:ascii="仿宋_GB2312" w:hAnsi="仿宋" w:eastAsia="仿宋_GB2312" w:cs="仿宋_GB2312"/>
          <w:kern w:val="0"/>
          <w:sz w:val="24"/>
        </w:rPr>
      </w:pPr>
      <w:r>
        <w:rPr>
          <w:rFonts w:hint="eastAsia" w:ascii="仿宋_GB2312" w:hAnsi="仿宋" w:eastAsia="仿宋_GB2312" w:cs="仿宋_GB2312"/>
          <w:b/>
          <w:kern w:val="0"/>
          <w:sz w:val="24"/>
        </w:rPr>
        <w:t>附表B：售后服务人员情况表</w:t>
      </w:r>
      <w:r>
        <w:rPr>
          <w:rFonts w:hint="eastAsia" w:ascii="仿宋_GB2312" w:hAnsi="仿宋" w:eastAsia="仿宋_GB2312" w:cs="仿宋_GB2312"/>
          <w:sz w:val="24"/>
        </w:rPr>
        <w:t>（按此格式自制）</w:t>
      </w:r>
    </w:p>
    <w:tbl>
      <w:tblPr>
        <w:tblStyle w:val="16"/>
        <w:tblW w:w="0" w:type="auto"/>
        <w:jc w:val="center"/>
        <w:tblLayout w:type="fixed"/>
        <w:tblCellMar>
          <w:top w:w="0" w:type="dxa"/>
          <w:left w:w="108" w:type="dxa"/>
          <w:bottom w:w="0" w:type="dxa"/>
          <w:right w:w="108" w:type="dxa"/>
        </w:tblCellMar>
      </w:tblPr>
      <w:tblGrid>
        <w:gridCol w:w="646"/>
        <w:gridCol w:w="746"/>
        <w:gridCol w:w="787"/>
        <w:gridCol w:w="412"/>
        <w:gridCol w:w="900"/>
        <w:gridCol w:w="1080"/>
        <w:gridCol w:w="1080"/>
        <w:gridCol w:w="1080"/>
        <w:gridCol w:w="1260"/>
        <w:gridCol w:w="900"/>
        <w:gridCol w:w="1111"/>
      </w:tblGrid>
      <w:tr w14:paraId="56DF3F7F">
        <w:tblPrEx>
          <w:tblCellMar>
            <w:top w:w="0" w:type="dxa"/>
            <w:left w:w="108" w:type="dxa"/>
            <w:bottom w:w="0" w:type="dxa"/>
            <w:right w:w="108" w:type="dxa"/>
          </w:tblCellMar>
        </w:tblPrEx>
        <w:trPr>
          <w:jc w:val="center"/>
        </w:trPr>
        <w:tc>
          <w:tcPr>
            <w:tcW w:w="646" w:type="dxa"/>
            <w:tcBorders>
              <w:top w:val="single" w:color="auto" w:sz="6" w:space="0"/>
              <w:left w:val="single" w:color="auto" w:sz="6" w:space="0"/>
              <w:bottom w:val="single" w:color="auto" w:sz="6" w:space="0"/>
              <w:right w:val="single" w:color="auto" w:sz="4" w:space="0"/>
            </w:tcBorders>
            <w:noWrap w:val="0"/>
            <w:vAlign w:val="center"/>
          </w:tcPr>
          <w:p w14:paraId="4929C590">
            <w:pPr>
              <w:autoSpaceDE w:val="0"/>
              <w:autoSpaceDN w:val="0"/>
              <w:spacing w:line="360" w:lineRule="auto"/>
              <w:jc w:val="center"/>
              <w:rPr>
                <w:rFonts w:hint="eastAsia" w:ascii="仿宋_GB2312" w:hAnsi="仿宋" w:eastAsia="仿宋_GB2312" w:cs="仿宋_GB2312"/>
                <w:sz w:val="24"/>
              </w:rPr>
            </w:pPr>
            <w:r>
              <w:rPr>
                <w:rFonts w:hint="eastAsia" w:ascii="仿宋_GB2312" w:hAnsi="仿宋" w:eastAsia="仿宋_GB2312" w:cs="仿宋_GB2312"/>
                <w:sz w:val="24"/>
              </w:rPr>
              <w:t>序号</w:t>
            </w:r>
          </w:p>
          <w:p w14:paraId="682F6C46">
            <w:pPr>
              <w:autoSpaceDE w:val="0"/>
              <w:autoSpaceDN w:val="0"/>
              <w:spacing w:line="360" w:lineRule="auto"/>
              <w:jc w:val="center"/>
              <w:rPr>
                <w:rFonts w:hint="eastAsia" w:ascii="仿宋_GB2312" w:hAnsi="仿宋" w:eastAsia="仿宋_GB2312" w:cs="仿宋_GB2312"/>
                <w:sz w:val="24"/>
              </w:rPr>
            </w:pPr>
          </w:p>
        </w:tc>
        <w:tc>
          <w:tcPr>
            <w:tcW w:w="746" w:type="dxa"/>
            <w:tcBorders>
              <w:top w:val="single" w:color="auto" w:sz="6" w:space="0"/>
              <w:left w:val="single" w:color="auto" w:sz="4" w:space="0"/>
              <w:bottom w:val="single" w:color="auto" w:sz="6" w:space="0"/>
              <w:right w:val="single" w:color="auto" w:sz="6" w:space="0"/>
            </w:tcBorders>
            <w:noWrap w:val="0"/>
            <w:vAlign w:val="center"/>
          </w:tcPr>
          <w:p w14:paraId="7A8CA10D">
            <w:pPr>
              <w:autoSpaceDE w:val="0"/>
              <w:autoSpaceDN w:val="0"/>
              <w:spacing w:line="360" w:lineRule="auto"/>
              <w:jc w:val="center"/>
              <w:rPr>
                <w:rFonts w:hint="eastAsia" w:ascii="仿宋_GB2312" w:hAnsi="仿宋" w:eastAsia="仿宋_GB2312" w:cs="仿宋_GB2312"/>
                <w:sz w:val="24"/>
              </w:rPr>
            </w:pPr>
            <w:r>
              <w:rPr>
                <w:rFonts w:hint="eastAsia" w:ascii="仿宋_GB2312" w:hAnsi="仿宋" w:eastAsia="仿宋_GB2312" w:cs="仿宋_GB2312"/>
                <w:sz w:val="24"/>
              </w:rPr>
              <w:t>类别</w:t>
            </w:r>
          </w:p>
        </w:tc>
        <w:tc>
          <w:tcPr>
            <w:tcW w:w="787" w:type="dxa"/>
            <w:tcBorders>
              <w:top w:val="single" w:color="auto" w:sz="6" w:space="0"/>
              <w:left w:val="single" w:color="auto" w:sz="6" w:space="0"/>
              <w:bottom w:val="single" w:color="auto" w:sz="6" w:space="0"/>
              <w:right w:val="single" w:color="auto" w:sz="6" w:space="0"/>
            </w:tcBorders>
            <w:noWrap w:val="0"/>
            <w:vAlign w:val="center"/>
          </w:tcPr>
          <w:p w14:paraId="543E2683">
            <w:pPr>
              <w:autoSpaceDE w:val="0"/>
              <w:autoSpaceDN w:val="0"/>
              <w:spacing w:line="360" w:lineRule="auto"/>
              <w:jc w:val="center"/>
              <w:rPr>
                <w:rFonts w:hint="eastAsia" w:ascii="仿宋_GB2312" w:hAnsi="仿宋" w:eastAsia="仿宋_GB2312" w:cs="仿宋_GB2312"/>
                <w:sz w:val="24"/>
              </w:rPr>
            </w:pPr>
            <w:r>
              <w:rPr>
                <w:rFonts w:hint="eastAsia" w:ascii="仿宋_GB2312" w:hAnsi="仿宋" w:eastAsia="仿宋_GB2312" w:cs="仿宋_GB2312"/>
                <w:sz w:val="24"/>
              </w:rPr>
              <w:t>姓名</w:t>
            </w:r>
          </w:p>
        </w:tc>
        <w:tc>
          <w:tcPr>
            <w:tcW w:w="412" w:type="dxa"/>
            <w:tcBorders>
              <w:top w:val="single" w:color="auto" w:sz="6" w:space="0"/>
              <w:left w:val="single" w:color="auto" w:sz="6" w:space="0"/>
              <w:bottom w:val="single" w:color="auto" w:sz="6" w:space="0"/>
              <w:right w:val="single" w:color="auto" w:sz="6" w:space="0"/>
            </w:tcBorders>
            <w:noWrap w:val="0"/>
            <w:vAlign w:val="center"/>
          </w:tcPr>
          <w:p w14:paraId="416C4603">
            <w:pPr>
              <w:autoSpaceDE w:val="0"/>
              <w:autoSpaceDN w:val="0"/>
              <w:spacing w:line="360" w:lineRule="auto"/>
              <w:jc w:val="center"/>
              <w:rPr>
                <w:rFonts w:hint="eastAsia" w:ascii="仿宋_GB2312" w:hAnsi="仿宋" w:eastAsia="仿宋_GB2312" w:cs="仿宋_GB2312"/>
                <w:sz w:val="24"/>
              </w:rPr>
            </w:pPr>
            <w:r>
              <w:rPr>
                <w:rFonts w:hint="eastAsia" w:ascii="仿宋_GB2312" w:hAnsi="仿宋" w:eastAsia="仿宋_GB2312" w:cs="仿宋_GB2312"/>
                <w:sz w:val="24"/>
              </w:rPr>
              <w:t>性别</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1ABA5B42">
            <w:pPr>
              <w:autoSpaceDE w:val="0"/>
              <w:autoSpaceDN w:val="0"/>
              <w:spacing w:line="360" w:lineRule="auto"/>
              <w:jc w:val="center"/>
              <w:rPr>
                <w:rFonts w:hint="eastAsia" w:ascii="仿宋_GB2312" w:hAnsi="仿宋" w:eastAsia="仿宋_GB2312" w:cs="仿宋_GB2312"/>
                <w:sz w:val="24"/>
              </w:rPr>
            </w:pPr>
            <w:r>
              <w:rPr>
                <w:rFonts w:hint="eastAsia" w:ascii="仿宋_GB2312" w:hAnsi="仿宋" w:eastAsia="仿宋_GB2312" w:cs="仿宋_GB2312"/>
                <w:sz w:val="24"/>
              </w:rPr>
              <w:t>年龄</w:t>
            </w:r>
          </w:p>
        </w:tc>
        <w:tc>
          <w:tcPr>
            <w:tcW w:w="1080" w:type="dxa"/>
            <w:tcBorders>
              <w:top w:val="single" w:color="auto" w:sz="6" w:space="0"/>
              <w:left w:val="single" w:color="auto" w:sz="6" w:space="0"/>
              <w:bottom w:val="single" w:color="auto" w:sz="6" w:space="0"/>
              <w:right w:val="single" w:color="auto" w:sz="6" w:space="0"/>
            </w:tcBorders>
            <w:noWrap w:val="0"/>
            <w:vAlign w:val="center"/>
          </w:tcPr>
          <w:p w14:paraId="155C79D0">
            <w:pPr>
              <w:autoSpaceDE w:val="0"/>
              <w:autoSpaceDN w:val="0"/>
              <w:spacing w:line="360" w:lineRule="auto"/>
              <w:jc w:val="center"/>
              <w:rPr>
                <w:rFonts w:hint="eastAsia" w:ascii="仿宋_GB2312" w:hAnsi="仿宋" w:eastAsia="仿宋_GB2312" w:cs="仿宋_GB2312"/>
                <w:sz w:val="24"/>
              </w:rPr>
            </w:pPr>
            <w:r>
              <w:rPr>
                <w:rFonts w:hint="eastAsia" w:ascii="仿宋_GB2312" w:hAnsi="仿宋" w:eastAsia="仿宋_GB2312" w:cs="仿宋_GB2312"/>
                <w:sz w:val="24"/>
              </w:rPr>
              <w:t>学历</w:t>
            </w:r>
          </w:p>
        </w:tc>
        <w:tc>
          <w:tcPr>
            <w:tcW w:w="1080" w:type="dxa"/>
            <w:tcBorders>
              <w:top w:val="single" w:color="auto" w:sz="6" w:space="0"/>
              <w:left w:val="single" w:color="auto" w:sz="6" w:space="0"/>
              <w:bottom w:val="single" w:color="auto" w:sz="6" w:space="0"/>
              <w:right w:val="single" w:color="auto" w:sz="6" w:space="0"/>
            </w:tcBorders>
            <w:noWrap w:val="0"/>
            <w:vAlign w:val="center"/>
          </w:tcPr>
          <w:p w14:paraId="59226F6F">
            <w:pPr>
              <w:autoSpaceDE w:val="0"/>
              <w:autoSpaceDN w:val="0"/>
              <w:spacing w:line="360" w:lineRule="auto"/>
              <w:jc w:val="center"/>
              <w:rPr>
                <w:rFonts w:hint="eastAsia" w:ascii="仿宋_GB2312" w:hAnsi="仿宋" w:eastAsia="仿宋_GB2312" w:cs="仿宋_GB2312"/>
                <w:sz w:val="24"/>
              </w:rPr>
            </w:pPr>
            <w:r>
              <w:rPr>
                <w:rFonts w:hint="eastAsia" w:ascii="仿宋_GB2312" w:hAnsi="仿宋" w:eastAsia="仿宋_GB2312" w:cs="仿宋_GB2312"/>
                <w:sz w:val="24"/>
              </w:rPr>
              <w:t>专业</w:t>
            </w:r>
          </w:p>
        </w:tc>
        <w:tc>
          <w:tcPr>
            <w:tcW w:w="1080" w:type="dxa"/>
            <w:tcBorders>
              <w:top w:val="single" w:color="auto" w:sz="6" w:space="0"/>
              <w:left w:val="single" w:color="auto" w:sz="6" w:space="0"/>
              <w:bottom w:val="single" w:color="auto" w:sz="6" w:space="0"/>
              <w:right w:val="single" w:color="auto" w:sz="6" w:space="0"/>
            </w:tcBorders>
            <w:noWrap w:val="0"/>
            <w:vAlign w:val="center"/>
          </w:tcPr>
          <w:p w14:paraId="3A457718">
            <w:pPr>
              <w:autoSpaceDE w:val="0"/>
              <w:autoSpaceDN w:val="0"/>
              <w:spacing w:line="360" w:lineRule="auto"/>
              <w:jc w:val="center"/>
              <w:rPr>
                <w:rFonts w:hint="eastAsia" w:ascii="仿宋_GB2312" w:hAnsi="仿宋" w:eastAsia="仿宋_GB2312" w:cs="仿宋_GB2312"/>
                <w:sz w:val="24"/>
              </w:rPr>
            </w:pPr>
            <w:r>
              <w:rPr>
                <w:rFonts w:hint="eastAsia" w:ascii="仿宋_GB2312" w:hAnsi="仿宋" w:eastAsia="仿宋_GB2312" w:cs="仿宋_GB2312"/>
                <w:sz w:val="24"/>
              </w:rPr>
              <w:t>职称</w:t>
            </w:r>
          </w:p>
        </w:tc>
        <w:tc>
          <w:tcPr>
            <w:tcW w:w="1260" w:type="dxa"/>
            <w:tcBorders>
              <w:top w:val="single" w:color="auto" w:sz="6" w:space="0"/>
              <w:left w:val="single" w:color="auto" w:sz="6" w:space="0"/>
              <w:bottom w:val="single" w:color="auto" w:sz="6" w:space="0"/>
              <w:right w:val="single" w:color="auto" w:sz="6" w:space="0"/>
            </w:tcBorders>
            <w:noWrap w:val="0"/>
            <w:vAlign w:val="center"/>
          </w:tcPr>
          <w:p w14:paraId="68FE1112">
            <w:pPr>
              <w:autoSpaceDE w:val="0"/>
              <w:autoSpaceDN w:val="0"/>
              <w:spacing w:line="360" w:lineRule="auto"/>
              <w:jc w:val="center"/>
              <w:rPr>
                <w:rFonts w:hint="eastAsia" w:ascii="仿宋_GB2312" w:hAnsi="仿宋" w:eastAsia="仿宋_GB2312" w:cs="仿宋_GB2312"/>
                <w:sz w:val="24"/>
              </w:rPr>
            </w:pPr>
            <w:r>
              <w:rPr>
                <w:rFonts w:hint="eastAsia" w:ascii="仿宋_GB2312" w:hAnsi="仿宋" w:eastAsia="仿宋_GB2312" w:cs="仿宋_GB2312"/>
                <w:sz w:val="24"/>
              </w:rPr>
              <w:t>本项目中的职责</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62602AB6">
            <w:pPr>
              <w:autoSpaceDE w:val="0"/>
              <w:autoSpaceDN w:val="0"/>
              <w:spacing w:line="360" w:lineRule="auto"/>
              <w:jc w:val="center"/>
              <w:rPr>
                <w:rFonts w:hint="eastAsia" w:ascii="仿宋_GB2312" w:hAnsi="仿宋" w:eastAsia="仿宋_GB2312" w:cs="仿宋_GB2312"/>
                <w:sz w:val="24"/>
              </w:rPr>
            </w:pPr>
            <w:r>
              <w:rPr>
                <w:rFonts w:hint="eastAsia" w:ascii="仿宋_GB2312" w:hAnsi="仿宋" w:eastAsia="仿宋_GB2312" w:cs="仿宋_GB2312"/>
                <w:sz w:val="24"/>
              </w:rPr>
              <w:t>响应时间</w:t>
            </w:r>
          </w:p>
        </w:tc>
        <w:tc>
          <w:tcPr>
            <w:tcW w:w="1111" w:type="dxa"/>
            <w:tcBorders>
              <w:top w:val="single" w:color="auto" w:sz="6" w:space="0"/>
              <w:left w:val="single" w:color="auto" w:sz="6" w:space="0"/>
              <w:bottom w:val="single" w:color="auto" w:sz="6" w:space="0"/>
              <w:right w:val="single" w:color="auto" w:sz="6" w:space="0"/>
            </w:tcBorders>
            <w:noWrap w:val="0"/>
            <w:vAlign w:val="center"/>
          </w:tcPr>
          <w:p w14:paraId="51859F1E">
            <w:pPr>
              <w:autoSpaceDE w:val="0"/>
              <w:autoSpaceDN w:val="0"/>
              <w:spacing w:line="360" w:lineRule="auto"/>
              <w:jc w:val="center"/>
              <w:rPr>
                <w:rFonts w:hint="eastAsia" w:ascii="仿宋_GB2312" w:hAnsi="仿宋" w:eastAsia="仿宋_GB2312" w:cs="仿宋_GB2312"/>
                <w:sz w:val="24"/>
              </w:rPr>
            </w:pPr>
            <w:r>
              <w:rPr>
                <w:rFonts w:hint="eastAsia" w:ascii="仿宋_GB2312" w:hAnsi="仿宋" w:eastAsia="仿宋_GB2312" w:cs="仿宋_GB2312"/>
                <w:sz w:val="24"/>
              </w:rPr>
              <w:t>到达现场时间</w:t>
            </w:r>
          </w:p>
        </w:tc>
      </w:tr>
      <w:tr w14:paraId="56AF359B">
        <w:tblPrEx>
          <w:tblCellMar>
            <w:top w:w="0" w:type="dxa"/>
            <w:left w:w="108" w:type="dxa"/>
            <w:bottom w:w="0" w:type="dxa"/>
            <w:right w:w="108" w:type="dxa"/>
          </w:tblCellMar>
        </w:tblPrEx>
        <w:trPr>
          <w:trHeight w:val="607" w:hRule="atLeast"/>
          <w:jc w:val="center"/>
        </w:trPr>
        <w:tc>
          <w:tcPr>
            <w:tcW w:w="646" w:type="dxa"/>
            <w:tcBorders>
              <w:top w:val="single" w:color="auto" w:sz="6" w:space="0"/>
              <w:left w:val="single" w:color="auto" w:sz="6" w:space="0"/>
              <w:bottom w:val="single" w:color="auto" w:sz="6" w:space="0"/>
              <w:right w:val="single" w:color="auto" w:sz="4" w:space="0"/>
            </w:tcBorders>
            <w:noWrap w:val="0"/>
            <w:vAlign w:val="top"/>
          </w:tcPr>
          <w:p w14:paraId="39867485">
            <w:pPr>
              <w:autoSpaceDE w:val="0"/>
              <w:autoSpaceDN w:val="0"/>
              <w:spacing w:line="360" w:lineRule="auto"/>
              <w:jc w:val="center"/>
              <w:rPr>
                <w:rFonts w:hint="eastAsia" w:ascii="仿宋_GB2312" w:hAnsi="仿宋" w:eastAsia="仿宋_GB2312" w:cs="仿宋_GB2312"/>
                <w:sz w:val="24"/>
              </w:rPr>
            </w:pPr>
          </w:p>
        </w:tc>
        <w:tc>
          <w:tcPr>
            <w:tcW w:w="746" w:type="dxa"/>
            <w:tcBorders>
              <w:top w:val="single" w:color="auto" w:sz="6" w:space="0"/>
              <w:left w:val="single" w:color="auto" w:sz="4" w:space="0"/>
              <w:bottom w:val="single" w:color="auto" w:sz="6" w:space="0"/>
              <w:right w:val="single" w:color="auto" w:sz="6" w:space="0"/>
            </w:tcBorders>
            <w:noWrap w:val="0"/>
            <w:vAlign w:val="top"/>
          </w:tcPr>
          <w:p w14:paraId="467A8A78">
            <w:pPr>
              <w:autoSpaceDE w:val="0"/>
              <w:autoSpaceDN w:val="0"/>
              <w:spacing w:line="360" w:lineRule="auto"/>
              <w:jc w:val="center"/>
              <w:rPr>
                <w:rFonts w:hint="eastAsia" w:ascii="仿宋_GB2312" w:hAnsi="仿宋" w:eastAsia="仿宋_GB2312" w:cs="仿宋_GB2312"/>
                <w:sz w:val="24"/>
              </w:rPr>
            </w:pPr>
            <w:r>
              <w:rPr>
                <w:rFonts w:hint="eastAsia" w:ascii="仿宋_GB2312" w:hAnsi="仿宋" w:eastAsia="仿宋_GB2312" w:cs="仿宋_GB2312"/>
                <w:sz w:val="24"/>
              </w:rPr>
              <w:t>总协调人</w:t>
            </w:r>
          </w:p>
        </w:tc>
        <w:tc>
          <w:tcPr>
            <w:tcW w:w="787" w:type="dxa"/>
            <w:tcBorders>
              <w:top w:val="single" w:color="auto" w:sz="6" w:space="0"/>
              <w:left w:val="single" w:color="auto" w:sz="6" w:space="0"/>
              <w:bottom w:val="single" w:color="auto" w:sz="6" w:space="0"/>
              <w:right w:val="single" w:color="auto" w:sz="6" w:space="0"/>
            </w:tcBorders>
            <w:noWrap w:val="0"/>
            <w:vAlign w:val="top"/>
          </w:tcPr>
          <w:p w14:paraId="7A4B8B2E">
            <w:pPr>
              <w:autoSpaceDE w:val="0"/>
              <w:autoSpaceDN w:val="0"/>
              <w:spacing w:line="360" w:lineRule="auto"/>
              <w:rPr>
                <w:rFonts w:hint="eastAsia" w:ascii="仿宋_GB2312" w:hAnsi="仿宋" w:eastAsia="仿宋_GB2312" w:cs="仿宋_GB2312"/>
                <w:sz w:val="24"/>
              </w:rPr>
            </w:pPr>
          </w:p>
        </w:tc>
        <w:tc>
          <w:tcPr>
            <w:tcW w:w="412" w:type="dxa"/>
            <w:tcBorders>
              <w:top w:val="single" w:color="auto" w:sz="6" w:space="0"/>
              <w:left w:val="single" w:color="auto" w:sz="6" w:space="0"/>
              <w:bottom w:val="single" w:color="auto" w:sz="6" w:space="0"/>
              <w:right w:val="single" w:color="auto" w:sz="6" w:space="0"/>
            </w:tcBorders>
            <w:noWrap w:val="0"/>
            <w:vAlign w:val="top"/>
          </w:tcPr>
          <w:p w14:paraId="212DD86D">
            <w:pPr>
              <w:autoSpaceDE w:val="0"/>
              <w:autoSpaceDN w:val="0"/>
              <w:spacing w:line="360" w:lineRule="auto"/>
              <w:rPr>
                <w:rFonts w:hint="eastAsia" w:ascii="仿宋_GB2312" w:hAnsi="仿宋" w:eastAsia="仿宋_GB2312" w:cs="仿宋_GB2312"/>
                <w:sz w:val="24"/>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5CCECFDA">
            <w:pPr>
              <w:autoSpaceDE w:val="0"/>
              <w:autoSpaceDN w:val="0"/>
              <w:spacing w:line="360" w:lineRule="auto"/>
              <w:rPr>
                <w:rFonts w:hint="eastAsia" w:ascii="仿宋_GB2312" w:hAnsi="仿宋" w:eastAsia="仿宋_GB2312" w:cs="仿宋_GB2312"/>
                <w:sz w:val="24"/>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7273DF77">
            <w:pPr>
              <w:autoSpaceDE w:val="0"/>
              <w:autoSpaceDN w:val="0"/>
              <w:spacing w:line="360" w:lineRule="auto"/>
              <w:rPr>
                <w:rFonts w:hint="eastAsia" w:ascii="仿宋_GB2312" w:hAnsi="仿宋" w:eastAsia="仿宋_GB2312" w:cs="仿宋_GB2312"/>
                <w:sz w:val="24"/>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3269C2FD">
            <w:pPr>
              <w:autoSpaceDE w:val="0"/>
              <w:autoSpaceDN w:val="0"/>
              <w:spacing w:line="360" w:lineRule="auto"/>
              <w:rPr>
                <w:rFonts w:hint="eastAsia" w:ascii="仿宋_GB2312" w:hAnsi="仿宋" w:eastAsia="仿宋_GB2312" w:cs="仿宋_GB2312"/>
                <w:sz w:val="24"/>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48DDA391">
            <w:pPr>
              <w:autoSpaceDE w:val="0"/>
              <w:autoSpaceDN w:val="0"/>
              <w:spacing w:line="360" w:lineRule="auto"/>
              <w:rPr>
                <w:rFonts w:hint="eastAsia" w:ascii="仿宋_GB2312" w:hAnsi="仿宋" w:eastAsia="仿宋_GB2312" w:cs="仿宋_GB2312"/>
                <w:sz w:val="24"/>
              </w:rPr>
            </w:pPr>
          </w:p>
        </w:tc>
        <w:tc>
          <w:tcPr>
            <w:tcW w:w="1260" w:type="dxa"/>
            <w:tcBorders>
              <w:top w:val="single" w:color="auto" w:sz="6" w:space="0"/>
              <w:left w:val="single" w:color="auto" w:sz="6" w:space="0"/>
              <w:bottom w:val="single" w:color="auto" w:sz="6" w:space="0"/>
              <w:right w:val="single" w:color="auto" w:sz="6" w:space="0"/>
            </w:tcBorders>
            <w:noWrap w:val="0"/>
            <w:vAlign w:val="top"/>
          </w:tcPr>
          <w:p w14:paraId="53655C74">
            <w:pPr>
              <w:autoSpaceDE w:val="0"/>
              <w:autoSpaceDN w:val="0"/>
              <w:spacing w:line="360" w:lineRule="auto"/>
              <w:rPr>
                <w:rFonts w:hint="eastAsia" w:ascii="仿宋_GB2312" w:hAnsi="仿宋" w:eastAsia="仿宋_GB2312" w:cs="仿宋_GB2312"/>
                <w:sz w:val="24"/>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4658D8DF">
            <w:pPr>
              <w:autoSpaceDE w:val="0"/>
              <w:autoSpaceDN w:val="0"/>
              <w:spacing w:line="360" w:lineRule="auto"/>
              <w:rPr>
                <w:rFonts w:hint="eastAsia" w:ascii="仿宋_GB2312" w:hAnsi="仿宋" w:eastAsia="仿宋_GB2312" w:cs="仿宋_GB2312"/>
                <w:sz w:val="24"/>
              </w:rPr>
            </w:pPr>
          </w:p>
        </w:tc>
        <w:tc>
          <w:tcPr>
            <w:tcW w:w="1111" w:type="dxa"/>
            <w:tcBorders>
              <w:top w:val="single" w:color="auto" w:sz="6" w:space="0"/>
              <w:left w:val="single" w:color="auto" w:sz="6" w:space="0"/>
              <w:bottom w:val="single" w:color="auto" w:sz="6" w:space="0"/>
              <w:right w:val="single" w:color="auto" w:sz="6" w:space="0"/>
            </w:tcBorders>
            <w:noWrap w:val="0"/>
            <w:vAlign w:val="top"/>
          </w:tcPr>
          <w:p w14:paraId="47B83919">
            <w:pPr>
              <w:autoSpaceDE w:val="0"/>
              <w:autoSpaceDN w:val="0"/>
              <w:spacing w:line="360" w:lineRule="auto"/>
              <w:rPr>
                <w:rFonts w:hint="eastAsia" w:ascii="仿宋_GB2312" w:hAnsi="仿宋" w:eastAsia="仿宋_GB2312" w:cs="仿宋_GB2312"/>
                <w:sz w:val="24"/>
              </w:rPr>
            </w:pPr>
          </w:p>
        </w:tc>
      </w:tr>
      <w:tr w14:paraId="3CDBAA3C">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noWrap w:val="0"/>
            <w:vAlign w:val="top"/>
          </w:tcPr>
          <w:p w14:paraId="6D8DF8FE">
            <w:pPr>
              <w:autoSpaceDE w:val="0"/>
              <w:autoSpaceDN w:val="0"/>
              <w:spacing w:line="360" w:lineRule="auto"/>
              <w:jc w:val="center"/>
              <w:rPr>
                <w:rFonts w:hint="eastAsia" w:ascii="仿宋_GB2312" w:hAnsi="仿宋" w:eastAsia="仿宋_GB2312" w:cs="仿宋_GB2312"/>
                <w:sz w:val="24"/>
              </w:rPr>
            </w:pPr>
          </w:p>
        </w:tc>
        <w:tc>
          <w:tcPr>
            <w:tcW w:w="746" w:type="dxa"/>
            <w:tcBorders>
              <w:top w:val="single" w:color="auto" w:sz="6" w:space="0"/>
              <w:left w:val="single" w:color="auto" w:sz="4" w:space="0"/>
              <w:bottom w:val="single" w:color="auto" w:sz="6" w:space="0"/>
              <w:right w:val="single" w:color="auto" w:sz="6" w:space="0"/>
            </w:tcBorders>
            <w:noWrap w:val="0"/>
            <w:vAlign w:val="top"/>
          </w:tcPr>
          <w:p w14:paraId="5C5892CA">
            <w:pPr>
              <w:autoSpaceDE w:val="0"/>
              <w:autoSpaceDN w:val="0"/>
              <w:spacing w:line="360" w:lineRule="auto"/>
              <w:jc w:val="center"/>
              <w:rPr>
                <w:rFonts w:hint="eastAsia" w:ascii="仿宋_GB2312" w:hAnsi="仿宋" w:eastAsia="仿宋_GB2312" w:cs="仿宋_GB2312"/>
                <w:sz w:val="24"/>
              </w:rPr>
            </w:pPr>
            <w:r>
              <w:rPr>
                <w:rFonts w:hint="eastAsia" w:ascii="仿宋_GB2312" w:hAnsi="仿宋" w:eastAsia="仿宋_GB2312" w:cs="仿宋_GB2312"/>
                <w:sz w:val="24"/>
              </w:rPr>
              <w:t>售后人员</w:t>
            </w:r>
          </w:p>
        </w:tc>
        <w:tc>
          <w:tcPr>
            <w:tcW w:w="787" w:type="dxa"/>
            <w:tcBorders>
              <w:top w:val="single" w:color="auto" w:sz="6" w:space="0"/>
              <w:left w:val="single" w:color="auto" w:sz="6" w:space="0"/>
              <w:bottom w:val="single" w:color="auto" w:sz="6" w:space="0"/>
              <w:right w:val="single" w:color="auto" w:sz="6" w:space="0"/>
            </w:tcBorders>
            <w:noWrap w:val="0"/>
            <w:vAlign w:val="top"/>
          </w:tcPr>
          <w:p w14:paraId="508E65FF">
            <w:pPr>
              <w:autoSpaceDE w:val="0"/>
              <w:autoSpaceDN w:val="0"/>
              <w:spacing w:line="360" w:lineRule="auto"/>
              <w:rPr>
                <w:rFonts w:hint="eastAsia" w:ascii="仿宋_GB2312" w:hAnsi="仿宋" w:eastAsia="仿宋_GB2312" w:cs="仿宋_GB2312"/>
                <w:sz w:val="24"/>
              </w:rPr>
            </w:pPr>
          </w:p>
        </w:tc>
        <w:tc>
          <w:tcPr>
            <w:tcW w:w="412" w:type="dxa"/>
            <w:tcBorders>
              <w:top w:val="single" w:color="auto" w:sz="6" w:space="0"/>
              <w:left w:val="single" w:color="auto" w:sz="6" w:space="0"/>
              <w:bottom w:val="single" w:color="auto" w:sz="6" w:space="0"/>
              <w:right w:val="single" w:color="auto" w:sz="6" w:space="0"/>
            </w:tcBorders>
            <w:noWrap w:val="0"/>
            <w:vAlign w:val="top"/>
          </w:tcPr>
          <w:p w14:paraId="75C637E6">
            <w:pPr>
              <w:autoSpaceDE w:val="0"/>
              <w:autoSpaceDN w:val="0"/>
              <w:spacing w:line="360" w:lineRule="auto"/>
              <w:rPr>
                <w:rFonts w:hint="eastAsia" w:ascii="仿宋_GB2312" w:hAnsi="仿宋" w:eastAsia="仿宋_GB2312" w:cs="仿宋_GB2312"/>
                <w:sz w:val="24"/>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224210CD">
            <w:pPr>
              <w:autoSpaceDE w:val="0"/>
              <w:autoSpaceDN w:val="0"/>
              <w:spacing w:line="360" w:lineRule="auto"/>
              <w:rPr>
                <w:rFonts w:hint="eastAsia" w:ascii="仿宋_GB2312" w:hAnsi="仿宋" w:eastAsia="仿宋_GB2312" w:cs="仿宋_GB2312"/>
                <w:sz w:val="24"/>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23BE8E64">
            <w:pPr>
              <w:autoSpaceDE w:val="0"/>
              <w:autoSpaceDN w:val="0"/>
              <w:spacing w:line="360" w:lineRule="auto"/>
              <w:rPr>
                <w:rFonts w:hint="eastAsia" w:ascii="仿宋_GB2312" w:hAnsi="仿宋" w:eastAsia="仿宋_GB2312" w:cs="仿宋_GB2312"/>
                <w:sz w:val="24"/>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19B6A7FC">
            <w:pPr>
              <w:autoSpaceDE w:val="0"/>
              <w:autoSpaceDN w:val="0"/>
              <w:spacing w:line="360" w:lineRule="auto"/>
              <w:rPr>
                <w:rFonts w:hint="eastAsia" w:ascii="仿宋_GB2312" w:hAnsi="仿宋" w:eastAsia="仿宋_GB2312" w:cs="仿宋_GB2312"/>
                <w:sz w:val="24"/>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1D1A0382">
            <w:pPr>
              <w:autoSpaceDE w:val="0"/>
              <w:autoSpaceDN w:val="0"/>
              <w:spacing w:line="360" w:lineRule="auto"/>
              <w:rPr>
                <w:rFonts w:hint="eastAsia" w:ascii="仿宋_GB2312" w:hAnsi="仿宋" w:eastAsia="仿宋_GB2312" w:cs="仿宋_GB2312"/>
                <w:sz w:val="24"/>
              </w:rPr>
            </w:pPr>
          </w:p>
        </w:tc>
        <w:tc>
          <w:tcPr>
            <w:tcW w:w="1260" w:type="dxa"/>
            <w:tcBorders>
              <w:top w:val="single" w:color="auto" w:sz="6" w:space="0"/>
              <w:left w:val="single" w:color="auto" w:sz="6" w:space="0"/>
              <w:bottom w:val="single" w:color="auto" w:sz="6" w:space="0"/>
              <w:right w:val="single" w:color="auto" w:sz="6" w:space="0"/>
            </w:tcBorders>
            <w:noWrap w:val="0"/>
            <w:vAlign w:val="top"/>
          </w:tcPr>
          <w:p w14:paraId="0B5A52D8">
            <w:pPr>
              <w:autoSpaceDE w:val="0"/>
              <w:autoSpaceDN w:val="0"/>
              <w:spacing w:line="360" w:lineRule="auto"/>
              <w:rPr>
                <w:rFonts w:hint="eastAsia" w:ascii="仿宋_GB2312" w:hAnsi="仿宋" w:eastAsia="仿宋_GB2312" w:cs="仿宋_GB2312"/>
                <w:sz w:val="24"/>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5EFC1A7C">
            <w:pPr>
              <w:autoSpaceDE w:val="0"/>
              <w:autoSpaceDN w:val="0"/>
              <w:spacing w:line="360" w:lineRule="auto"/>
              <w:rPr>
                <w:rFonts w:hint="eastAsia" w:ascii="仿宋_GB2312" w:hAnsi="仿宋" w:eastAsia="仿宋_GB2312" w:cs="仿宋_GB2312"/>
                <w:sz w:val="24"/>
              </w:rPr>
            </w:pPr>
          </w:p>
        </w:tc>
        <w:tc>
          <w:tcPr>
            <w:tcW w:w="1111" w:type="dxa"/>
            <w:tcBorders>
              <w:top w:val="single" w:color="auto" w:sz="6" w:space="0"/>
              <w:left w:val="single" w:color="auto" w:sz="6" w:space="0"/>
              <w:bottom w:val="single" w:color="auto" w:sz="6" w:space="0"/>
              <w:right w:val="single" w:color="auto" w:sz="6" w:space="0"/>
            </w:tcBorders>
            <w:noWrap w:val="0"/>
            <w:vAlign w:val="top"/>
          </w:tcPr>
          <w:p w14:paraId="1C5D384F">
            <w:pPr>
              <w:autoSpaceDE w:val="0"/>
              <w:autoSpaceDN w:val="0"/>
              <w:spacing w:line="360" w:lineRule="auto"/>
              <w:rPr>
                <w:rFonts w:hint="eastAsia" w:ascii="仿宋_GB2312" w:hAnsi="仿宋" w:eastAsia="仿宋_GB2312" w:cs="仿宋_GB2312"/>
                <w:sz w:val="24"/>
              </w:rPr>
            </w:pPr>
          </w:p>
        </w:tc>
      </w:tr>
      <w:tr w14:paraId="0DD6834B">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noWrap w:val="0"/>
            <w:vAlign w:val="top"/>
          </w:tcPr>
          <w:p w14:paraId="2EC9F88B">
            <w:pPr>
              <w:autoSpaceDE w:val="0"/>
              <w:autoSpaceDN w:val="0"/>
              <w:spacing w:line="360" w:lineRule="auto"/>
              <w:jc w:val="center"/>
              <w:rPr>
                <w:rFonts w:hint="eastAsia" w:ascii="仿宋_GB2312" w:hAnsi="仿宋" w:eastAsia="仿宋_GB2312" w:cs="仿宋_GB2312"/>
                <w:sz w:val="24"/>
              </w:rPr>
            </w:pPr>
          </w:p>
        </w:tc>
        <w:tc>
          <w:tcPr>
            <w:tcW w:w="746" w:type="dxa"/>
            <w:tcBorders>
              <w:top w:val="single" w:color="auto" w:sz="6" w:space="0"/>
              <w:left w:val="single" w:color="auto" w:sz="4" w:space="0"/>
              <w:bottom w:val="single" w:color="auto" w:sz="6" w:space="0"/>
              <w:right w:val="single" w:color="auto" w:sz="6" w:space="0"/>
            </w:tcBorders>
            <w:noWrap w:val="0"/>
            <w:vAlign w:val="top"/>
          </w:tcPr>
          <w:p w14:paraId="1DC21D31">
            <w:pPr>
              <w:autoSpaceDE w:val="0"/>
              <w:autoSpaceDN w:val="0"/>
              <w:spacing w:line="360" w:lineRule="auto"/>
              <w:jc w:val="center"/>
              <w:rPr>
                <w:rFonts w:hint="eastAsia" w:ascii="仿宋_GB2312" w:hAnsi="仿宋" w:eastAsia="仿宋_GB2312" w:cs="仿宋_GB2312"/>
                <w:sz w:val="24"/>
              </w:rPr>
            </w:pPr>
          </w:p>
        </w:tc>
        <w:tc>
          <w:tcPr>
            <w:tcW w:w="787" w:type="dxa"/>
            <w:tcBorders>
              <w:top w:val="single" w:color="auto" w:sz="6" w:space="0"/>
              <w:left w:val="single" w:color="auto" w:sz="6" w:space="0"/>
              <w:bottom w:val="single" w:color="auto" w:sz="6" w:space="0"/>
              <w:right w:val="single" w:color="auto" w:sz="6" w:space="0"/>
            </w:tcBorders>
            <w:noWrap w:val="0"/>
            <w:vAlign w:val="top"/>
          </w:tcPr>
          <w:p w14:paraId="5FC802BF">
            <w:pPr>
              <w:autoSpaceDE w:val="0"/>
              <w:autoSpaceDN w:val="0"/>
              <w:spacing w:line="360" w:lineRule="auto"/>
              <w:rPr>
                <w:rFonts w:hint="eastAsia" w:ascii="仿宋_GB2312" w:hAnsi="仿宋" w:eastAsia="仿宋_GB2312" w:cs="仿宋_GB2312"/>
                <w:sz w:val="24"/>
              </w:rPr>
            </w:pPr>
          </w:p>
        </w:tc>
        <w:tc>
          <w:tcPr>
            <w:tcW w:w="412" w:type="dxa"/>
            <w:tcBorders>
              <w:top w:val="single" w:color="auto" w:sz="6" w:space="0"/>
              <w:left w:val="single" w:color="auto" w:sz="6" w:space="0"/>
              <w:bottom w:val="single" w:color="auto" w:sz="6" w:space="0"/>
              <w:right w:val="single" w:color="auto" w:sz="6" w:space="0"/>
            </w:tcBorders>
            <w:noWrap w:val="0"/>
            <w:vAlign w:val="top"/>
          </w:tcPr>
          <w:p w14:paraId="00EE570D">
            <w:pPr>
              <w:autoSpaceDE w:val="0"/>
              <w:autoSpaceDN w:val="0"/>
              <w:spacing w:line="360" w:lineRule="auto"/>
              <w:rPr>
                <w:rFonts w:hint="eastAsia" w:ascii="仿宋_GB2312" w:hAnsi="仿宋" w:eastAsia="仿宋_GB2312" w:cs="仿宋_GB2312"/>
                <w:sz w:val="24"/>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0A60200E">
            <w:pPr>
              <w:autoSpaceDE w:val="0"/>
              <w:autoSpaceDN w:val="0"/>
              <w:spacing w:line="360" w:lineRule="auto"/>
              <w:rPr>
                <w:rFonts w:hint="eastAsia" w:ascii="仿宋_GB2312" w:hAnsi="仿宋" w:eastAsia="仿宋_GB2312" w:cs="仿宋_GB2312"/>
                <w:sz w:val="24"/>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1E136A76">
            <w:pPr>
              <w:autoSpaceDE w:val="0"/>
              <w:autoSpaceDN w:val="0"/>
              <w:spacing w:line="360" w:lineRule="auto"/>
              <w:rPr>
                <w:rFonts w:hint="eastAsia" w:ascii="仿宋_GB2312" w:hAnsi="仿宋" w:eastAsia="仿宋_GB2312" w:cs="仿宋_GB2312"/>
                <w:sz w:val="24"/>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72ECB45B">
            <w:pPr>
              <w:autoSpaceDE w:val="0"/>
              <w:autoSpaceDN w:val="0"/>
              <w:spacing w:line="360" w:lineRule="auto"/>
              <w:rPr>
                <w:rFonts w:hint="eastAsia" w:ascii="仿宋_GB2312" w:hAnsi="仿宋" w:eastAsia="仿宋_GB2312" w:cs="仿宋_GB2312"/>
                <w:sz w:val="24"/>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4E5DCB08">
            <w:pPr>
              <w:autoSpaceDE w:val="0"/>
              <w:autoSpaceDN w:val="0"/>
              <w:spacing w:line="360" w:lineRule="auto"/>
              <w:rPr>
                <w:rFonts w:hint="eastAsia" w:ascii="仿宋_GB2312" w:hAnsi="仿宋" w:eastAsia="仿宋_GB2312" w:cs="仿宋_GB2312"/>
                <w:sz w:val="24"/>
              </w:rPr>
            </w:pPr>
          </w:p>
        </w:tc>
        <w:tc>
          <w:tcPr>
            <w:tcW w:w="1260" w:type="dxa"/>
            <w:tcBorders>
              <w:top w:val="single" w:color="auto" w:sz="6" w:space="0"/>
              <w:left w:val="single" w:color="auto" w:sz="6" w:space="0"/>
              <w:bottom w:val="single" w:color="auto" w:sz="6" w:space="0"/>
              <w:right w:val="single" w:color="auto" w:sz="6" w:space="0"/>
            </w:tcBorders>
            <w:noWrap w:val="0"/>
            <w:vAlign w:val="top"/>
          </w:tcPr>
          <w:p w14:paraId="3ED56DDE">
            <w:pPr>
              <w:autoSpaceDE w:val="0"/>
              <w:autoSpaceDN w:val="0"/>
              <w:spacing w:line="360" w:lineRule="auto"/>
              <w:rPr>
                <w:rFonts w:hint="eastAsia" w:ascii="仿宋_GB2312" w:hAnsi="仿宋" w:eastAsia="仿宋_GB2312" w:cs="仿宋_GB2312"/>
                <w:sz w:val="24"/>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5BDD80AA">
            <w:pPr>
              <w:autoSpaceDE w:val="0"/>
              <w:autoSpaceDN w:val="0"/>
              <w:spacing w:line="360" w:lineRule="auto"/>
              <w:rPr>
                <w:rFonts w:hint="eastAsia" w:ascii="仿宋_GB2312" w:hAnsi="仿宋" w:eastAsia="仿宋_GB2312" w:cs="仿宋_GB2312"/>
                <w:sz w:val="24"/>
              </w:rPr>
            </w:pPr>
          </w:p>
        </w:tc>
        <w:tc>
          <w:tcPr>
            <w:tcW w:w="1111" w:type="dxa"/>
            <w:tcBorders>
              <w:top w:val="single" w:color="auto" w:sz="6" w:space="0"/>
              <w:left w:val="single" w:color="auto" w:sz="6" w:space="0"/>
              <w:bottom w:val="single" w:color="auto" w:sz="6" w:space="0"/>
              <w:right w:val="single" w:color="auto" w:sz="6" w:space="0"/>
            </w:tcBorders>
            <w:noWrap w:val="0"/>
            <w:vAlign w:val="top"/>
          </w:tcPr>
          <w:p w14:paraId="52F5ECB8">
            <w:pPr>
              <w:autoSpaceDE w:val="0"/>
              <w:autoSpaceDN w:val="0"/>
              <w:spacing w:line="360" w:lineRule="auto"/>
              <w:rPr>
                <w:rFonts w:hint="eastAsia" w:ascii="仿宋_GB2312" w:hAnsi="仿宋" w:eastAsia="仿宋_GB2312" w:cs="仿宋_GB2312"/>
                <w:sz w:val="24"/>
              </w:rPr>
            </w:pPr>
          </w:p>
        </w:tc>
      </w:tr>
      <w:tr w14:paraId="308CB895">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noWrap w:val="0"/>
            <w:vAlign w:val="top"/>
          </w:tcPr>
          <w:p w14:paraId="3D7FACBB">
            <w:pPr>
              <w:autoSpaceDE w:val="0"/>
              <w:autoSpaceDN w:val="0"/>
              <w:spacing w:line="360" w:lineRule="auto"/>
              <w:jc w:val="center"/>
              <w:rPr>
                <w:rFonts w:hint="eastAsia" w:ascii="仿宋_GB2312" w:hAnsi="仿宋" w:eastAsia="仿宋_GB2312" w:cs="仿宋_GB2312"/>
                <w:sz w:val="24"/>
              </w:rPr>
            </w:pPr>
          </w:p>
        </w:tc>
        <w:tc>
          <w:tcPr>
            <w:tcW w:w="746" w:type="dxa"/>
            <w:tcBorders>
              <w:top w:val="single" w:color="auto" w:sz="6" w:space="0"/>
              <w:left w:val="single" w:color="auto" w:sz="4" w:space="0"/>
              <w:bottom w:val="single" w:color="auto" w:sz="6" w:space="0"/>
              <w:right w:val="single" w:color="auto" w:sz="6" w:space="0"/>
            </w:tcBorders>
            <w:noWrap w:val="0"/>
            <w:vAlign w:val="top"/>
          </w:tcPr>
          <w:p w14:paraId="706EF91B">
            <w:pPr>
              <w:autoSpaceDE w:val="0"/>
              <w:autoSpaceDN w:val="0"/>
              <w:spacing w:line="360" w:lineRule="auto"/>
              <w:jc w:val="center"/>
              <w:rPr>
                <w:rFonts w:hint="eastAsia" w:ascii="仿宋_GB2312" w:hAnsi="仿宋" w:eastAsia="仿宋_GB2312" w:cs="仿宋_GB2312"/>
                <w:sz w:val="24"/>
              </w:rPr>
            </w:pPr>
          </w:p>
        </w:tc>
        <w:tc>
          <w:tcPr>
            <w:tcW w:w="787" w:type="dxa"/>
            <w:tcBorders>
              <w:top w:val="single" w:color="auto" w:sz="6" w:space="0"/>
              <w:left w:val="single" w:color="auto" w:sz="6" w:space="0"/>
              <w:bottom w:val="single" w:color="auto" w:sz="6" w:space="0"/>
              <w:right w:val="single" w:color="auto" w:sz="6" w:space="0"/>
            </w:tcBorders>
            <w:noWrap w:val="0"/>
            <w:vAlign w:val="top"/>
          </w:tcPr>
          <w:p w14:paraId="16D35288">
            <w:pPr>
              <w:autoSpaceDE w:val="0"/>
              <w:autoSpaceDN w:val="0"/>
              <w:spacing w:line="360" w:lineRule="auto"/>
              <w:rPr>
                <w:rFonts w:hint="eastAsia" w:ascii="仿宋_GB2312" w:hAnsi="仿宋" w:eastAsia="仿宋_GB2312" w:cs="仿宋_GB2312"/>
                <w:sz w:val="24"/>
              </w:rPr>
            </w:pPr>
          </w:p>
        </w:tc>
        <w:tc>
          <w:tcPr>
            <w:tcW w:w="412" w:type="dxa"/>
            <w:tcBorders>
              <w:top w:val="single" w:color="auto" w:sz="6" w:space="0"/>
              <w:left w:val="single" w:color="auto" w:sz="6" w:space="0"/>
              <w:bottom w:val="single" w:color="auto" w:sz="6" w:space="0"/>
              <w:right w:val="single" w:color="auto" w:sz="6" w:space="0"/>
            </w:tcBorders>
            <w:noWrap w:val="0"/>
            <w:vAlign w:val="top"/>
          </w:tcPr>
          <w:p w14:paraId="44FA5E2D">
            <w:pPr>
              <w:autoSpaceDE w:val="0"/>
              <w:autoSpaceDN w:val="0"/>
              <w:spacing w:line="360" w:lineRule="auto"/>
              <w:rPr>
                <w:rFonts w:hint="eastAsia" w:ascii="仿宋_GB2312" w:hAnsi="仿宋" w:eastAsia="仿宋_GB2312" w:cs="仿宋_GB2312"/>
                <w:sz w:val="24"/>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2E5FC80F">
            <w:pPr>
              <w:autoSpaceDE w:val="0"/>
              <w:autoSpaceDN w:val="0"/>
              <w:spacing w:line="360" w:lineRule="auto"/>
              <w:rPr>
                <w:rFonts w:hint="eastAsia" w:ascii="仿宋_GB2312" w:hAnsi="仿宋" w:eastAsia="仿宋_GB2312" w:cs="仿宋_GB2312"/>
                <w:sz w:val="24"/>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0655F47D">
            <w:pPr>
              <w:autoSpaceDE w:val="0"/>
              <w:autoSpaceDN w:val="0"/>
              <w:spacing w:line="360" w:lineRule="auto"/>
              <w:rPr>
                <w:rFonts w:hint="eastAsia" w:ascii="仿宋_GB2312" w:hAnsi="仿宋" w:eastAsia="仿宋_GB2312" w:cs="仿宋_GB2312"/>
                <w:sz w:val="24"/>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499A154E">
            <w:pPr>
              <w:autoSpaceDE w:val="0"/>
              <w:autoSpaceDN w:val="0"/>
              <w:spacing w:line="360" w:lineRule="auto"/>
              <w:rPr>
                <w:rFonts w:hint="eastAsia" w:ascii="仿宋_GB2312" w:hAnsi="仿宋" w:eastAsia="仿宋_GB2312" w:cs="仿宋_GB2312"/>
                <w:sz w:val="24"/>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7494FD9E">
            <w:pPr>
              <w:autoSpaceDE w:val="0"/>
              <w:autoSpaceDN w:val="0"/>
              <w:spacing w:line="360" w:lineRule="auto"/>
              <w:rPr>
                <w:rFonts w:hint="eastAsia" w:ascii="仿宋_GB2312" w:hAnsi="仿宋" w:eastAsia="仿宋_GB2312" w:cs="仿宋_GB2312"/>
                <w:sz w:val="24"/>
              </w:rPr>
            </w:pPr>
          </w:p>
        </w:tc>
        <w:tc>
          <w:tcPr>
            <w:tcW w:w="1260" w:type="dxa"/>
            <w:tcBorders>
              <w:top w:val="single" w:color="auto" w:sz="6" w:space="0"/>
              <w:left w:val="single" w:color="auto" w:sz="6" w:space="0"/>
              <w:bottom w:val="single" w:color="auto" w:sz="6" w:space="0"/>
              <w:right w:val="single" w:color="auto" w:sz="6" w:space="0"/>
            </w:tcBorders>
            <w:noWrap w:val="0"/>
            <w:vAlign w:val="top"/>
          </w:tcPr>
          <w:p w14:paraId="6CFE6661">
            <w:pPr>
              <w:autoSpaceDE w:val="0"/>
              <w:autoSpaceDN w:val="0"/>
              <w:spacing w:line="360" w:lineRule="auto"/>
              <w:rPr>
                <w:rFonts w:hint="eastAsia" w:ascii="仿宋_GB2312" w:hAnsi="仿宋" w:eastAsia="仿宋_GB2312" w:cs="仿宋_GB2312"/>
                <w:sz w:val="24"/>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60A33D43">
            <w:pPr>
              <w:autoSpaceDE w:val="0"/>
              <w:autoSpaceDN w:val="0"/>
              <w:spacing w:line="360" w:lineRule="auto"/>
              <w:rPr>
                <w:rFonts w:hint="eastAsia" w:ascii="仿宋_GB2312" w:hAnsi="仿宋" w:eastAsia="仿宋_GB2312" w:cs="仿宋_GB2312"/>
                <w:sz w:val="24"/>
              </w:rPr>
            </w:pPr>
          </w:p>
        </w:tc>
        <w:tc>
          <w:tcPr>
            <w:tcW w:w="1111" w:type="dxa"/>
            <w:tcBorders>
              <w:top w:val="single" w:color="auto" w:sz="6" w:space="0"/>
              <w:left w:val="single" w:color="auto" w:sz="6" w:space="0"/>
              <w:bottom w:val="single" w:color="auto" w:sz="6" w:space="0"/>
              <w:right w:val="single" w:color="auto" w:sz="6" w:space="0"/>
            </w:tcBorders>
            <w:noWrap w:val="0"/>
            <w:vAlign w:val="top"/>
          </w:tcPr>
          <w:p w14:paraId="0135CF3D">
            <w:pPr>
              <w:autoSpaceDE w:val="0"/>
              <w:autoSpaceDN w:val="0"/>
              <w:spacing w:line="360" w:lineRule="auto"/>
              <w:rPr>
                <w:rFonts w:hint="eastAsia" w:ascii="仿宋_GB2312" w:hAnsi="仿宋" w:eastAsia="仿宋_GB2312" w:cs="仿宋_GB2312"/>
                <w:sz w:val="24"/>
              </w:rPr>
            </w:pPr>
          </w:p>
        </w:tc>
      </w:tr>
    </w:tbl>
    <w:p w14:paraId="3D817CD3">
      <w:pPr>
        <w:snapToGrid w:val="0"/>
        <w:spacing w:before="165" w:beforeLines="50" w:after="50"/>
        <w:ind w:left="142"/>
        <w:jc w:val="center"/>
        <w:rPr>
          <w:rFonts w:hint="eastAsia" w:ascii="宋体" w:hAnsi="宋体"/>
          <w:b/>
          <w:color w:val="000000"/>
          <w:sz w:val="32"/>
          <w:szCs w:val="32"/>
        </w:rPr>
      </w:pPr>
    </w:p>
    <w:p w14:paraId="531841FF">
      <w:pPr>
        <w:snapToGrid w:val="0"/>
        <w:spacing w:before="165" w:beforeLines="50" w:line="360" w:lineRule="auto"/>
        <w:ind w:right="480" w:firstLine="3967" w:firstLineChars="1653"/>
        <w:rPr>
          <w:rFonts w:hint="eastAsia" w:ascii="宋体" w:hAnsi="宋体"/>
          <w:color w:val="000000"/>
          <w:sz w:val="24"/>
        </w:rPr>
      </w:pPr>
    </w:p>
    <w:p w14:paraId="2504A29C">
      <w:pPr>
        <w:snapToGrid w:val="0"/>
        <w:spacing w:line="360" w:lineRule="auto"/>
        <w:ind w:firstLine="5160" w:firstLineChars="2150"/>
        <w:rPr>
          <w:rFonts w:hint="eastAsia" w:ascii="仿宋_GB2312" w:hAnsi="仿宋" w:eastAsia="仿宋_GB2312" w:cs="仿宋_GB2312"/>
          <w:kern w:val="0"/>
          <w:sz w:val="24"/>
        </w:rPr>
      </w:pPr>
      <w:r>
        <w:rPr>
          <w:rFonts w:hint="eastAsia" w:ascii="仿宋_GB2312" w:hAnsi="仿宋" w:eastAsia="仿宋_GB2312" w:cs="仿宋_GB2312"/>
          <w:kern w:val="0"/>
          <w:sz w:val="24"/>
          <w:lang w:val="zh-CN"/>
        </w:rPr>
        <w:t>投标人名称(电子签章)：</w:t>
      </w:r>
    </w:p>
    <w:p w14:paraId="1FC3C3E3">
      <w:pPr>
        <w:snapToGrid w:val="0"/>
        <w:spacing w:line="360" w:lineRule="auto"/>
        <w:ind w:firstLine="5160" w:firstLineChars="2150"/>
        <w:rPr>
          <w:rFonts w:hint="eastAsia" w:ascii="仿宋_GB2312" w:hAnsi="仿宋" w:eastAsia="仿宋_GB2312" w:cs="仿宋_GB2312"/>
          <w:kern w:val="0"/>
          <w:sz w:val="24"/>
          <w:lang w:val="zh-CN"/>
        </w:rPr>
      </w:pPr>
      <w:r>
        <w:rPr>
          <w:rFonts w:hint="eastAsia" w:ascii="仿宋_GB2312" w:hAnsi="仿宋" w:eastAsia="仿宋_GB2312" w:cs="仿宋_GB2312"/>
          <w:kern w:val="0"/>
          <w:sz w:val="24"/>
          <w:lang w:val="zh-CN"/>
        </w:rPr>
        <w:t>日期</w:t>
      </w:r>
      <w:r>
        <w:rPr>
          <w:rFonts w:hint="eastAsia" w:ascii="仿宋_GB2312" w:hAnsi="仿宋" w:eastAsia="仿宋_GB2312" w:cs="仿宋_GB2312"/>
          <w:kern w:val="0"/>
          <w:sz w:val="24"/>
        </w:rPr>
        <w:t xml:space="preserve">：  年  </w:t>
      </w:r>
      <w:r>
        <w:rPr>
          <w:rFonts w:hint="eastAsia" w:ascii="仿宋_GB2312" w:hAnsi="仿宋" w:eastAsia="仿宋_GB2312" w:cs="仿宋_GB2312"/>
          <w:kern w:val="0"/>
          <w:sz w:val="24"/>
          <w:lang w:val="zh-CN"/>
        </w:rPr>
        <w:t>月</w:t>
      </w:r>
      <w:r>
        <w:rPr>
          <w:rFonts w:hint="eastAsia" w:ascii="仿宋_GB2312" w:hAnsi="仿宋" w:eastAsia="仿宋_GB2312" w:cs="仿宋_GB2312"/>
          <w:kern w:val="0"/>
          <w:sz w:val="24"/>
        </w:rPr>
        <w:t xml:space="preserve">   </w:t>
      </w:r>
      <w:r>
        <w:rPr>
          <w:rFonts w:hint="eastAsia" w:ascii="仿宋_GB2312" w:hAnsi="仿宋" w:eastAsia="仿宋_GB2312" w:cs="仿宋_GB2312"/>
          <w:kern w:val="0"/>
          <w:sz w:val="24"/>
          <w:lang w:val="zh-CN"/>
        </w:rPr>
        <w:t>日</w:t>
      </w:r>
    </w:p>
    <w:p w14:paraId="2B197C52">
      <w:pPr>
        <w:widowControl/>
        <w:spacing w:line="360" w:lineRule="auto"/>
        <w:jc w:val="left"/>
        <w:rPr>
          <w:rFonts w:ascii="宋体" w:hAnsi="宋体"/>
          <w:sz w:val="24"/>
        </w:rPr>
        <w:sectPr>
          <w:pgSz w:w="11906" w:h="16838"/>
          <w:pgMar w:top="1134" w:right="1134" w:bottom="1134" w:left="1134" w:header="720" w:footer="720" w:gutter="0"/>
          <w:cols w:space="720" w:num="1"/>
          <w:docGrid w:type="lines" w:linePitch="331" w:charSpace="0"/>
        </w:sectPr>
      </w:pPr>
    </w:p>
    <w:p w14:paraId="7289E468">
      <w:pPr>
        <w:snapToGrid w:val="0"/>
        <w:spacing w:before="165" w:beforeLines="50" w:after="50"/>
        <w:ind w:left="142"/>
        <w:jc w:val="center"/>
        <w:rPr>
          <w:rFonts w:hint="eastAsia" w:ascii="宋体" w:hAnsi="宋体"/>
          <w:b/>
          <w:color w:val="000000"/>
          <w:sz w:val="32"/>
          <w:szCs w:val="32"/>
        </w:rPr>
      </w:pPr>
      <w:r>
        <w:rPr>
          <w:rFonts w:hint="eastAsia" w:ascii="宋体" w:hAnsi="宋体"/>
          <w:b/>
          <w:color w:val="000000"/>
          <w:sz w:val="32"/>
          <w:szCs w:val="32"/>
        </w:rPr>
        <w:t>四、项目实施人员一览表</w:t>
      </w:r>
    </w:p>
    <w:p w14:paraId="0F255B8D">
      <w:pPr>
        <w:spacing w:line="360" w:lineRule="auto"/>
        <w:jc w:val="center"/>
        <w:rPr>
          <w:rFonts w:hint="eastAsia" w:ascii="仿宋_GB2312" w:hAnsi="仿宋" w:eastAsia="仿宋_GB2312" w:cs="仿宋_GB2312"/>
          <w:b/>
          <w:bCs/>
          <w:sz w:val="24"/>
        </w:rPr>
      </w:pPr>
      <w:r>
        <w:rPr>
          <w:rFonts w:hint="eastAsia" w:ascii="仿宋_GB2312" w:hAnsi="仿宋" w:eastAsia="仿宋_GB2312" w:cs="仿宋_GB2312"/>
          <w:sz w:val="24"/>
        </w:rPr>
        <w:t>（由投标人根据采购需求及招标文件要求编制）</w:t>
      </w:r>
    </w:p>
    <w:p w14:paraId="09953C8F">
      <w:pPr>
        <w:pStyle w:val="11"/>
        <w:rPr>
          <w:rFonts w:hint="eastAsia"/>
          <w:color w:val="000000"/>
          <w:sz w:val="24"/>
          <w:szCs w:val="24"/>
        </w:rPr>
      </w:pPr>
      <w:r>
        <w:rPr>
          <w:rFonts w:hint="eastAsia"/>
          <w:color w:val="000000"/>
          <w:sz w:val="24"/>
          <w:szCs w:val="24"/>
        </w:rPr>
        <w:t>所投分标：</w:t>
      </w:r>
      <w:r>
        <w:rPr>
          <w:rFonts w:hint="eastAsia"/>
          <w:color w:val="000000"/>
          <w:sz w:val="24"/>
          <w:szCs w:val="24"/>
          <w:u w:val="single"/>
        </w:rPr>
        <w:t xml:space="preserve">     </w:t>
      </w:r>
      <w:r>
        <w:rPr>
          <w:rFonts w:hint="eastAsia"/>
          <w:color w:val="000000"/>
          <w:sz w:val="24"/>
          <w:szCs w:val="24"/>
        </w:rPr>
        <w:t>分标</w:t>
      </w:r>
    </w:p>
    <w:p w14:paraId="025A2A73">
      <w:pPr>
        <w:keepNext/>
        <w:autoSpaceDE w:val="0"/>
        <w:autoSpaceDN w:val="0"/>
        <w:spacing w:line="360" w:lineRule="auto"/>
        <w:ind w:firstLine="477"/>
        <w:rPr>
          <w:rFonts w:hint="eastAsia" w:ascii="仿宋_GB2312" w:hAnsi="仿宋" w:eastAsia="仿宋_GB2312" w:cs="仿宋_GB2312"/>
          <w:b/>
          <w:sz w:val="24"/>
        </w:rPr>
      </w:pPr>
      <w:r>
        <w:rPr>
          <w:rFonts w:hint="eastAsia" w:ascii="仿宋_GB2312" w:hAnsi="仿宋" w:eastAsia="仿宋_GB2312" w:cs="仿宋_GB2312"/>
          <w:b/>
          <w:sz w:val="24"/>
        </w:rPr>
        <w:t>附表A：本项目的项目</w:t>
      </w:r>
      <w:r>
        <w:rPr>
          <w:rFonts w:hint="eastAsia" w:ascii="仿宋_GB2312" w:hAnsi="仿宋" w:eastAsia="仿宋_GB2312" w:cs="仿宋_GB2312"/>
          <w:b/>
          <w:sz w:val="24"/>
          <w:lang w:val="en-US" w:eastAsia="zh-CN"/>
        </w:rPr>
        <w:t>负责人</w:t>
      </w:r>
      <w:r>
        <w:rPr>
          <w:rFonts w:hint="eastAsia" w:ascii="仿宋_GB2312" w:hAnsi="仿宋" w:eastAsia="仿宋_GB2312" w:cs="仿宋_GB2312"/>
          <w:b/>
          <w:sz w:val="24"/>
        </w:rPr>
        <w:t>情况表</w:t>
      </w:r>
    </w:p>
    <w:tbl>
      <w:tblPr>
        <w:tblStyle w:val="16"/>
        <w:tblW w:w="0" w:type="auto"/>
        <w:tblInd w:w="116" w:type="dxa"/>
        <w:tblLayout w:type="fixed"/>
        <w:tblCellMar>
          <w:top w:w="0" w:type="dxa"/>
          <w:left w:w="108" w:type="dxa"/>
          <w:bottom w:w="0" w:type="dxa"/>
          <w:right w:w="108" w:type="dxa"/>
        </w:tblCellMar>
      </w:tblPr>
      <w:tblGrid>
        <w:gridCol w:w="2061"/>
        <w:gridCol w:w="1287"/>
        <w:gridCol w:w="1260"/>
        <w:gridCol w:w="4147"/>
      </w:tblGrid>
      <w:tr w14:paraId="5D4DB831">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00C85BE2">
            <w:pPr>
              <w:autoSpaceDE w:val="0"/>
              <w:autoSpaceDN w:val="0"/>
              <w:spacing w:line="360" w:lineRule="auto"/>
              <w:jc w:val="center"/>
              <w:rPr>
                <w:rFonts w:hint="eastAsia" w:ascii="仿宋_GB2312" w:hAnsi="仿宋" w:eastAsia="仿宋_GB2312" w:cs="仿宋_GB2312"/>
                <w:sz w:val="24"/>
              </w:rPr>
            </w:pPr>
            <w:r>
              <w:rPr>
                <w:rFonts w:hint="eastAsia" w:ascii="仿宋_GB2312" w:hAnsi="仿宋" w:eastAsia="仿宋_GB2312" w:cs="仿宋_GB2312"/>
                <w:sz w:val="24"/>
              </w:rPr>
              <w:t>姓名</w:t>
            </w:r>
          </w:p>
        </w:tc>
        <w:tc>
          <w:tcPr>
            <w:tcW w:w="1287" w:type="dxa"/>
            <w:tcBorders>
              <w:top w:val="single" w:color="auto" w:sz="6" w:space="0"/>
              <w:left w:val="single" w:color="auto" w:sz="6" w:space="0"/>
              <w:bottom w:val="single" w:color="auto" w:sz="6" w:space="0"/>
              <w:right w:val="single" w:color="auto" w:sz="4" w:space="0"/>
            </w:tcBorders>
            <w:shd w:val="clear" w:color="auto" w:fill="B3B3B3"/>
            <w:noWrap w:val="0"/>
            <w:vAlign w:val="center"/>
          </w:tcPr>
          <w:p w14:paraId="31227497">
            <w:pPr>
              <w:autoSpaceDE w:val="0"/>
              <w:autoSpaceDN w:val="0"/>
              <w:spacing w:line="360" w:lineRule="auto"/>
              <w:jc w:val="center"/>
              <w:rPr>
                <w:rFonts w:hint="eastAsia" w:ascii="仿宋_GB2312" w:hAnsi="仿宋" w:eastAsia="仿宋_GB2312" w:cs="仿宋_GB2312"/>
                <w:sz w:val="24"/>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6087079E">
            <w:pPr>
              <w:autoSpaceDE w:val="0"/>
              <w:autoSpaceDN w:val="0"/>
              <w:spacing w:line="360" w:lineRule="auto"/>
              <w:jc w:val="center"/>
              <w:rPr>
                <w:rFonts w:hint="eastAsia" w:ascii="仿宋_GB2312" w:hAnsi="仿宋" w:eastAsia="仿宋_GB2312" w:cs="仿宋_GB2312"/>
                <w:sz w:val="24"/>
              </w:rPr>
            </w:pPr>
            <w:r>
              <w:rPr>
                <w:rFonts w:hint="eastAsia" w:ascii="仿宋_GB2312" w:hAnsi="仿宋" w:eastAsia="仿宋_GB2312" w:cs="仿宋_GB2312"/>
                <w:sz w:val="24"/>
              </w:rPr>
              <w:t>页码</w:t>
            </w:r>
          </w:p>
        </w:tc>
        <w:tc>
          <w:tcPr>
            <w:tcW w:w="4147" w:type="dxa"/>
            <w:tcBorders>
              <w:top w:val="single" w:color="auto" w:sz="6" w:space="0"/>
              <w:left w:val="single" w:color="auto" w:sz="6" w:space="0"/>
              <w:bottom w:val="single" w:color="auto" w:sz="6" w:space="0"/>
              <w:right w:val="single" w:color="auto" w:sz="6" w:space="0"/>
            </w:tcBorders>
            <w:noWrap w:val="0"/>
            <w:vAlign w:val="center"/>
          </w:tcPr>
          <w:p w14:paraId="7231B602">
            <w:pPr>
              <w:autoSpaceDE w:val="0"/>
              <w:autoSpaceDN w:val="0"/>
              <w:spacing w:line="360" w:lineRule="auto"/>
              <w:rPr>
                <w:rFonts w:hint="eastAsia" w:ascii="仿宋_GB2312" w:hAnsi="仿宋" w:eastAsia="仿宋_GB2312" w:cs="仿宋_GB2312"/>
                <w:sz w:val="24"/>
              </w:rPr>
            </w:pPr>
            <w:r>
              <w:rPr>
                <w:rFonts w:hint="eastAsia" w:ascii="仿宋_GB2312" w:hAnsi="仿宋" w:eastAsia="仿宋_GB2312" w:cs="仿宋_GB2312"/>
                <w:sz w:val="24"/>
              </w:rPr>
              <w:t>投标截止时间前三年业绩及承担的主要工作情况，曾担任项目</w:t>
            </w:r>
            <w:r>
              <w:rPr>
                <w:rFonts w:hint="eastAsia" w:ascii="仿宋_GB2312" w:hAnsi="仿宋" w:eastAsia="仿宋_GB2312" w:cs="仿宋_GB2312"/>
                <w:sz w:val="24"/>
                <w:lang w:val="en-US" w:eastAsia="zh-CN"/>
              </w:rPr>
              <w:t>负责人</w:t>
            </w:r>
            <w:r>
              <w:rPr>
                <w:rFonts w:hint="eastAsia" w:ascii="仿宋_GB2312" w:hAnsi="仿宋" w:eastAsia="仿宋_GB2312" w:cs="仿宋_GB2312"/>
                <w:sz w:val="24"/>
              </w:rPr>
              <w:t>的项目应列明细</w:t>
            </w:r>
          </w:p>
        </w:tc>
      </w:tr>
      <w:tr w14:paraId="15B1971D">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0999F4E5">
            <w:pPr>
              <w:autoSpaceDE w:val="0"/>
              <w:autoSpaceDN w:val="0"/>
              <w:spacing w:line="360" w:lineRule="auto"/>
              <w:jc w:val="center"/>
              <w:rPr>
                <w:rFonts w:hint="eastAsia" w:ascii="仿宋_GB2312" w:hAnsi="仿宋" w:eastAsia="仿宋_GB2312" w:cs="仿宋_GB2312"/>
                <w:sz w:val="24"/>
              </w:rPr>
            </w:pPr>
            <w:r>
              <w:rPr>
                <w:rFonts w:hint="eastAsia" w:ascii="仿宋_GB2312" w:hAnsi="仿宋" w:eastAsia="仿宋_GB2312" w:cs="仿宋_GB2312"/>
                <w:sz w:val="24"/>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noWrap w:val="0"/>
            <w:vAlign w:val="center"/>
          </w:tcPr>
          <w:p w14:paraId="26FDEDED">
            <w:pPr>
              <w:autoSpaceDE w:val="0"/>
              <w:autoSpaceDN w:val="0"/>
              <w:spacing w:line="360" w:lineRule="auto"/>
              <w:jc w:val="center"/>
              <w:rPr>
                <w:rFonts w:hint="eastAsia" w:ascii="仿宋_GB2312" w:hAnsi="仿宋" w:eastAsia="仿宋_GB2312" w:cs="仿宋_GB2312"/>
                <w:sz w:val="24"/>
              </w:rPr>
            </w:pPr>
          </w:p>
        </w:tc>
        <w:tc>
          <w:tcPr>
            <w:tcW w:w="1260" w:type="dxa"/>
            <w:tcBorders>
              <w:top w:val="single" w:color="auto" w:sz="6" w:space="0"/>
              <w:left w:val="single" w:color="auto" w:sz="4" w:space="0"/>
              <w:bottom w:val="single" w:color="auto" w:sz="6" w:space="0"/>
              <w:right w:val="single" w:color="auto" w:sz="6" w:space="0"/>
            </w:tcBorders>
            <w:shd w:val="clear" w:color="auto" w:fill="B3B3B3"/>
            <w:noWrap w:val="0"/>
            <w:vAlign w:val="center"/>
          </w:tcPr>
          <w:p w14:paraId="10ECEDC9">
            <w:pPr>
              <w:autoSpaceDE w:val="0"/>
              <w:autoSpaceDN w:val="0"/>
              <w:spacing w:line="360" w:lineRule="auto"/>
              <w:jc w:val="center"/>
              <w:rPr>
                <w:rFonts w:hint="eastAsia" w:ascii="仿宋_GB2312" w:hAnsi="仿宋" w:eastAsia="仿宋_GB2312" w:cs="仿宋_GB2312"/>
                <w:sz w:val="24"/>
              </w:rPr>
            </w:pPr>
          </w:p>
        </w:tc>
        <w:tc>
          <w:tcPr>
            <w:tcW w:w="4147" w:type="dxa"/>
            <w:vMerge w:val="restart"/>
            <w:tcBorders>
              <w:top w:val="single" w:color="auto" w:sz="6" w:space="0"/>
              <w:left w:val="single" w:color="auto" w:sz="6" w:space="0"/>
              <w:bottom w:val="single" w:color="auto" w:sz="6" w:space="0"/>
              <w:right w:val="single" w:color="auto" w:sz="6" w:space="0"/>
            </w:tcBorders>
            <w:noWrap w:val="0"/>
            <w:vAlign w:val="center"/>
          </w:tcPr>
          <w:p w14:paraId="655633E4">
            <w:pPr>
              <w:autoSpaceDE w:val="0"/>
              <w:autoSpaceDN w:val="0"/>
              <w:spacing w:line="360" w:lineRule="auto"/>
              <w:jc w:val="center"/>
              <w:rPr>
                <w:rFonts w:hint="eastAsia" w:ascii="仿宋_GB2312" w:hAnsi="仿宋" w:eastAsia="仿宋_GB2312" w:cs="仿宋_GB2312"/>
                <w:sz w:val="24"/>
              </w:rPr>
            </w:pPr>
          </w:p>
        </w:tc>
      </w:tr>
      <w:tr w14:paraId="1E3AB659">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6B9E027A">
            <w:pPr>
              <w:autoSpaceDE w:val="0"/>
              <w:autoSpaceDN w:val="0"/>
              <w:spacing w:line="360" w:lineRule="auto"/>
              <w:jc w:val="center"/>
              <w:rPr>
                <w:rFonts w:hint="eastAsia" w:ascii="仿宋_GB2312" w:hAnsi="仿宋" w:eastAsia="仿宋_GB2312" w:cs="仿宋_GB2312"/>
                <w:sz w:val="24"/>
              </w:rPr>
            </w:pPr>
            <w:r>
              <w:rPr>
                <w:rFonts w:hint="eastAsia" w:ascii="仿宋_GB2312" w:hAnsi="仿宋" w:eastAsia="仿宋_GB2312" w:cs="仿宋_GB2312"/>
                <w:sz w:val="24"/>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noWrap w:val="0"/>
            <w:vAlign w:val="center"/>
          </w:tcPr>
          <w:p w14:paraId="7E94649B">
            <w:pPr>
              <w:autoSpaceDE w:val="0"/>
              <w:autoSpaceDN w:val="0"/>
              <w:spacing w:line="360" w:lineRule="auto"/>
              <w:jc w:val="center"/>
              <w:rPr>
                <w:rFonts w:hint="eastAsia" w:ascii="仿宋_GB2312" w:hAnsi="仿宋" w:eastAsia="仿宋_GB2312" w:cs="仿宋_GB2312"/>
                <w:sz w:val="24"/>
              </w:rPr>
            </w:pPr>
          </w:p>
        </w:tc>
        <w:tc>
          <w:tcPr>
            <w:tcW w:w="1260" w:type="dxa"/>
            <w:tcBorders>
              <w:top w:val="single" w:color="auto" w:sz="6" w:space="0"/>
              <w:left w:val="single" w:color="auto" w:sz="4" w:space="0"/>
              <w:bottom w:val="single" w:color="auto" w:sz="6" w:space="0"/>
              <w:right w:val="single" w:color="auto" w:sz="6" w:space="0"/>
            </w:tcBorders>
            <w:shd w:val="clear" w:color="auto" w:fill="B3B3B3"/>
            <w:noWrap w:val="0"/>
            <w:vAlign w:val="center"/>
          </w:tcPr>
          <w:p w14:paraId="455D077E">
            <w:pPr>
              <w:autoSpaceDE w:val="0"/>
              <w:autoSpaceDN w:val="0"/>
              <w:spacing w:line="360" w:lineRule="auto"/>
              <w:jc w:val="center"/>
              <w:rPr>
                <w:rFonts w:hint="eastAsia" w:ascii="仿宋_GB2312" w:hAnsi="仿宋" w:eastAsia="仿宋_GB2312" w:cs="仿宋_GB2312"/>
                <w:sz w:val="24"/>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5587DFDE">
            <w:pPr>
              <w:widowControl/>
              <w:jc w:val="left"/>
              <w:rPr>
                <w:rFonts w:ascii="仿宋_GB2312" w:hAnsi="仿宋" w:eastAsia="仿宋_GB2312" w:cs="仿宋_GB2312"/>
                <w:sz w:val="24"/>
              </w:rPr>
            </w:pPr>
          </w:p>
        </w:tc>
      </w:tr>
      <w:tr w14:paraId="12684DF2">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6DE2B9DD">
            <w:pPr>
              <w:autoSpaceDE w:val="0"/>
              <w:autoSpaceDN w:val="0"/>
              <w:spacing w:line="360" w:lineRule="auto"/>
              <w:jc w:val="center"/>
              <w:rPr>
                <w:rFonts w:hint="eastAsia" w:ascii="仿宋_GB2312" w:hAnsi="仿宋" w:eastAsia="仿宋_GB2312" w:cs="仿宋_GB2312"/>
                <w:sz w:val="24"/>
              </w:rPr>
            </w:pPr>
            <w:r>
              <w:rPr>
                <w:rFonts w:hint="eastAsia" w:ascii="仿宋_GB2312" w:hAnsi="仿宋" w:eastAsia="仿宋_GB2312" w:cs="仿宋_GB2312"/>
                <w:sz w:val="24"/>
              </w:rPr>
              <w:t>职称</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7762197B">
            <w:pPr>
              <w:autoSpaceDE w:val="0"/>
              <w:autoSpaceDN w:val="0"/>
              <w:spacing w:line="360" w:lineRule="auto"/>
              <w:jc w:val="center"/>
              <w:rPr>
                <w:rFonts w:hint="eastAsia" w:ascii="仿宋_GB2312" w:hAnsi="仿宋" w:eastAsia="仿宋_GB2312" w:cs="仿宋_GB2312"/>
                <w:sz w:val="24"/>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6C96147F">
            <w:pPr>
              <w:autoSpaceDE w:val="0"/>
              <w:autoSpaceDN w:val="0"/>
              <w:spacing w:line="360" w:lineRule="auto"/>
              <w:jc w:val="center"/>
              <w:rPr>
                <w:rFonts w:hint="eastAsia" w:ascii="仿宋_GB2312" w:hAnsi="仿宋" w:eastAsia="仿宋_GB2312" w:cs="仿宋_GB2312"/>
                <w:sz w:val="24"/>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4C50A0F9">
            <w:pPr>
              <w:widowControl/>
              <w:jc w:val="left"/>
              <w:rPr>
                <w:rFonts w:ascii="仿宋_GB2312" w:hAnsi="仿宋" w:eastAsia="仿宋_GB2312" w:cs="仿宋_GB2312"/>
                <w:sz w:val="24"/>
              </w:rPr>
            </w:pPr>
          </w:p>
        </w:tc>
      </w:tr>
      <w:tr w14:paraId="40257D8A">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7E08B568">
            <w:pPr>
              <w:autoSpaceDE w:val="0"/>
              <w:autoSpaceDN w:val="0"/>
              <w:spacing w:line="360" w:lineRule="auto"/>
              <w:jc w:val="center"/>
              <w:rPr>
                <w:rFonts w:hint="eastAsia" w:ascii="仿宋_GB2312" w:hAnsi="仿宋" w:eastAsia="仿宋_GB2312" w:cs="仿宋_GB2312"/>
                <w:sz w:val="24"/>
              </w:rPr>
            </w:pPr>
            <w:r>
              <w:rPr>
                <w:rFonts w:hint="eastAsia" w:ascii="仿宋_GB2312" w:hAnsi="仿宋" w:eastAsia="仿宋_GB2312" w:cs="仿宋_GB2312"/>
                <w:sz w:val="24"/>
              </w:rPr>
              <w:t>毕业时间</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7EC79116">
            <w:pPr>
              <w:autoSpaceDE w:val="0"/>
              <w:autoSpaceDN w:val="0"/>
              <w:spacing w:line="360" w:lineRule="auto"/>
              <w:jc w:val="center"/>
              <w:rPr>
                <w:rFonts w:hint="eastAsia" w:ascii="仿宋_GB2312" w:hAnsi="仿宋" w:eastAsia="仿宋_GB2312" w:cs="仿宋_GB2312"/>
                <w:sz w:val="24"/>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45DF7645">
            <w:pPr>
              <w:autoSpaceDE w:val="0"/>
              <w:autoSpaceDN w:val="0"/>
              <w:spacing w:line="360" w:lineRule="auto"/>
              <w:jc w:val="center"/>
              <w:rPr>
                <w:rFonts w:hint="eastAsia" w:ascii="仿宋_GB2312" w:hAnsi="仿宋" w:eastAsia="仿宋_GB2312" w:cs="仿宋_GB2312"/>
                <w:sz w:val="24"/>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29EA419B">
            <w:pPr>
              <w:widowControl/>
              <w:jc w:val="left"/>
              <w:rPr>
                <w:rFonts w:ascii="仿宋_GB2312" w:hAnsi="仿宋" w:eastAsia="仿宋_GB2312" w:cs="仿宋_GB2312"/>
                <w:sz w:val="24"/>
              </w:rPr>
            </w:pPr>
          </w:p>
        </w:tc>
      </w:tr>
      <w:tr w14:paraId="36EF9A55">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146863A8">
            <w:pPr>
              <w:autoSpaceDE w:val="0"/>
              <w:autoSpaceDN w:val="0"/>
              <w:spacing w:line="360" w:lineRule="auto"/>
              <w:jc w:val="center"/>
              <w:rPr>
                <w:rFonts w:hint="eastAsia" w:ascii="仿宋_GB2312" w:hAnsi="仿宋" w:eastAsia="仿宋_GB2312" w:cs="仿宋_GB2312"/>
                <w:sz w:val="24"/>
              </w:rPr>
            </w:pPr>
            <w:r>
              <w:rPr>
                <w:rFonts w:hint="eastAsia" w:ascii="仿宋_GB2312" w:hAnsi="仿宋" w:eastAsia="仿宋_GB2312" w:cs="仿宋_GB2312"/>
                <w:sz w:val="24"/>
              </w:rPr>
              <w:t>所学专业</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5782074E">
            <w:pPr>
              <w:autoSpaceDE w:val="0"/>
              <w:autoSpaceDN w:val="0"/>
              <w:spacing w:line="360" w:lineRule="auto"/>
              <w:jc w:val="center"/>
              <w:rPr>
                <w:rFonts w:hint="eastAsia" w:ascii="仿宋_GB2312" w:hAnsi="仿宋" w:eastAsia="仿宋_GB2312" w:cs="仿宋_GB2312"/>
                <w:sz w:val="24"/>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38D6E3EE">
            <w:pPr>
              <w:autoSpaceDE w:val="0"/>
              <w:autoSpaceDN w:val="0"/>
              <w:spacing w:line="360" w:lineRule="auto"/>
              <w:jc w:val="center"/>
              <w:rPr>
                <w:rFonts w:hint="eastAsia" w:ascii="仿宋_GB2312" w:hAnsi="仿宋" w:eastAsia="仿宋_GB2312" w:cs="仿宋_GB2312"/>
                <w:sz w:val="24"/>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6405C115">
            <w:pPr>
              <w:widowControl/>
              <w:jc w:val="left"/>
              <w:rPr>
                <w:rFonts w:ascii="仿宋_GB2312" w:hAnsi="仿宋" w:eastAsia="仿宋_GB2312" w:cs="仿宋_GB2312"/>
                <w:sz w:val="24"/>
              </w:rPr>
            </w:pPr>
          </w:p>
        </w:tc>
      </w:tr>
      <w:tr w14:paraId="63A66847">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00ECD5C6">
            <w:pPr>
              <w:autoSpaceDE w:val="0"/>
              <w:autoSpaceDN w:val="0"/>
              <w:spacing w:line="360" w:lineRule="auto"/>
              <w:jc w:val="center"/>
              <w:rPr>
                <w:rFonts w:hint="eastAsia" w:ascii="仿宋_GB2312" w:hAnsi="仿宋" w:eastAsia="仿宋_GB2312" w:cs="仿宋_GB2312"/>
                <w:sz w:val="24"/>
              </w:rPr>
            </w:pPr>
            <w:r>
              <w:rPr>
                <w:rFonts w:hint="eastAsia" w:ascii="仿宋_GB2312" w:hAnsi="仿宋" w:eastAsia="仿宋_GB2312" w:cs="仿宋_GB2312"/>
                <w:sz w:val="24"/>
              </w:rPr>
              <w:t>学历</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09C8B5B8">
            <w:pPr>
              <w:autoSpaceDE w:val="0"/>
              <w:autoSpaceDN w:val="0"/>
              <w:spacing w:line="360" w:lineRule="auto"/>
              <w:jc w:val="center"/>
              <w:rPr>
                <w:rFonts w:hint="eastAsia" w:ascii="仿宋_GB2312" w:hAnsi="仿宋" w:eastAsia="仿宋_GB2312" w:cs="仿宋_GB2312"/>
                <w:sz w:val="24"/>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77EFB2EA">
            <w:pPr>
              <w:autoSpaceDE w:val="0"/>
              <w:autoSpaceDN w:val="0"/>
              <w:spacing w:line="360" w:lineRule="auto"/>
              <w:jc w:val="center"/>
              <w:rPr>
                <w:rFonts w:hint="eastAsia" w:ascii="仿宋_GB2312" w:hAnsi="仿宋" w:eastAsia="仿宋_GB2312" w:cs="仿宋_GB2312"/>
                <w:sz w:val="24"/>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619EDCE8">
            <w:pPr>
              <w:widowControl/>
              <w:jc w:val="left"/>
              <w:rPr>
                <w:rFonts w:ascii="仿宋_GB2312" w:hAnsi="仿宋" w:eastAsia="仿宋_GB2312" w:cs="仿宋_GB2312"/>
                <w:sz w:val="24"/>
              </w:rPr>
            </w:pPr>
          </w:p>
        </w:tc>
      </w:tr>
      <w:tr w14:paraId="328B17B9">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4E08DC8F">
            <w:pPr>
              <w:autoSpaceDE w:val="0"/>
              <w:autoSpaceDN w:val="0"/>
              <w:spacing w:line="360" w:lineRule="auto"/>
              <w:jc w:val="center"/>
              <w:rPr>
                <w:rFonts w:hint="eastAsia" w:ascii="仿宋_GB2312" w:hAnsi="仿宋" w:eastAsia="仿宋_GB2312" w:cs="仿宋_GB2312"/>
                <w:sz w:val="24"/>
              </w:rPr>
            </w:pPr>
            <w:r>
              <w:rPr>
                <w:rFonts w:hint="eastAsia" w:ascii="仿宋_GB2312" w:hAnsi="仿宋" w:eastAsia="仿宋_GB2312" w:cs="仿宋_GB2312"/>
                <w:sz w:val="24"/>
              </w:rPr>
              <w:t>资质证书编号</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1B495E48">
            <w:pPr>
              <w:autoSpaceDE w:val="0"/>
              <w:autoSpaceDN w:val="0"/>
              <w:spacing w:line="360" w:lineRule="auto"/>
              <w:jc w:val="center"/>
              <w:rPr>
                <w:rFonts w:hint="eastAsia" w:ascii="仿宋_GB2312" w:hAnsi="仿宋" w:eastAsia="仿宋_GB2312" w:cs="仿宋_GB2312"/>
                <w:sz w:val="24"/>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78308FEC">
            <w:pPr>
              <w:autoSpaceDE w:val="0"/>
              <w:autoSpaceDN w:val="0"/>
              <w:spacing w:line="360" w:lineRule="auto"/>
              <w:jc w:val="center"/>
              <w:rPr>
                <w:rFonts w:hint="eastAsia" w:ascii="仿宋_GB2312" w:hAnsi="仿宋" w:eastAsia="仿宋_GB2312" w:cs="仿宋_GB2312"/>
                <w:sz w:val="24"/>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486685DC">
            <w:pPr>
              <w:widowControl/>
              <w:jc w:val="left"/>
              <w:rPr>
                <w:rFonts w:ascii="仿宋_GB2312" w:hAnsi="仿宋" w:eastAsia="仿宋_GB2312" w:cs="仿宋_GB2312"/>
                <w:sz w:val="24"/>
              </w:rPr>
            </w:pPr>
          </w:p>
        </w:tc>
      </w:tr>
      <w:tr w14:paraId="5BD4C3EA">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0D75831D">
            <w:pPr>
              <w:autoSpaceDE w:val="0"/>
              <w:autoSpaceDN w:val="0"/>
              <w:spacing w:line="360" w:lineRule="auto"/>
              <w:jc w:val="center"/>
              <w:rPr>
                <w:rFonts w:hint="eastAsia" w:ascii="仿宋_GB2312" w:hAnsi="仿宋" w:eastAsia="仿宋_GB2312" w:cs="仿宋_GB2312"/>
                <w:sz w:val="24"/>
              </w:rPr>
            </w:pPr>
            <w:r>
              <w:rPr>
                <w:rFonts w:hint="eastAsia" w:ascii="仿宋_GB2312" w:hAnsi="仿宋" w:eastAsia="仿宋_GB2312" w:cs="仿宋_GB2312"/>
                <w:sz w:val="24"/>
              </w:rPr>
              <w:t>其他资质情况</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06825E0A">
            <w:pPr>
              <w:autoSpaceDE w:val="0"/>
              <w:autoSpaceDN w:val="0"/>
              <w:spacing w:line="360" w:lineRule="auto"/>
              <w:jc w:val="center"/>
              <w:rPr>
                <w:rFonts w:hint="eastAsia" w:ascii="仿宋_GB2312" w:hAnsi="仿宋" w:eastAsia="仿宋_GB2312" w:cs="仿宋_GB2312"/>
                <w:sz w:val="24"/>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7C21C1F7">
            <w:pPr>
              <w:autoSpaceDE w:val="0"/>
              <w:autoSpaceDN w:val="0"/>
              <w:spacing w:line="360" w:lineRule="auto"/>
              <w:jc w:val="center"/>
              <w:rPr>
                <w:rFonts w:hint="eastAsia" w:ascii="仿宋_GB2312" w:hAnsi="仿宋" w:eastAsia="仿宋_GB2312" w:cs="仿宋_GB2312"/>
                <w:sz w:val="24"/>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6F593EE5">
            <w:pPr>
              <w:widowControl/>
              <w:jc w:val="left"/>
              <w:rPr>
                <w:rFonts w:ascii="仿宋_GB2312" w:hAnsi="仿宋" w:eastAsia="仿宋_GB2312" w:cs="仿宋_GB2312"/>
                <w:sz w:val="24"/>
              </w:rPr>
            </w:pPr>
          </w:p>
        </w:tc>
      </w:tr>
      <w:tr w14:paraId="6C04DCDE">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600F4363">
            <w:pPr>
              <w:autoSpaceDE w:val="0"/>
              <w:autoSpaceDN w:val="0"/>
              <w:spacing w:line="360" w:lineRule="auto"/>
              <w:jc w:val="center"/>
              <w:rPr>
                <w:rFonts w:hint="eastAsia" w:ascii="仿宋_GB2312" w:hAnsi="仿宋" w:eastAsia="仿宋_GB2312" w:cs="仿宋_GB2312"/>
                <w:sz w:val="24"/>
              </w:rPr>
            </w:pPr>
            <w:r>
              <w:rPr>
                <w:rFonts w:hint="eastAsia" w:ascii="仿宋_GB2312" w:hAnsi="仿宋" w:eastAsia="仿宋_GB2312" w:cs="仿宋_GB2312"/>
                <w:sz w:val="24"/>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noWrap w:val="0"/>
            <w:vAlign w:val="center"/>
          </w:tcPr>
          <w:p w14:paraId="07CACB1D">
            <w:pPr>
              <w:autoSpaceDE w:val="0"/>
              <w:autoSpaceDN w:val="0"/>
              <w:spacing w:line="360" w:lineRule="auto"/>
              <w:jc w:val="center"/>
              <w:rPr>
                <w:rFonts w:hint="eastAsia" w:ascii="仿宋_GB2312" w:hAnsi="仿宋" w:eastAsia="仿宋_GB2312" w:cs="仿宋_GB2312"/>
                <w:sz w:val="24"/>
              </w:rPr>
            </w:pPr>
          </w:p>
        </w:tc>
        <w:tc>
          <w:tcPr>
            <w:tcW w:w="1260" w:type="dxa"/>
            <w:tcBorders>
              <w:top w:val="single" w:color="auto" w:sz="6" w:space="0"/>
              <w:left w:val="single" w:color="auto" w:sz="4" w:space="0"/>
              <w:bottom w:val="single" w:color="auto" w:sz="6" w:space="0"/>
              <w:right w:val="single" w:color="auto" w:sz="6" w:space="0"/>
            </w:tcBorders>
            <w:shd w:val="clear" w:color="auto" w:fill="B3B3B3"/>
            <w:noWrap w:val="0"/>
            <w:vAlign w:val="center"/>
          </w:tcPr>
          <w:p w14:paraId="6B6570A0">
            <w:pPr>
              <w:autoSpaceDE w:val="0"/>
              <w:autoSpaceDN w:val="0"/>
              <w:spacing w:line="360" w:lineRule="auto"/>
              <w:jc w:val="center"/>
              <w:rPr>
                <w:rFonts w:hint="eastAsia" w:ascii="仿宋_GB2312" w:hAnsi="仿宋" w:eastAsia="仿宋_GB2312" w:cs="仿宋_GB2312"/>
                <w:sz w:val="24"/>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53EDB6A6">
            <w:pPr>
              <w:widowControl/>
              <w:jc w:val="left"/>
              <w:rPr>
                <w:rFonts w:ascii="仿宋_GB2312" w:hAnsi="仿宋" w:eastAsia="仿宋_GB2312" w:cs="仿宋_GB2312"/>
                <w:sz w:val="24"/>
              </w:rPr>
            </w:pPr>
          </w:p>
        </w:tc>
      </w:tr>
    </w:tbl>
    <w:p w14:paraId="0DBCBF8B">
      <w:pPr>
        <w:autoSpaceDE w:val="0"/>
        <w:autoSpaceDN w:val="0"/>
        <w:spacing w:line="360" w:lineRule="auto"/>
        <w:rPr>
          <w:rFonts w:hint="eastAsia" w:ascii="仿宋_GB2312" w:hAnsi="仿宋" w:eastAsia="仿宋_GB2312" w:cs="仿宋_GB2312"/>
          <w:b/>
          <w:sz w:val="24"/>
        </w:rPr>
      </w:pPr>
      <w:r>
        <w:rPr>
          <w:rFonts w:hint="eastAsia" w:ascii="仿宋_GB2312" w:hAnsi="仿宋" w:eastAsia="仿宋_GB2312" w:cs="仿宋_GB2312"/>
          <w:b/>
          <w:sz w:val="24"/>
        </w:rPr>
        <w:t>注：须随表提交相应的证书复印件并注明所在投标技术文件页码。</w:t>
      </w:r>
    </w:p>
    <w:p w14:paraId="6C63B657">
      <w:pPr>
        <w:autoSpaceDE w:val="0"/>
        <w:autoSpaceDN w:val="0"/>
        <w:spacing w:line="360" w:lineRule="auto"/>
        <w:rPr>
          <w:rFonts w:hint="eastAsia" w:ascii="仿宋_GB2312" w:hAnsi="仿宋" w:eastAsia="仿宋_GB2312" w:cs="仿宋_GB2312"/>
          <w:b/>
          <w:sz w:val="24"/>
        </w:rPr>
      </w:pPr>
      <w:r>
        <w:rPr>
          <w:rFonts w:hint="eastAsia" w:ascii="仿宋_GB2312" w:hAnsi="仿宋" w:eastAsia="仿宋_GB2312" w:cs="仿宋_GB2312"/>
          <w:b/>
          <w:sz w:val="24"/>
        </w:rPr>
        <w:t>附表B：本项目的项目</w:t>
      </w:r>
      <w:r>
        <w:rPr>
          <w:rFonts w:hint="eastAsia" w:ascii="仿宋_GB2312" w:hAnsi="仿宋" w:eastAsia="仿宋_GB2312" w:cs="仿宋_GB2312"/>
          <w:b/>
          <w:sz w:val="24"/>
          <w:lang w:val="en-US" w:eastAsia="zh-CN"/>
        </w:rPr>
        <w:t>实施</w:t>
      </w:r>
      <w:r>
        <w:rPr>
          <w:rFonts w:hint="eastAsia" w:ascii="仿宋_GB2312" w:hAnsi="仿宋" w:eastAsia="仿宋_GB2312" w:cs="仿宋_GB2312"/>
          <w:b/>
          <w:sz w:val="24"/>
        </w:rPr>
        <w:t>人员情况表</w:t>
      </w:r>
      <w:r>
        <w:rPr>
          <w:rFonts w:hint="eastAsia" w:ascii="仿宋_GB2312" w:hAnsi="仿宋" w:eastAsia="仿宋_GB2312" w:cs="仿宋_GB2312"/>
          <w:sz w:val="24"/>
        </w:rPr>
        <w:t>（按此格式自制）</w:t>
      </w:r>
    </w:p>
    <w:tbl>
      <w:tblPr>
        <w:tblStyle w:val="16"/>
        <w:tblW w:w="0" w:type="auto"/>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1454DD89">
        <w:tc>
          <w:tcPr>
            <w:tcW w:w="420" w:type="dxa"/>
            <w:tcBorders>
              <w:top w:val="single" w:color="auto" w:sz="6" w:space="0"/>
              <w:left w:val="single" w:color="auto" w:sz="6" w:space="0"/>
              <w:bottom w:val="single" w:color="auto" w:sz="6" w:space="0"/>
              <w:right w:val="single" w:color="auto" w:sz="6" w:space="0"/>
            </w:tcBorders>
            <w:noWrap w:val="0"/>
            <w:vAlign w:val="center"/>
          </w:tcPr>
          <w:p w14:paraId="6C485351">
            <w:pPr>
              <w:autoSpaceDE w:val="0"/>
              <w:autoSpaceDN w:val="0"/>
              <w:spacing w:line="360" w:lineRule="auto"/>
              <w:jc w:val="center"/>
              <w:rPr>
                <w:rFonts w:hint="eastAsia" w:ascii="仿宋_GB2312" w:hAnsi="仿宋" w:eastAsia="仿宋_GB2312" w:cs="仿宋_GB2312"/>
                <w:sz w:val="24"/>
              </w:rPr>
            </w:pPr>
            <w:r>
              <w:rPr>
                <w:rFonts w:hint="eastAsia" w:ascii="仿宋_GB2312" w:hAnsi="仿宋" w:eastAsia="仿宋_GB2312" w:cs="仿宋_GB2312"/>
                <w:sz w:val="24"/>
              </w:rPr>
              <w:t>序号</w:t>
            </w:r>
          </w:p>
        </w:tc>
        <w:tc>
          <w:tcPr>
            <w:tcW w:w="787" w:type="dxa"/>
            <w:tcBorders>
              <w:top w:val="single" w:color="auto" w:sz="6" w:space="0"/>
              <w:left w:val="single" w:color="auto" w:sz="6" w:space="0"/>
              <w:bottom w:val="single" w:color="auto" w:sz="6" w:space="0"/>
              <w:right w:val="single" w:color="auto" w:sz="6" w:space="0"/>
            </w:tcBorders>
            <w:noWrap w:val="0"/>
            <w:vAlign w:val="center"/>
          </w:tcPr>
          <w:p w14:paraId="681C59BE">
            <w:pPr>
              <w:autoSpaceDE w:val="0"/>
              <w:autoSpaceDN w:val="0"/>
              <w:spacing w:line="360" w:lineRule="auto"/>
              <w:jc w:val="center"/>
              <w:rPr>
                <w:rFonts w:hint="eastAsia" w:ascii="仿宋_GB2312" w:hAnsi="仿宋" w:eastAsia="仿宋_GB2312" w:cs="仿宋_GB2312"/>
                <w:sz w:val="24"/>
              </w:rPr>
            </w:pPr>
            <w:r>
              <w:rPr>
                <w:rFonts w:hint="eastAsia" w:ascii="仿宋_GB2312" w:hAnsi="仿宋" w:eastAsia="仿宋_GB2312" w:cs="仿宋_GB2312"/>
                <w:sz w:val="24"/>
              </w:rPr>
              <w:t>姓名</w:t>
            </w:r>
          </w:p>
        </w:tc>
        <w:tc>
          <w:tcPr>
            <w:tcW w:w="412" w:type="dxa"/>
            <w:tcBorders>
              <w:top w:val="single" w:color="auto" w:sz="6" w:space="0"/>
              <w:left w:val="single" w:color="auto" w:sz="6" w:space="0"/>
              <w:bottom w:val="single" w:color="auto" w:sz="6" w:space="0"/>
              <w:right w:val="single" w:color="auto" w:sz="6" w:space="0"/>
            </w:tcBorders>
            <w:noWrap w:val="0"/>
            <w:vAlign w:val="center"/>
          </w:tcPr>
          <w:p w14:paraId="02939FDC">
            <w:pPr>
              <w:autoSpaceDE w:val="0"/>
              <w:autoSpaceDN w:val="0"/>
              <w:spacing w:line="360" w:lineRule="auto"/>
              <w:jc w:val="center"/>
              <w:rPr>
                <w:rFonts w:hint="eastAsia" w:ascii="仿宋_GB2312" w:hAnsi="仿宋" w:eastAsia="仿宋_GB2312" w:cs="仿宋_GB2312"/>
                <w:sz w:val="24"/>
              </w:rPr>
            </w:pPr>
            <w:r>
              <w:rPr>
                <w:rFonts w:hint="eastAsia" w:ascii="仿宋_GB2312" w:hAnsi="仿宋" w:eastAsia="仿宋_GB2312" w:cs="仿宋_GB2312"/>
                <w:sz w:val="24"/>
              </w:rPr>
              <w:t>性别</w:t>
            </w:r>
          </w:p>
        </w:tc>
        <w:tc>
          <w:tcPr>
            <w:tcW w:w="586" w:type="dxa"/>
            <w:tcBorders>
              <w:top w:val="single" w:color="auto" w:sz="6" w:space="0"/>
              <w:left w:val="single" w:color="auto" w:sz="6" w:space="0"/>
              <w:bottom w:val="single" w:color="auto" w:sz="6" w:space="0"/>
              <w:right w:val="single" w:color="auto" w:sz="6" w:space="0"/>
            </w:tcBorders>
            <w:noWrap w:val="0"/>
            <w:vAlign w:val="center"/>
          </w:tcPr>
          <w:p w14:paraId="0F471D6B">
            <w:pPr>
              <w:autoSpaceDE w:val="0"/>
              <w:autoSpaceDN w:val="0"/>
              <w:spacing w:line="360" w:lineRule="auto"/>
              <w:jc w:val="center"/>
              <w:rPr>
                <w:rFonts w:hint="eastAsia" w:ascii="仿宋_GB2312" w:hAnsi="仿宋" w:eastAsia="仿宋_GB2312" w:cs="仿宋_GB2312"/>
                <w:sz w:val="24"/>
              </w:rPr>
            </w:pPr>
            <w:r>
              <w:rPr>
                <w:rFonts w:hint="eastAsia" w:ascii="仿宋_GB2312" w:hAnsi="仿宋" w:eastAsia="仿宋_GB2312" w:cs="仿宋_GB2312"/>
                <w:sz w:val="24"/>
              </w:rPr>
              <w:t>年龄</w:t>
            </w:r>
          </w:p>
        </w:tc>
        <w:tc>
          <w:tcPr>
            <w:tcW w:w="1035" w:type="dxa"/>
            <w:tcBorders>
              <w:top w:val="single" w:color="auto" w:sz="6" w:space="0"/>
              <w:left w:val="single" w:color="auto" w:sz="6" w:space="0"/>
              <w:bottom w:val="single" w:color="auto" w:sz="6" w:space="0"/>
              <w:right w:val="single" w:color="auto" w:sz="6" w:space="0"/>
            </w:tcBorders>
            <w:noWrap w:val="0"/>
            <w:vAlign w:val="center"/>
          </w:tcPr>
          <w:p w14:paraId="63EAA6F3">
            <w:pPr>
              <w:autoSpaceDE w:val="0"/>
              <w:autoSpaceDN w:val="0"/>
              <w:spacing w:line="360" w:lineRule="auto"/>
              <w:jc w:val="center"/>
              <w:rPr>
                <w:rFonts w:hint="eastAsia" w:ascii="仿宋_GB2312" w:hAnsi="仿宋" w:eastAsia="仿宋_GB2312" w:cs="仿宋_GB2312"/>
                <w:sz w:val="24"/>
              </w:rPr>
            </w:pPr>
            <w:r>
              <w:rPr>
                <w:rFonts w:hint="eastAsia" w:ascii="仿宋_GB2312" w:hAnsi="仿宋" w:eastAsia="仿宋_GB2312" w:cs="仿宋_GB2312"/>
                <w:sz w:val="24"/>
              </w:rPr>
              <w:t>学历</w:t>
            </w:r>
          </w:p>
          <w:p w14:paraId="35B097D5">
            <w:pPr>
              <w:autoSpaceDE w:val="0"/>
              <w:autoSpaceDN w:val="0"/>
              <w:spacing w:line="360" w:lineRule="auto"/>
              <w:jc w:val="center"/>
              <w:rPr>
                <w:rFonts w:hint="eastAsia" w:ascii="仿宋_GB2312" w:hAnsi="仿宋" w:eastAsia="仿宋_GB2312" w:cs="仿宋_GB2312"/>
                <w:sz w:val="24"/>
              </w:rPr>
            </w:pPr>
            <w:r>
              <w:rPr>
                <w:rFonts w:hint="eastAsia" w:ascii="仿宋_GB2312" w:hAnsi="仿宋" w:eastAsia="仿宋_GB2312" w:cs="仿宋_GB2312"/>
                <w:sz w:val="24"/>
              </w:rPr>
              <w:t>(页码)</w:t>
            </w:r>
          </w:p>
        </w:tc>
        <w:tc>
          <w:tcPr>
            <w:tcW w:w="1080" w:type="dxa"/>
            <w:tcBorders>
              <w:top w:val="single" w:color="auto" w:sz="6" w:space="0"/>
              <w:left w:val="single" w:color="auto" w:sz="6" w:space="0"/>
              <w:bottom w:val="single" w:color="auto" w:sz="6" w:space="0"/>
              <w:right w:val="single" w:color="auto" w:sz="6" w:space="0"/>
            </w:tcBorders>
            <w:noWrap w:val="0"/>
            <w:vAlign w:val="center"/>
          </w:tcPr>
          <w:p w14:paraId="029E342A">
            <w:pPr>
              <w:autoSpaceDE w:val="0"/>
              <w:autoSpaceDN w:val="0"/>
              <w:spacing w:line="360" w:lineRule="auto"/>
              <w:jc w:val="center"/>
              <w:rPr>
                <w:rFonts w:hint="eastAsia" w:ascii="仿宋_GB2312" w:hAnsi="仿宋" w:eastAsia="仿宋_GB2312" w:cs="仿宋_GB2312"/>
                <w:sz w:val="24"/>
              </w:rPr>
            </w:pPr>
            <w:r>
              <w:rPr>
                <w:rFonts w:hint="eastAsia" w:ascii="仿宋_GB2312" w:hAnsi="仿宋" w:eastAsia="仿宋_GB2312" w:cs="仿宋_GB2312"/>
                <w:sz w:val="24"/>
              </w:rPr>
              <w:t>专业</w:t>
            </w:r>
          </w:p>
          <w:p w14:paraId="139285CC">
            <w:pPr>
              <w:autoSpaceDE w:val="0"/>
              <w:autoSpaceDN w:val="0"/>
              <w:spacing w:line="360" w:lineRule="auto"/>
              <w:jc w:val="center"/>
              <w:rPr>
                <w:rFonts w:hint="eastAsia" w:ascii="仿宋_GB2312" w:hAnsi="仿宋" w:eastAsia="仿宋_GB2312" w:cs="仿宋_GB2312"/>
                <w:sz w:val="24"/>
              </w:rPr>
            </w:pPr>
            <w:r>
              <w:rPr>
                <w:rFonts w:hint="eastAsia" w:ascii="仿宋_GB2312" w:hAnsi="仿宋" w:eastAsia="仿宋_GB2312" w:cs="仿宋_GB2312"/>
                <w:sz w:val="24"/>
              </w:rPr>
              <w:t>(页码)</w:t>
            </w:r>
          </w:p>
        </w:tc>
        <w:tc>
          <w:tcPr>
            <w:tcW w:w="1080" w:type="dxa"/>
            <w:tcBorders>
              <w:top w:val="single" w:color="auto" w:sz="6" w:space="0"/>
              <w:left w:val="single" w:color="auto" w:sz="6" w:space="0"/>
              <w:bottom w:val="single" w:color="auto" w:sz="6" w:space="0"/>
              <w:right w:val="single" w:color="auto" w:sz="6" w:space="0"/>
            </w:tcBorders>
            <w:noWrap w:val="0"/>
            <w:vAlign w:val="center"/>
          </w:tcPr>
          <w:p w14:paraId="1BB3FF60">
            <w:pPr>
              <w:autoSpaceDE w:val="0"/>
              <w:autoSpaceDN w:val="0"/>
              <w:spacing w:line="360" w:lineRule="auto"/>
              <w:jc w:val="center"/>
              <w:rPr>
                <w:rFonts w:hint="eastAsia" w:ascii="仿宋_GB2312" w:hAnsi="仿宋" w:eastAsia="仿宋_GB2312" w:cs="仿宋_GB2312"/>
                <w:sz w:val="24"/>
              </w:rPr>
            </w:pPr>
            <w:r>
              <w:rPr>
                <w:rFonts w:hint="eastAsia" w:ascii="仿宋_GB2312" w:hAnsi="仿宋" w:eastAsia="仿宋_GB2312" w:cs="仿宋_GB2312"/>
                <w:sz w:val="24"/>
              </w:rPr>
              <w:t>职称</w:t>
            </w:r>
          </w:p>
          <w:p w14:paraId="7DBCD084">
            <w:pPr>
              <w:autoSpaceDE w:val="0"/>
              <w:autoSpaceDN w:val="0"/>
              <w:spacing w:line="360" w:lineRule="auto"/>
              <w:jc w:val="center"/>
              <w:rPr>
                <w:rFonts w:hint="eastAsia" w:ascii="仿宋_GB2312" w:hAnsi="仿宋" w:eastAsia="仿宋_GB2312" w:cs="仿宋_GB2312"/>
                <w:sz w:val="24"/>
              </w:rPr>
            </w:pPr>
            <w:r>
              <w:rPr>
                <w:rFonts w:hint="eastAsia" w:ascii="仿宋_GB2312" w:hAnsi="仿宋" w:eastAsia="仿宋_GB2312" w:cs="仿宋_GB2312"/>
                <w:sz w:val="24"/>
              </w:rPr>
              <w:t>(页码)</w:t>
            </w:r>
          </w:p>
        </w:tc>
        <w:tc>
          <w:tcPr>
            <w:tcW w:w="1260" w:type="dxa"/>
            <w:tcBorders>
              <w:top w:val="single" w:color="auto" w:sz="6" w:space="0"/>
              <w:left w:val="single" w:color="auto" w:sz="6" w:space="0"/>
              <w:bottom w:val="single" w:color="auto" w:sz="6" w:space="0"/>
              <w:right w:val="single" w:color="auto" w:sz="6" w:space="0"/>
            </w:tcBorders>
            <w:noWrap w:val="0"/>
            <w:vAlign w:val="center"/>
          </w:tcPr>
          <w:p w14:paraId="7AB08F90">
            <w:pPr>
              <w:autoSpaceDE w:val="0"/>
              <w:autoSpaceDN w:val="0"/>
              <w:spacing w:line="360" w:lineRule="auto"/>
              <w:jc w:val="center"/>
              <w:rPr>
                <w:rFonts w:hint="eastAsia" w:ascii="仿宋_GB2312" w:hAnsi="仿宋" w:eastAsia="仿宋_GB2312" w:cs="仿宋_GB2312"/>
                <w:sz w:val="24"/>
              </w:rPr>
            </w:pPr>
            <w:r>
              <w:rPr>
                <w:rFonts w:hint="eastAsia" w:ascii="仿宋_GB2312" w:hAnsi="仿宋" w:eastAsia="仿宋_GB2312" w:cs="仿宋_GB2312"/>
                <w:sz w:val="24"/>
              </w:rPr>
              <w:t>本项目中的职责</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1F3C2076">
            <w:pPr>
              <w:autoSpaceDE w:val="0"/>
              <w:autoSpaceDN w:val="0"/>
              <w:spacing w:line="360" w:lineRule="auto"/>
              <w:jc w:val="center"/>
              <w:rPr>
                <w:rFonts w:hint="eastAsia" w:ascii="仿宋_GB2312" w:hAnsi="仿宋" w:eastAsia="仿宋_GB2312" w:cs="仿宋_GB2312"/>
                <w:sz w:val="24"/>
              </w:rPr>
            </w:pPr>
            <w:r>
              <w:rPr>
                <w:rFonts w:hint="eastAsia" w:ascii="仿宋_GB2312" w:hAnsi="仿宋" w:eastAsia="仿宋_GB2312" w:cs="仿宋_GB2312"/>
                <w:sz w:val="24"/>
              </w:rPr>
              <w:t>项目经历</w:t>
            </w:r>
          </w:p>
        </w:tc>
        <w:tc>
          <w:tcPr>
            <w:tcW w:w="1470" w:type="dxa"/>
            <w:tcBorders>
              <w:top w:val="single" w:color="auto" w:sz="6" w:space="0"/>
              <w:left w:val="single" w:color="auto" w:sz="6" w:space="0"/>
              <w:bottom w:val="single" w:color="auto" w:sz="6" w:space="0"/>
              <w:right w:val="single" w:color="auto" w:sz="6" w:space="0"/>
            </w:tcBorders>
            <w:noWrap w:val="0"/>
            <w:vAlign w:val="center"/>
          </w:tcPr>
          <w:p w14:paraId="12F1E508">
            <w:pPr>
              <w:autoSpaceDE w:val="0"/>
              <w:autoSpaceDN w:val="0"/>
              <w:spacing w:line="360" w:lineRule="auto"/>
              <w:jc w:val="center"/>
              <w:rPr>
                <w:rFonts w:hint="eastAsia" w:ascii="仿宋_GB2312" w:hAnsi="仿宋" w:eastAsia="仿宋_GB2312" w:cs="仿宋_GB2312"/>
                <w:sz w:val="24"/>
              </w:rPr>
            </w:pPr>
            <w:r>
              <w:rPr>
                <w:rFonts w:hint="eastAsia" w:ascii="仿宋_GB2312" w:hAnsi="仿宋" w:eastAsia="仿宋_GB2312" w:cs="仿宋_GB2312"/>
                <w:sz w:val="24"/>
              </w:rPr>
              <w:t>参与本项目的到位情况</w:t>
            </w:r>
          </w:p>
        </w:tc>
      </w:tr>
      <w:tr w14:paraId="51C00874">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noWrap w:val="0"/>
            <w:vAlign w:val="top"/>
          </w:tcPr>
          <w:p w14:paraId="4CC93C5C">
            <w:pPr>
              <w:autoSpaceDE w:val="0"/>
              <w:autoSpaceDN w:val="0"/>
              <w:spacing w:line="360" w:lineRule="auto"/>
              <w:jc w:val="center"/>
              <w:rPr>
                <w:rFonts w:hint="eastAsia" w:ascii="仿宋_GB2312" w:hAnsi="仿宋" w:eastAsia="仿宋_GB2312" w:cs="仿宋_GB2312"/>
                <w:sz w:val="24"/>
              </w:rPr>
            </w:pPr>
          </w:p>
        </w:tc>
        <w:tc>
          <w:tcPr>
            <w:tcW w:w="787" w:type="dxa"/>
            <w:tcBorders>
              <w:top w:val="single" w:color="auto" w:sz="6" w:space="0"/>
              <w:left w:val="single" w:color="auto" w:sz="6" w:space="0"/>
              <w:bottom w:val="single" w:color="auto" w:sz="6" w:space="0"/>
              <w:right w:val="single" w:color="auto" w:sz="6" w:space="0"/>
            </w:tcBorders>
            <w:noWrap w:val="0"/>
            <w:vAlign w:val="top"/>
          </w:tcPr>
          <w:p w14:paraId="4E3808FC">
            <w:pPr>
              <w:autoSpaceDE w:val="0"/>
              <w:autoSpaceDN w:val="0"/>
              <w:spacing w:line="360" w:lineRule="auto"/>
              <w:rPr>
                <w:rFonts w:hint="eastAsia" w:ascii="仿宋_GB2312" w:hAnsi="仿宋" w:eastAsia="仿宋_GB2312" w:cs="仿宋_GB2312"/>
                <w:sz w:val="24"/>
              </w:rPr>
            </w:pPr>
          </w:p>
        </w:tc>
        <w:tc>
          <w:tcPr>
            <w:tcW w:w="412" w:type="dxa"/>
            <w:tcBorders>
              <w:top w:val="single" w:color="auto" w:sz="6" w:space="0"/>
              <w:left w:val="single" w:color="auto" w:sz="6" w:space="0"/>
              <w:bottom w:val="single" w:color="auto" w:sz="6" w:space="0"/>
              <w:right w:val="single" w:color="auto" w:sz="6" w:space="0"/>
            </w:tcBorders>
            <w:noWrap w:val="0"/>
            <w:vAlign w:val="top"/>
          </w:tcPr>
          <w:p w14:paraId="4D0B500D">
            <w:pPr>
              <w:autoSpaceDE w:val="0"/>
              <w:autoSpaceDN w:val="0"/>
              <w:spacing w:line="360" w:lineRule="auto"/>
              <w:rPr>
                <w:rFonts w:hint="eastAsia" w:ascii="仿宋_GB2312" w:hAnsi="仿宋" w:eastAsia="仿宋_GB2312" w:cs="仿宋_GB2312"/>
                <w:sz w:val="24"/>
              </w:rPr>
            </w:pPr>
          </w:p>
        </w:tc>
        <w:tc>
          <w:tcPr>
            <w:tcW w:w="586" w:type="dxa"/>
            <w:tcBorders>
              <w:top w:val="single" w:color="auto" w:sz="6" w:space="0"/>
              <w:left w:val="single" w:color="auto" w:sz="6" w:space="0"/>
              <w:bottom w:val="single" w:color="auto" w:sz="6" w:space="0"/>
              <w:right w:val="single" w:color="auto" w:sz="6" w:space="0"/>
            </w:tcBorders>
            <w:noWrap w:val="0"/>
            <w:vAlign w:val="top"/>
          </w:tcPr>
          <w:p w14:paraId="247442C6">
            <w:pPr>
              <w:autoSpaceDE w:val="0"/>
              <w:autoSpaceDN w:val="0"/>
              <w:spacing w:line="360" w:lineRule="auto"/>
              <w:rPr>
                <w:rFonts w:hint="eastAsia" w:ascii="仿宋_GB2312" w:hAnsi="仿宋" w:eastAsia="仿宋_GB2312" w:cs="仿宋_GB2312"/>
                <w:sz w:val="24"/>
              </w:rPr>
            </w:pPr>
          </w:p>
        </w:tc>
        <w:tc>
          <w:tcPr>
            <w:tcW w:w="1035" w:type="dxa"/>
            <w:tcBorders>
              <w:top w:val="single" w:color="auto" w:sz="6" w:space="0"/>
              <w:left w:val="single" w:color="auto" w:sz="6" w:space="0"/>
              <w:bottom w:val="single" w:color="auto" w:sz="6" w:space="0"/>
              <w:right w:val="single" w:color="auto" w:sz="6" w:space="0"/>
            </w:tcBorders>
            <w:noWrap w:val="0"/>
            <w:vAlign w:val="top"/>
          </w:tcPr>
          <w:p w14:paraId="612425D7">
            <w:pPr>
              <w:autoSpaceDE w:val="0"/>
              <w:autoSpaceDN w:val="0"/>
              <w:spacing w:line="360" w:lineRule="auto"/>
              <w:rPr>
                <w:rFonts w:hint="eastAsia" w:ascii="仿宋_GB2312" w:hAnsi="仿宋" w:eastAsia="仿宋_GB2312" w:cs="仿宋_GB2312"/>
                <w:sz w:val="24"/>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13A27AD1">
            <w:pPr>
              <w:autoSpaceDE w:val="0"/>
              <w:autoSpaceDN w:val="0"/>
              <w:spacing w:line="360" w:lineRule="auto"/>
              <w:rPr>
                <w:rFonts w:hint="eastAsia" w:ascii="仿宋_GB2312" w:hAnsi="仿宋" w:eastAsia="仿宋_GB2312" w:cs="仿宋_GB2312"/>
                <w:sz w:val="24"/>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21CB3A1C">
            <w:pPr>
              <w:autoSpaceDE w:val="0"/>
              <w:autoSpaceDN w:val="0"/>
              <w:spacing w:line="360" w:lineRule="auto"/>
              <w:rPr>
                <w:rFonts w:hint="eastAsia" w:ascii="仿宋_GB2312" w:hAnsi="仿宋" w:eastAsia="仿宋_GB2312" w:cs="仿宋_GB2312"/>
                <w:sz w:val="24"/>
              </w:rPr>
            </w:pPr>
          </w:p>
        </w:tc>
        <w:tc>
          <w:tcPr>
            <w:tcW w:w="1260" w:type="dxa"/>
            <w:tcBorders>
              <w:top w:val="single" w:color="auto" w:sz="6" w:space="0"/>
              <w:left w:val="single" w:color="auto" w:sz="6" w:space="0"/>
              <w:bottom w:val="single" w:color="auto" w:sz="6" w:space="0"/>
              <w:right w:val="single" w:color="auto" w:sz="6" w:space="0"/>
            </w:tcBorders>
            <w:noWrap w:val="0"/>
            <w:vAlign w:val="top"/>
          </w:tcPr>
          <w:p w14:paraId="2484E715">
            <w:pPr>
              <w:autoSpaceDE w:val="0"/>
              <w:autoSpaceDN w:val="0"/>
              <w:spacing w:line="360" w:lineRule="auto"/>
              <w:rPr>
                <w:rFonts w:hint="eastAsia" w:ascii="仿宋_GB2312" w:hAnsi="仿宋" w:eastAsia="仿宋_GB2312" w:cs="仿宋_GB2312"/>
                <w:sz w:val="24"/>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111C359F">
            <w:pPr>
              <w:autoSpaceDE w:val="0"/>
              <w:autoSpaceDN w:val="0"/>
              <w:spacing w:line="360" w:lineRule="auto"/>
              <w:rPr>
                <w:rFonts w:hint="eastAsia" w:ascii="仿宋_GB2312" w:hAnsi="仿宋" w:eastAsia="仿宋_GB2312" w:cs="仿宋_GB2312"/>
                <w:sz w:val="24"/>
              </w:rPr>
            </w:pPr>
          </w:p>
        </w:tc>
        <w:tc>
          <w:tcPr>
            <w:tcW w:w="1470" w:type="dxa"/>
            <w:tcBorders>
              <w:top w:val="single" w:color="auto" w:sz="6" w:space="0"/>
              <w:left w:val="single" w:color="auto" w:sz="6" w:space="0"/>
              <w:bottom w:val="single" w:color="auto" w:sz="6" w:space="0"/>
              <w:right w:val="single" w:color="auto" w:sz="6" w:space="0"/>
            </w:tcBorders>
            <w:noWrap w:val="0"/>
            <w:vAlign w:val="top"/>
          </w:tcPr>
          <w:p w14:paraId="59D79AF0">
            <w:pPr>
              <w:autoSpaceDE w:val="0"/>
              <w:autoSpaceDN w:val="0"/>
              <w:spacing w:line="360" w:lineRule="auto"/>
              <w:rPr>
                <w:rFonts w:hint="eastAsia" w:ascii="仿宋_GB2312" w:hAnsi="仿宋" w:eastAsia="仿宋_GB2312" w:cs="仿宋_GB2312"/>
                <w:sz w:val="24"/>
              </w:rPr>
            </w:pPr>
          </w:p>
        </w:tc>
      </w:tr>
      <w:tr w14:paraId="5EF5E394">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noWrap w:val="0"/>
            <w:vAlign w:val="top"/>
          </w:tcPr>
          <w:p w14:paraId="2502502D">
            <w:pPr>
              <w:autoSpaceDE w:val="0"/>
              <w:autoSpaceDN w:val="0"/>
              <w:spacing w:line="360" w:lineRule="auto"/>
              <w:jc w:val="center"/>
              <w:rPr>
                <w:rFonts w:hint="eastAsia" w:ascii="仿宋_GB2312" w:hAnsi="仿宋" w:eastAsia="仿宋_GB2312" w:cs="仿宋_GB2312"/>
                <w:sz w:val="24"/>
              </w:rPr>
            </w:pPr>
          </w:p>
        </w:tc>
        <w:tc>
          <w:tcPr>
            <w:tcW w:w="787" w:type="dxa"/>
            <w:tcBorders>
              <w:top w:val="single" w:color="auto" w:sz="6" w:space="0"/>
              <w:left w:val="single" w:color="auto" w:sz="6" w:space="0"/>
              <w:bottom w:val="single" w:color="auto" w:sz="6" w:space="0"/>
              <w:right w:val="single" w:color="auto" w:sz="6" w:space="0"/>
            </w:tcBorders>
            <w:noWrap w:val="0"/>
            <w:vAlign w:val="top"/>
          </w:tcPr>
          <w:p w14:paraId="70FB502D">
            <w:pPr>
              <w:autoSpaceDE w:val="0"/>
              <w:autoSpaceDN w:val="0"/>
              <w:spacing w:line="360" w:lineRule="auto"/>
              <w:rPr>
                <w:rFonts w:hint="eastAsia" w:ascii="仿宋_GB2312" w:hAnsi="仿宋" w:eastAsia="仿宋_GB2312" w:cs="仿宋_GB2312"/>
                <w:sz w:val="24"/>
              </w:rPr>
            </w:pPr>
          </w:p>
        </w:tc>
        <w:tc>
          <w:tcPr>
            <w:tcW w:w="412" w:type="dxa"/>
            <w:tcBorders>
              <w:top w:val="single" w:color="auto" w:sz="6" w:space="0"/>
              <w:left w:val="single" w:color="auto" w:sz="6" w:space="0"/>
              <w:bottom w:val="single" w:color="auto" w:sz="6" w:space="0"/>
              <w:right w:val="single" w:color="auto" w:sz="6" w:space="0"/>
            </w:tcBorders>
            <w:noWrap w:val="0"/>
            <w:vAlign w:val="top"/>
          </w:tcPr>
          <w:p w14:paraId="0F4BB65C">
            <w:pPr>
              <w:autoSpaceDE w:val="0"/>
              <w:autoSpaceDN w:val="0"/>
              <w:spacing w:line="360" w:lineRule="auto"/>
              <w:rPr>
                <w:rFonts w:hint="eastAsia" w:ascii="仿宋_GB2312" w:hAnsi="仿宋" w:eastAsia="仿宋_GB2312" w:cs="仿宋_GB2312"/>
                <w:sz w:val="24"/>
              </w:rPr>
            </w:pPr>
          </w:p>
        </w:tc>
        <w:tc>
          <w:tcPr>
            <w:tcW w:w="586" w:type="dxa"/>
            <w:tcBorders>
              <w:top w:val="single" w:color="auto" w:sz="6" w:space="0"/>
              <w:left w:val="single" w:color="auto" w:sz="6" w:space="0"/>
              <w:bottom w:val="single" w:color="auto" w:sz="6" w:space="0"/>
              <w:right w:val="single" w:color="auto" w:sz="6" w:space="0"/>
            </w:tcBorders>
            <w:noWrap w:val="0"/>
            <w:vAlign w:val="top"/>
          </w:tcPr>
          <w:p w14:paraId="6A843DD9">
            <w:pPr>
              <w:autoSpaceDE w:val="0"/>
              <w:autoSpaceDN w:val="0"/>
              <w:spacing w:line="360" w:lineRule="auto"/>
              <w:rPr>
                <w:rFonts w:hint="eastAsia" w:ascii="仿宋_GB2312" w:hAnsi="仿宋" w:eastAsia="仿宋_GB2312" w:cs="仿宋_GB2312"/>
                <w:sz w:val="24"/>
              </w:rPr>
            </w:pPr>
          </w:p>
        </w:tc>
        <w:tc>
          <w:tcPr>
            <w:tcW w:w="1035" w:type="dxa"/>
            <w:tcBorders>
              <w:top w:val="single" w:color="auto" w:sz="6" w:space="0"/>
              <w:left w:val="single" w:color="auto" w:sz="6" w:space="0"/>
              <w:bottom w:val="single" w:color="auto" w:sz="6" w:space="0"/>
              <w:right w:val="single" w:color="auto" w:sz="6" w:space="0"/>
            </w:tcBorders>
            <w:noWrap w:val="0"/>
            <w:vAlign w:val="top"/>
          </w:tcPr>
          <w:p w14:paraId="3798F0E2">
            <w:pPr>
              <w:autoSpaceDE w:val="0"/>
              <w:autoSpaceDN w:val="0"/>
              <w:spacing w:line="360" w:lineRule="auto"/>
              <w:rPr>
                <w:rFonts w:hint="eastAsia" w:ascii="仿宋_GB2312" w:hAnsi="仿宋" w:eastAsia="仿宋_GB2312" w:cs="仿宋_GB2312"/>
                <w:sz w:val="24"/>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2644BE38">
            <w:pPr>
              <w:autoSpaceDE w:val="0"/>
              <w:autoSpaceDN w:val="0"/>
              <w:spacing w:line="360" w:lineRule="auto"/>
              <w:rPr>
                <w:rFonts w:hint="eastAsia" w:ascii="仿宋_GB2312" w:hAnsi="仿宋" w:eastAsia="仿宋_GB2312" w:cs="仿宋_GB2312"/>
                <w:sz w:val="24"/>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4D1F4471">
            <w:pPr>
              <w:autoSpaceDE w:val="0"/>
              <w:autoSpaceDN w:val="0"/>
              <w:spacing w:line="360" w:lineRule="auto"/>
              <w:rPr>
                <w:rFonts w:hint="eastAsia" w:ascii="仿宋_GB2312" w:hAnsi="仿宋" w:eastAsia="仿宋_GB2312" w:cs="仿宋_GB2312"/>
                <w:sz w:val="24"/>
              </w:rPr>
            </w:pPr>
          </w:p>
        </w:tc>
        <w:tc>
          <w:tcPr>
            <w:tcW w:w="1260" w:type="dxa"/>
            <w:tcBorders>
              <w:top w:val="single" w:color="auto" w:sz="6" w:space="0"/>
              <w:left w:val="single" w:color="auto" w:sz="6" w:space="0"/>
              <w:bottom w:val="single" w:color="auto" w:sz="6" w:space="0"/>
              <w:right w:val="single" w:color="auto" w:sz="6" w:space="0"/>
            </w:tcBorders>
            <w:noWrap w:val="0"/>
            <w:vAlign w:val="top"/>
          </w:tcPr>
          <w:p w14:paraId="32B0CF2E">
            <w:pPr>
              <w:autoSpaceDE w:val="0"/>
              <w:autoSpaceDN w:val="0"/>
              <w:spacing w:line="360" w:lineRule="auto"/>
              <w:rPr>
                <w:rFonts w:hint="eastAsia" w:ascii="仿宋_GB2312" w:hAnsi="仿宋" w:eastAsia="仿宋_GB2312" w:cs="仿宋_GB2312"/>
                <w:sz w:val="24"/>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205E944D">
            <w:pPr>
              <w:autoSpaceDE w:val="0"/>
              <w:autoSpaceDN w:val="0"/>
              <w:spacing w:line="360" w:lineRule="auto"/>
              <w:rPr>
                <w:rFonts w:hint="eastAsia" w:ascii="仿宋_GB2312" w:hAnsi="仿宋" w:eastAsia="仿宋_GB2312" w:cs="仿宋_GB2312"/>
                <w:sz w:val="24"/>
              </w:rPr>
            </w:pPr>
          </w:p>
        </w:tc>
        <w:tc>
          <w:tcPr>
            <w:tcW w:w="1470" w:type="dxa"/>
            <w:tcBorders>
              <w:top w:val="single" w:color="auto" w:sz="6" w:space="0"/>
              <w:left w:val="single" w:color="auto" w:sz="6" w:space="0"/>
              <w:bottom w:val="single" w:color="auto" w:sz="6" w:space="0"/>
              <w:right w:val="single" w:color="auto" w:sz="6" w:space="0"/>
            </w:tcBorders>
            <w:noWrap w:val="0"/>
            <w:vAlign w:val="top"/>
          </w:tcPr>
          <w:p w14:paraId="5A3B34A3">
            <w:pPr>
              <w:autoSpaceDE w:val="0"/>
              <w:autoSpaceDN w:val="0"/>
              <w:spacing w:line="360" w:lineRule="auto"/>
              <w:rPr>
                <w:rFonts w:hint="eastAsia" w:ascii="仿宋_GB2312" w:hAnsi="仿宋" w:eastAsia="仿宋_GB2312" w:cs="仿宋_GB2312"/>
                <w:sz w:val="24"/>
              </w:rPr>
            </w:pPr>
          </w:p>
        </w:tc>
      </w:tr>
    </w:tbl>
    <w:p w14:paraId="49ECC332">
      <w:pPr>
        <w:spacing w:line="360" w:lineRule="auto"/>
        <w:rPr>
          <w:rFonts w:hint="eastAsia" w:ascii="仿宋_GB2312" w:hAnsi="仿宋" w:eastAsia="仿宋_GB2312" w:cs="仿宋_GB2312"/>
          <w:b/>
          <w:bCs/>
          <w:sz w:val="24"/>
        </w:rPr>
      </w:pPr>
      <w:r>
        <w:rPr>
          <w:rFonts w:hint="eastAsia" w:ascii="仿宋_GB2312" w:hAnsi="仿宋" w:eastAsia="仿宋_GB2312" w:cs="仿宋_GB2312"/>
          <w:b/>
          <w:sz w:val="24"/>
        </w:rPr>
        <w:t>注：投标人可按上述的格式自行编制，须随表提交相应的证书复印件并注明所在投标技术文件页码。</w:t>
      </w:r>
    </w:p>
    <w:p w14:paraId="059F11C0">
      <w:pPr>
        <w:snapToGrid w:val="0"/>
        <w:spacing w:line="360" w:lineRule="auto"/>
        <w:ind w:firstLine="4320" w:firstLineChars="1800"/>
        <w:rPr>
          <w:rFonts w:hint="eastAsia" w:ascii="仿宋_GB2312" w:hAnsi="仿宋" w:eastAsia="仿宋_GB2312" w:cs="仿宋_GB2312"/>
          <w:kern w:val="0"/>
          <w:sz w:val="24"/>
          <w:lang w:val="zh-CN"/>
        </w:rPr>
      </w:pPr>
    </w:p>
    <w:p w14:paraId="54B4796E">
      <w:pPr>
        <w:snapToGrid w:val="0"/>
        <w:spacing w:line="360" w:lineRule="auto"/>
        <w:ind w:firstLine="4320" w:firstLineChars="1800"/>
        <w:rPr>
          <w:rFonts w:hint="eastAsia" w:ascii="仿宋_GB2312" w:hAnsi="仿宋" w:eastAsia="仿宋_GB2312" w:cs="仿宋_GB2312"/>
          <w:kern w:val="0"/>
          <w:sz w:val="24"/>
        </w:rPr>
      </w:pPr>
      <w:r>
        <w:rPr>
          <w:rFonts w:hint="eastAsia" w:ascii="仿宋_GB2312" w:hAnsi="仿宋" w:eastAsia="仿宋_GB2312" w:cs="仿宋_GB2312"/>
          <w:kern w:val="0"/>
          <w:sz w:val="24"/>
          <w:lang w:val="zh-CN"/>
        </w:rPr>
        <w:t>投标人名称(电子签章)：</w:t>
      </w:r>
    </w:p>
    <w:p w14:paraId="40A0BDAB">
      <w:pPr>
        <w:autoSpaceDE w:val="0"/>
        <w:autoSpaceDN w:val="0"/>
        <w:spacing w:line="360" w:lineRule="auto"/>
        <w:rPr>
          <w:rFonts w:hint="eastAsia" w:ascii="仿宋_GB2312" w:hAnsi="仿宋" w:eastAsia="仿宋_GB2312" w:cs="仿宋_GB2312"/>
          <w:kern w:val="0"/>
          <w:sz w:val="24"/>
        </w:rPr>
      </w:pPr>
      <w:r>
        <w:rPr>
          <w:rFonts w:hint="eastAsia" w:ascii="仿宋_GB2312" w:hAnsi="仿宋" w:eastAsia="仿宋_GB2312" w:cs="仿宋_GB2312"/>
          <w:kern w:val="0"/>
          <w:sz w:val="24"/>
        </w:rPr>
        <w:t xml:space="preserve">                                     </w:t>
      </w:r>
      <w:r>
        <w:rPr>
          <w:rFonts w:hint="eastAsia" w:ascii="仿宋_GB2312" w:hAnsi="仿宋" w:eastAsia="仿宋_GB2312" w:cs="仿宋_GB2312"/>
          <w:kern w:val="0"/>
          <w:sz w:val="24"/>
          <w:lang w:val="zh-CN"/>
        </w:rPr>
        <w:t>日期：  年  月   日</w:t>
      </w:r>
    </w:p>
    <w:p w14:paraId="2F77691F">
      <w:pPr>
        <w:snapToGrid w:val="0"/>
        <w:spacing w:before="50" w:after="50"/>
        <w:rPr>
          <w:rFonts w:hint="eastAsia" w:ascii="宋体" w:hAnsi="宋体"/>
          <w:color w:val="000000"/>
          <w:sz w:val="24"/>
        </w:rPr>
      </w:pPr>
    </w:p>
    <w:p w14:paraId="51C378D6">
      <w:pPr>
        <w:snapToGrid w:val="0"/>
        <w:spacing w:before="165" w:beforeLines="50" w:after="50"/>
        <w:jc w:val="left"/>
        <w:rPr>
          <w:rFonts w:hint="eastAsia" w:ascii="宋体" w:hAnsi="宋体"/>
          <w:color w:val="000000"/>
          <w:sz w:val="24"/>
        </w:rPr>
      </w:pPr>
      <w:r>
        <w:rPr>
          <w:rFonts w:hint="eastAsia" w:ascii="宋体" w:hAnsi="宋体"/>
          <w:b/>
          <w:color w:val="000000"/>
          <w:sz w:val="24"/>
        </w:rPr>
        <w:br w:type="page"/>
      </w:r>
      <w:r>
        <w:rPr>
          <w:rFonts w:hint="eastAsia" w:ascii="宋体" w:hAnsi="宋体"/>
          <w:color w:val="000000"/>
          <w:sz w:val="24"/>
        </w:rPr>
        <w:t xml:space="preserve"> </w:t>
      </w:r>
    </w:p>
    <w:p w14:paraId="757BD3F6">
      <w:pPr>
        <w:snapToGrid w:val="0"/>
        <w:spacing w:before="165" w:beforeLines="50" w:after="50"/>
        <w:ind w:left="142"/>
        <w:jc w:val="center"/>
        <w:rPr>
          <w:rFonts w:hint="eastAsia" w:ascii="宋体" w:hAnsi="宋体"/>
          <w:b/>
          <w:color w:val="000000"/>
          <w:sz w:val="32"/>
          <w:szCs w:val="32"/>
        </w:rPr>
      </w:pPr>
      <w:r>
        <w:rPr>
          <w:rFonts w:hint="eastAsia" w:ascii="宋体" w:hAnsi="宋体"/>
          <w:b/>
          <w:color w:val="000000"/>
          <w:sz w:val="32"/>
          <w:szCs w:val="32"/>
        </w:rPr>
        <w:t>五、投标人对项目的合理化建议和改进措施</w:t>
      </w:r>
    </w:p>
    <w:p w14:paraId="27B0D68B">
      <w:pPr>
        <w:spacing w:line="360" w:lineRule="auto"/>
        <w:ind w:firstLine="4048" w:firstLineChars="1687"/>
        <w:rPr>
          <w:rFonts w:hint="eastAsia" w:ascii="仿宋_GB2312" w:hAnsi="仿宋" w:eastAsia="仿宋_GB2312" w:cs="仿宋_GB2312"/>
          <w:sz w:val="24"/>
        </w:rPr>
      </w:pPr>
      <w:r>
        <w:rPr>
          <w:rFonts w:hint="eastAsia" w:ascii="仿宋_GB2312" w:hAnsi="仿宋" w:eastAsia="仿宋_GB2312" w:cs="仿宋_GB2312"/>
          <w:sz w:val="24"/>
        </w:rPr>
        <w:t>（格式自拟）</w:t>
      </w:r>
    </w:p>
    <w:p w14:paraId="455375FC">
      <w:pPr>
        <w:snapToGrid w:val="0"/>
        <w:spacing w:line="360" w:lineRule="auto"/>
        <w:ind w:firstLine="4935" w:firstLineChars="2350"/>
        <w:rPr>
          <w:rFonts w:hint="eastAsia" w:hAnsi="宋体"/>
          <w:color w:val="000000"/>
          <w:szCs w:val="21"/>
        </w:rPr>
      </w:pPr>
      <w:r>
        <w:rPr>
          <w:rFonts w:hAnsi="宋体"/>
          <w:color w:val="000000"/>
          <w:szCs w:val="21"/>
        </w:rPr>
        <w:t xml:space="preserve"> </w:t>
      </w:r>
    </w:p>
    <w:p w14:paraId="0042BFE8">
      <w:pPr>
        <w:snapToGrid w:val="0"/>
        <w:spacing w:line="360" w:lineRule="auto"/>
        <w:ind w:firstLine="4935" w:firstLineChars="2350"/>
        <w:rPr>
          <w:rFonts w:hAnsi="宋体"/>
          <w:color w:val="000000"/>
          <w:szCs w:val="21"/>
        </w:rPr>
      </w:pPr>
    </w:p>
    <w:p w14:paraId="0B8805BE">
      <w:pPr>
        <w:snapToGrid w:val="0"/>
        <w:spacing w:line="360" w:lineRule="auto"/>
        <w:ind w:firstLine="4935" w:firstLineChars="2350"/>
        <w:rPr>
          <w:rFonts w:hAnsi="宋体"/>
          <w:color w:val="000000"/>
          <w:szCs w:val="21"/>
        </w:rPr>
      </w:pPr>
    </w:p>
    <w:p w14:paraId="49CEFEE7">
      <w:pPr>
        <w:snapToGrid w:val="0"/>
        <w:spacing w:line="360" w:lineRule="auto"/>
        <w:ind w:firstLine="4935" w:firstLineChars="2350"/>
        <w:rPr>
          <w:rFonts w:hAnsi="宋体"/>
          <w:color w:val="000000"/>
          <w:szCs w:val="21"/>
        </w:rPr>
      </w:pPr>
    </w:p>
    <w:p w14:paraId="114D9408">
      <w:pPr>
        <w:snapToGrid w:val="0"/>
        <w:spacing w:line="360" w:lineRule="auto"/>
        <w:ind w:firstLine="4935" w:firstLineChars="2350"/>
        <w:rPr>
          <w:rFonts w:ascii="仿宋_GB2312" w:hAnsi="仿宋" w:eastAsia="仿宋_GB2312" w:cs="仿宋_GB2312"/>
          <w:kern w:val="0"/>
          <w:sz w:val="24"/>
        </w:rPr>
      </w:pPr>
      <w:r>
        <w:rPr>
          <w:rFonts w:hAnsi="宋体"/>
          <w:color w:val="000000"/>
          <w:szCs w:val="21"/>
        </w:rPr>
        <w:t xml:space="preserve">  </w:t>
      </w:r>
      <w:r>
        <w:rPr>
          <w:rFonts w:hint="eastAsia" w:ascii="仿宋_GB2312" w:hAnsi="仿宋" w:eastAsia="仿宋_GB2312" w:cs="仿宋_GB2312"/>
          <w:kern w:val="0"/>
          <w:sz w:val="24"/>
          <w:lang w:val="zh-CN"/>
        </w:rPr>
        <w:t>投标人名称(电子签章)：</w:t>
      </w:r>
    </w:p>
    <w:p w14:paraId="1F254628">
      <w:pPr>
        <w:snapToGrid w:val="0"/>
        <w:spacing w:line="360" w:lineRule="auto"/>
        <w:ind w:firstLine="5160" w:firstLineChars="2150"/>
        <w:rPr>
          <w:rFonts w:hint="eastAsia" w:ascii="仿宋_GB2312" w:hAnsi="仿宋" w:eastAsia="仿宋_GB2312" w:cs="仿宋_GB2312"/>
          <w:kern w:val="0"/>
          <w:sz w:val="24"/>
          <w:lang w:val="zh-CN"/>
        </w:rPr>
      </w:pPr>
      <w:r>
        <w:rPr>
          <w:rFonts w:hint="eastAsia" w:ascii="仿宋_GB2312" w:hAnsi="仿宋" w:eastAsia="仿宋_GB2312" w:cs="仿宋_GB2312"/>
          <w:kern w:val="0"/>
          <w:sz w:val="24"/>
          <w:lang w:val="zh-CN"/>
        </w:rPr>
        <w:t>日期</w:t>
      </w:r>
      <w:r>
        <w:rPr>
          <w:rFonts w:hint="eastAsia" w:ascii="仿宋_GB2312" w:hAnsi="仿宋" w:eastAsia="仿宋_GB2312" w:cs="仿宋_GB2312"/>
          <w:kern w:val="0"/>
          <w:sz w:val="24"/>
        </w:rPr>
        <w:t xml:space="preserve">：  年  </w:t>
      </w:r>
      <w:r>
        <w:rPr>
          <w:rFonts w:hint="eastAsia" w:ascii="仿宋_GB2312" w:hAnsi="仿宋" w:eastAsia="仿宋_GB2312" w:cs="仿宋_GB2312"/>
          <w:kern w:val="0"/>
          <w:sz w:val="24"/>
          <w:lang w:val="zh-CN"/>
        </w:rPr>
        <w:t>月</w:t>
      </w:r>
      <w:r>
        <w:rPr>
          <w:rFonts w:hint="eastAsia" w:ascii="仿宋_GB2312" w:hAnsi="仿宋" w:eastAsia="仿宋_GB2312" w:cs="仿宋_GB2312"/>
          <w:kern w:val="0"/>
          <w:sz w:val="24"/>
        </w:rPr>
        <w:t xml:space="preserve">   </w:t>
      </w:r>
      <w:r>
        <w:rPr>
          <w:rFonts w:hint="eastAsia" w:ascii="仿宋_GB2312" w:hAnsi="仿宋" w:eastAsia="仿宋_GB2312" w:cs="仿宋_GB2312"/>
          <w:kern w:val="0"/>
          <w:sz w:val="24"/>
          <w:lang w:val="zh-CN"/>
        </w:rPr>
        <w:t>日</w:t>
      </w:r>
    </w:p>
    <w:p w14:paraId="05FB9255">
      <w:pPr>
        <w:pStyle w:val="2"/>
        <w:rPr>
          <w:rFonts w:hint="eastAsia" w:ascii="仿宋_GB2312" w:hAnsi="仿宋" w:eastAsia="仿宋_GB2312" w:cs="仿宋_GB2312"/>
          <w:kern w:val="0"/>
          <w:sz w:val="24"/>
          <w:lang w:val="zh-CN"/>
        </w:rPr>
      </w:pPr>
    </w:p>
    <w:p w14:paraId="5A6A985A">
      <w:pPr>
        <w:pStyle w:val="2"/>
        <w:rPr>
          <w:rFonts w:hint="eastAsia" w:ascii="仿宋_GB2312" w:hAnsi="仿宋" w:eastAsia="仿宋_GB2312" w:cs="仿宋_GB2312"/>
          <w:kern w:val="0"/>
          <w:sz w:val="24"/>
          <w:lang w:val="zh-CN"/>
        </w:rPr>
      </w:pPr>
    </w:p>
    <w:p w14:paraId="765F70D9">
      <w:pPr>
        <w:pStyle w:val="2"/>
        <w:rPr>
          <w:rFonts w:hint="eastAsia" w:ascii="仿宋_GB2312" w:hAnsi="仿宋" w:eastAsia="仿宋_GB2312" w:cs="仿宋_GB2312"/>
          <w:kern w:val="0"/>
          <w:sz w:val="24"/>
          <w:lang w:val="zh-CN"/>
        </w:rPr>
      </w:pPr>
    </w:p>
    <w:p w14:paraId="259FD146">
      <w:pPr>
        <w:pStyle w:val="2"/>
        <w:rPr>
          <w:rFonts w:hint="eastAsia" w:ascii="仿宋_GB2312" w:hAnsi="仿宋" w:eastAsia="仿宋_GB2312" w:cs="仿宋_GB2312"/>
          <w:kern w:val="0"/>
          <w:sz w:val="24"/>
          <w:lang w:val="zh-CN"/>
        </w:rPr>
      </w:pPr>
    </w:p>
    <w:p w14:paraId="347FC38A">
      <w:pPr>
        <w:pStyle w:val="2"/>
        <w:rPr>
          <w:rFonts w:hint="eastAsia" w:ascii="仿宋_GB2312" w:hAnsi="仿宋" w:eastAsia="仿宋_GB2312" w:cs="仿宋_GB2312"/>
          <w:kern w:val="0"/>
          <w:sz w:val="24"/>
          <w:lang w:val="zh-CN"/>
        </w:rPr>
      </w:pPr>
    </w:p>
    <w:p w14:paraId="5CF7DD7F">
      <w:pPr>
        <w:pStyle w:val="2"/>
        <w:rPr>
          <w:rFonts w:hint="eastAsia" w:ascii="仿宋_GB2312" w:hAnsi="仿宋" w:eastAsia="仿宋_GB2312" w:cs="仿宋_GB2312"/>
          <w:kern w:val="0"/>
          <w:sz w:val="24"/>
          <w:lang w:val="zh-CN"/>
        </w:rPr>
      </w:pPr>
    </w:p>
    <w:p w14:paraId="6F97BE18">
      <w:pPr>
        <w:pStyle w:val="2"/>
        <w:rPr>
          <w:rFonts w:hint="eastAsia" w:ascii="仿宋_GB2312" w:hAnsi="仿宋" w:eastAsia="仿宋_GB2312" w:cs="仿宋_GB2312"/>
          <w:kern w:val="0"/>
          <w:sz w:val="24"/>
          <w:lang w:val="zh-CN"/>
        </w:rPr>
      </w:pPr>
    </w:p>
    <w:p w14:paraId="0B47D1DE">
      <w:pPr>
        <w:numPr>
          <w:ilvl w:val="0"/>
          <w:numId w:val="5"/>
        </w:numPr>
        <w:spacing w:line="360" w:lineRule="auto"/>
        <w:jc w:val="center"/>
        <w:rPr>
          <w:rFonts w:hint="eastAsia" w:ascii="宋体" w:hAnsi="宋体"/>
          <w:b/>
          <w:color w:val="000000"/>
          <w:sz w:val="32"/>
          <w:szCs w:val="32"/>
        </w:rPr>
      </w:pPr>
      <w:r>
        <w:rPr>
          <w:rFonts w:hint="eastAsia" w:ascii="宋体" w:hAnsi="宋体"/>
          <w:b/>
          <w:color w:val="000000"/>
          <w:sz w:val="32"/>
          <w:szCs w:val="32"/>
        </w:rPr>
        <w:t>除招标文件规定必须提供以外，投标人需要说明的其他文件和说明。</w:t>
      </w:r>
    </w:p>
    <w:p w14:paraId="1E78186C">
      <w:pPr>
        <w:spacing w:line="360" w:lineRule="auto"/>
        <w:jc w:val="center"/>
        <w:rPr>
          <w:rFonts w:hint="eastAsia" w:ascii="仿宋_GB2312" w:hAnsi="仿宋" w:eastAsia="仿宋_GB2312" w:cs="仿宋_GB2312"/>
          <w:sz w:val="24"/>
        </w:rPr>
      </w:pPr>
      <w:r>
        <w:rPr>
          <w:rFonts w:hint="eastAsia" w:ascii="仿宋_GB2312" w:hAnsi="仿宋" w:eastAsia="仿宋_GB2312" w:cs="仿宋_GB2312"/>
          <w:sz w:val="24"/>
        </w:rPr>
        <w:t>（由投标人根据采购需求自行编制）</w:t>
      </w:r>
    </w:p>
    <w:p w14:paraId="60905BF0">
      <w:pPr>
        <w:spacing w:line="360" w:lineRule="auto"/>
        <w:jc w:val="center"/>
        <w:rPr>
          <w:rFonts w:hint="eastAsia" w:ascii="仿宋_GB2312" w:hAnsi="仿宋" w:eastAsia="仿宋_GB2312" w:cs="仿宋_GB2312"/>
          <w:sz w:val="18"/>
          <w:szCs w:val="18"/>
        </w:rPr>
      </w:pPr>
    </w:p>
    <w:p w14:paraId="76821320">
      <w:pPr>
        <w:snapToGrid w:val="0"/>
        <w:spacing w:line="360" w:lineRule="auto"/>
        <w:ind w:firstLine="5040" w:firstLineChars="2100"/>
        <w:rPr>
          <w:rFonts w:hint="eastAsia" w:ascii="仿宋_GB2312" w:hAnsi="仿宋" w:eastAsia="仿宋_GB2312" w:cs="仿宋_GB2312"/>
          <w:kern w:val="0"/>
          <w:sz w:val="24"/>
        </w:rPr>
      </w:pPr>
      <w:r>
        <w:rPr>
          <w:rFonts w:hint="eastAsia" w:ascii="仿宋_GB2312" w:hAnsi="仿宋" w:eastAsia="仿宋_GB2312" w:cs="仿宋_GB2312"/>
          <w:kern w:val="0"/>
          <w:sz w:val="24"/>
          <w:lang w:val="zh-CN"/>
        </w:rPr>
        <w:t>投标人名称(电子签章)：</w:t>
      </w:r>
    </w:p>
    <w:p w14:paraId="767495A8">
      <w:pPr>
        <w:snapToGrid w:val="0"/>
        <w:spacing w:line="360" w:lineRule="auto"/>
        <w:ind w:firstLine="5160" w:firstLineChars="2150"/>
        <w:rPr>
          <w:rFonts w:hint="eastAsia" w:ascii="仿宋_GB2312" w:hAnsi="仿宋" w:eastAsia="仿宋_GB2312" w:cs="仿宋_GB2312"/>
          <w:kern w:val="0"/>
          <w:sz w:val="24"/>
          <w:lang w:val="zh-CN"/>
        </w:rPr>
      </w:pPr>
      <w:r>
        <w:rPr>
          <w:rFonts w:hint="eastAsia" w:ascii="仿宋_GB2312" w:hAnsi="仿宋" w:eastAsia="仿宋_GB2312" w:cs="仿宋_GB2312"/>
          <w:kern w:val="0"/>
          <w:sz w:val="24"/>
          <w:lang w:val="zh-CN"/>
        </w:rPr>
        <w:t>日期</w:t>
      </w:r>
      <w:r>
        <w:rPr>
          <w:rFonts w:hint="eastAsia" w:ascii="仿宋_GB2312" w:hAnsi="仿宋" w:eastAsia="仿宋_GB2312" w:cs="仿宋_GB2312"/>
          <w:kern w:val="0"/>
          <w:sz w:val="24"/>
        </w:rPr>
        <w:t xml:space="preserve">：  年  </w:t>
      </w:r>
      <w:r>
        <w:rPr>
          <w:rFonts w:hint="eastAsia" w:ascii="仿宋_GB2312" w:hAnsi="仿宋" w:eastAsia="仿宋_GB2312" w:cs="仿宋_GB2312"/>
          <w:kern w:val="0"/>
          <w:sz w:val="24"/>
          <w:lang w:val="zh-CN"/>
        </w:rPr>
        <w:t>月</w:t>
      </w:r>
      <w:r>
        <w:rPr>
          <w:rFonts w:hint="eastAsia" w:ascii="仿宋_GB2312" w:hAnsi="仿宋" w:eastAsia="仿宋_GB2312" w:cs="仿宋_GB2312"/>
          <w:kern w:val="0"/>
          <w:sz w:val="24"/>
        </w:rPr>
        <w:t xml:space="preserve">   </w:t>
      </w:r>
      <w:r>
        <w:rPr>
          <w:rFonts w:hint="eastAsia" w:ascii="仿宋_GB2312" w:hAnsi="仿宋" w:eastAsia="仿宋_GB2312" w:cs="仿宋_GB2312"/>
          <w:kern w:val="0"/>
          <w:sz w:val="24"/>
          <w:lang w:val="zh-CN"/>
        </w:rPr>
        <w:t>日</w:t>
      </w:r>
    </w:p>
    <w:p w14:paraId="4A68BFBA">
      <w:pPr>
        <w:spacing w:line="360" w:lineRule="auto"/>
        <w:jc w:val="center"/>
        <w:rPr>
          <w:rFonts w:hint="eastAsia" w:ascii="宋体" w:hAnsi="宋体"/>
          <w:b/>
          <w:color w:val="000000"/>
          <w:sz w:val="32"/>
          <w:szCs w:val="32"/>
        </w:rPr>
      </w:pPr>
      <w:r>
        <w:rPr>
          <w:rFonts w:hint="eastAsia" w:ascii="宋体" w:hAnsi="宋体"/>
          <w:b/>
          <w:color w:val="000000"/>
          <w:sz w:val="32"/>
          <w:szCs w:val="32"/>
        </w:rPr>
        <w:br w:type="page"/>
      </w:r>
      <w:r>
        <w:rPr>
          <w:rFonts w:hint="eastAsia" w:ascii="宋体" w:hAnsi="宋体"/>
          <w:b/>
          <w:color w:val="000000"/>
          <w:sz w:val="32"/>
          <w:szCs w:val="32"/>
        </w:rPr>
        <w:t>七、优惠条件及特殊承诺</w:t>
      </w:r>
    </w:p>
    <w:p w14:paraId="436CEA31">
      <w:pPr>
        <w:spacing w:line="360" w:lineRule="auto"/>
        <w:jc w:val="center"/>
        <w:rPr>
          <w:rFonts w:hint="eastAsia" w:ascii="仿宋_GB2312" w:hAnsi="仿宋" w:eastAsia="仿宋_GB2312" w:cs="仿宋_GB2312"/>
          <w:sz w:val="24"/>
        </w:rPr>
      </w:pPr>
      <w:r>
        <w:rPr>
          <w:rFonts w:hint="eastAsia" w:ascii="仿宋_GB2312" w:hAnsi="仿宋" w:eastAsia="仿宋_GB2312" w:cs="仿宋_GB2312"/>
          <w:sz w:val="24"/>
        </w:rPr>
        <w:t>（由投标人根据采购需求自行编制）</w:t>
      </w:r>
    </w:p>
    <w:p w14:paraId="64F76FAA">
      <w:pPr>
        <w:autoSpaceDE w:val="0"/>
        <w:autoSpaceDN w:val="0"/>
        <w:spacing w:line="360" w:lineRule="auto"/>
        <w:ind w:firstLine="4440" w:firstLineChars="1850"/>
        <w:rPr>
          <w:rFonts w:hint="eastAsia" w:ascii="仿宋_GB2312" w:hAnsi="仿宋" w:eastAsia="仿宋_GB2312" w:cs="仿宋_GB2312"/>
          <w:kern w:val="0"/>
          <w:sz w:val="24"/>
        </w:rPr>
      </w:pPr>
    </w:p>
    <w:p w14:paraId="482C8C35">
      <w:pPr>
        <w:autoSpaceDE w:val="0"/>
        <w:autoSpaceDN w:val="0"/>
        <w:spacing w:line="360" w:lineRule="auto"/>
        <w:ind w:firstLine="4440" w:firstLineChars="1850"/>
        <w:rPr>
          <w:rFonts w:hint="eastAsia" w:ascii="仿宋_GB2312" w:hAnsi="仿宋" w:eastAsia="仿宋_GB2312" w:cs="仿宋_GB2312"/>
          <w:kern w:val="0"/>
          <w:sz w:val="24"/>
        </w:rPr>
      </w:pPr>
      <w:r>
        <w:rPr>
          <w:rFonts w:hint="eastAsia" w:ascii="仿宋_GB2312" w:hAnsi="仿宋" w:eastAsia="仿宋_GB2312" w:cs="仿宋_GB2312"/>
          <w:kern w:val="0"/>
          <w:sz w:val="24"/>
        </w:rPr>
        <w:t>投标人名称（</w:t>
      </w:r>
      <w:r>
        <w:rPr>
          <w:rFonts w:hint="eastAsia" w:ascii="仿宋_GB2312" w:hAnsi="仿宋" w:eastAsia="仿宋_GB2312" w:cs="仿宋_GB2312"/>
          <w:kern w:val="0"/>
          <w:sz w:val="24"/>
          <w:lang w:val="zh-CN"/>
        </w:rPr>
        <w:t>电子签章</w:t>
      </w:r>
      <w:r>
        <w:rPr>
          <w:rFonts w:hint="eastAsia" w:ascii="仿宋_GB2312" w:hAnsi="仿宋" w:eastAsia="仿宋_GB2312" w:cs="仿宋_GB2312"/>
          <w:kern w:val="0"/>
          <w:sz w:val="24"/>
        </w:rPr>
        <w:t>）：</w:t>
      </w:r>
    </w:p>
    <w:p w14:paraId="559E7B4F">
      <w:pPr>
        <w:autoSpaceDE w:val="0"/>
        <w:autoSpaceDN w:val="0"/>
        <w:spacing w:line="360" w:lineRule="auto"/>
        <w:rPr>
          <w:rFonts w:hint="eastAsia" w:ascii="仿宋_GB2312" w:hAnsi="仿宋" w:eastAsia="仿宋_GB2312" w:cs="仿宋_GB2312"/>
          <w:b/>
          <w:bCs/>
          <w:sz w:val="18"/>
          <w:szCs w:val="18"/>
        </w:rPr>
      </w:pPr>
      <w:r>
        <w:rPr>
          <w:rFonts w:hint="eastAsia" w:ascii="仿宋_GB2312" w:hAnsi="仿宋" w:eastAsia="仿宋_GB2312" w:cs="仿宋_GB2312"/>
          <w:kern w:val="0"/>
          <w:sz w:val="24"/>
        </w:rPr>
        <w:t xml:space="preserve">                                     </w:t>
      </w:r>
      <w:r>
        <w:rPr>
          <w:rFonts w:hint="eastAsia" w:ascii="仿宋_GB2312" w:hAnsi="仿宋" w:eastAsia="仿宋_GB2312" w:cs="仿宋_GB2312"/>
          <w:kern w:val="0"/>
          <w:sz w:val="24"/>
          <w:lang w:val="zh-CN"/>
        </w:rPr>
        <w:t>日期：  年  月   日</w:t>
      </w:r>
    </w:p>
    <w:p w14:paraId="1FB9A90C">
      <w:pPr>
        <w:spacing w:line="360" w:lineRule="auto"/>
        <w:jc w:val="center"/>
        <w:rPr>
          <w:rFonts w:hint="eastAsia" w:ascii="宋体" w:hAnsi="宋体"/>
          <w:b/>
          <w:color w:val="000000"/>
          <w:sz w:val="32"/>
          <w:szCs w:val="32"/>
        </w:rPr>
      </w:pPr>
      <w:r>
        <w:rPr>
          <w:rFonts w:hint="eastAsia" w:ascii="宋体" w:hAnsi="宋体"/>
          <w:b/>
          <w:color w:val="000000"/>
          <w:sz w:val="32"/>
          <w:szCs w:val="32"/>
        </w:rPr>
        <w:t>八、培训计划</w:t>
      </w:r>
    </w:p>
    <w:p w14:paraId="1EF38258">
      <w:pPr>
        <w:spacing w:line="360" w:lineRule="auto"/>
        <w:jc w:val="center"/>
        <w:rPr>
          <w:rFonts w:hint="eastAsia" w:ascii="仿宋_GB2312" w:hAnsi="仿宋" w:eastAsia="仿宋_GB2312" w:cs="仿宋_GB2312"/>
          <w:sz w:val="24"/>
        </w:rPr>
      </w:pPr>
      <w:r>
        <w:rPr>
          <w:rFonts w:hint="eastAsia" w:ascii="仿宋_GB2312" w:hAnsi="仿宋" w:eastAsia="仿宋_GB2312" w:cs="仿宋_GB2312"/>
          <w:sz w:val="24"/>
        </w:rPr>
        <w:t>（由投标人根据采购需求自行编制）</w:t>
      </w:r>
    </w:p>
    <w:p w14:paraId="0C4A9700">
      <w:pPr>
        <w:keepNext/>
        <w:autoSpaceDE w:val="0"/>
        <w:autoSpaceDN w:val="0"/>
        <w:spacing w:line="360" w:lineRule="auto"/>
        <w:ind w:firstLine="477"/>
        <w:jc w:val="left"/>
        <w:rPr>
          <w:rFonts w:hint="eastAsia" w:ascii="仿宋_GB2312" w:hAnsi="仿宋" w:eastAsia="仿宋_GB2312" w:cs="仿宋_GB2312"/>
          <w:b/>
          <w:sz w:val="24"/>
        </w:rPr>
      </w:pPr>
      <w:r>
        <w:rPr>
          <w:rFonts w:hint="eastAsia" w:ascii="仿宋_GB2312" w:hAnsi="仿宋" w:eastAsia="仿宋_GB2312" w:cs="仿宋_GB2312"/>
          <w:b/>
          <w:sz w:val="24"/>
        </w:rPr>
        <w:t>附表： 培训日程及费用</w:t>
      </w:r>
    </w:p>
    <w:tbl>
      <w:tblPr>
        <w:tblStyle w:val="16"/>
        <w:tblW w:w="0" w:type="auto"/>
        <w:tblInd w:w="120" w:type="dxa"/>
        <w:tblLayout w:type="fixed"/>
        <w:tblCellMar>
          <w:top w:w="0" w:type="dxa"/>
          <w:left w:w="120" w:type="dxa"/>
          <w:bottom w:w="0" w:type="dxa"/>
          <w:right w:w="120" w:type="dxa"/>
        </w:tblCellMar>
      </w:tblPr>
      <w:tblGrid>
        <w:gridCol w:w="1806"/>
        <w:gridCol w:w="1254"/>
        <w:gridCol w:w="930"/>
        <w:gridCol w:w="953"/>
        <w:gridCol w:w="997"/>
        <w:gridCol w:w="1440"/>
        <w:gridCol w:w="1620"/>
      </w:tblGrid>
      <w:tr w14:paraId="0FB5E3B4">
        <w:tblPrEx>
          <w:tblCellMar>
            <w:top w:w="0" w:type="dxa"/>
            <w:left w:w="120" w:type="dxa"/>
            <w:bottom w:w="0" w:type="dxa"/>
            <w:right w:w="120" w:type="dxa"/>
          </w:tblCellMar>
        </w:tblPrEx>
        <w:trPr>
          <w:trHeight w:val="764" w:hRule="atLeast"/>
        </w:trPr>
        <w:tc>
          <w:tcPr>
            <w:tcW w:w="1806" w:type="dxa"/>
            <w:tcBorders>
              <w:top w:val="single" w:color="auto" w:sz="6" w:space="0"/>
              <w:left w:val="single" w:color="auto" w:sz="6" w:space="0"/>
              <w:bottom w:val="nil"/>
              <w:right w:val="nil"/>
            </w:tcBorders>
            <w:shd w:val="pct10" w:color="auto" w:fill="auto"/>
            <w:noWrap w:val="0"/>
            <w:vAlign w:val="center"/>
          </w:tcPr>
          <w:p w14:paraId="21A431EE">
            <w:pPr>
              <w:tabs>
                <w:tab w:val="center" w:pos="1690"/>
              </w:tabs>
              <w:suppressAutoHyphens/>
              <w:autoSpaceDE w:val="0"/>
              <w:autoSpaceDN w:val="0"/>
              <w:spacing w:line="360" w:lineRule="auto"/>
              <w:jc w:val="center"/>
              <w:rPr>
                <w:rFonts w:hint="eastAsia" w:ascii="仿宋_GB2312" w:hAnsi="仿宋" w:eastAsia="仿宋_GB2312" w:cs="仿宋_GB2312"/>
                <w:sz w:val="24"/>
              </w:rPr>
            </w:pPr>
            <w:r>
              <w:rPr>
                <w:rFonts w:hint="eastAsia" w:ascii="仿宋_GB2312" w:hAnsi="仿宋" w:eastAsia="仿宋_GB2312" w:cs="仿宋_GB2312"/>
                <w:sz w:val="24"/>
              </w:rPr>
              <w:t>课程名称</w:t>
            </w:r>
          </w:p>
        </w:tc>
        <w:tc>
          <w:tcPr>
            <w:tcW w:w="1254" w:type="dxa"/>
            <w:tcBorders>
              <w:top w:val="single" w:color="auto" w:sz="6" w:space="0"/>
              <w:left w:val="single" w:color="auto" w:sz="6" w:space="0"/>
              <w:bottom w:val="nil"/>
              <w:right w:val="single" w:color="auto" w:sz="6" w:space="0"/>
            </w:tcBorders>
            <w:shd w:val="pct10" w:color="auto" w:fill="auto"/>
            <w:noWrap w:val="0"/>
            <w:vAlign w:val="top"/>
          </w:tcPr>
          <w:p w14:paraId="6B563591">
            <w:pPr>
              <w:tabs>
                <w:tab w:val="center" w:pos="595"/>
              </w:tabs>
              <w:suppressAutoHyphens/>
              <w:autoSpaceDE w:val="0"/>
              <w:autoSpaceDN w:val="0"/>
              <w:spacing w:line="360" w:lineRule="auto"/>
              <w:jc w:val="center"/>
              <w:rPr>
                <w:rFonts w:hint="eastAsia" w:ascii="仿宋_GB2312" w:hAnsi="仿宋" w:eastAsia="仿宋_GB2312" w:cs="仿宋_GB2312"/>
                <w:sz w:val="24"/>
              </w:rPr>
            </w:pPr>
            <w:r>
              <w:rPr>
                <w:rFonts w:hint="eastAsia" w:ascii="仿宋_GB2312" w:hAnsi="仿宋" w:eastAsia="仿宋_GB2312" w:cs="仿宋_GB2312"/>
                <w:sz w:val="24"/>
              </w:rPr>
              <w:t>提供的资料</w:t>
            </w:r>
          </w:p>
        </w:tc>
        <w:tc>
          <w:tcPr>
            <w:tcW w:w="930" w:type="dxa"/>
            <w:tcBorders>
              <w:top w:val="single" w:color="auto" w:sz="6" w:space="0"/>
              <w:left w:val="single" w:color="auto" w:sz="6" w:space="0"/>
              <w:bottom w:val="nil"/>
              <w:right w:val="nil"/>
            </w:tcBorders>
            <w:shd w:val="pct10" w:color="auto" w:fill="auto"/>
            <w:noWrap w:val="0"/>
            <w:vAlign w:val="center"/>
          </w:tcPr>
          <w:p w14:paraId="00FF35AD">
            <w:pPr>
              <w:tabs>
                <w:tab w:val="center" w:pos="595"/>
              </w:tabs>
              <w:suppressAutoHyphens/>
              <w:autoSpaceDE w:val="0"/>
              <w:autoSpaceDN w:val="0"/>
              <w:spacing w:line="360" w:lineRule="auto"/>
              <w:jc w:val="center"/>
              <w:rPr>
                <w:rFonts w:hint="eastAsia" w:ascii="仿宋_GB2312" w:hAnsi="仿宋" w:eastAsia="仿宋_GB2312" w:cs="仿宋_GB2312"/>
                <w:sz w:val="24"/>
              </w:rPr>
            </w:pPr>
            <w:r>
              <w:rPr>
                <w:rFonts w:hint="eastAsia" w:ascii="仿宋_GB2312" w:hAnsi="仿宋" w:eastAsia="仿宋_GB2312" w:cs="仿宋_GB2312"/>
                <w:sz w:val="24"/>
              </w:rPr>
              <w:t>持续时间</w:t>
            </w:r>
          </w:p>
        </w:tc>
        <w:tc>
          <w:tcPr>
            <w:tcW w:w="953" w:type="dxa"/>
            <w:tcBorders>
              <w:top w:val="single" w:color="auto" w:sz="6" w:space="0"/>
              <w:left w:val="single" w:color="auto" w:sz="6" w:space="0"/>
              <w:bottom w:val="nil"/>
              <w:right w:val="nil"/>
            </w:tcBorders>
            <w:shd w:val="pct10" w:color="auto" w:fill="auto"/>
            <w:noWrap w:val="0"/>
            <w:vAlign w:val="center"/>
          </w:tcPr>
          <w:p w14:paraId="667BC368">
            <w:pPr>
              <w:tabs>
                <w:tab w:val="center" w:pos="1028"/>
              </w:tabs>
              <w:suppressAutoHyphens/>
              <w:autoSpaceDE w:val="0"/>
              <w:autoSpaceDN w:val="0"/>
              <w:spacing w:line="360" w:lineRule="auto"/>
              <w:jc w:val="center"/>
              <w:rPr>
                <w:rFonts w:hint="eastAsia" w:ascii="仿宋_GB2312" w:hAnsi="仿宋" w:eastAsia="仿宋_GB2312" w:cs="仿宋_GB2312"/>
                <w:sz w:val="24"/>
              </w:rPr>
            </w:pPr>
            <w:r>
              <w:rPr>
                <w:rFonts w:hint="eastAsia" w:ascii="仿宋_GB2312" w:hAnsi="仿宋" w:eastAsia="仿宋_GB2312" w:cs="仿宋_GB2312"/>
                <w:sz w:val="24"/>
              </w:rPr>
              <w:t>授课教师</w:t>
            </w:r>
          </w:p>
        </w:tc>
        <w:tc>
          <w:tcPr>
            <w:tcW w:w="997" w:type="dxa"/>
            <w:tcBorders>
              <w:top w:val="single" w:color="auto" w:sz="6" w:space="0"/>
              <w:left w:val="single" w:color="auto" w:sz="6" w:space="0"/>
              <w:bottom w:val="nil"/>
              <w:right w:val="nil"/>
            </w:tcBorders>
            <w:shd w:val="pct10" w:color="auto" w:fill="auto"/>
            <w:noWrap w:val="0"/>
            <w:vAlign w:val="center"/>
          </w:tcPr>
          <w:p w14:paraId="497F946D">
            <w:pPr>
              <w:tabs>
                <w:tab w:val="center" w:pos="595"/>
              </w:tabs>
              <w:suppressAutoHyphens/>
              <w:autoSpaceDE w:val="0"/>
              <w:autoSpaceDN w:val="0"/>
              <w:spacing w:line="360" w:lineRule="auto"/>
              <w:jc w:val="center"/>
              <w:rPr>
                <w:rFonts w:hint="eastAsia" w:ascii="仿宋_GB2312" w:hAnsi="仿宋" w:eastAsia="仿宋_GB2312" w:cs="仿宋_GB2312"/>
                <w:sz w:val="24"/>
              </w:rPr>
            </w:pPr>
            <w:r>
              <w:rPr>
                <w:rFonts w:hint="eastAsia" w:ascii="仿宋_GB2312" w:hAnsi="仿宋" w:eastAsia="仿宋_GB2312" w:cs="仿宋_GB2312"/>
                <w:sz w:val="24"/>
              </w:rPr>
              <w:t>培训对象</w:t>
            </w:r>
          </w:p>
        </w:tc>
        <w:tc>
          <w:tcPr>
            <w:tcW w:w="1440" w:type="dxa"/>
            <w:tcBorders>
              <w:top w:val="single" w:color="auto" w:sz="6" w:space="0"/>
              <w:left w:val="single" w:color="auto" w:sz="6" w:space="0"/>
              <w:bottom w:val="nil"/>
              <w:right w:val="nil"/>
            </w:tcBorders>
            <w:shd w:val="pct10" w:color="auto" w:fill="auto"/>
            <w:noWrap w:val="0"/>
            <w:vAlign w:val="center"/>
          </w:tcPr>
          <w:p w14:paraId="07373542">
            <w:pPr>
              <w:tabs>
                <w:tab w:val="center" w:pos="520"/>
              </w:tabs>
              <w:suppressAutoHyphens/>
              <w:autoSpaceDE w:val="0"/>
              <w:autoSpaceDN w:val="0"/>
              <w:spacing w:line="360" w:lineRule="auto"/>
              <w:jc w:val="center"/>
              <w:rPr>
                <w:rFonts w:hint="eastAsia" w:ascii="仿宋_GB2312" w:hAnsi="仿宋" w:eastAsia="仿宋_GB2312" w:cs="仿宋_GB2312"/>
                <w:sz w:val="24"/>
              </w:rPr>
            </w:pPr>
            <w:r>
              <w:rPr>
                <w:rFonts w:hint="eastAsia" w:ascii="仿宋_GB2312" w:hAnsi="仿宋" w:eastAsia="仿宋_GB2312" w:cs="仿宋_GB2312"/>
                <w:sz w:val="24"/>
              </w:rPr>
              <w:t>培训地点</w:t>
            </w:r>
          </w:p>
        </w:tc>
        <w:tc>
          <w:tcPr>
            <w:tcW w:w="1620" w:type="dxa"/>
            <w:tcBorders>
              <w:top w:val="single" w:color="auto" w:sz="6" w:space="0"/>
              <w:left w:val="single" w:color="auto" w:sz="6" w:space="0"/>
              <w:bottom w:val="nil"/>
              <w:right w:val="single" w:color="auto" w:sz="6" w:space="0"/>
            </w:tcBorders>
            <w:shd w:val="pct10" w:color="auto" w:fill="auto"/>
            <w:noWrap w:val="0"/>
            <w:vAlign w:val="center"/>
          </w:tcPr>
          <w:p w14:paraId="507DE10F">
            <w:pPr>
              <w:suppressAutoHyphens/>
              <w:autoSpaceDE w:val="0"/>
              <w:autoSpaceDN w:val="0"/>
              <w:spacing w:line="360" w:lineRule="auto"/>
              <w:jc w:val="center"/>
              <w:rPr>
                <w:rFonts w:hint="eastAsia" w:ascii="仿宋_GB2312" w:hAnsi="仿宋" w:eastAsia="仿宋_GB2312" w:cs="仿宋_GB2312"/>
                <w:sz w:val="24"/>
              </w:rPr>
            </w:pPr>
            <w:r>
              <w:rPr>
                <w:rFonts w:hint="eastAsia" w:ascii="仿宋_GB2312" w:hAnsi="仿宋" w:eastAsia="仿宋_GB2312" w:cs="仿宋_GB2312"/>
                <w:sz w:val="24"/>
              </w:rPr>
              <w:t>课程费用</w:t>
            </w:r>
          </w:p>
        </w:tc>
      </w:tr>
      <w:tr w14:paraId="7BB37557">
        <w:tblPrEx>
          <w:tblCellMar>
            <w:top w:w="0" w:type="dxa"/>
            <w:left w:w="120" w:type="dxa"/>
            <w:bottom w:w="0" w:type="dxa"/>
            <w:right w:w="120" w:type="dxa"/>
          </w:tblCellMar>
        </w:tblPrEx>
        <w:trPr>
          <w:trHeight w:val="281" w:hRule="atLeast"/>
        </w:trPr>
        <w:tc>
          <w:tcPr>
            <w:tcW w:w="1806" w:type="dxa"/>
            <w:tcBorders>
              <w:top w:val="single" w:color="auto" w:sz="6" w:space="0"/>
              <w:left w:val="single" w:color="auto" w:sz="6" w:space="0"/>
              <w:bottom w:val="nil"/>
              <w:right w:val="nil"/>
            </w:tcBorders>
            <w:noWrap w:val="0"/>
            <w:vAlign w:val="top"/>
          </w:tcPr>
          <w:p w14:paraId="2CC0F345">
            <w:pPr>
              <w:tabs>
                <w:tab w:val="left" w:pos="589"/>
                <w:tab w:val="left" w:pos="1303"/>
                <w:tab w:val="left" w:pos="2017"/>
                <w:tab w:val="left" w:pos="2731"/>
                <w:tab w:val="left" w:pos="3445"/>
                <w:tab w:val="left" w:pos="4159"/>
                <w:tab w:val="left" w:pos="4873"/>
              </w:tabs>
              <w:suppressAutoHyphens/>
              <w:autoSpaceDE w:val="0"/>
              <w:autoSpaceDN w:val="0"/>
              <w:spacing w:line="360" w:lineRule="auto"/>
              <w:rPr>
                <w:rFonts w:hint="eastAsia" w:ascii="仿宋_GB2312" w:hAnsi="仿宋" w:eastAsia="仿宋_GB2312" w:cs="仿宋_GB2312"/>
                <w:sz w:val="24"/>
              </w:rPr>
            </w:pPr>
          </w:p>
        </w:tc>
        <w:tc>
          <w:tcPr>
            <w:tcW w:w="1254" w:type="dxa"/>
            <w:tcBorders>
              <w:top w:val="single" w:color="auto" w:sz="6" w:space="0"/>
              <w:left w:val="single" w:color="auto" w:sz="6" w:space="0"/>
              <w:bottom w:val="nil"/>
              <w:right w:val="single" w:color="auto" w:sz="6" w:space="0"/>
            </w:tcBorders>
            <w:noWrap w:val="0"/>
            <w:vAlign w:val="top"/>
          </w:tcPr>
          <w:p w14:paraId="0E688B9A">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hint="eastAsia" w:ascii="仿宋_GB2312" w:hAnsi="仿宋" w:eastAsia="仿宋_GB2312" w:cs="仿宋_GB2312"/>
                <w:sz w:val="24"/>
              </w:rPr>
            </w:pPr>
          </w:p>
        </w:tc>
        <w:tc>
          <w:tcPr>
            <w:tcW w:w="930" w:type="dxa"/>
            <w:tcBorders>
              <w:top w:val="single" w:color="auto" w:sz="6" w:space="0"/>
              <w:left w:val="single" w:color="auto" w:sz="6" w:space="0"/>
              <w:bottom w:val="nil"/>
              <w:right w:val="nil"/>
            </w:tcBorders>
            <w:noWrap w:val="0"/>
            <w:vAlign w:val="top"/>
          </w:tcPr>
          <w:p w14:paraId="4AEEFAF7">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hint="eastAsia" w:ascii="仿宋_GB2312" w:hAnsi="仿宋" w:eastAsia="仿宋_GB2312" w:cs="仿宋_GB2312"/>
                <w:sz w:val="24"/>
              </w:rPr>
            </w:pPr>
          </w:p>
        </w:tc>
        <w:tc>
          <w:tcPr>
            <w:tcW w:w="953" w:type="dxa"/>
            <w:tcBorders>
              <w:top w:val="single" w:color="auto" w:sz="6" w:space="0"/>
              <w:left w:val="single" w:color="auto" w:sz="6" w:space="0"/>
              <w:bottom w:val="nil"/>
              <w:right w:val="nil"/>
            </w:tcBorders>
            <w:noWrap w:val="0"/>
            <w:vAlign w:val="top"/>
          </w:tcPr>
          <w:p w14:paraId="3A5C4665">
            <w:pPr>
              <w:tabs>
                <w:tab w:val="left" w:pos="573"/>
                <w:tab w:val="left" w:pos="1287"/>
                <w:tab w:val="left" w:pos="2001"/>
                <w:tab w:val="left" w:pos="2715"/>
                <w:tab w:val="left" w:pos="3429"/>
                <w:tab w:val="left" w:pos="4211"/>
                <w:tab w:val="left" w:pos="4643"/>
              </w:tabs>
              <w:suppressAutoHyphens/>
              <w:autoSpaceDE w:val="0"/>
              <w:autoSpaceDN w:val="0"/>
              <w:spacing w:line="360" w:lineRule="auto"/>
              <w:rPr>
                <w:rFonts w:hint="eastAsia" w:ascii="仿宋_GB2312" w:hAnsi="仿宋" w:eastAsia="仿宋_GB2312" w:cs="仿宋_GB2312"/>
                <w:sz w:val="24"/>
              </w:rPr>
            </w:pPr>
          </w:p>
        </w:tc>
        <w:tc>
          <w:tcPr>
            <w:tcW w:w="997" w:type="dxa"/>
            <w:tcBorders>
              <w:top w:val="single" w:color="auto" w:sz="6" w:space="0"/>
              <w:left w:val="single" w:color="auto" w:sz="6" w:space="0"/>
              <w:bottom w:val="nil"/>
              <w:right w:val="nil"/>
            </w:tcBorders>
            <w:noWrap w:val="0"/>
            <w:vAlign w:val="top"/>
          </w:tcPr>
          <w:p w14:paraId="14C4C940">
            <w:pPr>
              <w:tabs>
                <w:tab w:val="left" w:pos="440"/>
                <w:tab w:val="left" w:pos="1154"/>
                <w:tab w:val="left" w:pos="1936"/>
                <w:tab w:val="left" w:pos="2368"/>
              </w:tabs>
              <w:suppressAutoHyphens/>
              <w:autoSpaceDE w:val="0"/>
              <w:autoSpaceDN w:val="0"/>
              <w:spacing w:line="360" w:lineRule="auto"/>
              <w:rPr>
                <w:rFonts w:hint="eastAsia" w:ascii="仿宋_GB2312" w:hAnsi="仿宋" w:eastAsia="仿宋_GB2312" w:cs="仿宋_GB2312"/>
                <w:sz w:val="24"/>
              </w:rPr>
            </w:pPr>
          </w:p>
        </w:tc>
        <w:tc>
          <w:tcPr>
            <w:tcW w:w="1440" w:type="dxa"/>
            <w:tcBorders>
              <w:top w:val="single" w:color="auto" w:sz="6" w:space="0"/>
              <w:left w:val="single" w:color="auto" w:sz="6" w:space="0"/>
              <w:bottom w:val="nil"/>
              <w:right w:val="nil"/>
            </w:tcBorders>
            <w:noWrap w:val="0"/>
            <w:vAlign w:val="top"/>
          </w:tcPr>
          <w:p w14:paraId="47514DFB">
            <w:pPr>
              <w:tabs>
                <w:tab w:val="left" w:pos="589"/>
                <w:tab w:val="left" w:pos="1303"/>
                <w:tab w:val="left" w:pos="2017"/>
                <w:tab w:val="left" w:pos="2731"/>
                <w:tab w:val="left" w:pos="3445"/>
                <w:tab w:val="left" w:pos="4159"/>
                <w:tab w:val="left" w:pos="4873"/>
              </w:tabs>
              <w:suppressAutoHyphens/>
              <w:autoSpaceDE w:val="0"/>
              <w:autoSpaceDN w:val="0"/>
              <w:spacing w:line="360" w:lineRule="auto"/>
              <w:rPr>
                <w:rFonts w:hint="eastAsia" w:ascii="仿宋_GB2312" w:hAnsi="仿宋" w:eastAsia="仿宋_GB2312" w:cs="仿宋_GB2312"/>
                <w:sz w:val="24"/>
              </w:rPr>
            </w:pPr>
          </w:p>
        </w:tc>
        <w:tc>
          <w:tcPr>
            <w:tcW w:w="1620" w:type="dxa"/>
            <w:tcBorders>
              <w:top w:val="single" w:color="auto" w:sz="6" w:space="0"/>
              <w:left w:val="single" w:color="auto" w:sz="6" w:space="0"/>
              <w:bottom w:val="nil"/>
              <w:right w:val="single" w:color="auto" w:sz="6" w:space="0"/>
            </w:tcBorders>
            <w:noWrap w:val="0"/>
            <w:vAlign w:val="top"/>
          </w:tcPr>
          <w:p w14:paraId="43A21333">
            <w:pPr>
              <w:suppressAutoHyphens/>
              <w:autoSpaceDE w:val="0"/>
              <w:autoSpaceDN w:val="0"/>
              <w:spacing w:line="360" w:lineRule="auto"/>
              <w:rPr>
                <w:rFonts w:hint="eastAsia" w:ascii="仿宋_GB2312" w:hAnsi="仿宋" w:eastAsia="仿宋_GB2312" w:cs="仿宋_GB2312"/>
                <w:sz w:val="24"/>
              </w:rPr>
            </w:pPr>
          </w:p>
        </w:tc>
      </w:tr>
      <w:tr w14:paraId="07447128">
        <w:tblPrEx>
          <w:tblCellMar>
            <w:top w:w="0" w:type="dxa"/>
            <w:left w:w="120" w:type="dxa"/>
            <w:bottom w:w="0" w:type="dxa"/>
            <w:right w:w="120" w:type="dxa"/>
          </w:tblCellMar>
        </w:tblPrEx>
        <w:trPr>
          <w:trHeight w:val="273" w:hRule="atLeast"/>
        </w:trPr>
        <w:tc>
          <w:tcPr>
            <w:tcW w:w="1806" w:type="dxa"/>
            <w:tcBorders>
              <w:top w:val="single" w:color="auto" w:sz="6" w:space="0"/>
              <w:left w:val="single" w:color="auto" w:sz="6" w:space="0"/>
              <w:bottom w:val="nil"/>
              <w:right w:val="nil"/>
            </w:tcBorders>
            <w:noWrap w:val="0"/>
            <w:vAlign w:val="top"/>
          </w:tcPr>
          <w:p w14:paraId="4CDBB9DC">
            <w:pPr>
              <w:tabs>
                <w:tab w:val="left" w:pos="589"/>
                <w:tab w:val="left" w:pos="1303"/>
                <w:tab w:val="left" w:pos="2017"/>
                <w:tab w:val="left" w:pos="2731"/>
                <w:tab w:val="left" w:pos="3445"/>
                <w:tab w:val="left" w:pos="4159"/>
                <w:tab w:val="left" w:pos="4873"/>
              </w:tabs>
              <w:suppressAutoHyphens/>
              <w:autoSpaceDE w:val="0"/>
              <w:autoSpaceDN w:val="0"/>
              <w:spacing w:line="360" w:lineRule="auto"/>
              <w:rPr>
                <w:rFonts w:hint="eastAsia" w:ascii="仿宋_GB2312" w:hAnsi="仿宋" w:eastAsia="仿宋_GB2312" w:cs="仿宋_GB2312"/>
                <w:sz w:val="24"/>
              </w:rPr>
            </w:pPr>
          </w:p>
        </w:tc>
        <w:tc>
          <w:tcPr>
            <w:tcW w:w="1254" w:type="dxa"/>
            <w:tcBorders>
              <w:top w:val="single" w:color="auto" w:sz="6" w:space="0"/>
              <w:left w:val="single" w:color="auto" w:sz="6" w:space="0"/>
              <w:bottom w:val="nil"/>
              <w:right w:val="single" w:color="auto" w:sz="6" w:space="0"/>
            </w:tcBorders>
            <w:noWrap w:val="0"/>
            <w:vAlign w:val="top"/>
          </w:tcPr>
          <w:p w14:paraId="4C0F4D12">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hint="eastAsia" w:ascii="仿宋_GB2312" w:hAnsi="仿宋" w:eastAsia="仿宋_GB2312" w:cs="仿宋_GB2312"/>
                <w:sz w:val="24"/>
              </w:rPr>
            </w:pPr>
          </w:p>
        </w:tc>
        <w:tc>
          <w:tcPr>
            <w:tcW w:w="930" w:type="dxa"/>
            <w:tcBorders>
              <w:top w:val="single" w:color="auto" w:sz="6" w:space="0"/>
              <w:left w:val="single" w:color="auto" w:sz="6" w:space="0"/>
              <w:bottom w:val="nil"/>
              <w:right w:val="nil"/>
            </w:tcBorders>
            <w:noWrap w:val="0"/>
            <w:vAlign w:val="top"/>
          </w:tcPr>
          <w:p w14:paraId="394860AA">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hint="eastAsia" w:ascii="仿宋_GB2312" w:hAnsi="仿宋" w:eastAsia="仿宋_GB2312" w:cs="仿宋_GB2312"/>
                <w:sz w:val="24"/>
              </w:rPr>
            </w:pPr>
          </w:p>
        </w:tc>
        <w:tc>
          <w:tcPr>
            <w:tcW w:w="953" w:type="dxa"/>
            <w:tcBorders>
              <w:top w:val="single" w:color="auto" w:sz="6" w:space="0"/>
              <w:left w:val="single" w:color="auto" w:sz="6" w:space="0"/>
              <w:bottom w:val="nil"/>
              <w:right w:val="nil"/>
            </w:tcBorders>
            <w:noWrap w:val="0"/>
            <w:vAlign w:val="top"/>
          </w:tcPr>
          <w:p w14:paraId="6FC90FF3">
            <w:pPr>
              <w:tabs>
                <w:tab w:val="left" w:pos="573"/>
                <w:tab w:val="left" w:pos="1287"/>
                <w:tab w:val="left" w:pos="2001"/>
                <w:tab w:val="left" w:pos="2715"/>
                <w:tab w:val="left" w:pos="3429"/>
                <w:tab w:val="left" w:pos="4211"/>
                <w:tab w:val="left" w:pos="4643"/>
              </w:tabs>
              <w:suppressAutoHyphens/>
              <w:autoSpaceDE w:val="0"/>
              <w:autoSpaceDN w:val="0"/>
              <w:spacing w:line="360" w:lineRule="auto"/>
              <w:rPr>
                <w:rFonts w:hint="eastAsia" w:ascii="仿宋_GB2312" w:hAnsi="仿宋" w:eastAsia="仿宋_GB2312" w:cs="仿宋_GB2312"/>
                <w:sz w:val="24"/>
              </w:rPr>
            </w:pPr>
          </w:p>
        </w:tc>
        <w:tc>
          <w:tcPr>
            <w:tcW w:w="997" w:type="dxa"/>
            <w:tcBorders>
              <w:top w:val="single" w:color="auto" w:sz="6" w:space="0"/>
              <w:left w:val="single" w:color="auto" w:sz="6" w:space="0"/>
              <w:bottom w:val="nil"/>
              <w:right w:val="nil"/>
            </w:tcBorders>
            <w:noWrap w:val="0"/>
            <w:vAlign w:val="top"/>
          </w:tcPr>
          <w:p w14:paraId="076D38DD">
            <w:pPr>
              <w:tabs>
                <w:tab w:val="left" w:pos="440"/>
                <w:tab w:val="left" w:pos="1154"/>
                <w:tab w:val="left" w:pos="1936"/>
                <w:tab w:val="left" w:pos="2368"/>
              </w:tabs>
              <w:suppressAutoHyphens/>
              <w:autoSpaceDE w:val="0"/>
              <w:autoSpaceDN w:val="0"/>
              <w:spacing w:line="360" w:lineRule="auto"/>
              <w:rPr>
                <w:rFonts w:hint="eastAsia" w:ascii="仿宋_GB2312" w:hAnsi="仿宋" w:eastAsia="仿宋_GB2312" w:cs="仿宋_GB2312"/>
                <w:sz w:val="24"/>
              </w:rPr>
            </w:pPr>
          </w:p>
        </w:tc>
        <w:tc>
          <w:tcPr>
            <w:tcW w:w="1440" w:type="dxa"/>
            <w:tcBorders>
              <w:top w:val="single" w:color="auto" w:sz="6" w:space="0"/>
              <w:left w:val="single" w:color="auto" w:sz="6" w:space="0"/>
              <w:bottom w:val="nil"/>
              <w:right w:val="nil"/>
            </w:tcBorders>
            <w:noWrap w:val="0"/>
            <w:vAlign w:val="top"/>
          </w:tcPr>
          <w:p w14:paraId="6F49A8A2">
            <w:pPr>
              <w:tabs>
                <w:tab w:val="left" w:pos="7"/>
              </w:tabs>
              <w:suppressAutoHyphens/>
              <w:autoSpaceDE w:val="0"/>
              <w:autoSpaceDN w:val="0"/>
              <w:spacing w:line="360" w:lineRule="auto"/>
              <w:rPr>
                <w:rFonts w:hint="eastAsia" w:ascii="仿宋_GB2312" w:hAnsi="仿宋" w:eastAsia="仿宋_GB2312" w:cs="仿宋_GB2312"/>
                <w:sz w:val="24"/>
              </w:rPr>
            </w:pPr>
          </w:p>
        </w:tc>
        <w:tc>
          <w:tcPr>
            <w:tcW w:w="1620" w:type="dxa"/>
            <w:tcBorders>
              <w:top w:val="single" w:color="auto" w:sz="6" w:space="0"/>
              <w:left w:val="single" w:color="auto" w:sz="6" w:space="0"/>
              <w:bottom w:val="nil"/>
              <w:right w:val="single" w:color="auto" w:sz="6" w:space="0"/>
            </w:tcBorders>
            <w:noWrap w:val="0"/>
            <w:vAlign w:val="top"/>
          </w:tcPr>
          <w:p w14:paraId="0D68EA64">
            <w:pPr>
              <w:suppressAutoHyphens/>
              <w:autoSpaceDE w:val="0"/>
              <w:autoSpaceDN w:val="0"/>
              <w:spacing w:line="360" w:lineRule="auto"/>
              <w:rPr>
                <w:rFonts w:hint="eastAsia" w:ascii="仿宋_GB2312" w:hAnsi="仿宋" w:eastAsia="仿宋_GB2312" w:cs="仿宋_GB2312"/>
                <w:sz w:val="24"/>
              </w:rPr>
            </w:pPr>
          </w:p>
        </w:tc>
      </w:tr>
      <w:tr w14:paraId="305DB1BC">
        <w:tblPrEx>
          <w:tblCellMar>
            <w:top w:w="0" w:type="dxa"/>
            <w:left w:w="120" w:type="dxa"/>
            <w:bottom w:w="0" w:type="dxa"/>
            <w:right w:w="120" w:type="dxa"/>
          </w:tblCellMar>
        </w:tblPrEx>
        <w:trPr>
          <w:trHeight w:val="110" w:hRule="atLeast"/>
        </w:trPr>
        <w:tc>
          <w:tcPr>
            <w:tcW w:w="1806" w:type="dxa"/>
            <w:tcBorders>
              <w:top w:val="single" w:color="auto" w:sz="6" w:space="0"/>
              <w:left w:val="single" w:color="auto" w:sz="6" w:space="0"/>
              <w:bottom w:val="single" w:color="auto" w:sz="6" w:space="0"/>
              <w:right w:val="single" w:color="auto" w:sz="6" w:space="0"/>
            </w:tcBorders>
            <w:noWrap w:val="0"/>
            <w:vAlign w:val="center"/>
          </w:tcPr>
          <w:p w14:paraId="5CDE19FA">
            <w:pPr>
              <w:tabs>
                <w:tab w:val="left" w:pos="589"/>
                <w:tab w:val="left" w:pos="1303"/>
                <w:tab w:val="left" w:pos="2017"/>
                <w:tab w:val="left" w:pos="2731"/>
                <w:tab w:val="left" w:pos="3445"/>
                <w:tab w:val="left" w:pos="4159"/>
                <w:tab w:val="left" w:pos="4873"/>
              </w:tabs>
              <w:suppressAutoHyphens/>
              <w:autoSpaceDE w:val="0"/>
              <w:autoSpaceDN w:val="0"/>
              <w:spacing w:line="360" w:lineRule="auto"/>
              <w:jc w:val="center"/>
              <w:rPr>
                <w:rFonts w:hint="eastAsia" w:ascii="仿宋_GB2312" w:hAnsi="仿宋" w:eastAsia="仿宋_GB2312" w:cs="仿宋_GB2312"/>
                <w:sz w:val="24"/>
              </w:rPr>
            </w:pPr>
            <w:r>
              <w:rPr>
                <w:rFonts w:hint="eastAsia" w:ascii="仿宋_GB2312" w:hAnsi="仿宋" w:eastAsia="仿宋_GB2312" w:cs="仿宋_GB2312"/>
                <w:sz w:val="24"/>
              </w:rPr>
              <w:t>费用总计</w:t>
            </w:r>
          </w:p>
        </w:tc>
        <w:tc>
          <w:tcPr>
            <w:tcW w:w="1254" w:type="dxa"/>
            <w:tcBorders>
              <w:top w:val="single" w:color="auto" w:sz="6" w:space="0"/>
              <w:left w:val="single" w:color="auto" w:sz="6" w:space="0"/>
              <w:bottom w:val="single" w:color="auto" w:sz="6" w:space="0"/>
              <w:right w:val="single" w:color="auto" w:sz="6" w:space="0"/>
            </w:tcBorders>
            <w:noWrap w:val="0"/>
            <w:vAlign w:val="top"/>
          </w:tcPr>
          <w:p w14:paraId="5987909E">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hint="eastAsia" w:ascii="仿宋_GB2312" w:hAnsi="仿宋" w:eastAsia="仿宋_GB2312" w:cs="仿宋_GB2312"/>
                <w:sz w:val="24"/>
              </w:rPr>
            </w:pPr>
          </w:p>
        </w:tc>
        <w:tc>
          <w:tcPr>
            <w:tcW w:w="930" w:type="dxa"/>
            <w:tcBorders>
              <w:top w:val="single" w:color="auto" w:sz="6" w:space="0"/>
              <w:left w:val="single" w:color="auto" w:sz="6" w:space="0"/>
              <w:bottom w:val="single" w:color="auto" w:sz="6" w:space="0"/>
              <w:right w:val="single" w:color="auto" w:sz="6" w:space="0"/>
            </w:tcBorders>
            <w:noWrap w:val="0"/>
            <w:vAlign w:val="top"/>
          </w:tcPr>
          <w:p w14:paraId="029C9C9B">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hint="eastAsia" w:ascii="仿宋_GB2312" w:hAnsi="仿宋" w:eastAsia="仿宋_GB2312" w:cs="仿宋_GB2312"/>
                <w:sz w:val="24"/>
              </w:rPr>
            </w:pPr>
          </w:p>
        </w:tc>
        <w:tc>
          <w:tcPr>
            <w:tcW w:w="953" w:type="dxa"/>
            <w:tcBorders>
              <w:top w:val="single" w:color="auto" w:sz="6" w:space="0"/>
              <w:left w:val="single" w:color="auto" w:sz="6" w:space="0"/>
              <w:bottom w:val="single" w:color="auto" w:sz="6" w:space="0"/>
              <w:right w:val="single" w:color="auto" w:sz="6" w:space="0"/>
            </w:tcBorders>
            <w:noWrap w:val="0"/>
            <w:vAlign w:val="top"/>
          </w:tcPr>
          <w:p w14:paraId="1B3A53B1">
            <w:pPr>
              <w:tabs>
                <w:tab w:val="left" w:pos="573"/>
                <w:tab w:val="left" w:pos="1287"/>
                <w:tab w:val="left" w:pos="2001"/>
                <w:tab w:val="left" w:pos="2715"/>
                <w:tab w:val="left" w:pos="3429"/>
                <w:tab w:val="left" w:pos="4211"/>
                <w:tab w:val="left" w:pos="4643"/>
              </w:tabs>
              <w:suppressAutoHyphens/>
              <w:autoSpaceDE w:val="0"/>
              <w:autoSpaceDN w:val="0"/>
              <w:spacing w:line="360" w:lineRule="auto"/>
              <w:rPr>
                <w:rFonts w:hint="eastAsia" w:ascii="仿宋_GB2312" w:hAnsi="仿宋" w:eastAsia="仿宋_GB2312" w:cs="仿宋_GB2312"/>
                <w:sz w:val="24"/>
              </w:rPr>
            </w:pPr>
          </w:p>
        </w:tc>
        <w:tc>
          <w:tcPr>
            <w:tcW w:w="997" w:type="dxa"/>
            <w:tcBorders>
              <w:top w:val="single" w:color="auto" w:sz="6" w:space="0"/>
              <w:left w:val="single" w:color="auto" w:sz="6" w:space="0"/>
              <w:bottom w:val="single" w:color="auto" w:sz="6" w:space="0"/>
              <w:right w:val="single" w:color="auto" w:sz="6" w:space="0"/>
            </w:tcBorders>
            <w:noWrap w:val="0"/>
            <w:vAlign w:val="top"/>
          </w:tcPr>
          <w:p w14:paraId="205CB0E1">
            <w:pPr>
              <w:tabs>
                <w:tab w:val="left" w:pos="440"/>
                <w:tab w:val="left" w:pos="1154"/>
                <w:tab w:val="left" w:pos="1936"/>
                <w:tab w:val="left" w:pos="2368"/>
              </w:tabs>
              <w:suppressAutoHyphens/>
              <w:autoSpaceDE w:val="0"/>
              <w:autoSpaceDN w:val="0"/>
              <w:spacing w:line="360" w:lineRule="auto"/>
              <w:rPr>
                <w:rFonts w:hint="eastAsia" w:ascii="仿宋_GB2312" w:hAnsi="仿宋" w:eastAsia="仿宋_GB2312" w:cs="仿宋_GB2312"/>
                <w:sz w:val="24"/>
              </w:rPr>
            </w:pPr>
          </w:p>
        </w:tc>
        <w:tc>
          <w:tcPr>
            <w:tcW w:w="1440" w:type="dxa"/>
            <w:tcBorders>
              <w:top w:val="single" w:color="auto" w:sz="6" w:space="0"/>
              <w:left w:val="single" w:color="auto" w:sz="6" w:space="0"/>
              <w:bottom w:val="single" w:color="auto" w:sz="6" w:space="0"/>
              <w:right w:val="single" w:color="auto" w:sz="6" w:space="0"/>
            </w:tcBorders>
            <w:noWrap w:val="0"/>
            <w:vAlign w:val="top"/>
          </w:tcPr>
          <w:p w14:paraId="7634B28F">
            <w:pPr>
              <w:tabs>
                <w:tab w:val="left" w:pos="7"/>
              </w:tabs>
              <w:suppressAutoHyphens/>
              <w:autoSpaceDE w:val="0"/>
              <w:autoSpaceDN w:val="0"/>
              <w:spacing w:line="360" w:lineRule="auto"/>
              <w:rPr>
                <w:rFonts w:hint="eastAsia" w:ascii="仿宋_GB2312" w:hAnsi="仿宋" w:eastAsia="仿宋_GB2312" w:cs="仿宋_GB2312"/>
                <w:sz w:val="24"/>
              </w:rPr>
            </w:pPr>
          </w:p>
        </w:tc>
        <w:tc>
          <w:tcPr>
            <w:tcW w:w="1620" w:type="dxa"/>
            <w:tcBorders>
              <w:top w:val="single" w:color="auto" w:sz="6" w:space="0"/>
              <w:left w:val="single" w:color="auto" w:sz="6" w:space="0"/>
              <w:bottom w:val="single" w:color="auto" w:sz="6" w:space="0"/>
              <w:right w:val="single" w:color="auto" w:sz="6" w:space="0"/>
            </w:tcBorders>
            <w:noWrap w:val="0"/>
            <w:vAlign w:val="top"/>
          </w:tcPr>
          <w:p w14:paraId="68F83E1E">
            <w:pPr>
              <w:suppressAutoHyphens/>
              <w:autoSpaceDE w:val="0"/>
              <w:autoSpaceDN w:val="0"/>
              <w:spacing w:line="360" w:lineRule="auto"/>
              <w:rPr>
                <w:rFonts w:hint="eastAsia" w:ascii="仿宋_GB2312" w:hAnsi="仿宋" w:eastAsia="仿宋_GB2312" w:cs="仿宋_GB2312"/>
                <w:sz w:val="24"/>
              </w:rPr>
            </w:pPr>
          </w:p>
        </w:tc>
      </w:tr>
    </w:tbl>
    <w:p w14:paraId="015E782B">
      <w:pPr>
        <w:tabs>
          <w:tab w:val="left" w:pos="709"/>
          <w:tab w:val="left" w:pos="1005"/>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rPr>
          <w:rFonts w:hint="eastAsia" w:ascii="仿宋_GB2312" w:hAnsi="仿宋" w:eastAsia="仿宋_GB2312" w:cs="仿宋_GB2312"/>
          <w:sz w:val="24"/>
        </w:rPr>
      </w:pPr>
      <w:r>
        <w:rPr>
          <w:rFonts w:hint="eastAsia" w:ascii="仿宋_GB2312" w:hAnsi="仿宋" w:eastAsia="仿宋_GB2312" w:cs="仿宋_GB2312"/>
          <w:sz w:val="24"/>
        </w:rPr>
        <w:t>注解：A</w:t>
      </w:r>
      <w:r>
        <w:rPr>
          <w:rFonts w:hint="eastAsia" w:ascii="仿宋_GB2312" w:hAnsi="仿宋" w:eastAsia="仿宋_GB2312" w:cs="仿宋_GB2312"/>
          <w:sz w:val="24"/>
        </w:rPr>
        <w:tab/>
      </w:r>
      <w:r>
        <w:rPr>
          <w:rFonts w:hint="eastAsia" w:ascii="仿宋_GB2312" w:hAnsi="仿宋" w:eastAsia="仿宋_GB2312" w:cs="仿宋_GB2312"/>
          <w:sz w:val="24"/>
        </w:rPr>
        <w:t>课程清单按时间顺序排列，并提供以下详细资料：</w:t>
      </w:r>
    </w:p>
    <w:p w14:paraId="51869454">
      <w:pPr>
        <w:numPr>
          <w:ilvl w:val="0"/>
          <w:numId w:val="6"/>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adjustRightInd w:val="0"/>
        <w:spacing w:line="360" w:lineRule="auto"/>
        <w:ind w:left="1069" w:hanging="420"/>
        <w:rPr>
          <w:rFonts w:hint="eastAsia" w:ascii="仿宋_GB2312" w:hAnsi="仿宋" w:eastAsia="仿宋_GB2312" w:cs="仿宋_GB2312"/>
          <w:sz w:val="24"/>
        </w:rPr>
      </w:pPr>
      <w:r>
        <w:rPr>
          <w:rFonts w:hint="eastAsia" w:ascii="仿宋_GB2312" w:hAnsi="仿宋" w:eastAsia="仿宋_GB2312" w:cs="仿宋_GB2312"/>
          <w:sz w:val="24"/>
        </w:rPr>
        <w:t>课程概要</w:t>
      </w:r>
    </w:p>
    <w:p w14:paraId="0834A0A5">
      <w:pPr>
        <w:numPr>
          <w:ilvl w:val="0"/>
          <w:numId w:val="6"/>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adjustRightInd w:val="0"/>
        <w:spacing w:line="360" w:lineRule="auto"/>
        <w:ind w:left="1069" w:hanging="420"/>
        <w:rPr>
          <w:rFonts w:hint="eastAsia" w:ascii="仿宋_GB2312" w:hAnsi="仿宋" w:eastAsia="仿宋_GB2312" w:cs="仿宋_GB2312"/>
          <w:sz w:val="24"/>
        </w:rPr>
      </w:pPr>
      <w:r>
        <w:rPr>
          <w:rFonts w:hint="eastAsia" w:ascii="仿宋_GB2312" w:hAnsi="仿宋" w:eastAsia="仿宋_GB2312" w:cs="仿宋_GB2312"/>
          <w:sz w:val="24"/>
        </w:rPr>
        <w:t>课程目的</w:t>
      </w:r>
    </w:p>
    <w:p w14:paraId="556A7BF1">
      <w:pPr>
        <w:numPr>
          <w:ilvl w:val="0"/>
          <w:numId w:val="6"/>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adjustRightInd w:val="0"/>
        <w:spacing w:line="360" w:lineRule="auto"/>
        <w:ind w:left="1069" w:hanging="420"/>
        <w:rPr>
          <w:rFonts w:hint="eastAsia" w:ascii="仿宋_GB2312" w:hAnsi="仿宋" w:eastAsia="仿宋_GB2312" w:cs="仿宋_GB2312"/>
          <w:sz w:val="24"/>
        </w:rPr>
      </w:pPr>
      <w:r>
        <w:rPr>
          <w:rFonts w:hint="eastAsia" w:ascii="仿宋_GB2312" w:hAnsi="仿宋" w:eastAsia="仿宋_GB2312" w:cs="仿宋_GB2312"/>
          <w:sz w:val="24"/>
        </w:rPr>
        <w:t>教学方式</w:t>
      </w:r>
    </w:p>
    <w:p w14:paraId="13B9FA32">
      <w:pPr>
        <w:numPr>
          <w:ilvl w:val="0"/>
          <w:numId w:val="6"/>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adjustRightInd w:val="0"/>
        <w:spacing w:line="360" w:lineRule="auto"/>
        <w:ind w:left="1069" w:hanging="420"/>
        <w:rPr>
          <w:rFonts w:hint="eastAsia" w:ascii="仿宋_GB2312" w:hAnsi="仿宋" w:eastAsia="仿宋_GB2312" w:cs="仿宋_GB2312"/>
          <w:sz w:val="24"/>
        </w:rPr>
      </w:pPr>
      <w:r>
        <w:rPr>
          <w:rFonts w:hint="eastAsia" w:ascii="仿宋_GB2312" w:hAnsi="仿宋" w:eastAsia="仿宋_GB2312" w:cs="仿宋_GB2312"/>
          <w:sz w:val="24"/>
        </w:rPr>
        <w:t>先决条件</w:t>
      </w:r>
    </w:p>
    <w:p w14:paraId="09926143">
      <w:pPr>
        <w:numPr>
          <w:ilvl w:val="0"/>
          <w:numId w:val="6"/>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adjustRightInd w:val="0"/>
        <w:spacing w:line="360" w:lineRule="auto"/>
        <w:ind w:left="1069" w:hanging="420"/>
        <w:rPr>
          <w:rFonts w:hint="eastAsia" w:ascii="仿宋_GB2312" w:hAnsi="仿宋" w:eastAsia="仿宋_GB2312" w:cs="仿宋_GB2312"/>
          <w:sz w:val="24"/>
        </w:rPr>
      </w:pPr>
      <w:r>
        <w:rPr>
          <w:rFonts w:hint="eastAsia" w:ascii="仿宋_GB2312" w:hAnsi="仿宋" w:eastAsia="仿宋_GB2312" w:cs="仿宋_GB2312"/>
          <w:sz w:val="24"/>
        </w:rPr>
        <w:t>教材目录</w:t>
      </w:r>
    </w:p>
    <w:p w14:paraId="10535B17">
      <w:pPr>
        <w:autoSpaceDE w:val="0"/>
        <w:autoSpaceDN w:val="0"/>
        <w:spacing w:line="360" w:lineRule="auto"/>
        <w:rPr>
          <w:rFonts w:hint="eastAsia" w:ascii="仿宋_GB2312" w:hAnsi="仿宋" w:eastAsia="仿宋_GB2312" w:cs="仿宋_GB2312"/>
          <w:sz w:val="24"/>
        </w:rPr>
      </w:pPr>
      <w:r>
        <w:rPr>
          <w:rFonts w:hint="eastAsia" w:ascii="仿宋_GB2312" w:hAnsi="仿宋" w:eastAsia="仿宋_GB2312" w:cs="仿宋_GB2312"/>
          <w:sz w:val="24"/>
        </w:rPr>
        <w:t>B  按照附表A提供授课教师的简历</w:t>
      </w:r>
    </w:p>
    <w:p w14:paraId="37177711">
      <w:pPr>
        <w:autoSpaceDE w:val="0"/>
        <w:autoSpaceDN w:val="0"/>
        <w:spacing w:line="360" w:lineRule="auto"/>
        <w:rPr>
          <w:rFonts w:hint="eastAsia" w:ascii="仿宋_GB2312" w:hAnsi="仿宋" w:eastAsia="仿宋_GB2312" w:cs="仿宋_GB2312"/>
          <w:b/>
          <w:sz w:val="24"/>
        </w:rPr>
      </w:pPr>
      <w:r>
        <w:rPr>
          <w:rFonts w:hint="eastAsia" w:ascii="仿宋_GB2312" w:hAnsi="仿宋" w:eastAsia="仿宋_GB2312" w:cs="仿宋_GB2312"/>
          <w:b/>
          <w:sz w:val="24"/>
        </w:rPr>
        <w:t>注：须随表提交相应的证书复印件并注明所在投标技术文件页码。</w:t>
      </w:r>
    </w:p>
    <w:p w14:paraId="0DA21480">
      <w:pPr>
        <w:autoSpaceDE w:val="0"/>
        <w:autoSpaceDN w:val="0"/>
        <w:spacing w:line="360" w:lineRule="auto"/>
        <w:ind w:firstLine="4800" w:firstLineChars="2000"/>
        <w:rPr>
          <w:rFonts w:hint="eastAsia" w:ascii="仿宋_GB2312" w:hAnsi="仿宋" w:eastAsia="仿宋_GB2312" w:cs="仿宋_GB2312"/>
          <w:sz w:val="24"/>
        </w:rPr>
      </w:pPr>
      <w:r>
        <w:rPr>
          <w:rFonts w:hint="eastAsia" w:ascii="仿宋_GB2312" w:hAnsi="仿宋" w:eastAsia="仿宋_GB2312" w:cs="仿宋_GB2312"/>
          <w:kern w:val="0"/>
          <w:sz w:val="24"/>
        </w:rPr>
        <w:t>投标人名称（</w:t>
      </w:r>
      <w:r>
        <w:rPr>
          <w:rFonts w:hint="eastAsia" w:ascii="仿宋_GB2312" w:hAnsi="仿宋" w:eastAsia="仿宋_GB2312" w:cs="仿宋_GB2312"/>
          <w:kern w:val="0"/>
          <w:sz w:val="24"/>
          <w:lang w:val="zh-CN"/>
        </w:rPr>
        <w:t>电子签章</w:t>
      </w:r>
      <w:r>
        <w:rPr>
          <w:rFonts w:hint="eastAsia" w:ascii="仿宋_GB2312" w:hAnsi="仿宋" w:eastAsia="仿宋_GB2312" w:cs="仿宋_GB2312"/>
          <w:kern w:val="0"/>
          <w:sz w:val="24"/>
        </w:rPr>
        <w:t xml:space="preserve">）：                       </w:t>
      </w:r>
    </w:p>
    <w:p w14:paraId="5AA7FC77">
      <w:pPr>
        <w:autoSpaceDE w:val="0"/>
        <w:autoSpaceDN w:val="0"/>
        <w:spacing w:line="360" w:lineRule="auto"/>
        <w:rPr>
          <w:rFonts w:hint="eastAsia" w:ascii="仿宋_GB2312" w:hAnsi="仿宋" w:eastAsia="仿宋_GB2312" w:cs="仿宋_GB2312"/>
          <w:kern w:val="0"/>
          <w:sz w:val="24"/>
        </w:rPr>
      </w:pPr>
      <w:r>
        <w:rPr>
          <w:rFonts w:hint="eastAsia" w:ascii="仿宋_GB2312" w:hAnsi="仿宋" w:eastAsia="仿宋_GB2312" w:cs="仿宋_GB2312"/>
          <w:kern w:val="0"/>
          <w:sz w:val="24"/>
        </w:rPr>
        <w:t xml:space="preserve">                                        </w:t>
      </w:r>
      <w:r>
        <w:rPr>
          <w:rFonts w:hint="eastAsia" w:ascii="仿宋_GB2312" w:hAnsi="仿宋" w:eastAsia="仿宋_GB2312" w:cs="仿宋_GB2312"/>
          <w:kern w:val="0"/>
          <w:sz w:val="24"/>
          <w:lang w:val="zh-CN"/>
        </w:rPr>
        <w:t>日期：  年  月   日</w:t>
      </w:r>
    </w:p>
    <w:p w14:paraId="75B95654">
      <w:pPr>
        <w:autoSpaceDE w:val="0"/>
        <w:autoSpaceDN w:val="0"/>
        <w:spacing w:line="360" w:lineRule="auto"/>
        <w:ind w:firstLine="120"/>
        <w:rPr>
          <w:rFonts w:hint="eastAsia" w:ascii="仿宋_GB2312" w:hAnsi="仿宋" w:eastAsia="仿宋_GB2312" w:cs="仿宋_GB2312"/>
          <w:sz w:val="24"/>
        </w:rPr>
      </w:pPr>
    </w:p>
    <w:p w14:paraId="70D3B4C3">
      <w:pPr>
        <w:pStyle w:val="11"/>
        <w:jc w:val="center"/>
        <w:outlineLvl w:val="1"/>
        <w:rPr>
          <w:rFonts w:hint="eastAsia" w:hAnsi="宋体"/>
          <w:b/>
          <w:bCs/>
          <w:color w:val="000000"/>
          <w:sz w:val="28"/>
          <w:szCs w:val="28"/>
        </w:rPr>
      </w:pPr>
      <w:bookmarkStart w:id="411" w:name="_Toc211960321"/>
      <w:r>
        <w:rPr>
          <w:rFonts w:hint="eastAsia" w:hAnsi="宋体"/>
          <w:b/>
          <w:bCs/>
          <w:color w:val="000000"/>
          <w:sz w:val="28"/>
          <w:szCs w:val="28"/>
        </w:rPr>
        <w:br w:type="page"/>
      </w:r>
      <w:r>
        <w:rPr>
          <w:rFonts w:hint="eastAsia" w:hAnsi="宋体"/>
          <w:b/>
          <w:bCs/>
          <w:color w:val="000000"/>
          <w:sz w:val="28"/>
          <w:szCs w:val="28"/>
        </w:rPr>
        <w:t>第五节 报价文件格式</w:t>
      </w:r>
      <w:bookmarkEnd w:id="411"/>
    </w:p>
    <w:p w14:paraId="2536440D">
      <w:pPr>
        <w:snapToGrid w:val="0"/>
        <w:spacing w:before="165" w:beforeLines="50" w:after="50" w:line="400" w:lineRule="exact"/>
        <w:rPr>
          <w:rFonts w:hint="eastAsia" w:ascii="宋体" w:hAnsi="宋体"/>
          <w:bCs/>
          <w:color w:val="000000"/>
          <w:sz w:val="32"/>
          <w:szCs w:val="20"/>
        </w:rPr>
      </w:pPr>
      <w:r>
        <w:rPr>
          <w:rFonts w:hint="eastAsia" w:ascii="宋体" w:hAnsi="宋体"/>
          <w:color w:val="000000"/>
          <w:sz w:val="24"/>
        </w:rPr>
        <w:t xml:space="preserve">                                                            </w:t>
      </w:r>
      <w:r>
        <w:rPr>
          <w:rFonts w:hint="eastAsia" w:ascii="宋体" w:hAnsi="宋体"/>
          <w:bCs/>
          <w:color w:val="000000"/>
        </w:rPr>
        <w:t>电子投标文件</w:t>
      </w:r>
    </w:p>
    <w:p w14:paraId="45BE0BB9">
      <w:pPr>
        <w:snapToGrid w:val="0"/>
        <w:spacing w:before="165" w:beforeLines="50" w:after="50" w:line="400" w:lineRule="exact"/>
        <w:jc w:val="center"/>
        <w:rPr>
          <w:rFonts w:hint="eastAsia" w:ascii="宋体" w:hAnsi="宋体"/>
          <w:bCs/>
          <w:color w:val="000000"/>
          <w:sz w:val="24"/>
          <w:szCs w:val="20"/>
        </w:rPr>
      </w:pPr>
    </w:p>
    <w:p w14:paraId="4EDB11D9">
      <w:pPr>
        <w:snapToGrid w:val="0"/>
        <w:spacing w:before="165" w:beforeLines="50" w:after="50" w:line="400" w:lineRule="exact"/>
        <w:jc w:val="center"/>
        <w:rPr>
          <w:rFonts w:hint="eastAsia" w:ascii="宋体" w:hAnsi="宋体"/>
          <w:b/>
          <w:bCs/>
          <w:color w:val="000000"/>
          <w:sz w:val="32"/>
          <w:szCs w:val="32"/>
        </w:rPr>
      </w:pPr>
      <w:r>
        <w:rPr>
          <w:rFonts w:hint="eastAsia" w:ascii="宋体" w:hAnsi="宋体"/>
          <w:b/>
          <w:bCs/>
          <w:color w:val="000000"/>
          <w:sz w:val="32"/>
          <w:szCs w:val="32"/>
        </w:rPr>
        <w:t>报价文件（封面）</w:t>
      </w:r>
    </w:p>
    <w:p w14:paraId="0F7DAE8B">
      <w:pPr>
        <w:snapToGrid w:val="0"/>
        <w:spacing w:before="165" w:beforeLines="50" w:after="50" w:line="400" w:lineRule="exact"/>
        <w:rPr>
          <w:rFonts w:hint="eastAsia" w:ascii="宋体" w:hAnsi="宋体"/>
          <w:bCs/>
          <w:color w:val="000000"/>
          <w:sz w:val="24"/>
          <w:szCs w:val="20"/>
        </w:rPr>
      </w:pPr>
    </w:p>
    <w:p w14:paraId="40676DE1">
      <w:pPr>
        <w:snapToGrid w:val="0"/>
        <w:spacing w:before="165" w:beforeLines="50" w:after="50" w:line="400" w:lineRule="exact"/>
        <w:rPr>
          <w:rFonts w:hint="eastAsia" w:ascii="宋体" w:hAnsi="宋体"/>
          <w:bCs/>
          <w:color w:val="000000"/>
          <w:sz w:val="24"/>
          <w:szCs w:val="20"/>
        </w:rPr>
      </w:pPr>
    </w:p>
    <w:p w14:paraId="40ED004B">
      <w:pPr>
        <w:snapToGrid w:val="0"/>
        <w:spacing w:before="165" w:beforeLines="50" w:after="50" w:line="400" w:lineRule="exact"/>
        <w:rPr>
          <w:rFonts w:hint="eastAsia" w:ascii="宋体" w:hAnsi="宋体"/>
          <w:bCs/>
          <w:color w:val="000000"/>
          <w:sz w:val="24"/>
          <w:szCs w:val="20"/>
        </w:rPr>
      </w:pPr>
    </w:p>
    <w:p w14:paraId="4B50E82E">
      <w:pPr>
        <w:snapToGrid w:val="0"/>
        <w:spacing w:before="165" w:beforeLines="50" w:after="50" w:line="400" w:lineRule="exact"/>
        <w:rPr>
          <w:rFonts w:hint="eastAsia" w:ascii="宋体" w:hAnsi="宋体"/>
          <w:bCs/>
          <w:color w:val="000000"/>
          <w:sz w:val="24"/>
          <w:szCs w:val="20"/>
        </w:rPr>
      </w:pPr>
    </w:p>
    <w:p w14:paraId="79AE8530">
      <w:pPr>
        <w:snapToGrid w:val="0"/>
        <w:spacing w:before="165" w:beforeLines="50" w:after="50" w:line="400" w:lineRule="exact"/>
        <w:ind w:firstLine="360" w:firstLineChars="150"/>
        <w:rPr>
          <w:rFonts w:hint="eastAsia" w:ascii="宋体" w:hAnsi="宋体" w:eastAsia="宋体"/>
          <w:bCs/>
          <w:color w:val="000000"/>
          <w:sz w:val="24"/>
          <w:lang w:eastAsia="zh-CN"/>
        </w:rPr>
      </w:pPr>
      <w:r>
        <w:rPr>
          <w:rFonts w:hint="eastAsia" w:ascii="宋体" w:hAnsi="宋体"/>
          <w:bCs/>
          <w:color w:val="000000"/>
          <w:sz w:val="24"/>
        </w:rPr>
        <w:t xml:space="preserve">项目名称： </w:t>
      </w:r>
      <w:r>
        <w:rPr>
          <w:rFonts w:hint="eastAsia" w:ascii="宋体" w:hAnsi="宋体"/>
          <w:bCs/>
          <w:color w:val="000000"/>
          <w:sz w:val="24"/>
          <w:lang w:eastAsia="zh-CN"/>
        </w:rPr>
        <w:t>南宁市第三职业技术学校2026年优质校及优质专业内涵建设服务项目</w:t>
      </w:r>
    </w:p>
    <w:p w14:paraId="1346405D">
      <w:pPr>
        <w:snapToGrid w:val="0"/>
        <w:spacing w:before="165" w:beforeLines="50" w:after="50" w:line="400" w:lineRule="exact"/>
        <w:ind w:firstLine="360" w:firstLineChars="150"/>
        <w:rPr>
          <w:rFonts w:hint="eastAsia" w:ascii="宋体" w:hAnsi="宋体"/>
          <w:bCs/>
          <w:color w:val="000000"/>
          <w:sz w:val="24"/>
        </w:rPr>
      </w:pPr>
    </w:p>
    <w:p w14:paraId="564C22B3">
      <w:pPr>
        <w:snapToGrid w:val="0"/>
        <w:spacing w:before="165" w:beforeLines="50" w:after="50" w:line="400" w:lineRule="exact"/>
        <w:ind w:firstLine="360" w:firstLineChars="150"/>
        <w:rPr>
          <w:rFonts w:hint="eastAsia" w:ascii="宋体" w:hAnsi="宋体" w:eastAsia="宋体"/>
          <w:bCs/>
          <w:color w:val="000000"/>
          <w:sz w:val="24"/>
          <w:lang w:eastAsia="zh-CN"/>
        </w:rPr>
      </w:pPr>
      <w:r>
        <w:rPr>
          <w:rFonts w:hint="eastAsia" w:ascii="宋体" w:hAnsi="宋体"/>
          <w:bCs/>
          <w:color w:val="000000"/>
          <w:sz w:val="24"/>
        </w:rPr>
        <w:t xml:space="preserve">项目编号： </w:t>
      </w:r>
      <w:r>
        <w:rPr>
          <w:rFonts w:hint="eastAsia" w:ascii="宋体" w:hAnsi="宋体"/>
          <w:bCs/>
          <w:color w:val="000000"/>
          <w:sz w:val="24"/>
          <w:lang w:eastAsia="zh-CN"/>
        </w:rPr>
        <w:t>NNZC2026-G3-990830-GXGJ</w:t>
      </w:r>
    </w:p>
    <w:p w14:paraId="089CFC30">
      <w:pPr>
        <w:snapToGrid w:val="0"/>
        <w:spacing w:before="165" w:beforeLines="50" w:after="50" w:line="400" w:lineRule="exact"/>
        <w:ind w:firstLine="360" w:firstLineChars="150"/>
        <w:rPr>
          <w:rFonts w:hint="eastAsia" w:ascii="宋体" w:hAnsi="宋体"/>
          <w:bCs/>
          <w:color w:val="000000"/>
          <w:sz w:val="24"/>
        </w:rPr>
      </w:pPr>
    </w:p>
    <w:p w14:paraId="19990063">
      <w:pPr>
        <w:snapToGrid w:val="0"/>
        <w:spacing w:before="165" w:beforeLines="50" w:after="50" w:line="400" w:lineRule="exact"/>
        <w:ind w:firstLine="360" w:firstLineChars="150"/>
        <w:rPr>
          <w:rFonts w:hint="eastAsia" w:ascii="宋体" w:hAnsi="宋体"/>
          <w:bCs/>
          <w:color w:val="000000"/>
          <w:sz w:val="24"/>
        </w:rPr>
      </w:pPr>
      <w:r>
        <w:rPr>
          <w:rFonts w:hint="eastAsia" w:ascii="宋体" w:hAnsi="宋体"/>
          <w:bCs/>
          <w:color w:val="000000"/>
          <w:sz w:val="24"/>
        </w:rPr>
        <w:t>所投分标：</w:t>
      </w:r>
    </w:p>
    <w:p w14:paraId="31D1D67B">
      <w:pPr>
        <w:snapToGrid w:val="0"/>
        <w:spacing w:before="165" w:beforeLines="50" w:after="50" w:line="400" w:lineRule="exact"/>
        <w:ind w:firstLine="360" w:firstLineChars="150"/>
        <w:rPr>
          <w:rFonts w:hint="eastAsia" w:ascii="宋体" w:hAnsi="宋体"/>
          <w:bCs/>
          <w:color w:val="000000"/>
          <w:sz w:val="24"/>
        </w:rPr>
      </w:pPr>
    </w:p>
    <w:p w14:paraId="1910E7B7">
      <w:pPr>
        <w:snapToGrid w:val="0"/>
        <w:spacing w:before="165" w:beforeLines="50" w:after="50" w:line="400" w:lineRule="exact"/>
        <w:ind w:firstLine="360" w:firstLineChars="150"/>
        <w:rPr>
          <w:rFonts w:hint="eastAsia" w:ascii="宋体" w:hAnsi="宋体"/>
          <w:bCs/>
          <w:color w:val="000000"/>
          <w:sz w:val="24"/>
        </w:rPr>
      </w:pPr>
      <w:r>
        <w:rPr>
          <w:rFonts w:hint="eastAsia" w:ascii="宋体" w:hAnsi="宋体"/>
          <w:bCs/>
          <w:color w:val="000000"/>
          <w:sz w:val="24"/>
        </w:rPr>
        <w:t>投标人名称：</w:t>
      </w:r>
    </w:p>
    <w:p w14:paraId="1C82DDAA">
      <w:pPr>
        <w:snapToGrid w:val="0"/>
        <w:spacing w:before="165" w:beforeLines="50" w:after="50" w:line="400" w:lineRule="exact"/>
        <w:ind w:firstLine="360" w:firstLineChars="150"/>
        <w:rPr>
          <w:rFonts w:hint="eastAsia" w:ascii="宋体" w:hAnsi="宋体"/>
          <w:bCs/>
          <w:color w:val="000000"/>
          <w:sz w:val="24"/>
        </w:rPr>
      </w:pPr>
    </w:p>
    <w:p w14:paraId="3B75278A">
      <w:pPr>
        <w:snapToGrid w:val="0"/>
        <w:spacing w:before="165" w:beforeLines="50" w:after="50" w:line="400" w:lineRule="exact"/>
        <w:ind w:firstLine="360" w:firstLineChars="150"/>
        <w:rPr>
          <w:rFonts w:hint="eastAsia" w:ascii="宋体" w:hAnsi="宋体"/>
          <w:bCs/>
          <w:color w:val="000000"/>
          <w:sz w:val="24"/>
        </w:rPr>
      </w:pPr>
      <w:r>
        <w:rPr>
          <w:rFonts w:hint="eastAsia" w:ascii="宋体" w:hAnsi="宋体"/>
          <w:bCs/>
          <w:color w:val="000000"/>
          <w:sz w:val="24"/>
        </w:rPr>
        <w:t>投标人地址：</w:t>
      </w:r>
    </w:p>
    <w:p w14:paraId="126E544C">
      <w:pPr>
        <w:pStyle w:val="6"/>
        <w:snapToGrid w:val="0"/>
        <w:spacing w:before="50" w:after="50" w:line="400" w:lineRule="exact"/>
        <w:ind w:firstLine="960" w:firstLineChars="400"/>
        <w:rPr>
          <w:rFonts w:hint="eastAsia" w:ascii="宋体" w:hAnsi="宋体"/>
          <w:bCs/>
          <w:color w:val="000000"/>
          <w:sz w:val="24"/>
          <w:szCs w:val="24"/>
        </w:rPr>
      </w:pPr>
    </w:p>
    <w:p w14:paraId="52447DB1">
      <w:pPr>
        <w:snapToGrid w:val="0"/>
        <w:spacing w:before="165" w:beforeLines="50" w:after="50" w:line="400" w:lineRule="exact"/>
        <w:rPr>
          <w:rFonts w:hint="eastAsia" w:ascii="宋体" w:hAnsi="宋体"/>
          <w:color w:val="000000"/>
          <w:sz w:val="24"/>
        </w:rPr>
      </w:pPr>
      <w:r>
        <w:rPr>
          <w:rFonts w:hint="eastAsia" w:ascii="宋体" w:hAnsi="宋体"/>
          <w:color w:val="000000"/>
          <w:sz w:val="24"/>
        </w:rPr>
        <w:t xml:space="preserve">                                                       年  月  日</w:t>
      </w:r>
    </w:p>
    <w:p w14:paraId="1C5B7587">
      <w:pPr>
        <w:widowControl/>
        <w:jc w:val="left"/>
        <w:rPr>
          <w:rFonts w:ascii="宋体" w:hAnsi="宋体"/>
          <w:color w:val="000000"/>
          <w:sz w:val="24"/>
        </w:rPr>
        <w:sectPr>
          <w:pgSz w:w="11906" w:h="16838"/>
          <w:pgMar w:top="1134" w:right="1134" w:bottom="1134" w:left="1134" w:header="720" w:footer="720" w:gutter="0"/>
          <w:cols w:space="720" w:num="1"/>
          <w:docGrid w:type="lines" w:linePitch="331" w:charSpace="0"/>
        </w:sectPr>
      </w:pPr>
    </w:p>
    <w:p w14:paraId="59EDE403">
      <w:pPr>
        <w:rPr>
          <w:rFonts w:hint="eastAsia" w:ascii="宋体" w:hAnsi="宋体" w:cs="宋体"/>
        </w:rPr>
      </w:pPr>
    </w:p>
    <w:p w14:paraId="1A9A8ABD">
      <w:pPr>
        <w:snapToGrid w:val="0"/>
        <w:spacing w:before="165" w:beforeLines="50" w:after="50" w:line="400" w:lineRule="exact"/>
        <w:jc w:val="center"/>
        <w:rPr>
          <w:rFonts w:hint="eastAsia" w:ascii="宋体" w:hAnsi="宋体"/>
          <w:b/>
          <w:bCs/>
          <w:color w:val="000000"/>
          <w:sz w:val="32"/>
          <w:szCs w:val="32"/>
        </w:rPr>
      </w:pPr>
      <w:r>
        <w:rPr>
          <w:rFonts w:hint="eastAsia" w:ascii="宋体" w:hAnsi="宋体"/>
          <w:b/>
          <w:bCs/>
          <w:color w:val="000000"/>
          <w:sz w:val="32"/>
          <w:szCs w:val="32"/>
        </w:rPr>
        <w:t>报价文件目录</w:t>
      </w:r>
    </w:p>
    <w:p w14:paraId="7D318AA6">
      <w:pPr>
        <w:rPr>
          <w:rFonts w:hint="eastAsia" w:ascii="宋体" w:hAnsi="宋体" w:cs="宋体"/>
        </w:rPr>
      </w:pPr>
    </w:p>
    <w:p w14:paraId="133E7A65">
      <w:pPr>
        <w:spacing w:line="360" w:lineRule="auto"/>
        <w:ind w:firstLine="480" w:firstLineChars="200"/>
        <w:rPr>
          <w:rFonts w:ascii="仿宋_GB2312" w:hAnsi="仿宋" w:eastAsia="仿宋_GB2312" w:cs="仿宋_GB2312"/>
          <w:kern w:val="0"/>
          <w:sz w:val="24"/>
        </w:rPr>
      </w:pPr>
      <w:r>
        <w:rPr>
          <w:rFonts w:hint="eastAsia" w:ascii="仿宋_GB2312" w:hAnsi="仿宋" w:eastAsia="仿宋_GB2312" w:cs="仿宋_GB2312"/>
          <w:kern w:val="0"/>
          <w:sz w:val="24"/>
        </w:rPr>
        <w:t>根据公开招标文件须知前附表的规定及供应商提供的材料自行编写目录（部分格式后附）</w:t>
      </w:r>
    </w:p>
    <w:p w14:paraId="0FE3E7B4">
      <w:pPr>
        <w:widowControl/>
        <w:jc w:val="left"/>
        <w:rPr>
          <w:rFonts w:ascii="宋体" w:hAnsi="宋体"/>
          <w:color w:val="000000"/>
          <w:sz w:val="30"/>
          <w:szCs w:val="20"/>
        </w:rPr>
        <w:sectPr>
          <w:pgSz w:w="11906" w:h="16838"/>
          <w:pgMar w:top="1134" w:right="1134" w:bottom="1134" w:left="1134" w:header="720" w:footer="720" w:gutter="0"/>
          <w:cols w:space="720" w:num="1"/>
          <w:docGrid w:type="lines" w:linePitch="331" w:charSpace="0"/>
        </w:sectPr>
      </w:pPr>
    </w:p>
    <w:p w14:paraId="4D690DC0">
      <w:pPr>
        <w:pStyle w:val="11"/>
        <w:spacing w:line="500" w:lineRule="exact"/>
        <w:jc w:val="center"/>
        <w:rPr>
          <w:rFonts w:hint="eastAsia" w:ascii="Times New Roman" w:hAnsi="Times New Roman"/>
          <w:b/>
          <w:bCs/>
          <w:sz w:val="30"/>
          <w:szCs w:val="30"/>
        </w:rPr>
      </w:pPr>
      <w:r>
        <w:rPr>
          <w:rFonts w:hint="eastAsia" w:ascii="Times New Roman" w:hAnsi="Times New Roman"/>
          <w:b/>
          <w:bCs/>
          <w:sz w:val="30"/>
          <w:szCs w:val="30"/>
        </w:rPr>
        <w:t>一、投标函</w:t>
      </w:r>
    </w:p>
    <w:p w14:paraId="430D040C">
      <w:pPr>
        <w:pStyle w:val="11"/>
        <w:spacing w:line="440" w:lineRule="exact"/>
        <w:ind w:firstLine="420" w:firstLineChars="200"/>
        <w:rPr>
          <w:rFonts w:hint="eastAsia" w:ascii="Times New Roman" w:hAnsi="Times New Roman"/>
        </w:rPr>
      </w:pPr>
      <w:r>
        <w:rPr>
          <w:rFonts w:hint="eastAsia" w:ascii="Times New Roman" w:hAnsi="Times New Roman"/>
        </w:rPr>
        <w:t>致：</w:t>
      </w:r>
      <w:bookmarkStart w:id="412" w:name="PO_3000001866_PM031_4"/>
      <w:r>
        <w:rPr>
          <w:rFonts w:hint="eastAsia" w:ascii="Times New Roman" w:hAnsi="Times New Roman"/>
          <w:u w:val="single"/>
        </w:rPr>
        <w:t>广西国建项目管理有限公司</w:t>
      </w:r>
      <w:bookmarkEnd w:id="412"/>
    </w:p>
    <w:p w14:paraId="76CD19D3">
      <w:pPr>
        <w:pStyle w:val="11"/>
        <w:spacing w:line="440" w:lineRule="exact"/>
        <w:ind w:firstLine="420" w:firstLineChars="200"/>
      </w:pPr>
      <w:r>
        <w:rPr>
          <w:rFonts w:hint="eastAsia"/>
        </w:rPr>
        <w:t>我方已仔细阅读了贵方组织的</w:t>
      </w:r>
      <w:r>
        <w:rPr>
          <w:rFonts w:hint="eastAsia"/>
          <w:u w:val="single"/>
          <w:lang w:val="en-US" w:eastAsia="zh-CN"/>
        </w:rPr>
        <w:t xml:space="preserve"> </w:t>
      </w:r>
      <w:r>
        <w:rPr>
          <w:rFonts w:hint="eastAsia" w:ascii="Times New Roman" w:hAnsi="Times New Roman"/>
          <w:u w:val="single"/>
          <w:lang w:eastAsia="zh-CN"/>
        </w:rPr>
        <w:t>南宁市第三职业技术学校2026年优质校及优质专业内涵建设服务项目</w:t>
      </w:r>
      <w:r>
        <w:rPr>
          <w:rFonts w:ascii="Times New Roman" w:hAnsi="Times New Roman"/>
          <w:u w:val="single"/>
        </w:rPr>
        <w:t xml:space="preserve"> </w:t>
      </w:r>
      <w:r>
        <w:rPr>
          <w:rFonts w:hint="eastAsia"/>
          <w:u w:val="single"/>
        </w:rPr>
        <w:t>（项目编号：</w:t>
      </w:r>
      <w:r>
        <w:rPr>
          <w:rFonts w:hint="eastAsia"/>
          <w:u w:val="single"/>
          <w:lang w:eastAsia="zh-CN"/>
        </w:rPr>
        <w:t>NNZC2026-G3-990830-GXGJ</w:t>
      </w:r>
      <w:r>
        <w:rPr>
          <w:rFonts w:hint="eastAsia"/>
          <w:u w:val="single"/>
        </w:rPr>
        <w:t>）</w:t>
      </w:r>
      <w:r>
        <w:rPr>
          <w:rFonts w:hint="eastAsia"/>
        </w:rPr>
        <w:t>的招标文件的全部内容，授权</w:t>
      </w:r>
      <w:r>
        <w:rPr>
          <w:rFonts w:ascii="Times New Roman" w:hAnsi="Times New Roman"/>
          <w:u w:val="single"/>
        </w:rPr>
        <w:t xml:space="preserve">                      </w:t>
      </w:r>
      <w:r>
        <w:rPr>
          <w:rFonts w:hint="eastAsia"/>
        </w:rPr>
        <w:t>(全权代表姓名)</w:t>
      </w:r>
      <w:r>
        <w:rPr>
          <w:rFonts w:ascii="Times New Roman" w:hAnsi="Times New Roman"/>
          <w:u w:val="single"/>
        </w:rPr>
        <w:t xml:space="preserve">          </w:t>
      </w:r>
      <w:r>
        <w:rPr>
          <w:rFonts w:hint="eastAsia"/>
        </w:rPr>
        <w:t xml:space="preserve"> (职务、职称)为全权代表，现正式递交下述文件参加贵方组织的本次政府采购活动： </w:t>
      </w:r>
    </w:p>
    <w:p w14:paraId="088DE032">
      <w:pPr>
        <w:pStyle w:val="11"/>
        <w:spacing w:line="440" w:lineRule="exact"/>
        <w:ind w:firstLine="420" w:firstLineChars="200"/>
        <w:rPr>
          <w:rFonts w:hint="eastAsia"/>
        </w:rPr>
      </w:pPr>
      <w:r>
        <w:rPr>
          <w:rFonts w:hint="eastAsia"/>
        </w:rPr>
        <w:t>一、报价文件电子版一份（包含按投标人须知前附表要求提交的全部文件）；</w:t>
      </w:r>
    </w:p>
    <w:p w14:paraId="6BF9452B">
      <w:pPr>
        <w:pStyle w:val="11"/>
        <w:spacing w:line="440" w:lineRule="exact"/>
        <w:ind w:firstLine="482"/>
        <w:rPr>
          <w:rFonts w:hint="eastAsia"/>
        </w:rPr>
      </w:pPr>
      <w:r>
        <w:rPr>
          <w:rFonts w:hint="eastAsia"/>
        </w:rPr>
        <w:t>二、资格文件电子版一份（包含按投标人须知前附表要求提交的全部文件）；</w:t>
      </w:r>
    </w:p>
    <w:p w14:paraId="0F7CD8DF">
      <w:pPr>
        <w:pStyle w:val="11"/>
        <w:spacing w:line="440" w:lineRule="exact"/>
        <w:ind w:firstLine="482"/>
        <w:rPr>
          <w:rFonts w:hint="eastAsia"/>
        </w:rPr>
      </w:pPr>
      <w:r>
        <w:rPr>
          <w:rFonts w:hint="eastAsia"/>
        </w:rPr>
        <w:t>三、</w:t>
      </w:r>
      <w:r>
        <w:rPr>
          <w:rFonts w:hint="eastAsia" w:hAnsi="宋体"/>
        </w:rPr>
        <w:t>技术</w:t>
      </w:r>
      <w:r>
        <w:rPr>
          <w:rFonts w:hint="eastAsia"/>
        </w:rPr>
        <w:t>文件电子版一份（包含按投标人须知前附表要求提交的全部文件）；</w:t>
      </w:r>
    </w:p>
    <w:p w14:paraId="7E3304DE">
      <w:pPr>
        <w:pStyle w:val="11"/>
        <w:spacing w:line="440" w:lineRule="exact"/>
        <w:ind w:firstLine="482"/>
        <w:rPr>
          <w:rFonts w:hint="eastAsia"/>
        </w:rPr>
      </w:pPr>
      <w:r>
        <w:rPr>
          <w:rFonts w:hint="eastAsia" w:hAnsi="宋体"/>
        </w:rPr>
        <w:t>四、</w:t>
      </w:r>
      <w:r>
        <w:rPr>
          <w:rFonts w:hint="eastAsia"/>
        </w:rPr>
        <w:t>商务</w:t>
      </w:r>
      <w:r>
        <w:rPr>
          <w:rFonts w:hint="eastAsia" w:hAnsi="宋体"/>
        </w:rPr>
        <w:t>文件</w:t>
      </w:r>
      <w:r>
        <w:rPr>
          <w:rFonts w:hint="eastAsia"/>
        </w:rPr>
        <w:t>电子版一份（包含按投标人须知前附表要求提交的全部文件）；</w:t>
      </w:r>
    </w:p>
    <w:p w14:paraId="7B896BEA">
      <w:pPr>
        <w:pStyle w:val="11"/>
        <w:spacing w:line="440" w:lineRule="exact"/>
        <w:ind w:firstLine="482"/>
        <w:rPr>
          <w:rFonts w:hint="eastAsia" w:ascii="Times New Roman" w:hAnsi="Times New Roman"/>
        </w:rPr>
      </w:pPr>
      <w:r>
        <w:rPr>
          <w:rFonts w:hint="eastAsia"/>
        </w:rPr>
        <w:t>据此函，签字人兹宣布：</w:t>
      </w:r>
    </w:p>
    <w:p w14:paraId="16DC538C">
      <w:pPr>
        <w:pStyle w:val="11"/>
        <w:spacing w:line="440" w:lineRule="exact"/>
        <w:ind w:firstLine="420" w:firstLineChars="200"/>
        <w:rPr>
          <w:rFonts w:ascii="Times New Roman" w:hAnsi="Times New Roman"/>
        </w:rPr>
      </w:pPr>
      <w:r>
        <w:rPr>
          <w:rFonts w:hint="eastAsia"/>
        </w:rPr>
        <w:t>1、我方愿意以（大写）人民币</w:t>
      </w:r>
      <w:r>
        <w:rPr>
          <w:rFonts w:hint="eastAsia"/>
          <w:u w:val="single"/>
        </w:rPr>
        <w:t xml:space="preserve">              </w:t>
      </w:r>
      <w:r>
        <w:rPr>
          <w:rFonts w:hint="eastAsia"/>
        </w:rPr>
        <w:t>元 (￥</w:t>
      </w:r>
      <w:r>
        <w:rPr>
          <w:rFonts w:hint="eastAsia"/>
          <w:u w:val="single"/>
        </w:rPr>
        <w:t xml:space="preserve">          </w:t>
      </w:r>
      <w:r>
        <w:rPr>
          <w:rFonts w:hint="eastAsia"/>
        </w:rPr>
        <w:t>元)的投标总报价，服务时间（无分标时填写）</w:t>
      </w:r>
      <w:r>
        <w:rPr>
          <w:rFonts w:hint="eastAsia"/>
          <w:u w:val="single"/>
        </w:rPr>
        <w:t xml:space="preserve">              </w:t>
      </w:r>
      <w:r>
        <w:rPr>
          <w:rFonts w:hint="eastAsia"/>
        </w:rPr>
        <w:t>，提供本项目</w:t>
      </w:r>
      <w:r>
        <w:rPr>
          <w:rFonts w:hint="eastAsia" w:hAnsi="Times New Roman"/>
        </w:rPr>
        <w:t>招标文件第二章</w:t>
      </w:r>
      <w:r>
        <w:rPr>
          <w:rFonts w:hint="eastAsia"/>
        </w:rPr>
        <w:t>“服务需求一览表”中的相应的采购内容。</w:t>
      </w:r>
    </w:p>
    <w:p w14:paraId="4B461884">
      <w:pPr>
        <w:pStyle w:val="11"/>
        <w:spacing w:line="360" w:lineRule="exact"/>
        <w:ind w:firstLine="420" w:firstLineChars="200"/>
        <w:rPr>
          <w:rFonts w:hint="eastAsia"/>
          <w:u w:val="single"/>
        </w:rPr>
      </w:pPr>
      <w:r>
        <w:rPr>
          <w:rFonts w:hint="eastAsia"/>
        </w:rPr>
        <w:t>2、我方同意自本项目招标文件“第三章 投标人须知”第一节 投标人须知前附表 第21.2项规定的投标截止时间（开标时间）起遵循</w:t>
      </w:r>
      <w:r>
        <w:rPr>
          <w:rFonts w:hint="eastAsia" w:hAnsi="宋体"/>
        </w:rPr>
        <w:t>本投标函</w:t>
      </w:r>
      <w:r>
        <w:rPr>
          <w:rFonts w:hint="eastAsia"/>
        </w:rPr>
        <w:t>，并承诺在“投标人须知前附表”第17.2项规定的投标有效期内不修改、撤销投标文件。</w:t>
      </w:r>
    </w:p>
    <w:p w14:paraId="0E59326F">
      <w:pPr>
        <w:pStyle w:val="11"/>
        <w:spacing w:line="360" w:lineRule="exact"/>
        <w:ind w:firstLine="420" w:firstLineChars="200"/>
        <w:rPr>
          <w:rFonts w:hint="eastAsia"/>
          <w:u w:val="single"/>
        </w:rPr>
      </w:pPr>
      <w:r>
        <w:rPr>
          <w:rFonts w:hint="eastAsia"/>
        </w:rPr>
        <w:t>3、我方所递交的投标文件及有关资料都是内容完整、真实和准确的。</w:t>
      </w:r>
    </w:p>
    <w:p w14:paraId="178D9ED4">
      <w:pPr>
        <w:pStyle w:val="11"/>
        <w:spacing w:line="440" w:lineRule="exact"/>
        <w:ind w:firstLine="482"/>
        <w:rPr>
          <w:rFonts w:hint="eastAsia"/>
        </w:rPr>
      </w:pPr>
      <w:r>
        <w:rPr>
          <w:rFonts w:hint="eastAsia"/>
        </w:rPr>
        <w:t>4、</w:t>
      </w:r>
      <w:r>
        <w:rPr>
          <w:rFonts w:hint="eastAsia"/>
          <w:szCs w:val="21"/>
        </w:rPr>
        <w:t>如本项目采购内容涉及须符合国家强制规定的，我方承诺我方本次投标（包括资格条件和所投产品）均符合国家有关强制规定。</w:t>
      </w:r>
    </w:p>
    <w:p w14:paraId="3924DE44">
      <w:pPr>
        <w:pStyle w:val="11"/>
        <w:spacing w:line="440" w:lineRule="exact"/>
        <w:ind w:firstLine="420" w:firstLineChars="200"/>
        <w:rPr>
          <w:rFonts w:hint="eastAsia"/>
        </w:rPr>
      </w:pPr>
      <w:r>
        <w:rPr>
          <w:rFonts w:hint="eastAsia"/>
        </w:rPr>
        <w:t>5、如我方中标，我方承诺在收到中标通知书后，在中标通知书规定的期限内，</w:t>
      </w:r>
      <w:r>
        <w:rPr>
          <w:rFonts w:hint="eastAsia" w:hAnsi="宋体"/>
        </w:rPr>
        <w:t>根据招标文件、我方的投标文件及有关澄清承诺书的要求按第五章“拟签订的合同文本”与采购人订立书面合同，并按照合同约定</w:t>
      </w:r>
      <w:r>
        <w:rPr>
          <w:rFonts w:hint="eastAsia"/>
        </w:rPr>
        <w:t>承担完成合同的责任和义务。</w:t>
      </w:r>
    </w:p>
    <w:p w14:paraId="0AF36F2E">
      <w:pPr>
        <w:pStyle w:val="11"/>
        <w:spacing w:line="440" w:lineRule="exact"/>
        <w:ind w:firstLine="420" w:firstLineChars="200"/>
        <w:rPr>
          <w:rFonts w:hint="eastAsia"/>
        </w:rPr>
      </w:pPr>
      <w:r>
        <w:rPr>
          <w:rFonts w:hint="eastAsia"/>
        </w:rPr>
        <w:t>6、我方已详细审核招标文件，我方知道必须放弃提出含糊不清或误解问题的权利。</w:t>
      </w:r>
    </w:p>
    <w:p w14:paraId="31869154">
      <w:pPr>
        <w:pStyle w:val="11"/>
        <w:spacing w:line="440" w:lineRule="exact"/>
        <w:ind w:firstLine="420" w:firstLineChars="200"/>
        <w:rPr>
          <w:rFonts w:hint="eastAsia"/>
        </w:rPr>
      </w:pPr>
      <w:r>
        <w:rPr>
          <w:rFonts w:hint="eastAsia"/>
        </w:rPr>
        <w:t>7、我方同意应贵方要求提供与本投标有关的任何数据或资料。若贵方需要，我方愿意提供我方作出的一切承诺的证明材料。</w:t>
      </w:r>
    </w:p>
    <w:p w14:paraId="290B3045">
      <w:pPr>
        <w:pStyle w:val="11"/>
        <w:spacing w:line="440" w:lineRule="exact"/>
        <w:ind w:firstLine="420" w:firstLineChars="200"/>
        <w:rPr>
          <w:rFonts w:hint="eastAsia"/>
        </w:rPr>
      </w:pPr>
      <w:r>
        <w:rPr>
          <w:rFonts w:hint="eastAsia"/>
        </w:rPr>
        <w:t>8、我方完全理解贵方不一定接受投标报价最低的投标人为中标供应商的行为。</w:t>
      </w:r>
    </w:p>
    <w:p w14:paraId="0A7D7AA1">
      <w:pPr>
        <w:pStyle w:val="11"/>
        <w:spacing w:line="440" w:lineRule="exact"/>
        <w:ind w:firstLine="420" w:firstLineChars="200"/>
        <w:rPr>
          <w:rFonts w:hint="eastAsia"/>
        </w:rPr>
      </w:pPr>
      <w:r>
        <w:rPr>
          <w:rFonts w:hint="eastAsia"/>
        </w:rPr>
        <w:t>9、我方将严格遵守《中华人民共和国政府采购法》第七十七条的规定，即供应商有下列情形之一的，处以采购金额千分之五以上千分之十</w:t>
      </w:r>
      <w:r>
        <w:rPr>
          <w:rFonts w:hint="eastAsia" w:hAnsi="宋体"/>
        </w:rPr>
        <w:t>以下的罚款，列入不良行为记录名单，在一至三年内禁止参加政府采购活动，有违法所得的，并处没收违法所得，情节严重的，由工商行政管理机关吊销营业执照；构成犯罪的，依法追究刑事责任：</w:t>
      </w:r>
    </w:p>
    <w:p w14:paraId="653F8D70">
      <w:pPr>
        <w:pStyle w:val="11"/>
        <w:numPr>
          <w:ilvl w:val="0"/>
          <w:numId w:val="7"/>
        </w:numPr>
        <w:tabs>
          <w:tab w:val="left" w:pos="1140"/>
        </w:tabs>
        <w:spacing w:line="440" w:lineRule="exact"/>
        <w:rPr>
          <w:rFonts w:hint="eastAsia" w:hAnsi="宋体"/>
        </w:rPr>
      </w:pPr>
      <w:r>
        <w:rPr>
          <w:rFonts w:hint="eastAsia" w:hAnsi="宋体"/>
        </w:rPr>
        <w:t>提供虚假材料谋取中标、成交的；</w:t>
      </w:r>
    </w:p>
    <w:p w14:paraId="6A2AD127">
      <w:pPr>
        <w:pStyle w:val="11"/>
        <w:numPr>
          <w:ilvl w:val="0"/>
          <w:numId w:val="7"/>
        </w:numPr>
        <w:tabs>
          <w:tab w:val="left" w:pos="1140"/>
        </w:tabs>
        <w:spacing w:line="440" w:lineRule="exact"/>
        <w:rPr>
          <w:rFonts w:hint="eastAsia" w:hAnsi="宋体"/>
        </w:rPr>
      </w:pPr>
      <w:r>
        <w:rPr>
          <w:rFonts w:hint="eastAsia" w:hAnsi="宋体"/>
        </w:rPr>
        <w:t>采取不正当手段诋毁、排挤其他供应商的；</w:t>
      </w:r>
    </w:p>
    <w:p w14:paraId="2E84C3B4">
      <w:pPr>
        <w:pStyle w:val="11"/>
        <w:numPr>
          <w:ilvl w:val="0"/>
          <w:numId w:val="7"/>
        </w:numPr>
        <w:tabs>
          <w:tab w:val="left" w:pos="1140"/>
        </w:tabs>
        <w:spacing w:line="440" w:lineRule="exact"/>
        <w:rPr>
          <w:rFonts w:hint="eastAsia"/>
        </w:rPr>
      </w:pPr>
      <w:r>
        <w:rPr>
          <w:rFonts w:hint="eastAsia" w:hAnsi="宋体"/>
        </w:rPr>
        <w:t>与采购人、其他供应商或者采购代理机构恶意串通的；</w:t>
      </w:r>
    </w:p>
    <w:p w14:paraId="219DC483">
      <w:pPr>
        <w:pStyle w:val="11"/>
        <w:numPr>
          <w:ilvl w:val="0"/>
          <w:numId w:val="7"/>
        </w:numPr>
        <w:tabs>
          <w:tab w:val="left" w:pos="1140"/>
        </w:tabs>
        <w:spacing w:line="440" w:lineRule="exact"/>
        <w:rPr>
          <w:rFonts w:hint="eastAsia"/>
        </w:rPr>
      </w:pPr>
      <w:r>
        <w:rPr>
          <w:rFonts w:hint="eastAsia" w:hAnsi="宋体"/>
        </w:rPr>
        <w:t>向采购人、采购代理机构行贿或者提供其他不正当利益的；</w:t>
      </w:r>
    </w:p>
    <w:p w14:paraId="799B985D">
      <w:pPr>
        <w:pStyle w:val="11"/>
        <w:numPr>
          <w:ilvl w:val="0"/>
          <w:numId w:val="7"/>
        </w:numPr>
        <w:tabs>
          <w:tab w:val="left" w:pos="1140"/>
        </w:tabs>
        <w:spacing w:line="440" w:lineRule="exact"/>
        <w:rPr>
          <w:rFonts w:hint="eastAsia"/>
        </w:rPr>
      </w:pPr>
      <w:r>
        <w:rPr>
          <w:rFonts w:hint="eastAsia" w:hAnsi="宋体"/>
        </w:rPr>
        <w:t>在招标采购过程中与采购人进行协商谈判的；</w:t>
      </w:r>
    </w:p>
    <w:p w14:paraId="1A94A860">
      <w:pPr>
        <w:pStyle w:val="11"/>
        <w:numPr>
          <w:ilvl w:val="0"/>
          <w:numId w:val="7"/>
        </w:numPr>
        <w:tabs>
          <w:tab w:val="left" w:pos="1140"/>
        </w:tabs>
        <w:spacing w:line="440" w:lineRule="exact"/>
        <w:rPr>
          <w:rFonts w:hint="eastAsia"/>
        </w:rPr>
      </w:pPr>
      <w:r>
        <w:rPr>
          <w:rFonts w:hint="eastAsia" w:hAnsi="宋体"/>
        </w:rPr>
        <w:t>拒绝有关部门监督检查或提供虚假情况的。</w:t>
      </w:r>
    </w:p>
    <w:p w14:paraId="395AA0A5">
      <w:pPr>
        <w:pStyle w:val="11"/>
        <w:spacing w:line="440" w:lineRule="exact"/>
        <w:ind w:left="420"/>
        <w:rPr>
          <w:rFonts w:hint="eastAsia"/>
          <w:color w:val="000000"/>
        </w:rPr>
      </w:pPr>
      <w:r>
        <w:rPr>
          <w:rFonts w:hint="eastAsia"/>
          <w:color w:val="000000"/>
        </w:rPr>
        <w:t>10、我方及由本人担任法定代表人的其他机构最近三年内被处罚的违法行为有：</w:t>
      </w:r>
      <w:r>
        <w:rPr>
          <w:rFonts w:hint="eastAsia"/>
          <w:color w:val="000000"/>
          <w:u w:val="single"/>
        </w:rPr>
        <w:t xml:space="preserve">                                        </w:t>
      </w:r>
    </w:p>
    <w:p w14:paraId="7B24807E">
      <w:pPr>
        <w:pStyle w:val="11"/>
        <w:spacing w:line="440" w:lineRule="exact"/>
        <w:ind w:left="420"/>
        <w:rPr>
          <w:rFonts w:hint="eastAsia"/>
          <w:color w:val="000000"/>
        </w:rPr>
      </w:pPr>
      <w:r>
        <w:rPr>
          <w:rFonts w:hint="eastAsia"/>
          <w:color w:val="000000"/>
          <w:u w:val="single"/>
        </w:rPr>
        <w:t xml:space="preserve">                                                                                                                        </w:t>
      </w:r>
    </w:p>
    <w:p w14:paraId="1ED9AF3A">
      <w:pPr>
        <w:pStyle w:val="11"/>
        <w:spacing w:line="360" w:lineRule="auto"/>
        <w:ind w:firstLine="420"/>
        <w:rPr>
          <w:rFonts w:hint="eastAsia"/>
          <w:color w:val="000000"/>
        </w:rPr>
      </w:pPr>
      <w:r>
        <w:rPr>
          <w:rFonts w:hint="eastAsia"/>
          <w:color w:val="000000"/>
        </w:rPr>
        <w:t>11、以上事项如有虚假或隐瞒，我方愿意承担一切后果，并不再寻求任何旨在减轻或免除法律责任的辩解。</w:t>
      </w:r>
    </w:p>
    <w:p w14:paraId="276CC170">
      <w:pPr>
        <w:pStyle w:val="11"/>
        <w:spacing w:line="360" w:lineRule="auto"/>
        <w:ind w:firstLine="420"/>
        <w:rPr>
          <w:rFonts w:hint="eastAsia"/>
          <w:color w:val="000000"/>
        </w:rPr>
      </w:pPr>
      <w:r>
        <w:rPr>
          <w:rFonts w:hint="eastAsia"/>
          <w:color w:val="000000"/>
        </w:rPr>
        <w:t>12、与本投标有关的一切正式往来信函请寄：</w:t>
      </w:r>
      <w:r>
        <w:rPr>
          <w:rFonts w:hint="eastAsia"/>
          <w:u w:val="single"/>
        </w:rPr>
        <w:t xml:space="preserve"> </w:t>
      </w:r>
    </w:p>
    <w:p w14:paraId="4BBE9DD1">
      <w:pPr>
        <w:pStyle w:val="11"/>
        <w:spacing w:line="360" w:lineRule="auto"/>
        <w:ind w:firstLine="420"/>
        <w:rPr>
          <w:rFonts w:hint="eastAsia"/>
        </w:rPr>
      </w:pPr>
      <w:r>
        <w:rPr>
          <w:rFonts w:hint="eastAsia"/>
        </w:rPr>
        <w:t>地址：</w:t>
      </w:r>
      <w:r>
        <w:rPr>
          <w:rFonts w:hint="eastAsia"/>
          <w:u w:val="single"/>
        </w:rPr>
        <w:t xml:space="preserve">                                                        </w:t>
      </w:r>
      <w:r>
        <w:rPr>
          <w:rFonts w:hint="eastAsia"/>
        </w:rPr>
        <w:t xml:space="preserve"> </w:t>
      </w:r>
    </w:p>
    <w:p w14:paraId="4E101ED6">
      <w:pPr>
        <w:pStyle w:val="11"/>
        <w:spacing w:line="360" w:lineRule="auto"/>
        <w:ind w:firstLine="420"/>
        <w:rPr>
          <w:rFonts w:hint="eastAsia"/>
          <w:u w:val="single"/>
        </w:rPr>
      </w:pPr>
      <w:r>
        <w:rPr>
          <w:rFonts w:hint="eastAsia"/>
        </w:rPr>
        <w:t>电话：</w:t>
      </w:r>
      <w:r>
        <w:rPr>
          <w:rFonts w:hint="eastAsia"/>
          <w:u w:val="single"/>
        </w:rPr>
        <w:t xml:space="preserve">                                      　　　　　　　　　</w:t>
      </w:r>
    </w:p>
    <w:p w14:paraId="365B3750">
      <w:pPr>
        <w:pStyle w:val="11"/>
        <w:spacing w:line="360" w:lineRule="auto"/>
        <w:ind w:firstLine="420"/>
        <w:rPr>
          <w:rFonts w:hint="eastAsia"/>
        </w:rPr>
      </w:pPr>
      <w:r>
        <w:rPr>
          <w:rFonts w:hint="eastAsia"/>
        </w:rPr>
        <w:t>传真：</w:t>
      </w:r>
      <w:r>
        <w:rPr>
          <w:rFonts w:hint="eastAsia"/>
          <w:u w:val="single"/>
        </w:rPr>
        <w:t>　　　　　　　　　　　　　　　　　　　　　　　　　　　　</w:t>
      </w:r>
    </w:p>
    <w:p w14:paraId="2C1F1E93">
      <w:pPr>
        <w:pStyle w:val="11"/>
        <w:spacing w:line="360" w:lineRule="auto"/>
        <w:ind w:firstLine="420"/>
        <w:rPr>
          <w:rFonts w:hint="eastAsia"/>
          <w:u w:val="single"/>
        </w:rPr>
      </w:pPr>
      <w:r>
        <w:rPr>
          <w:rFonts w:hint="eastAsia"/>
        </w:rPr>
        <w:t>邮政编码：</w:t>
      </w:r>
      <w:r>
        <w:rPr>
          <w:rFonts w:hint="eastAsia"/>
          <w:u w:val="single"/>
        </w:rPr>
        <w:t xml:space="preserve">                                                    </w:t>
      </w:r>
    </w:p>
    <w:p w14:paraId="60B546CD">
      <w:pPr>
        <w:pStyle w:val="11"/>
        <w:spacing w:line="360" w:lineRule="auto"/>
        <w:ind w:firstLine="420"/>
        <w:rPr>
          <w:rFonts w:hint="eastAsia"/>
          <w:u w:val="single"/>
        </w:rPr>
      </w:pPr>
      <w:r>
        <w:rPr>
          <w:rFonts w:hint="eastAsia"/>
        </w:rPr>
        <w:t>开户名称：</w:t>
      </w:r>
      <w:r>
        <w:rPr>
          <w:rFonts w:hint="eastAsia"/>
          <w:u w:val="single"/>
        </w:rPr>
        <w:t xml:space="preserve">                                                    </w:t>
      </w:r>
    </w:p>
    <w:p w14:paraId="38AA7164">
      <w:pPr>
        <w:pStyle w:val="11"/>
        <w:spacing w:line="360" w:lineRule="auto"/>
        <w:ind w:firstLine="420"/>
        <w:rPr>
          <w:rFonts w:hint="eastAsia"/>
          <w:u w:val="single"/>
        </w:rPr>
      </w:pPr>
      <w:r>
        <w:rPr>
          <w:rFonts w:hint="eastAsia"/>
        </w:rPr>
        <w:t>开户银行：</w:t>
      </w:r>
      <w:r>
        <w:rPr>
          <w:rFonts w:hint="eastAsia"/>
          <w:u w:val="single"/>
        </w:rPr>
        <w:t xml:space="preserve">                                                    </w:t>
      </w:r>
    </w:p>
    <w:p w14:paraId="5C459DFA">
      <w:pPr>
        <w:pStyle w:val="11"/>
        <w:spacing w:line="360" w:lineRule="auto"/>
        <w:ind w:firstLine="420"/>
        <w:rPr>
          <w:rFonts w:hint="eastAsia"/>
          <w:u w:val="single"/>
        </w:rPr>
      </w:pPr>
      <w:r>
        <w:rPr>
          <w:rFonts w:hint="eastAsia"/>
        </w:rPr>
        <w:t>银行账号：</w:t>
      </w:r>
      <w:r>
        <w:rPr>
          <w:rFonts w:hint="eastAsia"/>
          <w:u w:val="single"/>
        </w:rPr>
        <w:t xml:space="preserve">                                                    </w:t>
      </w:r>
    </w:p>
    <w:p w14:paraId="1F50FA13">
      <w:pPr>
        <w:snapToGrid w:val="0"/>
        <w:spacing w:line="360" w:lineRule="auto"/>
        <w:ind w:firstLine="5040" w:firstLineChars="2100"/>
        <w:rPr>
          <w:rFonts w:hint="eastAsia" w:ascii="仿宋_GB2312" w:hAnsi="仿宋" w:eastAsia="仿宋_GB2312" w:cs="仿宋_GB2312"/>
          <w:kern w:val="0"/>
          <w:sz w:val="24"/>
          <w:lang w:val="zh-CN"/>
        </w:rPr>
      </w:pPr>
    </w:p>
    <w:p w14:paraId="3631A64A">
      <w:pPr>
        <w:snapToGrid w:val="0"/>
        <w:spacing w:line="360" w:lineRule="auto"/>
        <w:ind w:firstLine="5040" w:firstLineChars="2100"/>
        <w:rPr>
          <w:rFonts w:hint="eastAsia" w:ascii="仿宋_GB2312" w:hAnsi="仿宋" w:eastAsia="仿宋_GB2312" w:cs="仿宋_GB2312"/>
          <w:kern w:val="0"/>
          <w:sz w:val="24"/>
        </w:rPr>
      </w:pPr>
      <w:r>
        <w:rPr>
          <w:rFonts w:hint="eastAsia" w:ascii="仿宋_GB2312" w:hAnsi="仿宋" w:eastAsia="仿宋_GB2312" w:cs="仿宋_GB2312"/>
          <w:kern w:val="0"/>
          <w:sz w:val="24"/>
          <w:lang w:val="zh-CN"/>
        </w:rPr>
        <w:t>投标人名称(电子签章)：</w:t>
      </w:r>
    </w:p>
    <w:p w14:paraId="1119496A">
      <w:pPr>
        <w:snapToGrid w:val="0"/>
        <w:spacing w:line="360" w:lineRule="auto"/>
        <w:ind w:firstLine="5160" w:firstLineChars="2150"/>
        <w:rPr>
          <w:rFonts w:hint="eastAsia" w:ascii="仿宋_GB2312" w:hAnsi="仿宋" w:eastAsia="仿宋_GB2312" w:cs="仿宋_GB2312"/>
          <w:kern w:val="0"/>
          <w:sz w:val="24"/>
          <w:lang w:val="zh-CN"/>
        </w:rPr>
      </w:pPr>
      <w:r>
        <w:rPr>
          <w:rFonts w:hint="eastAsia" w:ascii="仿宋_GB2312" w:hAnsi="仿宋" w:eastAsia="仿宋_GB2312" w:cs="仿宋_GB2312"/>
          <w:kern w:val="0"/>
          <w:sz w:val="24"/>
          <w:lang w:val="zh-CN"/>
        </w:rPr>
        <w:t>日期</w:t>
      </w:r>
      <w:r>
        <w:rPr>
          <w:rFonts w:hint="eastAsia" w:ascii="仿宋_GB2312" w:hAnsi="仿宋" w:eastAsia="仿宋_GB2312" w:cs="仿宋_GB2312"/>
          <w:kern w:val="0"/>
          <w:sz w:val="24"/>
        </w:rPr>
        <w:t xml:space="preserve">：  年  </w:t>
      </w:r>
      <w:r>
        <w:rPr>
          <w:rFonts w:hint="eastAsia" w:ascii="仿宋_GB2312" w:hAnsi="仿宋" w:eastAsia="仿宋_GB2312" w:cs="仿宋_GB2312"/>
          <w:kern w:val="0"/>
          <w:sz w:val="24"/>
          <w:lang w:val="zh-CN"/>
        </w:rPr>
        <w:t>月</w:t>
      </w:r>
      <w:r>
        <w:rPr>
          <w:rFonts w:hint="eastAsia" w:ascii="仿宋_GB2312" w:hAnsi="仿宋" w:eastAsia="仿宋_GB2312" w:cs="仿宋_GB2312"/>
          <w:kern w:val="0"/>
          <w:sz w:val="24"/>
        </w:rPr>
        <w:t xml:space="preserve">   </w:t>
      </w:r>
      <w:r>
        <w:rPr>
          <w:rFonts w:hint="eastAsia" w:ascii="仿宋_GB2312" w:hAnsi="仿宋" w:eastAsia="仿宋_GB2312" w:cs="仿宋_GB2312"/>
          <w:kern w:val="0"/>
          <w:sz w:val="24"/>
          <w:lang w:val="zh-CN"/>
        </w:rPr>
        <w:t>日</w:t>
      </w:r>
    </w:p>
    <w:p w14:paraId="36724715">
      <w:pPr>
        <w:widowControl/>
        <w:spacing w:line="360" w:lineRule="auto"/>
        <w:jc w:val="left"/>
        <w:rPr>
          <w:rFonts w:ascii="仿宋_GB2312" w:hAnsi="仿宋" w:eastAsia="仿宋_GB2312" w:cs="仿宋_GB2312"/>
          <w:kern w:val="0"/>
          <w:sz w:val="24"/>
          <w:lang w:val="zh-CN"/>
        </w:rPr>
        <w:sectPr>
          <w:pgSz w:w="11906" w:h="16838"/>
          <w:pgMar w:top="1134" w:right="1134" w:bottom="1134" w:left="1134" w:header="720" w:footer="720" w:gutter="0"/>
          <w:cols w:space="720" w:num="1"/>
          <w:docGrid w:type="lines" w:linePitch="331" w:charSpace="0"/>
        </w:sectPr>
      </w:pPr>
    </w:p>
    <w:p w14:paraId="6ACEF378">
      <w:pPr>
        <w:pStyle w:val="11"/>
        <w:spacing w:line="360" w:lineRule="auto"/>
        <w:jc w:val="center"/>
        <w:rPr>
          <w:rFonts w:hint="eastAsia"/>
          <w:b/>
          <w:sz w:val="30"/>
          <w:szCs w:val="30"/>
        </w:rPr>
      </w:pPr>
      <w:r>
        <w:rPr>
          <w:rFonts w:hint="eastAsia" w:hAnsi="宋体"/>
          <w:color w:val="000000"/>
          <w:sz w:val="30"/>
        </w:rPr>
        <w:t>二、</w:t>
      </w:r>
      <w:r>
        <w:rPr>
          <w:rFonts w:hint="eastAsia"/>
          <w:b/>
          <w:sz w:val="30"/>
          <w:szCs w:val="30"/>
        </w:rPr>
        <w:t>开标一览表</w:t>
      </w:r>
      <w:r>
        <w:rPr>
          <w:rFonts w:hint="eastAsia" w:ascii="仿宋_GB2312" w:hAnsi="仿宋" w:eastAsia="仿宋_GB2312" w:cs="仿宋_GB2312"/>
          <w:b/>
          <w:kern w:val="0"/>
          <w:sz w:val="24"/>
          <w:lang w:val="zh-CN"/>
        </w:rPr>
        <w:t>(单位均为人民币元)</w:t>
      </w:r>
    </w:p>
    <w:p w14:paraId="5B4B2BDF">
      <w:pPr>
        <w:snapToGrid w:val="0"/>
        <w:spacing w:before="50" w:after="50" w:line="360" w:lineRule="auto"/>
        <w:rPr>
          <w:rFonts w:hint="eastAsia" w:ascii="宋体" w:hAnsi="宋体"/>
          <w:sz w:val="24"/>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南宁市第三职业技术学校2026年优质校及优质专业内涵建设服务项目</w:t>
      </w:r>
      <w:r>
        <w:rPr>
          <w:rFonts w:hint="eastAsia" w:ascii="宋体" w:hAnsi="宋体"/>
          <w:sz w:val="24"/>
        </w:rPr>
        <w:t xml:space="preserve">  </w:t>
      </w:r>
    </w:p>
    <w:p w14:paraId="078D20FD">
      <w:pPr>
        <w:snapToGrid w:val="0"/>
        <w:spacing w:before="50" w:after="50" w:line="360" w:lineRule="auto"/>
        <w:rPr>
          <w:rFonts w:hint="eastAsia" w:ascii="宋体" w:hAnsi="宋体"/>
          <w:sz w:val="24"/>
        </w:rPr>
      </w:pPr>
      <w:r>
        <w:rPr>
          <w:rFonts w:hint="eastAsia" w:ascii="宋体" w:hAnsi="宋体"/>
          <w:sz w:val="24"/>
        </w:rPr>
        <w:t>项目编号：</w:t>
      </w:r>
      <w:r>
        <w:rPr>
          <w:rFonts w:hint="eastAsia" w:ascii="宋体" w:hAnsi="宋体"/>
          <w:sz w:val="24"/>
          <w:u w:val="single"/>
        </w:rPr>
        <w:t xml:space="preserve"> </w:t>
      </w:r>
      <w:r>
        <w:rPr>
          <w:rFonts w:hint="eastAsia" w:ascii="宋体" w:hAnsi="宋体"/>
          <w:sz w:val="24"/>
          <w:u w:val="single"/>
          <w:lang w:eastAsia="zh-CN"/>
        </w:rPr>
        <w:t>NNZC2026-G3-990830-GXGJ</w:t>
      </w:r>
      <w:r>
        <w:rPr>
          <w:rFonts w:hint="eastAsia" w:ascii="宋体" w:hAnsi="宋体"/>
          <w:sz w:val="24"/>
          <w:u w:val="single"/>
        </w:rPr>
        <w:t xml:space="preserve"> </w:t>
      </w:r>
      <w:r>
        <w:rPr>
          <w:rFonts w:hint="eastAsia" w:ascii="宋体" w:hAnsi="宋体"/>
          <w:sz w:val="24"/>
        </w:rPr>
        <w:t xml:space="preserve"> </w:t>
      </w:r>
    </w:p>
    <w:p w14:paraId="61C86DB0">
      <w:pPr>
        <w:snapToGrid w:val="0"/>
        <w:spacing w:before="50" w:after="50" w:line="360" w:lineRule="auto"/>
        <w:rPr>
          <w:rFonts w:hint="eastAsia" w:ascii="宋体" w:hAnsi="宋体"/>
          <w:sz w:val="24"/>
          <w:u w:val="single"/>
        </w:rPr>
      </w:pPr>
      <w:r>
        <w:rPr>
          <w:rFonts w:hint="eastAsia" w:ascii="宋体" w:hAnsi="宋体"/>
          <w:sz w:val="24"/>
        </w:rPr>
        <w:t>分标：</w:t>
      </w:r>
      <w:r>
        <w:rPr>
          <w:rFonts w:hint="eastAsia" w:ascii="宋体" w:hAnsi="宋体"/>
          <w:sz w:val="24"/>
          <w:u w:val="single"/>
        </w:rPr>
        <w:t xml:space="preserve">      </w:t>
      </w:r>
    </w:p>
    <w:p w14:paraId="1DB1483F">
      <w:pPr>
        <w:pStyle w:val="11"/>
        <w:spacing w:line="360" w:lineRule="auto"/>
        <w:rPr>
          <w:rFonts w:hint="eastAsia"/>
          <w:b/>
          <w:sz w:val="32"/>
        </w:rPr>
      </w:pPr>
      <w:r>
        <w:rPr>
          <w:rFonts w:hint="eastAsia" w:hAnsi="宋体"/>
          <w:sz w:val="24"/>
        </w:rPr>
        <w:t>投标人名称：</w:t>
      </w:r>
      <w:r>
        <w:rPr>
          <w:rFonts w:hint="eastAsia" w:hAnsi="宋体"/>
          <w:sz w:val="24"/>
          <w:u w:val="single"/>
        </w:rPr>
        <w:t xml:space="preserve">                     </w:t>
      </w:r>
      <w:r>
        <w:rPr>
          <w:rFonts w:hint="eastAsia" w:hAnsi="宋体"/>
          <w:sz w:val="24"/>
        </w:rPr>
        <w:t xml:space="preserve">   </w:t>
      </w:r>
    </w:p>
    <w:tbl>
      <w:tblPr>
        <w:tblStyle w:val="16"/>
        <w:tblW w:w="100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1"/>
        <w:gridCol w:w="1646"/>
        <w:gridCol w:w="2745"/>
        <w:gridCol w:w="641"/>
        <w:gridCol w:w="800"/>
        <w:gridCol w:w="1247"/>
        <w:gridCol w:w="1603"/>
        <w:gridCol w:w="714"/>
      </w:tblGrid>
      <w:tr w14:paraId="11413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0" w:hRule="atLeast"/>
        </w:trPr>
        <w:tc>
          <w:tcPr>
            <w:tcW w:w="661" w:type="dxa"/>
            <w:tcBorders>
              <w:top w:val="single" w:color="auto" w:sz="4" w:space="0"/>
              <w:left w:val="single" w:color="auto" w:sz="4" w:space="0"/>
              <w:bottom w:val="single" w:color="auto" w:sz="4" w:space="0"/>
              <w:right w:val="single" w:color="auto" w:sz="4" w:space="0"/>
            </w:tcBorders>
            <w:noWrap w:val="0"/>
            <w:vAlign w:val="center"/>
          </w:tcPr>
          <w:p w14:paraId="098B619E">
            <w:pPr>
              <w:jc w:val="center"/>
              <w:rPr>
                <w:rFonts w:hint="eastAsia" w:ascii="宋体" w:hAnsi="宋体" w:eastAsia="宋体" w:cs="宋体"/>
                <w:sz w:val="21"/>
                <w:szCs w:val="21"/>
              </w:rPr>
            </w:pPr>
            <w:r>
              <w:rPr>
                <w:rFonts w:hint="eastAsia" w:ascii="宋体" w:hAnsi="宋体" w:eastAsia="宋体" w:cs="宋体"/>
                <w:sz w:val="21"/>
                <w:szCs w:val="21"/>
              </w:rPr>
              <w:t>序号</w:t>
            </w:r>
          </w:p>
        </w:tc>
        <w:tc>
          <w:tcPr>
            <w:tcW w:w="1646" w:type="dxa"/>
            <w:tcBorders>
              <w:top w:val="single" w:color="auto" w:sz="4" w:space="0"/>
              <w:left w:val="single" w:color="auto" w:sz="4" w:space="0"/>
              <w:bottom w:val="single" w:color="auto" w:sz="4" w:space="0"/>
              <w:right w:val="single" w:color="auto" w:sz="4" w:space="0"/>
            </w:tcBorders>
            <w:noWrap w:val="0"/>
            <w:vAlign w:val="center"/>
          </w:tcPr>
          <w:p w14:paraId="0133889A">
            <w:pPr>
              <w:jc w:val="center"/>
              <w:rPr>
                <w:rFonts w:hint="eastAsia" w:ascii="宋体" w:hAnsi="宋体" w:eastAsia="宋体" w:cs="宋体"/>
                <w:sz w:val="21"/>
                <w:szCs w:val="21"/>
              </w:rPr>
            </w:pPr>
            <w:r>
              <w:rPr>
                <w:rFonts w:hint="eastAsia" w:ascii="宋体" w:hAnsi="宋体" w:eastAsia="宋体" w:cs="宋体"/>
                <w:sz w:val="21"/>
                <w:szCs w:val="21"/>
              </w:rPr>
              <w:t>标的名称</w:t>
            </w:r>
          </w:p>
        </w:tc>
        <w:tc>
          <w:tcPr>
            <w:tcW w:w="2745" w:type="dxa"/>
            <w:tcBorders>
              <w:top w:val="single" w:color="auto" w:sz="4" w:space="0"/>
              <w:left w:val="single" w:color="auto" w:sz="4" w:space="0"/>
              <w:bottom w:val="single" w:color="auto" w:sz="4" w:space="0"/>
              <w:right w:val="single" w:color="auto" w:sz="4" w:space="0"/>
            </w:tcBorders>
            <w:noWrap w:val="0"/>
            <w:vAlign w:val="center"/>
          </w:tcPr>
          <w:p w14:paraId="3EB05BEE">
            <w:pPr>
              <w:jc w:val="center"/>
              <w:rPr>
                <w:rFonts w:hint="eastAsia" w:ascii="宋体" w:hAnsi="宋体" w:eastAsia="宋体" w:cs="宋体"/>
                <w:sz w:val="21"/>
                <w:szCs w:val="21"/>
              </w:rPr>
            </w:pPr>
            <w:r>
              <w:rPr>
                <w:rFonts w:hint="eastAsia" w:ascii="宋体" w:hAnsi="宋体" w:eastAsia="宋体" w:cs="宋体"/>
                <w:sz w:val="21"/>
                <w:szCs w:val="21"/>
              </w:rPr>
              <w:t>具体服务内容</w:t>
            </w:r>
          </w:p>
          <w:p w14:paraId="73C33BE4">
            <w:pPr>
              <w:jc w:val="center"/>
              <w:rPr>
                <w:rFonts w:hint="eastAsia" w:ascii="宋体" w:hAnsi="宋体" w:eastAsia="宋体" w:cs="宋体"/>
                <w:sz w:val="21"/>
                <w:szCs w:val="21"/>
              </w:rPr>
            </w:pPr>
            <w:r>
              <w:rPr>
                <w:rFonts w:hint="eastAsia" w:ascii="宋体" w:hAnsi="宋体" w:eastAsia="宋体" w:cs="宋体"/>
                <w:sz w:val="21"/>
                <w:szCs w:val="21"/>
              </w:rPr>
              <w:t>（包括服务范围、服务要求、服务时间、服务标准）</w:t>
            </w:r>
          </w:p>
        </w:tc>
        <w:tc>
          <w:tcPr>
            <w:tcW w:w="641" w:type="dxa"/>
            <w:tcBorders>
              <w:top w:val="single" w:color="auto" w:sz="4" w:space="0"/>
              <w:left w:val="single" w:color="auto" w:sz="4" w:space="0"/>
              <w:bottom w:val="single" w:color="auto" w:sz="4" w:space="0"/>
              <w:right w:val="single" w:color="auto" w:sz="4" w:space="0"/>
            </w:tcBorders>
            <w:noWrap w:val="0"/>
            <w:vAlign w:val="center"/>
          </w:tcPr>
          <w:p w14:paraId="356EF17E">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单位</w:t>
            </w:r>
          </w:p>
        </w:tc>
        <w:tc>
          <w:tcPr>
            <w:tcW w:w="800" w:type="dxa"/>
            <w:tcBorders>
              <w:top w:val="single" w:color="auto" w:sz="4" w:space="0"/>
              <w:left w:val="single" w:color="auto" w:sz="4" w:space="0"/>
              <w:bottom w:val="single" w:color="auto" w:sz="4" w:space="0"/>
              <w:right w:val="single" w:color="auto" w:sz="4" w:space="0"/>
            </w:tcBorders>
            <w:noWrap w:val="0"/>
            <w:vAlign w:val="center"/>
          </w:tcPr>
          <w:p w14:paraId="1EDA6A5B">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数量①</w:t>
            </w:r>
          </w:p>
        </w:tc>
        <w:tc>
          <w:tcPr>
            <w:tcW w:w="1247" w:type="dxa"/>
            <w:tcBorders>
              <w:top w:val="single" w:color="auto" w:sz="4" w:space="0"/>
              <w:left w:val="single" w:color="auto" w:sz="4" w:space="0"/>
              <w:bottom w:val="single" w:color="auto" w:sz="4" w:space="0"/>
              <w:right w:val="single" w:color="auto" w:sz="4" w:space="0"/>
            </w:tcBorders>
            <w:noWrap w:val="0"/>
            <w:vAlign w:val="center"/>
          </w:tcPr>
          <w:p w14:paraId="6AE00619">
            <w:pPr>
              <w:jc w:val="center"/>
              <w:rPr>
                <w:rFonts w:hint="eastAsia" w:ascii="宋体" w:hAnsi="宋体" w:eastAsia="宋体" w:cs="宋体"/>
                <w:sz w:val="21"/>
                <w:szCs w:val="21"/>
              </w:rPr>
            </w:pPr>
            <w:r>
              <w:rPr>
                <w:rFonts w:hint="eastAsia" w:ascii="宋体" w:hAnsi="宋体" w:eastAsia="宋体" w:cs="宋体"/>
                <w:sz w:val="21"/>
                <w:szCs w:val="21"/>
              </w:rPr>
              <w:t>单价(元)②</w:t>
            </w:r>
          </w:p>
        </w:tc>
        <w:tc>
          <w:tcPr>
            <w:tcW w:w="1603" w:type="dxa"/>
            <w:tcBorders>
              <w:top w:val="single" w:color="auto" w:sz="4" w:space="0"/>
              <w:left w:val="single" w:color="auto" w:sz="4" w:space="0"/>
              <w:bottom w:val="single" w:color="auto" w:sz="4" w:space="0"/>
              <w:right w:val="single" w:color="auto" w:sz="4" w:space="0"/>
            </w:tcBorders>
            <w:noWrap w:val="0"/>
            <w:vAlign w:val="center"/>
          </w:tcPr>
          <w:p w14:paraId="318AE242">
            <w:pPr>
              <w:jc w:val="center"/>
              <w:rPr>
                <w:rFonts w:hint="eastAsia" w:ascii="宋体" w:hAnsi="宋体" w:eastAsia="宋体" w:cs="宋体"/>
                <w:sz w:val="21"/>
                <w:szCs w:val="21"/>
              </w:rPr>
            </w:pPr>
            <w:r>
              <w:rPr>
                <w:rFonts w:hint="eastAsia" w:ascii="宋体" w:hAnsi="宋体" w:eastAsia="宋体" w:cs="宋体"/>
                <w:sz w:val="21"/>
                <w:szCs w:val="21"/>
              </w:rPr>
              <w:t>单项合价（元）</w:t>
            </w:r>
          </w:p>
          <w:p w14:paraId="30E6825C">
            <w:pPr>
              <w:jc w:val="center"/>
              <w:rPr>
                <w:rFonts w:hint="eastAsia" w:ascii="宋体" w:hAnsi="宋体" w:eastAsia="宋体" w:cs="宋体"/>
                <w:sz w:val="21"/>
                <w:szCs w:val="21"/>
              </w:rPr>
            </w:pPr>
            <w:r>
              <w:rPr>
                <w:rFonts w:hint="eastAsia" w:ascii="宋体" w:hAnsi="宋体" w:eastAsia="宋体" w:cs="宋体"/>
                <w:sz w:val="21"/>
                <w:szCs w:val="21"/>
              </w:rPr>
              <w:t>③＝①×②</w:t>
            </w:r>
          </w:p>
        </w:tc>
        <w:tc>
          <w:tcPr>
            <w:tcW w:w="714" w:type="dxa"/>
            <w:tcBorders>
              <w:top w:val="single" w:color="auto" w:sz="4" w:space="0"/>
              <w:left w:val="single" w:color="auto" w:sz="4" w:space="0"/>
              <w:bottom w:val="single" w:color="auto" w:sz="4" w:space="0"/>
              <w:right w:val="single" w:color="auto" w:sz="4" w:space="0"/>
            </w:tcBorders>
            <w:noWrap w:val="0"/>
            <w:vAlign w:val="center"/>
          </w:tcPr>
          <w:p w14:paraId="704E0F88">
            <w:pPr>
              <w:jc w:val="center"/>
              <w:rPr>
                <w:rFonts w:hint="eastAsia" w:ascii="宋体" w:hAnsi="宋体" w:eastAsia="宋体" w:cs="宋体"/>
                <w:sz w:val="21"/>
                <w:szCs w:val="21"/>
              </w:rPr>
            </w:pPr>
            <w:r>
              <w:rPr>
                <w:rFonts w:hint="eastAsia" w:ascii="宋体" w:hAnsi="宋体" w:eastAsia="宋体" w:cs="宋体"/>
                <w:sz w:val="21"/>
                <w:szCs w:val="21"/>
              </w:rPr>
              <w:t>备注</w:t>
            </w:r>
          </w:p>
        </w:tc>
      </w:tr>
      <w:tr w14:paraId="2D6E3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5" w:hRule="atLeast"/>
        </w:trPr>
        <w:tc>
          <w:tcPr>
            <w:tcW w:w="661" w:type="dxa"/>
            <w:tcBorders>
              <w:top w:val="single" w:color="auto" w:sz="4" w:space="0"/>
              <w:left w:val="single" w:color="auto" w:sz="4" w:space="0"/>
              <w:bottom w:val="single" w:color="auto" w:sz="4" w:space="0"/>
              <w:right w:val="single" w:color="auto" w:sz="4" w:space="0"/>
            </w:tcBorders>
            <w:noWrap w:val="0"/>
            <w:vAlign w:val="center"/>
          </w:tcPr>
          <w:p w14:paraId="0EE514DD">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0"/>
                <w:sz w:val="21"/>
                <w:szCs w:val="21"/>
                <w:highlight w:val="none"/>
              </w:rPr>
              <w:t>1</w:t>
            </w:r>
          </w:p>
        </w:tc>
        <w:tc>
          <w:tcPr>
            <w:tcW w:w="1646" w:type="dxa"/>
            <w:tcBorders>
              <w:top w:val="single" w:color="auto" w:sz="4" w:space="0"/>
              <w:left w:val="single" w:color="auto" w:sz="4" w:space="0"/>
              <w:bottom w:val="single" w:color="auto" w:sz="4" w:space="0"/>
              <w:right w:val="single" w:color="auto" w:sz="4" w:space="0"/>
            </w:tcBorders>
            <w:noWrap w:val="0"/>
            <w:vAlign w:val="center"/>
          </w:tcPr>
          <w:p w14:paraId="3E8F750B">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清真、东盟特色餐饮2门特色课程建设</w:t>
            </w:r>
          </w:p>
        </w:tc>
        <w:tc>
          <w:tcPr>
            <w:tcW w:w="2745" w:type="dxa"/>
            <w:tcBorders>
              <w:top w:val="single" w:color="auto" w:sz="4" w:space="0"/>
              <w:left w:val="single" w:color="auto" w:sz="4" w:space="0"/>
              <w:bottom w:val="single" w:color="auto" w:sz="4" w:space="0"/>
              <w:right w:val="single" w:color="auto" w:sz="4" w:space="0"/>
            </w:tcBorders>
            <w:noWrap w:val="0"/>
            <w:vAlign w:val="center"/>
          </w:tcPr>
          <w:p w14:paraId="267D8248">
            <w:pPr>
              <w:jc w:val="center"/>
              <w:rPr>
                <w:rFonts w:hint="eastAsia" w:ascii="宋体" w:hAnsi="宋体" w:eastAsia="宋体" w:cs="宋体"/>
                <w:sz w:val="21"/>
                <w:szCs w:val="21"/>
              </w:rPr>
            </w:pPr>
            <w:r>
              <w:rPr>
                <w:rFonts w:hint="eastAsia" w:ascii="宋体" w:hAnsi="宋体" w:eastAsia="宋体" w:cs="宋体"/>
                <w:sz w:val="21"/>
                <w:szCs w:val="21"/>
              </w:rPr>
              <w:t>与商务条款偏离表、</w:t>
            </w:r>
            <w:r>
              <w:rPr>
                <w:rFonts w:hint="eastAsia" w:ascii="宋体" w:hAnsi="宋体" w:eastAsia="宋体" w:cs="宋体"/>
                <w:color w:val="000000"/>
                <w:sz w:val="21"/>
                <w:szCs w:val="21"/>
              </w:rPr>
              <w:t>服务需求、技术需求偏离表</w:t>
            </w:r>
            <w:r>
              <w:rPr>
                <w:rFonts w:hint="eastAsia" w:ascii="宋体" w:hAnsi="宋体" w:eastAsia="宋体" w:cs="宋体"/>
                <w:sz w:val="21"/>
                <w:szCs w:val="21"/>
              </w:rPr>
              <w:t>一致</w:t>
            </w:r>
          </w:p>
        </w:tc>
        <w:tc>
          <w:tcPr>
            <w:tcW w:w="641" w:type="dxa"/>
            <w:tcBorders>
              <w:top w:val="single" w:color="auto" w:sz="4" w:space="0"/>
              <w:left w:val="single" w:color="auto" w:sz="4" w:space="0"/>
              <w:bottom w:val="single" w:color="auto" w:sz="4" w:space="0"/>
              <w:right w:val="single" w:color="auto" w:sz="4" w:space="0"/>
            </w:tcBorders>
            <w:noWrap w:val="0"/>
            <w:vAlign w:val="center"/>
          </w:tcPr>
          <w:p w14:paraId="4F130780">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highlight w:val="none"/>
                <w:lang w:val="en-US" w:eastAsia="zh-CN" w:bidi="ar-SA"/>
              </w:rPr>
              <w:t>门</w:t>
            </w:r>
          </w:p>
        </w:tc>
        <w:tc>
          <w:tcPr>
            <w:tcW w:w="800" w:type="dxa"/>
            <w:tcBorders>
              <w:top w:val="single" w:color="auto" w:sz="4" w:space="0"/>
              <w:left w:val="single" w:color="auto" w:sz="4" w:space="0"/>
              <w:bottom w:val="single" w:color="auto" w:sz="4" w:space="0"/>
              <w:right w:val="single" w:color="auto" w:sz="4" w:space="0"/>
            </w:tcBorders>
            <w:noWrap w:val="0"/>
            <w:vAlign w:val="center"/>
          </w:tcPr>
          <w:p w14:paraId="4F650468">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2</w:t>
            </w:r>
          </w:p>
        </w:tc>
        <w:tc>
          <w:tcPr>
            <w:tcW w:w="1247" w:type="dxa"/>
            <w:tcBorders>
              <w:top w:val="single" w:color="auto" w:sz="4" w:space="0"/>
              <w:left w:val="single" w:color="auto" w:sz="4" w:space="0"/>
              <w:bottom w:val="single" w:color="auto" w:sz="4" w:space="0"/>
              <w:right w:val="single" w:color="auto" w:sz="4" w:space="0"/>
            </w:tcBorders>
            <w:noWrap w:val="0"/>
            <w:vAlign w:val="center"/>
          </w:tcPr>
          <w:p w14:paraId="31F64351">
            <w:pPr>
              <w:jc w:val="left"/>
              <w:rPr>
                <w:rFonts w:hint="eastAsia" w:ascii="宋体" w:hAnsi="宋体" w:eastAsia="宋体" w:cs="宋体"/>
                <w:sz w:val="21"/>
                <w:szCs w:val="21"/>
              </w:rPr>
            </w:pPr>
          </w:p>
        </w:tc>
        <w:tc>
          <w:tcPr>
            <w:tcW w:w="1603" w:type="dxa"/>
            <w:tcBorders>
              <w:top w:val="single" w:color="auto" w:sz="4" w:space="0"/>
              <w:left w:val="single" w:color="auto" w:sz="4" w:space="0"/>
              <w:bottom w:val="single" w:color="auto" w:sz="4" w:space="0"/>
              <w:right w:val="single" w:color="auto" w:sz="4" w:space="0"/>
            </w:tcBorders>
            <w:noWrap w:val="0"/>
            <w:vAlign w:val="center"/>
          </w:tcPr>
          <w:p w14:paraId="36C00027">
            <w:pPr>
              <w:jc w:val="left"/>
              <w:rPr>
                <w:rFonts w:hint="eastAsia" w:ascii="宋体" w:hAnsi="宋体" w:eastAsia="宋体" w:cs="宋体"/>
                <w:sz w:val="21"/>
                <w:szCs w:val="21"/>
              </w:rPr>
            </w:pPr>
          </w:p>
        </w:tc>
        <w:tc>
          <w:tcPr>
            <w:tcW w:w="714" w:type="dxa"/>
            <w:tcBorders>
              <w:top w:val="single" w:color="auto" w:sz="4" w:space="0"/>
              <w:left w:val="single" w:color="auto" w:sz="4" w:space="0"/>
              <w:bottom w:val="single" w:color="auto" w:sz="4" w:space="0"/>
              <w:right w:val="single" w:color="auto" w:sz="4" w:space="0"/>
            </w:tcBorders>
            <w:noWrap w:val="0"/>
            <w:vAlign w:val="center"/>
          </w:tcPr>
          <w:p w14:paraId="1FC7CAD8">
            <w:pPr>
              <w:jc w:val="center"/>
              <w:rPr>
                <w:rFonts w:hint="eastAsia" w:ascii="宋体" w:hAnsi="宋体" w:eastAsia="宋体" w:cs="宋体"/>
                <w:sz w:val="21"/>
                <w:szCs w:val="21"/>
              </w:rPr>
            </w:pPr>
          </w:p>
        </w:tc>
      </w:tr>
      <w:tr w14:paraId="44A27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trPr>
        <w:tc>
          <w:tcPr>
            <w:tcW w:w="661" w:type="dxa"/>
            <w:tcBorders>
              <w:top w:val="single" w:color="auto" w:sz="4" w:space="0"/>
              <w:left w:val="single" w:color="auto" w:sz="4" w:space="0"/>
              <w:bottom w:val="single" w:color="auto" w:sz="4" w:space="0"/>
              <w:right w:val="single" w:color="auto" w:sz="4" w:space="0"/>
            </w:tcBorders>
            <w:noWrap w:val="0"/>
            <w:vAlign w:val="center"/>
          </w:tcPr>
          <w:p w14:paraId="537EF30D">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0"/>
                <w:sz w:val="21"/>
                <w:szCs w:val="21"/>
                <w:highlight w:val="none"/>
              </w:rPr>
              <w:t>2</w:t>
            </w:r>
          </w:p>
        </w:tc>
        <w:tc>
          <w:tcPr>
            <w:tcW w:w="1646" w:type="dxa"/>
            <w:tcBorders>
              <w:top w:val="single" w:color="auto" w:sz="4" w:space="0"/>
              <w:left w:val="single" w:color="auto" w:sz="4" w:space="0"/>
              <w:bottom w:val="single" w:color="auto" w:sz="4" w:space="0"/>
              <w:right w:val="single" w:color="auto" w:sz="4" w:space="0"/>
            </w:tcBorders>
            <w:noWrap w:val="0"/>
            <w:vAlign w:val="center"/>
          </w:tcPr>
          <w:p w14:paraId="26C3D6AE">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专利申报指导</w:t>
            </w:r>
          </w:p>
        </w:tc>
        <w:tc>
          <w:tcPr>
            <w:tcW w:w="2745" w:type="dxa"/>
            <w:tcBorders>
              <w:top w:val="single" w:color="auto" w:sz="4" w:space="0"/>
              <w:left w:val="single" w:color="auto" w:sz="4" w:space="0"/>
              <w:bottom w:val="single" w:color="auto" w:sz="4" w:space="0"/>
              <w:right w:val="single" w:color="auto" w:sz="4" w:space="0"/>
            </w:tcBorders>
            <w:noWrap w:val="0"/>
            <w:vAlign w:val="center"/>
          </w:tcPr>
          <w:p w14:paraId="7AF43A06">
            <w:pPr>
              <w:jc w:val="center"/>
              <w:rPr>
                <w:rFonts w:hint="eastAsia" w:ascii="宋体" w:hAnsi="宋体" w:eastAsia="宋体" w:cs="宋体"/>
                <w:sz w:val="21"/>
                <w:szCs w:val="21"/>
              </w:rPr>
            </w:pPr>
            <w:r>
              <w:rPr>
                <w:rFonts w:hint="eastAsia" w:ascii="宋体" w:hAnsi="宋体" w:eastAsia="宋体" w:cs="宋体"/>
                <w:sz w:val="21"/>
                <w:szCs w:val="21"/>
              </w:rPr>
              <w:t>与商务条款偏离表、</w:t>
            </w:r>
            <w:r>
              <w:rPr>
                <w:rFonts w:hint="eastAsia" w:ascii="宋体" w:hAnsi="宋体" w:eastAsia="宋体" w:cs="宋体"/>
                <w:color w:val="000000"/>
                <w:sz w:val="21"/>
                <w:szCs w:val="21"/>
              </w:rPr>
              <w:t>服务需求、技术需求偏离表</w:t>
            </w:r>
            <w:r>
              <w:rPr>
                <w:rFonts w:hint="eastAsia" w:ascii="宋体" w:hAnsi="宋体" w:eastAsia="宋体" w:cs="宋体"/>
                <w:sz w:val="21"/>
                <w:szCs w:val="21"/>
              </w:rPr>
              <w:t>一致</w:t>
            </w:r>
          </w:p>
        </w:tc>
        <w:tc>
          <w:tcPr>
            <w:tcW w:w="641" w:type="dxa"/>
            <w:tcBorders>
              <w:top w:val="single" w:color="auto" w:sz="4" w:space="0"/>
              <w:left w:val="single" w:color="auto" w:sz="4" w:space="0"/>
              <w:bottom w:val="single" w:color="auto" w:sz="4" w:space="0"/>
              <w:right w:val="single" w:color="auto" w:sz="4" w:space="0"/>
            </w:tcBorders>
            <w:noWrap w:val="0"/>
            <w:vAlign w:val="center"/>
          </w:tcPr>
          <w:p w14:paraId="5A8F0B00">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个</w:t>
            </w:r>
          </w:p>
        </w:tc>
        <w:tc>
          <w:tcPr>
            <w:tcW w:w="800" w:type="dxa"/>
            <w:tcBorders>
              <w:top w:val="single" w:color="auto" w:sz="4" w:space="0"/>
              <w:left w:val="single" w:color="auto" w:sz="4" w:space="0"/>
              <w:bottom w:val="single" w:color="auto" w:sz="4" w:space="0"/>
              <w:right w:val="single" w:color="auto" w:sz="4" w:space="0"/>
            </w:tcBorders>
            <w:noWrap w:val="0"/>
            <w:vAlign w:val="center"/>
          </w:tcPr>
          <w:p w14:paraId="3B9CE67E">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highlight w:val="none"/>
                <w:lang w:val="en-US" w:eastAsia="zh-CN" w:bidi="ar-SA"/>
              </w:rPr>
              <w:t>5</w:t>
            </w:r>
          </w:p>
        </w:tc>
        <w:tc>
          <w:tcPr>
            <w:tcW w:w="1247" w:type="dxa"/>
            <w:tcBorders>
              <w:top w:val="single" w:color="auto" w:sz="4" w:space="0"/>
              <w:left w:val="single" w:color="auto" w:sz="4" w:space="0"/>
              <w:bottom w:val="single" w:color="auto" w:sz="4" w:space="0"/>
              <w:right w:val="single" w:color="auto" w:sz="4" w:space="0"/>
            </w:tcBorders>
            <w:noWrap w:val="0"/>
            <w:vAlign w:val="center"/>
          </w:tcPr>
          <w:p w14:paraId="60319649">
            <w:pPr>
              <w:jc w:val="left"/>
              <w:rPr>
                <w:rFonts w:hint="eastAsia" w:ascii="宋体" w:hAnsi="宋体" w:eastAsia="宋体" w:cs="宋体"/>
                <w:sz w:val="21"/>
                <w:szCs w:val="21"/>
              </w:rPr>
            </w:pPr>
          </w:p>
        </w:tc>
        <w:tc>
          <w:tcPr>
            <w:tcW w:w="1603" w:type="dxa"/>
            <w:tcBorders>
              <w:top w:val="single" w:color="auto" w:sz="4" w:space="0"/>
              <w:left w:val="single" w:color="auto" w:sz="4" w:space="0"/>
              <w:bottom w:val="single" w:color="auto" w:sz="4" w:space="0"/>
              <w:right w:val="single" w:color="auto" w:sz="4" w:space="0"/>
            </w:tcBorders>
            <w:noWrap w:val="0"/>
            <w:vAlign w:val="center"/>
          </w:tcPr>
          <w:p w14:paraId="633861EB">
            <w:pPr>
              <w:jc w:val="left"/>
              <w:rPr>
                <w:rFonts w:hint="eastAsia" w:ascii="宋体" w:hAnsi="宋体" w:eastAsia="宋体" w:cs="宋体"/>
                <w:sz w:val="21"/>
                <w:szCs w:val="21"/>
              </w:rPr>
            </w:pPr>
          </w:p>
        </w:tc>
        <w:tc>
          <w:tcPr>
            <w:tcW w:w="714" w:type="dxa"/>
            <w:tcBorders>
              <w:top w:val="single" w:color="auto" w:sz="4" w:space="0"/>
              <w:left w:val="single" w:color="auto" w:sz="4" w:space="0"/>
              <w:bottom w:val="single" w:color="auto" w:sz="4" w:space="0"/>
              <w:right w:val="single" w:color="auto" w:sz="4" w:space="0"/>
            </w:tcBorders>
            <w:noWrap w:val="0"/>
            <w:vAlign w:val="center"/>
          </w:tcPr>
          <w:p w14:paraId="0962DEE8">
            <w:pPr>
              <w:jc w:val="center"/>
              <w:rPr>
                <w:rFonts w:hint="eastAsia" w:ascii="宋体" w:hAnsi="宋体" w:eastAsia="宋体" w:cs="宋体"/>
                <w:sz w:val="21"/>
                <w:szCs w:val="21"/>
              </w:rPr>
            </w:pPr>
          </w:p>
        </w:tc>
      </w:tr>
      <w:tr w14:paraId="5BBB5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trPr>
        <w:tc>
          <w:tcPr>
            <w:tcW w:w="661" w:type="dxa"/>
            <w:tcBorders>
              <w:top w:val="single" w:color="auto" w:sz="4" w:space="0"/>
              <w:left w:val="single" w:color="auto" w:sz="4" w:space="0"/>
              <w:bottom w:val="single" w:color="auto" w:sz="4" w:space="0"/>
              <w:right w:val="single" w:color="auto" w:sz="4" w:space="0"/>
            </w:tcBorders>
            <w:noWrap w:val="0"/>
            <w:vAlign w:val="center"/>
          </w:tcPr>
          <w:p w14:paraId="7D576DAD">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0"/>
                <w:sz w:val="21"/>
                <w:szCs w:val="21"/>
                <w:highlight w:val="none"/>
              </w:rPr>
              <w:t>3</w:t>
            </w:r>
          </w:p>
        </w:tc>
        <w:tc>
          <w:tcPr>
            <w:tcW w:w="1646" w:type="dxa"/>
            <w:tcBorders>
              <w:top w:val="single" w:color="auto" w:sz="4" w:space="0"/>
              <w:left w:val="single" w:color="auto" w:sz="4" w:space="0"/>
              <w:bottom w:val="single" w:color="auto" w:sz="4" w:space="0"/>
              <w:right w:val="single" w:color="auto" w:sz="4" w:space="0"/>
            </w:tcBorders>
            <w:noWrap w:val="0"/>
            <w:vAlign w:val="center"/>
          </w:tcPr>
          <w:p w14:paraId="312D3CA4">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师资队伍建设</w:t>
            </w:r>
          </w:p>
        </w:tc>
        <w:tc>
          <w:tcPr>
            <w:tcW w:w="2745" w:type="dxa"/>
            <w:tcBorders>
              <w:top w:val="single" w:color="auto" w:sz="4" w:space="0"/>
              <w:left w:val="single" w:color="auto" w:sz="4" w:space="0"/>
              <w:bottom w:val="single" w:color="auto" w:sz="4" w:space="0"/>
              <w:right w:val="single" w:color="auto" w:sz="4" w:space="0"/>
            </w:tcBorders>
            <w:noWrap w:val="0"/>
            <w:vAlign w:val="center"/>
          </w:tcPr>
          <w:p w14:paraId="1B9F34B4">
            <w:pPr>
              <w:jc w:val="center"/>
              <w:rPr>
                <w:rFonts w:hint="eastAsia" w:ascii="宋体" w:hAnsi="宋体" w:eastAsia="宋体" w:cs="宋体"/>
                <w:sz w:val="21"/>
                <w:szCs w:val="21"/>
              </w:rPr>
            </w:pPr>
            <w:r>
              <w:rPr>
                <w:rFonts w:hint="eastAsia" w:ascii="宋体" w:hAnsi="宋体" w:eastAsia="宋体" w:cs="宋体"/>
                <w:sz w:val="21"/>
                <w:szCs w:val="21"/>
              </w:rPr>
              <w:t>与商务条款偏离表、</w:t>
            </w:r>
            <w:r>
              <w:rPr>
                <w:rFonts w:hint="eastAsia" w:ascii="宋体" w:hAnsi="宋体" w:eastAsia="宋体" w:cs="宋体"/>
                <w:color w:val="000000"/>
                <w:sz w:val="21"/>
                <w:szCs w:val="21"/>
              </w:rPr>
              <w:t>服务需求、技术需求偏离表</w:t>
            </w:r>
            <w:r>
              <w:rPr>
                <w:rFonts w:hint="eastAsia" w:ascii="宋体" w:hAnsi="宋体" w:eastAsia="宋体" w:cs="宋体"/>
                <w:sz w:val="21"/>
                <w:szCs w:val="21"/>
              </w:rPr>
              <w:t>一致</w:t>
            </w:r>
          </w:p>
        </w:tc>
        <w:tc>
          <w:tcPr>
            <w:tcW w:w="641" w:type="dxa"/>
            <w:tcBorders>
              <w:top w:val="single" w:color="auto" w:sz="4" w:space="0"/>
              <w:left w:val="single" w:color="auto" w:sz="4" w:space="0"/>
              <w:bottom w:val="single" w:color="auto" w:sz="4" w:space="0"/>
              <w:right w:val="single" w:color="auto" w:sz="4" w:space="0"/>
            </w:tcBorders>
            <w:noWrap w:val="0"/>
            <w:vAlign w:val="center"/>
          </w:tcPr>
          <w:p w14:paraId="2C3478CA">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highlight w:val="none"/>
                <w:lang w:val="en-US" w:eastAsia="zh-CN" w:bidi="ar-SA"/>
              </w:rPr>
              <w:t>组</w:t>
            </w:r>
          </w:p>
        </w:tc>
        <w:tc>
          <w:tcPr>
            <w:tcW w:w="800" w:type="dxa"/>
            <w:tcBorders>
              <w:top w:val="single" w:color="auto" w:sz="4" w:space="0"/>
              <w:left w:val="single" w:color="auto" w:sz="4" w:space="0"/>
              <w:bottom w:val="single" w:color="auto" w:sz="4" w:space="0"/>
              <w:right w:val="single" w:color="auto" w:sz="4" w:space="0"/>
            </w:tcBorders>
            <w:noWrap w:val="0"/>
            <w:vAlign w:val="center"/>
          </w:tcPr>
          <w:p w14:paraId="23D9F735">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8</w:t>
            </w:r>
          </w:p>
        </w:tc>
        <w:tc>
          <w:tcPr>
            <w:tcW w:w="1247" w:type="dxa"/>
            <w:tcBorders>
              <w:top w:val="single" w:color="auto" w:sz="4" w:space="0"/>
              <w:left w:val="single" w:color="auto" w:sz="4" w:space="0"/>
              <w:bottom w:val="single" w:color="auto" w:sz="4" w:space="0"/>
              <w:right w:val="single" w:color="auto" w:sz="4" w:space="0"/>
            </w:tcBorders>
            <w:noWrap w:val="0"/>
            <w:vAlign w:val="center"/>
          </w:tcPr>
          <w:p w14:paraId="671C55E0">
            <w:pPr>
              <w:jc w:val="left"/>
              <w:rPr>
                <w:rFonts w:hint="eastAsia" w:ascii="宋体" w:hAnsi="宋体" w:eastAsia="宋体" w:cs="宋体"/>
                <w:sz w:val="21"/>
                <w:szCs w:val="21"/>
              </w:rPr>
            </w:pPr>
          </w:p>
        </w:tc>
        <w:tc>
          <w:tcPr>
            <w:tcW w:w="1603" w:type="dxa"/>
            <w:tcBorders>
              <w:top w:val="single" w:color="auto" w:sz="4" w:space="0"/>
              <w:left w:val="single" w:color="auto" w:sz="4" w:space="0"/>
              <w:bottom w:val="single" w:color="auto" w:sz="4" w:space="0"/>
              <w:right w:val="single" w:color="auto" w:sz="4" w:space="0"/>
            </w:tcBorders>
            <w:noWrap w:val="0"/>
            <w:vAlign w:val="center"/>
          </w:tcPr>
          <w:p w14:paraId="27554DE5">
            <w:pPr>
              <w:jc w:val="left"/>
              <w:rPr>
                <w:rFonts w:hint="eastAsia" w:ascii="宋体" w:hAnsi="宋体" w:eastAsia="宋体" w:cs="宋体"/>
                <w:sz w:val="21"/>
                <w:szCs w:val="21"/>
              </w:rPr>
            </w:pPr>
          </w:p>
        </w:tc>
        <w:tc>
          <w:tcPr>
            <w:tcW w:w="714" w:type="dxa"/>
            <w:tcBorders>
              <w:top w:val="single" w:color="auto" w:sz="4" w:space="0"/>
              <w:left w:val="single" w:color="auto" w:sz="4" w:space="0"/>
              <w:bottom w:val="single" w:color="auto" w:sz="4" w:space="0"/>
              <w:right w:val="single" w:color="auto" w:sz="4" w:space="0"/>
            </w:tcBorders>
            <w:noWrap w:val="0"/>
            <w:vAlign w:val="center"/>
          </w:tcPr>
          <w:p w14:paraId="43481DCE">
            <w:pPr>
              <w:jc w:val="center"/>
              <w:rPr>
                <w:rFonts w:hint="eastAsia" w:ascii="宋体" w:hAnsi="宋体" w:eastAsia="宋体" w:cs="宋体"/>
                <w:sz w:val="21"/>
                <w:szCs w:val="21"/>
              </w:rPr>
            </w:pPr>
          </w:p>
        </w:tc>
      </w:tr>
      <w:tr w14:paraId="197A4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5" w:hRule="atLeast"/>
        </w:trPr>
        <w:tc>
          <w:tcPr>
            <w:tcW w:w="661" w:type="dxa"/>
            <w:tcBorders>
              <w:top w:val="single" w:color="auto" w:sz="4" w:space="0"/>
              <w:left w:val="single" w:color="auto" w:sz="4" w:space="0"/>
              <w:bottom w:val="single" w:color="auto" w:sz="4" w:space="0"/>
              <w:right w:val="single" w:color="auto" w:sz="4" w:space="0"/>
            </w:tcBorders>
            <w:noWrap w:val="0"/>
            <w:vAlign w:val="center"/>
          </w:tcPr>
          <w:p w14:paraId="5D498BF5">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0"/>
                <w:sz w:val="21"/>
                <w:szCs w:val="21"/>
                <w:highlight w:val="none"/>
              </w:rPr>
              <w:t>4</w:t>
            </w:r>
          </w:p>
        </w:tc>
        <w:tc>
          <w:tcPr>
            <w:tcW w:w="1646" w:type="dxa"/>
            <w:tcBorders>
              <w:top w:val="single" w:color="auto" w:sz="4" w:space="0"/>
              <w:left w:val="single" w:color="auto" w:sz="4" w:space="0"/>
              <w:bottom w:val="single" w:color="auto" w:sz="4" w:space="0"/>
              <w:right w:val="single" w:color="auto" w:sz="4" w:space="0"/>
            </w:tcBorders>
            <w:noWrap w:val="0"/>
            <w:vAlign w:val="center"/>
          </w:tcPr>
          <w:p w14:paraId="599F16C5">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师资队伍建设（班主任比赛作品指导）</w:t>
            </w:r>
          </w:p>
        </w:tc>
        <w:tc>
          <w:tcPr>
            <w:tcW w:w="2745" w:type="dxa"/>
            <w:tcBorders>
              <w:top w:val="single" w:color="auto" w:sz="4" w:space="0"/>
              <w:left w:val="single" w:color="auto" w:sz="4" w:space="0"/>
              <w:bottom w:val="single" w:color="auto" w:sz="4" w:space="0"/>
              <w:right w:val="single" w:color="auto" w:sz="4" w:space="0"/>
            </w:tcBorders>
            <w:noWrap w:val="0"/>
            <w:vAlign w:val="center"/>
          </w:tcPr>
          <w:p w14:paraId="662211F9">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与商务条款偏离表、</w:t>
            </w:r>
            <w:r>
              <w:rPr>
                <w:rFonts w:hint="eastAsia" w:ascii="宋体" w:hAnsi="宋体" w:eastAsia="宋体" w:cs="宋体"/>
                <w:color w:val="000000"/>
                <w:sz w:val="21"/>
                <w:szCs w:val="21"/>
              </w:rPr>
              <w:t>服务需求、技术需求偏离表</w:t>
            </w:r>
            <w:r>
              <w:rPr>
                <w:rFonts w:hint="eastAsia" w:ascii="宋体" w:hAnsi="宋体" w:eastAsia="宋体" w:cs="宋体"/>
                <w:sz w:val="21"/>
                <w:szCs w:val="21"/>
              </w:rPr>
              <w:t>一致</w:t>
            </w:r>
          </w:p>
        </w:tc>
        <w:tc>
          <w:tcPr>
            <w:tcW w:w="641" w:type="dxa"/>
            <w:tcBorders>
              <w:top w:val="single" w:color="auto" w:sz="4" w:space="0"/>
              <w:left w:val="single" w:color="auto" w:sz="4" w:space="0"/>
              <w:bottom w:val="single" w:color="auto" w:sz="4" w:space="0"/>
              <w:right w:val="single" w:color="auto" w:sz="4" w:space="0"/>
            </w:tcBorders>
            <w:noWrap w:val="0"/>
            <w:vAlign w:val="center"/>
          </w:tcPr>
          <w:p w14:paraId="5C5621FD">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highlight w:val="none"/>
                <w:lang w:val="en-US" w:eastAsia="zh-CN" w:bidi="ar-SA"/>
              </w:rPr>
              <w:t>项</w:t>
            </w:r>
          </w:p>
        </w:tc>
        <w:tc>
          <w:tcPr>
            <w:tcW w:w="800" w:type="dxa"/>
            <w:tcBorders>
              <w:top w:val="single" w:color="auto" w:sz="4" w:space="0"/>
              <w:left w:val="single" w:color="auto" w:sz="4" w:space="0"/>
              <w:bottom w:val="single" w:color="auto" w:sz="4" w:space="0"/>
              <w:right w:val="single" w:color="auto" w:sz="4" w:space="0"/>
            </w:tcBorders>
            <w:noWrap w:val="0"/>
            <w:vAlign w:val="center"/>
          </w:tcPr>
          <w:p w14:paraId="2FC1C50B">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w:t>
            </w:r>
          </w:p>
        </w:tc>
        <w:tc>
          <w:tcPr>
            <w:tcW w:w="1247" w:type="dxa"/>
            <w:tcBorders>
              <w:top w:val="single" w:color="auto" w:sz="4" w:space="0"/>
              <w:left w:val="single" w:color="auto" w:sz="4" w:space="0"/>
              <w:bottom w:val="single" w:color="auto" w:sz="4" w:space="0"/>
              <w:right w:val="single" w:color="auto" w:sz="4" w:space="0"/>
            </w:tcBorders>
            <w:noWrap w:val="0"/>
            <w:vAlign w:val="center"/>
          </w:tcPr>
          <w:p w14:paraId="201B09DA">
            <w:pPr>
              <w:jc w:val="left"/>
              <w:rPr>
                <w:rFonts w:hint="eastAsia" w:ascii="宋体" w:hAnsi="宋体" w:eastAsia="宋体" w:cs="宋体"/>
                <w:sz w:val="21"/>
                <w:szCs w:val="21"/>
              </w:rPr>
            </w:pPr>
          </w:p>
        </w:tc>
        <w:tc>
          <w:tcPr>
            <w:tcW w:w="1603" w:type="dxa"/>
            <w:tcBorders>
              <w:top w:val="single" w:color="auto" w:sz="4" w:space="0"/>
              <w:left w:val="single" w:color="auto" w:sz="4" w:space="0"/>
              <w:bottom w:val="single" w:color="auto" w:sz="4" w:space="0"/>
              <w:right w:val="single" w:color="auto" w:sz="4" w:space="0"/>
            </w:tcBorders>
            <w:noWrap w:val="0"/>
            <w:vAlign w:val="center"/>
          </w:tcPr>
          <w:p w14:paraId="1C2F2790">
            <w:pPr>
              <w:jc w:val="left"/>
              <w:rPr>
                <w:rFonts w:hint="eastAsia" w:ascii="宋体" w:hAnsi="宋体" w:eastAsia="宋体" w:cs="宋体"/>
                <w:sz w:val="21"/>
                <w:szCs w:val="21"/>
              </w:rPr>
            </w:pPr>
          </w:p>
        </w:tc>
        <w:tc>
          <w:tcPr>
            <w:tcW w:w="714" w:type="dxa"/>
            <w:tcBorders>
              <w:top w:val="single" w:color="auto" w:sz="4" w:space="0"/>
              <w:left w:val="single" w:color="auto" w:sz="4" w:space="0"/>
              <w:bottom w:val="single" w:color="auto" w:sz="4" w:space="0"/>
              <w:right w:val="single" w:color="auto" w:sz="4" w:space="0"/>
            </w:tcBorders>
            <w:noWrap w:val="0"/>
            <w:vAlign w:val="center"/>
          </w:tcPr>
          <w:p w14:paraId="26F04C7C">
            <w:pPr>
              <w:jc w:val="center"/>
              <w:rPr>
                <w:rFonts w:hint="eastAsia" w:ascii="宋体" w:hAnsi="宋体" w:eastAsia="宋体" w:cs="宋体"/>
                <w:sz w:val="21"/>
                <w:szCs w:val="21"/>
              </w:rPr>
            </w:pPr>
          </w:p>
        </w:tc>
      </w:tr>
      <w:tr w14:paraId="1EF33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7" w:hRule="atLeast"/>
        </w:trPr>
        <w:tc>
          <w:tcPr>
            <w:tcW w:w="661" w:type="dxa"/>
            <w:tcBorders>
              <w:top w:val="single" w:color="auto" w:sz="4" w:space="0"/>
              <w:left w:val="single" w:color="auto" w:sz="4" w:space="0"/>
              <w:bottom w:val="single" w:color="auto" w:sz="4" w:space="0"/>
              <w:right w:val="single" w:color="auto" w:sz="4" w:space="0"/>
            </w:tcBorders>
            <w:noWrap w:val="0"/>
            <w:vAlign w:val="center"/>
          </w:tcPr>
          <w:p w14:paraId="51C324CF">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0"/>
                <w:sz w:val="21"/>
                <w:szCs w:val="21"/>
                <w:highlight w:val="none"/>
              </w:rPr>
              <w:t>5</w:t>
            </w:r>
          </w:p>
        </w:tc>
        <w:tc>
          <w:tcPr>
            <w:tcW w:w="1646" w:type="dxa"/>
            <w:tcBorders>
              <w:top w:val="single" w:color="auto" w:sz="4" w:space="0"/>
              <w:left w:val="single" w:color="auto" w:sz="4" w:space="0"/>
              <w:bottom w:val="single" w:color="auto" w:sz="4" w:space="0"/>
              <w:right w:val="single" w:color="auto" w:sz="4" w:space="0"/>
            </w:tcBorders>
            <w:noWrap w:val="0"/>
            <w:vAlign w:val="center"/>
          </w:tcPr>
          <w:p w14:paraId="14EDE21D">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b w:val="0"/>
                <w:bCs w:val="0"/>
                <w:i w:val="0"/>
                <w:iCs w:val="0"/>
                <w:color w:val="000000"/>
                <w:kern w:val="2"/>
                <w:sz w:val="21"/>
                <w:szCs w:val="21"/>
                <w:u w:val="none"/>
                <w:lang w:val="en-US" w:eastAsia="zh-CN" w:bidi="ar-SA"/>
              </w:rPr>
            </w:pPr>
            <w:r>
              <w:rPr>
                <w:rFonts w:hint="eastAsia" w:ascii="宋体" w:hAnsi="宋体" w:eastAsia="宋体" w:cs="宋体"/>
                <w:b w:val="0"/>
                <w:bCs w:val="0"/>
                <w:i w:val="0"/>
                <w:iCs w:val="0"/>
                <w:color w:val="000000"/>
                <w:kern w:val="2"/>
                <w:sz w:val="21"/>
                <w:szCs w:val="21"/>
                <w:u w:val="none"/>
                <w:lang w:val="en-US" w:eastAsia="zh-CN" w:bidi="ar-SA"/>
              </w:rPr>
              <w:t>提升学校管理水平</w:t>
            </w:r>
          </w:p>
        </w:tc>
        <w:tc>
          <w:tcPr>
            <w:tcW w:w="2745" w:type="dxa"/>
            <w:tcBorders>
              <w:top w:val="single" w:color="auto" w:sz="4" w:space="0"/>
              <w:left w:val="single" w:color="auto" w:sz="4" w:space="0"/>
              <w:bottom w:val="single" w:color="auto" w:sz="4" w:space="0"/>
              <w:right w:val="single" w:color="auto" w:sz="4" w:space="0"/>
            </w:tcBorders>
            <w:noWrap w:val="0"/>
            <w:vAlign w:val="center"/>
          </w:tcPr>
          <w:p w14:paraId="2BA57F1E">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与商务条款偏离表、</w:t>
            </w:r>
            <w:r>
              <w:rPr>
                <w:rFonts w:hint="eastAsia" w:ascii="宋体" w:hAnsi="宋体" w:eastAsia="宋体" w:cs="宋体"/>
                <w:color w:val="000000"/>
                <w:sz w:val="21"/>
                <w:szCs w:val="21"/>
              </w:rPr>
              <w:t>服务需求、技术需求偏离表</w:t>
            </w:r>
            <w:r>
              <w:rPr>
                <w:rFonts w:hint="eastAsia" w:ascii="宋体" w:hAnsi="宋体" w:eastAsia="宋体" w:cs="宋体"/>
                <w:sz w:val="21"/>
                <w:szCs w:val="21"/>
              </w:rPr>
              <w:t>一致</w:t>
            </w:r>
          </w:p>
        </w:tc>
        <w:tc>
          <w:tcPr>
            <w:tcW w:w="641" w:type="dxa"/>
            <w:tcBorders>
              <w:top w:val="single" w:color="auto" w:sz="4" w:space="0"/>
              <w:left w:val="single" w:color="auto" w:sz="4" w:space="0"/>
              <w:bottom w:val="single" w:color="auto" w:sz="4" w:space="0"/>
              <w:right w:val="single" w:color="auto" w:sz="4" w:space="0"/>
            </w:tcBorders>
            <w:noWrap w:val="0"/>
            <w:vAlign w:val="center"/>
          </w:tcPr>
          <w:p w14:paraId="3DC7BD75">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highlight w:val="none"/>
                <w:lang w:val="en-US" w:eastAsia="zh-CN" w:bidi="ar-SA"/>
              </w:rPr>
              <w:t>项</w:t>
            </w:r>
          </w:p>
        </w:tc>
        <w:tc>
          <w:tcPr>
            <w:tcW w:w="800" w:type="dxa"/>
            <w:tcBorders>
              <w:top w:val="single" w:color="auto" w:sz="4" w:space="0"/>
              <w:left w:val="single" w:color="auto" w:sz="4" w:space="0"/>
              <w:bottom w:val="single" w:color="auto" w:sz="4" w:space="0"/>
              <w:right w:val="single" w:color="auto" w:sz="4" w:space="0"/>
            </w:tcBorders>
            <w:noWrap w:val="0"/>
            <w:vAlign w:val="center"/>
          </w:tcPr>
          <w:p w14:paraId="5D945C8B">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w:t>
            </w:r>
          </w:p>
        </w:tc>
        <w:tc>
          <w:tcPr>
            <w:tcW w:w="1247" w:type="dxa"/>
            <w:tcBorders>
              <w:top w:val="single" w:color="auto" w:sz="4" w:space="0"/>
              <w:left w:val="single" w:color="auto" w:sz="4" w:space="0"/>
              <w:bottom w:val="single" w:color="auto" w:sz="4" w:space="0"/>
              <w:right w:val="single" w:color="auto" w:sz="4" w:space="0"/>
            </w:tcBorders>
            <w:noWrap w:val="0"/>
            <w:vAlign w:val="center"/>
          </w:tcPr>
          <w:p w14:paraId="2FF7595A">
            <w:pPr>
              <w:jc w:val="left"/>
              <w:rPr>
                <w:rFonts w:hint="eastAsia" w:ascii="宋体" w:hAnsi="宋体" w:eastAsia="宋体" w:cs="宋体"/>
                <w:sz w:val="21"/>
                <w:szCs w:val="21"/>
              </w:rPr>
            </w:pPr>
          </w:p>
        </w:tc>
        <w:tc>
          <w:tcPr>
            <w:tcW w:w="1603" w:type="dxa"/>
            <w:tcBorders>
              <w:top w:val="single" w:color="auto" w:sz="4" w:space="0"/>
              <w:left w:val="single" w:color="auto" w:sz="4" w:space="0"/>
              <w:bottom w:val="single" w:color="auto" w:sz="4" w:space="0"/>
              <w:right w:val="single" w:color="auto" w:sz="4" w:space="0"/>
            </w:tcBorders>
            <w:noWrap w:val="0"/>
            <w:vAlign w:val="center"/>
          </w:tcPr>
          <w:p w14:paraId="0678DFEB">
            <w:pPr>
              <w:jc w:val="left"/>
              <w:rPr>
                <w:rFonts w:hint="eastAsia" w:ascii="宋体" w:hAnsi="宋体" w:eastAsia="宋体" w:cs="宋体"/>
                <w:sz w:val="21"/>
                <w:szCs w:val="21"/>
              </w:rPr>
            </w:pPr>
          </w:p>
        </w:tc>
        <w:tc>
          <w:tcPr>
            <w:tcW w:w="714" w:type="dxa"/>
            <w:tcBorders>
              <w:top w:val="single" w:color="auto" w:sz="4" w:space="0"/>
              <w:left w:val="single" w:color="auto" w:sz="4" w:space="0"/>
              <w:bottom w:val="single" w:color="auto" w:sz="4" w:space="0"/>
              <w:right w:val="single" w:color="auto" w:sz="4" w:space="0"/>
            </w:tcBorders>
            <w:noWrap w:val="0"/>
            <w:vAlign w:val="center"/>
          </w:tcPr>
          <w:p w14:paraId="0E7651CA">
            <w:pPr>
              <w:jc w:val="center"/>
              <w:rPr>
                <w:rFonts w:hint="eastAsia" w:ascii="宋体" w:hAnsi="宋体" w:eastAsia="宋体" w:cs="宋体"/>
                <w:sz w:val="21"/>
                <w:szCs w:val="21"/>
              </w:rPr>
            </w:pPr>
          </w:p>
        </w:tc>
      </w:tr>
      <w:tr w14:paraId="13708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2" w:hRule="atLeast"/>
        </w:trPr>
        <w:tc>
          <w:tcPr>
            <w:tcW w:w="661" w:type="dxa"/>
            <w:tcBorders>
              <w:top w:val="single" w:color="auto" w:sz="4" w:space="0"/>
              <w:left w:val="single" w:color="auto" w:sz="4" w:space="0"/>
              <w:bottom w:val="single" w:color="auto" w:sz="4" w:space="0"/>
              <w:right w:val="single" w:color="auto" w:sz="4" w:space="0"/>
            </w:tcBorders>
            <w:noWrap w:val="0"/>
            <w:vAlign w:val="center"/>
          </w:tcPr>
          <w:p w14:paraId="025B6FDE">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0"/>
                <w:sz w:val="21"/>
                <w:szCs w:val="21"/>
                <w:highlight w:val="none"/>
              </w:rPr>
              <w:t>6</w:t>
            </w:r>
          </w:p>
        </w:tc>
        <w:tc>
          <w:tcPr>
            <w:tcW w:w="1646" w:type="dxa"/>
            <w:tcBorders>
              <w:top w:val="single" w:color="auto" w:sz="4" w:space="0"/>
              <w:left w:val="single" w:color="auto" w:sz="4" w:space="0"/>
              <w:bottom w:val="single" w:color="auto" w:sz="4" w:space="0"/>
              <w:right w:val="single" w:color="auto" w:sz="4" w:space="0"/>
            </w:tcBorders>
            <w:noWrap w:val="0"/>
            <w:vAlign w:val="center"/>
          </w:tcPr>
          <w:p w14:paraId="77983076">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b w:val="0"/>
                <w:bCs w:val="0"/>
                <w:i w:val="0"/>
                <w:iCs w:val="0"/>
                <w:color w:val="000000"/>
                <w:kern w:val="2"/>
                <w:sz w:val="21"/>
                <w:szCs w:val="21"/>
                <w:u w:val="none"/>
                <w:lang w:val="en-US" w:eastAsia="zh-CN" w:bidi="ar-SA"/>
              </w:rPr>
            </w:pPr>
            <w:r>
              <w:rPr>
                <w:rFonts w:hint="eastAsia" w:ascii="宋体" w:hAnsi="宋体" w:eastAsia="宋体" w:cs="宋体"/>
                <w:b w:val="0"/>
                <w:bCs w:val="0"/>
                <w:i w:val="0"/>
                <w:iCs w:val="0"/>
                <w:color w:val="000000"/>
                <w:kern w:val="2"/>
                <w:sz w:val="21"/>
                <w:szCs w:val="21"/>
                <w:u w:val="none"/>
                <w:lang w:val="en-US" w:eastAsia="zh-CN" w:bidi="ar-SA"/>
              </w:rPr>
              <w:t>课程思政示范课</w:t>
            </w:r>
          </w:p>
        </w:tc>
        <w:tc>
          <w:tcPr>
            <w:tcW w:w="2745" w:type="dxa"/>
            <w:tcBorders>
              <w:top w:val="single" w:color="auto" w:sz="4" w:space="0"/>
              <w:left w:val="single" w:color="auto" w:sz="4" w:space="0"/>
              <w:bottom w:val="single" w:color="auto" w:sz="4" w:space="0"/>
              <w:right w:val="single" w:color="auto" w:sz="4" w:space="0"/>
            </w:tcBorders>
            <w:noWrap w:val="0"/>
            <w:vAlign w:val="center"/>
          </w:tcPr>
          <w:p w14:paraId="48DA4D17">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与商务条款偏离表、</w:t>
            </w:r>
            <w:r>
              <w:rPr>
                <w:rFonts w:hint="eastAsia" w:ascii="宋体" w:hAnsi="宋体" w:eastAsia="宋体" w:cs="宋体"/>
                <w:color w:val="000000"/>
                <w:sz w:val="21"/>
                <w:szCs w:val="21"/>
              </w:rPr>
              <w:t>服务需求、技术需求偏离表</w:t>
            </w:r>
            <w:r>
              <w:rPr>
                <w:rFonts w:hint="eastAsia" w:ascii="宋体" w:hAnsi="宋体" w:eastAsia="宋体" w:cs="宋体"/>
                <w:sz w:val="21"/>
                <w:szCs w:val="21"/>
              </w:rPr>
              <w:t>一致</w:t>
            </w:r>
          </w:p>
        </w:tc>
        <w:tc>
          <w:tcPr>
            <w:tcW w:w="641" w:type="dxa"/>
            <w:tcBorders>
              <w:top w:val="single" w:color="auto" w:sz="4" w:space="0"/>
              <w:left w:val="single" w:color="auto" w:sz="4" w:space="0"/>
              <w:bottom w:val="single" w:color="auto" w:sz="4" w:space="0"/>
              <w:right w:val="single" w:color="auto" w:sz="4" w:space="0"/>
            </w:tcBorders>
            <w:noWrap w:val="0"/>
            <w:vAlign w:val="center"/>
          </w:tcPr>
          <w:p w14:paraId="558E805D">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highlight w:val="none"/>
                <w:lang w:val="en-US" w:eastAsia="zh-CN" w:bidi="ar-SA"/>
              </w:rPr>
              <w:t>门</w:t>
            </w:r>
          </w:p>
        </w:tc>
        <w:tc>
          <w:tcPr>
            <w:tcW w:w="800" w:type="dxa"/>
            <w:tcBorders>
              <w:top w:val="single" w:color="auto" w:sz="4" w:space="0"/>
              <w:left w:val="single" w:color="auto" w:sz="4" w:space="0"/>
              <w:bottom w:val="single" w:color="auto" w:sz="4" w:space="0"/>
              <w:right w:val="single" w:color="auto" w:sz="4" w:space="0"/>
            </w:tcBorders>
            <w:noWrap w:val="0"/>
            <w:vAlign w:val="center"/>
          </w:tcPr>
          <w:p w14:paraId="3723775A">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2</w:t>
            </w:r>
          </w:p>
        </w:tc>
        <w:tc>
          <w:tcPr>
            <w:tcW w:w="1247" w:type="dxa"/>
            <w:tcBorders>
              <w:top w:val="single" w:color="auto" w:sz="4" w:space="0"/>
              <w:left w:val="single" w:color="auto" w:sz="4" w:space="0"/>
              <w:bottom w:val="single" w:color="auto" w:sz="4" w:space="0"/>
              <w:right w:val="single" w:color="auto" w:sz="4" w:space="0"/>
            </w:tcBorders>
            <w:noWrap w:val="0"/>
            <w:vAlign w:val="center"/>
          </w:tcPr>
          <w:p w14:paraId="1B2B657C">
            <w:pPr>
              <w:jc w:val="left"/>
              <w:rPr>
                <w:rFonts w:hint="eastAsia" w:ascii="宋体" w:hAnsi="宋体" w:eastAsia="宋体" w:cs="宋体"/>
                <w:sz w:val="21"/>
                <w:szCs w:val="21"/>
              </w:rPr>
            </w:pPr>
          </w:p>
        </w:tc>
        <w:tc>
          <w:tcPr>
            <w:tcW w:w="1603" w:type="dxa"/>
            <w:tcBorders>
              <w:top w:val="single" w:color="auto" w:sz="4" w:space="0"/>
              <w:left w:val="single" w:color="auto" w:sz="4" w:space="0"/>
              <w:bottom w:val="single" w:color="auto" w:sz="4" w:space="0"/>
              <w:right w:val="single" w:color="auto" w:sz="4" w:space="0"/>
            </w:tcBorders>
            <w:noWrap w:val="0"/>
            <w:vAlign w:val="center"/>
          </w:tcPr>
          <w:p w14:paraId="78FCBA0D">
            <w:pPr>
              <w:jc w:val="left"/>
              <w:rPr>
                <w:rFonts w:hint="eastAsia" w:ascii="宋体" w:hAnsi="宋体" w:eastAsia="宋体" w:cs="宋体"/>
                <w:sz w:val="21"/>
                <w:szCs w:val="21"/>
              </w:rPr>
            </w:pPr>
          </w:p>
        </w:tc>
        <w:tc>
          <w:tcPr>
            <w:tcW w:w="714" w:type="dxa"/>
            <w:tcBorders>
              <w:top w:val="single" w:color="auto" w:sz="4" w:space="0"/>
              <w:left w:val="single" w:color="auto" w:sz="4" w:space="0"/>
              <w:bottom w:val="single" w:color="auto" w:sz="4" w:space="0"/>
              <w:right w:val="single" w:color="auto" w:sz="4" w:space="0"/>
            </w:tcBorders>
            <w:noWrap w:val="0"/>
            <w:vAlign w:val="center"/>
          </w:tcPr>
          <w:p w14:paraId="19256EF4">
            <w:pPr>
              <w:jc w:val="center"/>
              <w:rPr>
                <w:rFonts w:hint="eastAsia" w:ascii="宋体" w:hAnsi="宋体" w:eastAsia="宋体" w:cs="宋体"/>
                <w:sz w:val="21"/>
                <w:szCs w:val="21"/>
              </w:rPr>
            </w:pPr>
          </w:p>
        </w:tc>
      </w:tr>
      <w:tr w14:paraId="3BFB1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trPr>
        <w:tc>
          <w:tcPr>
            <w:tcW w:w="661" w:type="dxa"/>
            <w:tcBorders>
              <w:top w:val="single" w:color="auto" w:sz="4" w:space="0"/>
              <w:left w:val="single" w:color="auto" w:sz="4" w:space="0"/>
              <w:bottom w:val="single" w:color="auto" w:sz="4" w:space="0"/>
              <w:right w:val="single" w:color="auto" w:sz="4" w:space="0"/>
            </w:tcBorders>
            <w:noWrap w:val="0"/>
            <w:vAlign w:val="center"/>
          </w:tcPr>
          <w:p w14:paraId="60AE5B70">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0"/>
                <w:sz w:val="21"/>
                <w:szCs w:val="21"/>
                <w:highlight w:val="none"/>
              </w:rPr>
              <w:t>7</w:t>
            </w:r>
          </w:p>
        </w:tc>
        <w:tc>
          <w:tcPr>
            <w:tcW w:w="1646" w:type="dxa"/>
            <w:tcBorders>
              <w:top w:val="single" w:color="auto" w:sz="4" w:space="0"/>
              <w:left w:val="single" w:color="auto" w:sz="4" w:space="0"/>
              <w:bottom w:val="single" w:color="auto" w:sz="4" w:space="0"/>
              <w:right w:val="single" w:color="auto" w:sz="4" w:space="0"/>
            </w:tcBorders>
            <w:noWrap w:val="0"/>
            <w:vAlign w:val="center"/>
          </w:tcPr>
          <w:p w14:paraId="34C13259">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b w:val="0"/>
                <w:bCs w:val="0"/>
                <w:i w:val="0"/>
                <w:iCs w:val="0"/>
                <w:color w:val="000000"/>
                <w:kern w:val="2"/>
                <w:sz w:val="21"/>
                <w:szCs w:val="21"/>
                <w:u w:val="none"/>
                <w:lang w:val="en-US" w:eastAsia="zh-CN" w:bidi="ar-SA"/>
              </w:rPr>
            </w:pPr>
            <w:r>
              <w:rPr>
                <w:rFonts w:hint="eastAsia" w:ascii="宋体" w:hAnsi="宋体" w:eastAsia="宋体" w:cs="宋体"/>
                <w:b w:val="0"/>
                <w:bCs w:val="0"/>
                <w:i w:val="0"/>
                <w:iCs w:val="0"/>
                <w:color w:val="000000"/>
                <w:kern w:val="2"/>
                <w:sz w:val="21"/>
                <w:szCs w:val="21"/>
                <w:u w:val="none"/>
                <w:lang w:val="en-US" w:eastAsia="zh-CN" w:bidi="ar-SA"/>
              </w:rPr>
              <w:t>师生技能大赛</w:t>
            </w:r>
          </w:p>
        </w:tc>
        <w:tc>
          <w:tcPr>
            <w:tcW w:w="2745" w:type="dxa"/>
            <w:tcBorders>
              <w:top w:val="single" w:color="auto" w:sz="4" w:space="0"/>
              <w:left w:val="single" w:color="auto" w:sz="4" w:space="0"/>
              <w:bottom w:val="single" w:color="auto" w:sz="4" w:space="0"/>
              <w:right w:val="single" w:color="auto" w:sz="4" w:space="0"/>
            </w:tcBorders>
            <w:noWrap w:val="0"/>
            <w:vAlign w:val="center"/>
          </w:tcPr>
          <w:p w14:paraId="1DC8063C">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与商务条款偏离表、</w:t>
            </w:r>
            <w:r>
              <w:rPr>
                <w:rFonts w:hint="eastAsia" w:ascii="宋体" w:hAnsi="宋体" w:eastAsia="宋体" w:cs="宋体"/>
                <w:color w:val="000000"/>
                <w:sz w:val="21"/>
                <w:szCs w:val="21"/>
              </w:rPr>
              <w:t>服务需求、技术需求偏离表</w:t>
            </w:r>
            <w:r>
              <w:rPr>
                <w:rFonts w:hint="eastAsia" w:ascii="宋体" w:hAnsi="宋体" w:eastAsia="宋体" w:cs="宋体"/>
                <w:sz w:val="21"/>
                <w:szCs w:val="21"/>
              </w:rPr>
              <w:t>一致</w:t>
            </w:r>
          </w:p>
        </w:tc>
        <w:tc>
          <w:tcPr>
            <w:tcW w:w="641" w:type="dxa"/>
            <w:tcBorders>
              <w:top w:val="single" w:color="auto" w:sz="4" w:space="0"/>
              <w:left w:val="single" w:color="auto" w:sz="4" w:space="0"/>
              <w:bottom w:val="single" w:color="auto" w:sz="4" w:space="0"/>
              <w:right w:val="single" w:color="auto" w:sz="4" w:space="0"/>
            </w:tcBorders>
            <w:noWrap w:val="0"/>
            <w:vAlign w:val="center"/>
          </w:tcPr>
          <w:p w14:paraId="7EFFC12B">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项</w:t>
            </w:r>
          </w:p>
        </w:tc>
        <w:tc>
          <w:tcPr>
            <w:tcW w:w="800" w:type="dxa"/>
            <w:tcBorders>
              <w:top w:val="single" w:color="auto" w:sz="4" w:space="0"/>
              <w:left w:val="single" w:color="auto" w:sz="4" w:space="0"/>
              <w:bottom w:val="single" w:color="auto" w:sz="4" w:space="0"/>
              <w:right w:val="single" w:color="auto" w:sz="4" w:space="0"/>
            </w:tcBorders>
            <w:noWrap w:val="0"/>
            <w:vAlign w:val="center"/>
          </w:tcPr>
          <w:p w14:paraId="0490733D">
            <w:pPr>
              <w:keepNext w:val="0"/>
              <w:keepLines w:val="0"/>
              <w:pageBreakBefore w:val="0"/>
              <w:widowControl/>
              <w:kinsoku/>
              <w:overflowPunct/>
              <w:topLinePunct w:val="0"/>
              <w:autoSpaceDE/>
              <w:autoSpaceDN/>
              <w:bidi w:val="0"/>
              <w:adjustRightInd/>
              <w:snapToGrid/>
              <w:spacing w:line="360" w:lineRule="exact"/>
              <w:jc w:val="center"/>
              <w:textAlignment w:val="center"/>
              <w:rPr>
                <w:rFonts w:hint="default"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4</w:t>
            </w:r>
          </w:p>
        </w:tc>
        <w:tc>
          <w:tcPr>
            <w:tcW w:w="1247" w:type="dxa"/>
            <w:tcBorders>
              <w:top w:val="single" w:color="auto" w:sz="4" w:space="0"/>
              <w:left w:val="single" w:color="auto" w:sz="4" w:space="0"/>
              <w:bottom w:val="single" w:color="auto" w:sz="4" w:space="0"/>
              <w:right w:val="single" w:color="auto" w:sz="4" w:space="0"/>
            </w:tcBorders>
            <w:noWrap w:val="0"/>
            <w:vAlign w:val="center"/>
          </w:tcPr>
          <w:p w14:paraId="649B9679">
            <w:pPr>
              <w:jc w:val="left"/>
              <w:rPr>
                <w:rFonts w:hint="eastAsia" w:ascii="宋体" w:hAnsi="宋体" w:eastAsia="宋体" w:cs="宋体"/>
                <w:sz w:val="21"/>
                <w:szCs w:val="21"/>
              </w:rPr>
            </w:pPr>
          </w:p>
        </w:tc>
        <w:tc>
          <w:tcPr>
            <w:tcW w:w="1603" w:type="dxa"/>
            <w:tcBorders>
              <w:top w:val="single" w:color="auto" w:sz="4" w:space="0"/>
              <w:left w:val="single" w:color="auto" w:sz="4" w:space="0"/>
              <w:bottom w:val="single" w:color="auto" w:sz="4" w:space="0"/>
              <w:right w:val="single" w:color="auto" w:sz="4" w:space="0"/>
            </w:tcBorders>
            <w:noWrap w:val="0"/>
            <w:vAlign w:val="center"/>
          </w:tcPr>
          <w:p w14:paraId="3517F019">
            <w:pPr>
              <w:jc w:val="left"/>
              <w:rPr>
                <w:rFonts w:hint="eastAsia" w:ascii="宋体" w:hAnsi="宋体" w:eastAsia="宋体" w:cs="宋体"/>
                <w:sz w:val="21"/>
                <w:szCs w:val="21"/>
              </w:rPr>
            </w:pPr>
          </w:p>
        </w:tc>
        <w:tc>
          <w:tcPr>
            <w:tcW w:w="714" w:type="dxa"/>
            <w:tcBorders>
              <w:top w:val="single" w:color="auto" w:sz="4" w:space="0"/>
              <w:left w:val="single" w:color="auto" w:sz="4" w:space="0"/>
              <w:bottom w:val="single" w:color="auto" w:sz="4" w:space="0"/>
              <w:right w:val="single" w:color="auto" w:sz="4" w:space="0"/>
            </w:tcBorders>
            <w:noWrap w:val="0"/>
            <w:vAlign w:val="center"/>
          </w:tcPr>
          <w:p w14:paraId="19FDF289">
            <w:pPr>
              <w:jc w:val="center"/>
              <w:rPr>
                <w:rFonts w:hint="eastAsia" w:ascii="宋体" w:hAnsi="宋体" w:eastAsia="宋体" w:cs="宋体"/>
                <w:sz w:val="21"/>
                <w:szCs w:val="21"/>
              </w:rPr>
            </w:pPr>
          </w:p>
        </w:tc>
      </w:tr>
      <w:tr w14:paraId="5FE09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trPr>
        <w:tc>
          <w:tcPr>
            <w:tcW w:w="661" w:type="dxa"/>
            <w:tcBorders>
              <w:top w:val="single" w:color="auto" w:sz="4" w:space="0"/>
              <w:left w:val="single" w:color="auto" w:sz="4" w:space="0"/>
              <w:bottom w:val="single" w:color="auto" w:sz="4" w:space="0"/>
              <w:right w:val="single" w:color="auto" w:sz="4" w:space="0"/>
            </w:tcBorders>
            <w:noWrap w:val="0"/>
            <w:vAlign w:val="center"/>
          </w:tcPr>
          <w:p w14:paraId="3BA4EB3D">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0"/>
                <w:sz w:val="21"/>
                <w:szCs w:val="21"/>
                <w:highlight w:val="none"/>
              </w:rPr>
              <w:t>8</w:t>
            </w:r>
          </w:p>
        </w:tc>
        <w:tc>
          <w:tcPr>
            <w:tcW w:w="1646" w:type="dxa"/>
            <w:tcBorders>
              <w:top w:val="single" w:color="auto" w:sz="4" w:space="0"/>
              <w:left w:val="single" w:color="auto" w:sz="4" w:space="0"/>
              <w:bottom w:val="single" w:color="auto" w:sz="4" w:space="0"/>
              <w:right w:val="single" w:color="auto" w:sz="4" w:space="0"/>
            </w:tcBorders>
            <w:noWrap w:val="0"/>
            <w:vAlign w:val="center"/>
          </w:tcPr>
          <w:p w14:paraId="11A725C0">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b w:val="0"/>
                <w:bCs w:val="0"/>
                <w:i w:val="0"/>
                <w:iCs w:val="0"/>
                <w:color w:val="000000"/>
                <w:kern w:val="2"/>
                <w:sz w:val="21"/>
                <w:szCs w:val="21"/>
                <w:u w:val="none"/>
                <w:lang w:val="en-US" w:eastAsia="zh-CN" w:bidi="ar-SA"/>
              </w:rPr>
            </w:pPr>
            <w:r>
              <w:rPr>
                <w:rFonts w:hint="eastAsia" w:ascii="宋体" w:hAnsi="宋体" w:eastAsia="宋体" w:cs="宋体"/>
                <w:b w:val="0"/>
                <w:bCs w:val="0"/>
                <w:i w:val="0"/>
                <w:iCs w:val="0"/>
                <w:color w:val="000000"/>
                <w:kern w:val="2"/>
                <w:sz w:val="21"/>
                <w:szCs w:val="21"/>
                <w:u w:val="none"/>
                <w:lang w:val="en-US" w:eastAsia="zh-CN" w:bidi="ar-SA"/>
              </w:rPr>
              <w:t>科研能力提升</w:t>
            </w:r>
          </w:p>
        </w:tc>
        <w:tc>
          <w:tcPr>
            <w:tcW w:w="2745" w:type="dxa"/>
            <w:tcBorders>
              <w:top w:val="single" w:color="auto" w:sz="4" w:space="0"/>
              <w:left w:val="single" w:color="auto" w:sz="4" w:space="0"/>
              <w:bottom w:val="single" w:color="auto" w:sz="4" w:space="0"/>
              <w:right w:val="single" w:color="auto" w:sz="4" w:space="0"/>
            </w:tcBorders>
            <w:noWrap w:val="0"/>
            <w:vAlign w:val="center"/>
          </w:tcPr>
          <w:p w14:paraId="2BABDDDA">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与商务条款偏离表、</w:t>
            </w:r>
            <w:r>
              <w:rPr>
                <w:rFonts w:hint="eastAsia" w:ascii="宋体" w:hAnsi="宋体" w:eastAsia="宋体" w:cs="宋体"/>
                <w:color w:val="000000"/>
                <w:sz w:val="21"/>
                <w:szCs w:val="21"/>
              </w:rPr>
              <w:t>服务需求、技术需求偏离表</w:t>
            </w:r>
            <w:r>
              <w:rPr>
                <w:rFonts w:hint="eastAsia" w:ascii="宋体" w:hAnsi="宋体" w:eastAsia="宋体" w:cs="宋体"/>
                <w:sz w:val="21"/>
                <w:szCs w:val="21"/>
              </w:rPr>
              <w:t>一致</w:t>
            </w:r>
          </w:p>
        </w:tc>
        <w:tc>
          <w:tcPr>
            <w:tcW w:w="641" w:type="dxa"/>
            <w:tcBorders>
              <w:top w:val="single" w:color="auto" w:sz="4" w:space="0"/>
              <w:left w:val="single" w:color="auto" w:sz="4" w:space="0"/>
              <w:bottom w:val="single" w:color="auto" w:sz="4" w:space="0"/>
              <w:right w:val="single" w:color="auto" w:sz="4" w:space="0"/>
            </w:tcBorders>
            <w:noWrap w:val="0"/>
            <w:vAlign w:val="center"/>
          </w:tcPr>
          <w:p w14:paraId="05CECE8E">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highlight w:val="none"/>
                <w:lang w:val="en-US" w:eastAsia="zh-CN" w:bidi="ar-SA"/>
              </w:rPr>
              <w:t>项</w:t>
            </w:r>
          </w:p>
        </w:tc>
        <w:tc>
          <w:tcPr>
            <w:tcW w:w="800" w:type="dxa"/>
            <w:tcBorders>
              <w:top w:val="single" w:color="auto" w:sz="4" w:space="0"/>
              <w:left w:val="single" w:color="auto" w:sz="4" w:space="0"/>
              <w:bottom w:val="single" w:color="auto" w:sz="4" w:space="0"/>
              <w:right w:val="single" w:color="auto" w:sz="4" w:space="0"/>
            </w:tcBorders>
            <w:noWrap w:val="0"/>
            <w:vAlign w:val="center"/>
          </w:tcPr>
          <w:p w14:paraId="5752EA2E">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w:t>
            </w:r>
          </w:p>
        </w:tc>
        <w:tc>
          <w:tcPr>
            <w:tcW w:w="1247" w:type="dxa"/>
            <w:tcBorders>
              <w:top w:val="single" w:color="auto" w:sz="4" w:space="0"/>
              <w:left w:val="single" w:color="auto" w:sz="4" w:space="0"/>
              <w:bottom w:val="single" w:color="auto" w:sz="4" w:space="0"/>
              <w:right w:val="single" w:color="auto" w:sz="4" w:space="0"/>
            </w:tcBorders>
            <w:noWrap w:val="0"/>
            <w:vAlign w:val="center"/>
          </w:tcPr>
          <w:p w14:paraId="3F56CAE6">
            <w:pPr>
              <w:jc w:val="left"/>
              <w:rPr>
                <w:rFonts w:hint="eastAsia" w:ascii="宋体" w:hAnsi="宋体" w:eastAsia="宋体" w:cs="宋体"/>
                <w:sz w:val="21"/>
                <w:szCs w:val="21"/>
              </w:rPr>
            </w:pPr>
          </w:p>
        </w:tc>
        <w:tc>
          <w:tcPr>
            <w:tcW w:w="1603" w:type="dxa"/>
            <w:tcBorders>
              <w:top w:val="single" w:color="auto" w:sz="4" w:space="0"/>
              <w:left w:val="single" w:color="auto" w:sz="4" w:space="0"/>
              <w:bottom w:val="single" w:color="auto" w:sz="4" w:space="0"/>
              <w:right w:val="single" w:color="auto" w:sz="4" w:space="0"/>
            </w:tcBorders>
            <w:noWrap w:val="0"/>
            <w:vAlign w:val="center"/>
          </w:tcPr>
          <w:p w14:paraId="16BB88AC">
            <w:pPr>
              <w:jc w:val="left"/>
              <w:rPr>
                <w:rFonts w:hint="eastAsia" w:ascii="宋体" w:hAnsi="宋体" w:eastAsia="宋体" w:cs="宋体"/>
                <w:sz w:val="21"/>
                <w:szCs w:val="21"/>
              </w:rPr>
            </w:pPr>
          </w:p>
        </w:tc>
        <w:tc>
          <w:tcPr>
            <w:tcW w:w="714" w:type="dxa"/>
            <w:tcBorders>
              <w:top w:val="single" w:color="auto" w:sz="4" w:space="0"/>
              <w:left w:val="single" w:color="auto" w:sz="4" w:space="0"/>
              <w:bottom w:val="single" w:color="auto" w:sz="4" w:space="0"/>
              <w:right w:val="single" w:color="auto" w:sz="4" w:space="0"/>
            </w:tcBorders>
            <w:noWrap w:val="0"/>
            <w:vAlign w:val="center"/>
          </w:tcPr>
          <w:p w14:paraId="49B14377">
            <w:pPr>
              <w:jc w:val="center"/>
              <w:rPr>
                <w:rFonts w:hint="eastAsia" w:ascii="宋体" w:hAnsi="宋体" w:eastAsia="宋体" w:cs="宋体"/>
                <w:sz w:val="21"/>
                <w:szCs w:val="21"/>
              </w:rPr>
            </w:pPr>
          </w:p>
        </w:tc>
      </w:tr>
      <w:tr w14:paraId="22745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trPr>
        <w:tc>
          <w:tcPr>
            <w:tcW w:w="661" w:type="dxa"/>
            <w:tcBorders>
              <w:top w:val="single" w:color="auto" w:sz="4" w:space="0"/>
              <w:left w:val="single" w:color="auto" w:sz="4" w:space="0"/>
              <w:bottom w:val="single" w:color="auto" w:sz="4" w:space="0"/>
              <w:right w:val="single" w:color="auto" w:sz="4" w:space="0"/>
            </w:tcBorders>
            <w:noWrap w:val="0"/>
            <w:vAlign w:val="center"/>
          </w:tcPr>
          <w:p w14:paraId="52D54FFC">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rPr>
              <w:t>9</w:t>
            </w:r>
          </w:p>
        </w:tc>
        <w:tc>
          <w:tcPr>
            <w:tcW w:w="1646" w:type="dxa"/>
            <w:tcBorders>
              <w:top w:val="single" w:color="auto" w:sz="4" w:space="0"/>
              <w:left w:val="single" w:color="auto" w:sz="4" w:space="0"/>
              <w:bottom w:val="single" w:color="auto" w:sz="4" w:space="0"/>
              <w:right w:val="single" w:color="auto" w:sz="4" w:space="0"/>
            </w:tcBorders>
            <w:noWrap w:val="0"/>
            <w:vAlign w:val="center"/>
          </w:tcPr>
          <w:p w14:paraId="570D4469">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b w:val="0"/>
                <w:bCs w:val="0"/>
                <w:i w:val="0"/>
                <w:iCs w:val="0"/>
                <w:color w:val="000000"/>
                <w:kern w:val="2"/>
                <w:sz w:val="21"/>
                <w:szCs w:val="21"/>
                <w:u w:val="none"/>
                <w:lang w:val="en-US" w:eastAsia="zh-CN" w:bidi="ar-SA"/>
              </w:rPr>
            </w:pPr>
            <w:r>
              <w:rPr>
                <w:rFonts w:hint="eastAsia" w:ascii="宋体" w:hAnsi="宋体" w:eastAsia="宋体" w:cs="宋体"/>
                <w:b w:val="0"/>
                <w:bCs w:val="0"/>
                <w:i w:val="0"/>
                <w:iCs w:val="0"/>
                <w:color w:val="000000"/>
                <w:kern w:val="2"/>
                <w:sz w:val="21"/>
                <w:szCs w:val="21"/>
                <w:u w:val="none"/>
                <w:lang w:val="en-US" w:eastAsia="zh-CN" w:bidi="ar-SA"/>
              </w:rPr>
              <w:t>教师队伍建设</w:t>
            </w:r>
          </w:p>
        </w:tc>
        <w:tc>
          <w:tcPr>
            <w:tcW w:w="2745" w:type="dxa"/>
            <w:tcBorders>
              <w:top w:val="single" w:color="auto" w:sz="4" w:space="0"/>
              <w:left w:val="single" w:color="auto" w:sz="4" w:space="0"/>
              <w:bottom w:val="single" w:color="auto" w:sz="4" w:space="0"/>
              <w:right w:val="single" w:color="auto" w:sz="4" w:space="0"/>
            </w:tcBorders>
            <w:noWrap w:val="0"/>
            <w:vAlign w:val="center"/>
          </w:tcPr>
          <w:p w14:paraId="66641439">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与商务条款偏离表、</w:t>
            </w:r>
            <w:r>
              <w:rPr>
                <w:rFonts w:hint="eastAsia" w:ascii="宋体" w:hAnsi="宋体" w:eastAsia="宋体" w:cs="宋体"/>
                <w:color w:val="000000"/>
                <w:sz w:val="21"/>
                <w:szCs w:val="21"/>
              </w:rPr>
              <w:t>服务需求、技术需求偏离表</w:t>
            </w:r>
            <w:r>
              <w:rPr>
                <w:rFonts w:hint="eastAsia" w:ascii="宋体" w:hAnsi="宋体" w:eastAsia="宋体" w:cs="宋体"/>
                <w:sz w:val="21"/>
                <w:szCs w:val="21"/>
              </w:rPr>
              <w:t>一致</w:t>
            </w:r>
          </w:p>
        </w:tc>
        <w:tc>
          <w:tcPr>
            <w:tcW w:w="641" w:type="dxa"/>
            <w:tcBorders>
              <w:top w:val="single" w:color="auto" w:sz="4" w:space="0"/>
              <w:left w:val="single" w:color="auto" w:sz="4" w:space="0"/>
              <w:bottom w:val="single" w:color="auto" w:sz="4" w:space="0"/>
              <w:right w:val="single" w:color="auto" w:sz="4" w:space="0"/>
            </w:tcBorders>
            <w:noWrap w:val="0"/>
            <w:vAlign w:val="center"/>
          </w:tcPr>
          <w:p w14:paraId="23504ED4">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highlight w:val="none"/>
                <w:lang w:val="en-US" w:eastAsia="zh-CN" w:bidi="ar-SA"/>
              </w:rPr>
              <w:t>项</w:t>
            </w:r>
          </w:p>
        </w:tc>
        <w:tc>
          <w:tcPr>
            <w:tcW w:w="800" w:type="dxa"/>
            <w:tcBorders>
              <w:top w:val="single" w:color="auto" w:sz="4" w:space="0"/>
              <w:left w:val="single" w:color="auto" w:sz="4" w:space="0"/>
              <w:bottom w:val="single" w:color="auto" w:sz="4" w:space="0"/>
              <w:right w:val="single" w:color="auto" w:sz="4" w:space="0"/>
            </w:tcBorders>
            <w:noWrap w:val="0"/>
            <w:vAlign w:val="center"/>
          </w:tcPr>
          <w:p w14:paraId="0A9FB475">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w:t>
            </w:r>
          </w:p>
        </w:tc>
        <w:tc>
          <w:tcPr>
            <w:tcW w:w="1247" w:type="dxa"/>
            <w:tcBorders>
              <w:top w:val="single" w:color="auto" w:sz="4" w:space="0"/>
              <w:left w:val="single" w:color="auto" w:sz="4" w:space="0"/>
              <w:bottom w:val="single" w:color="auto" w:sz="4" w:space="0"/>
              <w:right w:val="single" w:color="auto" w:sz="4" w:space="0"/>
            </w:tcBorders>
            <w:noWrap w:val="0"/>
            <w:vAlign w:val="center"/>
          </w:tcPr>
          <w:p w14:paraId="130FB015">
            <w:pPr>
              <w:jc w:val="left"/>
              <w:rPr>
                <w:rFonts w:hint="eastAsia" w:ascii="宋体" w:hAnsi="宋体" w:eastAsia="宋体" w:cs="宋体"/>
                <w:sz w:val="21"/>
                <w:szCs w:val="21"/>
              </w:rPr>
            </w:pPr>
          </w:p>
        </w:tc>
        <w:tc>
          <w:tcPr>
            <w:tcW w:w="1603" w:type="dxa"/>
            <w:tcBorders>
              <w:top w:val="single" w:color="auto" w:sz="4" w:space="0"/>
              <w:left w:val="single" w:color="auto" w:sz="4" w:space="0"/>
              <w:bottom w:val="single" w:color="auto" w:sz="4" w:space="0"/>
              <w:right w:val="single" w:color="auto" w:sz="4" w:space="0"/>
            </w:tcBorders>
            <w:noWrap w:val="0"/>
            <w:vAlign w:val="center"/>
          </w:tcPr>
          <w:p w14:paraId="7FE8E47C">
            <w:pPr>
              <w:jc w:val="left"/>
              <w:rPr>
                <w:rFonts w:hint="eastAsia" w:ascii="宋体" w:hAnsi="宋体" w:eastAsia="宋体" w:cs="宋体"/>
                <w:sz w:val="21"/>
                <w:szCs w:val="21"/>
              </w:rPr>
            </w:pPr>
          </w:p>
        </w:tc>
        <w:tc>
          <w:tcPr>
            <w:tcW w:w="714" w:type="dxa"/>
            <w:tcBorders>
              <w:top w:val="single" w:color="auto" w:sz="4" w:space="0"/>
              <w:left w:val="single" w:color="auto" w:sz="4" w:space="0"/>
              <w:bottom w:val="single" w:color="auto" w:sz="4" w:space="0"/>
              <w:right w:val="single" w:color="auto" w:sz="4" w:space="0"/>
            </w:tcBorders>
            <w:noWrap w:val="0"/>
            <w:vAlign w:val="center"/>
          </w:tcPr>
          <w:p w14:paraId="38EC6AF9">
            <w:pPr>
              <w:jc w:val="center"/>
              <w:rPr>
                <w:rFonts w:hint="eastAsia" w:ascii="宋体" w:hAnsi="宋体" w:eastAsia="宋体" w:cs="宋体"/>
                <w:sz w:val="21"/>
                <w:szCs w:val="21"/>
              </w:rPr>
            </w:pPr>
          </w:p>
        </w:tc>
      </w:tr>
      <w:tr w14:paraId="3F9F1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3" w:hRule="atLeast"/>
        </w:trPr>
        <w:tc>
          <w:tcPr>
            <w:tcW w:w="661" w:type="dxa"/>
            <w:tcBorders>
              <w:top w:val="single" w:color="auto" w:sz="4" w:space="0"/>
              <w:left w:val="single" w:color="auto" w:sz="4" w:space="0"/>
              <w:bottom w:val="single" w:color="auto" w:sz="4" w:space="0"/>
              <w:right w:val="single" w:color="auto" w:sz="4" w:space="0"/>
            </w:tcBorders>
            <w:noWrap w:val="0"/>
            <w:vAlign w:val="center"/>
          </w:tcPr>
          <w:p w14:paraId="48A1E344">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rPr>
              <w:t>10</w:t>
            </w:r>
          </w:p>
        </w:tc>
        <w:tc>
          <w:tcPr>
            <w:tcW w:w="1646" w:type="dxa"/>
            <w:tcBorders>
              <w:top w:val="single" w:color="auto" w:sz="4" w:space="0"/>
              <w:left w:val="single" w:color="auto" w:sz="4" w:space="0"/>
              <w:bottom w:val="single" w:color="auto" w:sz="4" w:space="0"/>
              <w:right w:val="single" w:color="auto" w:sz="4" w:space="0"/>
            </w:tcBorders>
            <w:noWrap w:val="0"/>
            <w:vAlign w:val="center"/>
          </w:tcPr>
          <w:p w14:paraId="63F787BC">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b w:val="0"/>
                <w:bCs w:val="0"/>
                <w:i w:val="0"/>
                <w:iCs w:val="0"/>
                <w:color w:val="000000"/>
                <w:kern w:val="2"/>
                <w:sz w:val="21"/>
                <w:szCs w:val="21"/>
                <w:u w:val="none"/>
                <w:lang w:val="en-US" w:eastAsia="zh-CN" w:bidi="ar-SA"/>
              </w:rPr>
            </w:pPr>
            <w:r>
              <w:rPr>
                <w:rFonts w:hint="eastAsia" w:ascii="宋体" w:hAnsi="宋体" w:eastAsia="宋体" w:cs="宋体"/>
                <w:b w:val="0"/>
                <w:bCs w:val="0"/>
                <w:i w:val="0"/>
                <w:iCs w:val="0"/>
                <w:color w:val="000000"/>
                <w:kern w:val="2"/>
                <w:sz w:val="21"/>
                <w:szCs w:val="21"/>
                <w:u w:val="none"/>
                <w:lang w:val="en-US" w:eastAsia="zh-CN" w:bidi="ar-SA"/>
              </w:rPr>
              <w:t>开发烹饪专业群国际化课程1门</w:t>
            </w:r>
          </w:p>
        </w:tc>
        <w:tc>
          <w:tcPr>
            <w:tcW w:w="2745" w:type="dxa"/>
            <w:tcBorders>
              <w:top w:val="single" w:color="auto" w:sz="4" w:space="0"/>
              <w:left w:val="single" w:color="auto" w:sz="4" w:space="0"/>
              <w:bottom w:val="single" w:color="auto" w:sz="4" w:space="0"/>
              <w:right w:val="single" w:color="auto" w:sz="4" w:space="0"/>
            </w:tcBorders>
            <w:noWrap w:val="0"/>
            <w:vAlign w:val="center"/>
          </w:tcPr>
          <w:p w14:paraId="3BDB1C96">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与商务条款偏离表、</w:t>
            </w:r>
            <w:r>
              <w:rPr>
                <w:rFonts w:hint="eastAsia" w:ascii="宋体" w:hAnsi="宋体" w:eastAsia="宋体" w:cs="宋体"/>
                <w:color w:val="000000"/>
                <w:sz w:val="21"/>
                <w:szCs w:val="21"/>
              </w:rPr>
              <w:t>服务需求、技术需求偏离表</w:t>
            </w:r>
            <w:r>
              <w:rPr>
                <w:rFonts w:hint="eastAsia" w:ascii="宋体" w:hAnsi="宋体" w:eastAsia="宋体" w:cs="宋体"/>
                <w:sz w:val="21"/>
                <w:szCs w:val="21"/>
              </w:rPr>
              <w:t>一致</w:t>
            </w:r>
          </w:p>
        </w:tc>
        <w:tc>
          <w:tcPr>
            <w:tcW w:w="641" w:type="dxa"/>
            <w:tcBorders>
              <w:top w:val="single" w:color="auto" w:sz="4" w:space="0"/>
              <w:left w:val="single" w:color="auto" w:sz="4" w:space="0"/>
              <w:bottom w:val="single" w:color="auto" w:sz="4" w:space="0"/>
              <w:right w:val="single" w:color="auto" w:sz="4" w:space="0"/>
            </w:tcBorders>
            <w:noWrap w:val="0"/>
            <w:vAlign w:val="center"/>
          </w:tcPr>
          <w:p w14:paraId="4F3C370A">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highlight w:val="none"/>
                <w:lang w:val="en-US" w:eastAsia="zh-CN" w:bidi="ar-SA"/>
              </w:rPr>
              <w:t>项</w:t>
            </w:r>
          </w:p>
        </w:tc>
        <w:tc>
          <w:tcPr>
            <w:tcW w:w="800" w:type="dxa"/>
            <w:tcBorders>
              <w:top w:val="single" w:color="auto" w:sz="4" w:space="0"/>
              <w:left w:val="single" w:color="auto" w:sz="4" w:space="0"/>
              <w:bottom w:val="single" w:color="auto" w:sz="4" w:space="0"/>
              <w:right w:val="single" w:color="auto" w:sz="4" w:space="0"/>
            </w:tcBorders>
            <w:noWrap w:val="0"/>
            <w:vAlign w:val="center"/>
          </w:tcPr>
          <w:p w14:paraId="2B3C609A">
            <w:pPr>
              <w:keepNext w:val="0"/>
              <w:keepLines w:val="0"/>
              <w:pageBreakBefore w:val="0"/>
              <w:widowControl/>
              <w:kinsoku/>
              <w:overflowPunct/>
              <w:topLinePunct w:val="0"/>
              <w:autoSpaceDE/>
              <w:autoSpaceDN/>
              <w:bidi w:val="0"/>
              <w:adjustRightInd/>
              <w:snapToGrid/>
              <w:spacing w:line="360" w:lineRule="exact"/>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w:t>
            </w:r>
          </w:p>
        </w:tc>
        <w:tc>
          <w:tcPr>
            <w:tcW w:w="1247" w:type="dxa"/>
            <w:tcBorders>
              <w:top w:val="single" w:color="auto" w:sz="4" w:space="0"/>
              <w:left w:val="single" w:color="auto" w:sz="4" w:space="0"/>
              <w:bottom w:val="single" w:color="auto" w:sz="4" w:space="0"/>
              <w:right w:val="single" w:color="auto" w:sz="4" w:space="0"/>
            </w:tcBorders>
            <w:noWrap w:val="0"/>
            <w:vAlign w:val="center"/>
          </w:tcPr>
          <w:p w14:paraId="78BD4424">
            <w:pPr>
              <w:jc w:val="left"/>
              <w:rPr>
                <w:rFonts w:hint="eastAsia" w:ascii="宋体" w:hAnsi="宋体" w:eastAsia="宋体" w:cs="宋体"/>
                <w:sz w:val="21"/>
                <w:szCs w:val="21"/>
              </w:rPr>
            </w:pPr>
          </w:p>
        </w:tc>
        <w:tc>
          <w:tcPr>
            <w:tcW w:w="1603" w:type="dxa"/>
            <w:tcBorders>
              <w:top w:val="single" w:color="auto" w:sz="4" w:space="0"/>
              <w:left w:val="single" w:color="auto" w:sz="4" w:space="0"/>
              <w:bottom w:val="single" w:color="auto" w:sz="4" w:space="0"/>
              <w:right w:val="single" w:color="auto" w:sz="4" w:space="0"/>
            </w:tcBorders>
            <w:noWrap w:val="0"/>
            <w:vAlign w:val="center"/>
          </w:tcPr>
          <w:p w14:paraId="6AB6FF28">
            <w:pPr>
              <w:jc w:val="left"/>
              <w:rPr>
                <w:rFonts w:hint="eastAsia" w:ascii="宋体" w:hAnsi="宋体" w:eastAsia="宋体" w:cs="宋体"/>
                <w:sz w:val="21"/>
                <w:szCs w:val="21"/>
              </w:rPr>
            </w:pPr>
          </w:p>
        </w:tc>
        <w:tc>
          <w:tcPr>
            <w:tcW w:w="714" w:type="dxa"/>
            <w:tcBorders>
              <w:top w:val="single" w:color="auto" w:sz="4" w:space="0"/>
              <w:left w:val="single" w:color="auto" w:sz="4" w:space="0"/>
              <w:bottom w:val="single" w:color="auto" w:sz="4" w:space="0"/>
              <w:right w:val="single" w:color="auto" w:sz="4" w:space="0"/>
            </w:tcBorders>
            <w:noWrap w:val="0"/>
            <w:vAlign w:val="center"/>
          </w:tcPr>
          <w:p w14:paraId="1D958C50">
            <w:pPr>
              <w:jc w:val="center"/>
              <w:rPr>
                <w:rFonts w:hint="eastAsia" w:ascii="宋体" w:hAnsi="宋体" w:eastAsia="宋体" w:cs="宋体"/>
                <w:sz w:val="21"/>
                <w:szCs w:val="21"/>
              </w:rPr>
            </w:pPr>
          </w:p>
        </w:tc>
      </w:tr>
      <w:tr w14:paraId="6A611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trPr>
        <w:tc>
          <w:tcPr>
            <w:tcW w:w="10057" w:type="dxa"/>
            <w:gridSpan w:val="8"/>
            <w:tcBorders>
              <w:top w:val="single" w:color="auto" w:sz="4" w:space="0"/>
              <w:left w:val="single" w:color="auto" w:sz="4" w:space="0"/>
              <w:bottom w:val="single" w:color="auto" w:sz="4" w:space="0"/>
              <w:right w:val="single" w:color="auto" w:sz="4" w:space="0"/>
            </w:tcBorders>
            <w:noWrap w:val="0"/>
            <w:vAlign w:val="center"/>
          </w:tcPr>
          <w:p w14:paraId="227819B8">
            <w:pPr>
              <w:jc w:val="both"/>
              <w:rPr>
                <w:rFonts w:hint="eastAsia" w:ascii="宋体" w:hAnsi="宋体" w:eastAsia="宋体" w:cs="宋体"/>
                <w:sz w:val="21"/>
                <w:szCs w:val="21"/>
              </w:rPr>
            </w:pPr>
            <w:r>
              <w:rPr>
                <w:rFonts w:hint="eastAsia" w:ascii="宋体" w:hAnsi="宋体" w:eastAsia="宋体" w:cs="宋体"/>
                <w:sz w:val="21"/>
                <w:szCs w:val="21"/>
              </w:rPr>
              <w:t>报价合计（包含税费等所有费用）：（大写）人民币</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               </w:t>
            </w:r>
            <w:r>
              <w:rPr>
                <w:rFonts w:hint="eastAsia" w:ascii="宋体" w:hAnsi="宋体" w:eastAsia="宋体" w:cs="宋体"/>
                <w:sz w:val="21"/>
                <w:szCs w:val="21"/>
              </w:rPr>
              <w:t xml:space="preserve"> 元）</w:t>
            </w:r>
          </w:p>
        </w:tc>
      </w:tr>
      <w:tr w14:paraId="42744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trPr>
        <w:tc>
          <w:tcPr>
            <w:tcW w:w="10057" w:type="dxa"/>
            <w:gridSpan w:val="8"/>
            <w:tcBorders>
              <w:top w:val="single" w:color="auto" w:sz="4" w:space="0"/>
              <w:left w:val="single" w:color="auto" w:sz="4" w:space="0"/>
              <w:bottom w:val="single" w:color="auto" w:sz="4" w:space="0"/>
              <w:right w:val="single" w:color="auto" w:sz="4" w:space="0"/>
            </w:tcBorders>
            <w:noWrap w:val="0"/>
            <w:vAlign w:val="center"/>
          </w:tcPr>
          <w:p w14:paraId="09EA26E7">
            <w:pPr>
              <w:jc w:val="both"/>
              <w:rPr>
                <w:rFonts w:hint="eastAsia" w:ascii="宋体" w:hAnsi="宋体" w:eastAsia="宋体" w:cs="宋体"/>
                <w:sz w:val="21"/>
                <w:szCs w:val="21"/>
                <w:u w:val="single"/>
              </w:rPr>
            </w:pPr>
            <w:r>
              <w:rPr>
                <w:rFonts w:hint="eastAsia" w:ascii="宋体" w:hAnsi="宋体" w:eastAsia="宋体" w:cs="宋体"/>
                <w:sz w:val="21"/>
                <w:szCs w:val="21"/>
                <w:u w:val="single"/>
              </w:rPr>
              <w:t>　　</w:t>
            </w:r>
            <w:r>
              <w:rPr>
                <w:rFonts w:hint="eastAsia" w:ascii="宋体" w:hAnsi="宋体" w:eastAsia="宋体" w:cs="宋体"/>
                <w:sz w:val="21"/>
                <w:szCs w:val="21"/>
              </w:rPr>
              <w:t>分标（此处有分标时填写具体分标号，无分标时填写“无”）</w:t>
            </w:r>
          </w:p>
        </w:tc>
      </w:tr>
    </w:tbl>
    <w:p w14:paraId="225B5CEC">
      <w:pPr>
        <w:snapToGrid w:val="0"/>
        <w:spacing w:before="50" w:after="50" w:line="360" w:lineRule="auto"/>
        <w:ind w:firstLine="480" w:firstLineChars="200"/>
        <w:jc w:val="left"/>
        <w:rPr>
          <w:rFonts w:hint="eastAsia" w:ascii="仿宋_GB2312" w:hAnsi="仿宋" w:eastAsia="仿宋_GB2312" w:cs="仿宋_GB2312"/>
          <w:kern w:val="0"/>
          <w:sz w:val="24"/>
          <w:lang w:val="zh-CN"/>
        </w:rPr>
      </w:pPr>
      <w:r>
        <w:rPr>
          <w:rFonts w:hint="eastAsia" w:ascii="仿宋_GB2312" w:hAnsi="仿宋" w:eastAsia="仿宋_GB2312" w:cs="仿宋_GB2312"/>
          <w:kern w:val="0"/>
          <w:sz w:val="24"/>
          <w:lang w:val="zh-CN"/>
        </w:rPr>
        <w:t xml:space="preserve">注： </w:t>
      </w:r>
    </w:p>
    <w:p w14:paraId="027EA6CC">
      <w:pPr>
        <w:snapToGrid w:val="0"/>
        <w:spacing w:before="50" w:after="50" w:line="360" w:lineRule="auto"/>
        <w:ind w:firstLine="480" w:firstLineChars="200"/>
        <w:jc w:val="left"/>
        <w:rPr>
          <w:rFonts w:hint="eastAsia" w:ascii="仿宋_GB2312" w:hAnsi="仿宋" w:eastAsia="仿宋_GB2312" w:cs="仿宋_GB2312"/>
          <w:kern w:val="0"/>
          <w:sz w:val="24"/>
          <w:lang w:val="zh-CN"/>
        </w:rPr>
      </w:pPr>
      <w:r>
        <w:rPr>
          <w:rFonts w:hint="eastAsia" w:ascii="仿宋_GB2312" w:hAnsi="仿宋" w:eastAsia="仿宋_GB2312" w:cs="仿宋_GB2312"/>
          <w:kern w:val="0"/>
          <w:sz w:val="24"/>
          <w:lang w:val="zh-CN"/>
        </w:rPr>
        <w:t>1、 投标人需按本表格式填写，不得自行更改，也不得留空, 如有多分标，按分标分别提供开标一览表，必须加盖投标人有效电子公章</w:t>
      </w:r>
      <w:r>
        <w:rPr>
          <w:rFonts w:hint="eastAsia" w:ascii="仿宋_GB2312" w:hAnsi="仿宋" w:eastAsia="仿宋_GB2312" w:cs="仿宋_GB2312"/>
          <w:b/>
          <w:kern w:val="0"/>
          <w:sz w:val="24"/>
          <w:lang w:val="zh-CN"/>
        </w:rPr>
        <w:t>。</w:t>
      </w:r>
    </w:p>
    <w:p w14:paraId="00EAEC6C">
      <w:pPr>
        <w:snapToGrid w:val="0"/>
        <w:spacing w:before="50" w:after="50" w:line="360" w:lineRule="auto"/>
        <w:ind w:firstLine="480" w:firstLineChars="200"/>
        <w:jc w:val="left"/>
        <w:rPr>
          <w:rFonts w:hint="eastAsia" w:ascii="仿宋_GB2312" w:hAnsi="仿宋" w:eastAsia="仿宋_GB2312" w:cs="仿宋_GB2312"/>
          <w:kern w:val="0"/>
          <w:sz w:val="24"/>
          <w:lang w:val="zh-CN"/>
        </w:rPr>
      </w:pPr>
      <w:r>
        <w:rPr>
          <w:rFonts w:hint="eastAsia" w:ascii="仿宋_GB2312" w:hAnsi="仿宋" w:eastAsia="仿宋_GB2312" w:cs="仿宋_GB2312"/>
          <w:kern w:val="0"/>
          <w:sz w:val="24"/>
          <w:lang w:val="zh-CN"/>
        </w:rPr>
        <w:t>2、本表内容均不能涂改，</w:t>
      </w:r>
      <w:r>
        <w:rPr>
          <w:rFonts w:hint="eastAsia" w:ascii="仿宋_GB2312" w:hAnsi="仿宋" w:eastAsia="仿宋_GB2312" w:cs="仿宋_GB2312"/>
          <w:b/>
          <w:kern w:val="0"/>
          <w:sz w:val="24"/>
          <w:lang w:val="zh-CN"/>
        </w:rPr>
        <w:t>否则其投标作无效标处理。</w:t>
      </w:r>
    </w:p>
    <w:p w14:paraId="06690198">
      <w:pPr>
        <w:snapToGrid w:val="0"/>
        <w:spacing w:before="50" w:after="50" w:line="360" w:lineRule="auto"/>
        <w:ind w:firstLine="480" w:firstLineChars="200"/>
        <w:jc w:val="left"/>
        <w:rPr>
          <w:rFonts w:hint="eastAsia" w:ascii="仿宋_GB2312" w:hAnsi="仿宋" w:eastAsia="仿宋_GB2312" w:cs="仿宋_GB2312"/>
          <w:b/>
          <w:kern w:val="0"/>
          <w:sz w:val="24"/>
          <w:lang w:val="zh-CN"/>
        </w:rPr>
      </w:pPr>
      <w:r>
        <w:rPr>
          <w:rFonts w:hint="eastAsia" w:ascii="仿宋_GB2312" w:hAnsi="仿宋" w:eastAsia="仿宋_GB2312" w:cs="仿宋_GB2312"/>
          <w:kern w:val="0"/>
          <w:sz w:val="24"/>
          <w:lang w:val="zh-CN"/>
        </w:rPr>
        <w:t>3、如为联合体投标，“投标人名称”处必须列明联合体各方名称，并标注联合体牵头人名称，且盖章处须加盖联合体各方公章，</w:t>
      </w:r>
      <w:r>
        <w:rPr>
          <w:rFonts w:hint="eastAsia" w:ascii="仿宋_GB2312" w:hAnsi="仿宋" w:eastAsia="仿宋_GB2312" w:cs="仿宋_GB2312"/>
          <w:b/>
          <w:kern w:val="0"/>
          <w:sz w:val="24"/>
          <w:lang w:val="zh-CN"/>
        </w:rPr>
        <w:t>否则其投标作无效标处理。</w:t>
      </w:r>
    </w:p>
    <w:p w14:paraId="60B44AE2">
      <w:pPr>
        <w:snapToGrid w:val="0"/>
        <w:spacing w:line="360" w:lineRule="auto"/>
        <w:ind w:firstLine="480" w:firstLineChars="200"/>
        <w:jc w:val="left"/>
        <w:rPr>
          <w:rFonts w:hint="eastAsia" w:ascii="仿宋_GB2312" w:hAnsi="仿宋" w:eastAsia="仿宋_GB2312" w:cs="仿宋_GB2312"/>
          <w:kern w:val="0"/>
          <w:sz w:val="24"/>
          <w:lang w:val="zh-CN"/>
        </w:rPr>
      </w:pPr>
      <w:r>
        <w:rPr>
          <w:rFonts w:hint="eastAsia" w:ascii="仿宋_GB2312" w:hAnsi="仿宋" w:eastAsia="仿宋_GB2312" w:cs="仿宋_GB2312"/>
          <w:kern w:val="0"/>
          <w:sz w:val="24"/>
          <w:lang w:val="zh-CN"/>
        </w:rPr>
        <w:t>4、以上表格要求细分项目及报价，</w:t>
      </w:r>
      <w:r>
        <w:rPr>
          <w:rFonts w:hint="eastAsia" w:ascii="仿宋_GB2312" w:hAnsi="仿宋" w:eastAsia="仿宋_GB2312" w:cs="仿宋_GB2312"/>
          <w:b/>
          <w:kern w:val="0"/>
          <w:sz w:val="24"/>
          <w:lang w:val="zh-CN"/>
        </w:rPr>
        <w:t>否则其投标作无效标处理。</w:t>
      </w:r>
    </w:p>
    <w:p w14:paraId="683177EE">
      <w:pPr>
        <w:snapToGrid w:val="0"/>
        <w:spacing w:line="360" w:lineRule="auto"/>
        <w:ind w:firstLine="480" w:firstLineChars="200"/>
        <w:jc w:val="left"/>
        <w:rPr>
          <w:rFonts w:hint="eastAsia" w:ascii="仿宋_GB2312" w:hAnsi="仿宋" w:eastAsia="仿宋_GB2312" w:cs="仿宋_GB2312"/>
          <w:kern w:val="0"/>
          <w:sz w:val="24"/>
          <w:lang w:val="zh-CN"/>
        </w:rPr>
      </w:pPr>
      <w:r>
        <w:rPr>
          <w:rFonts w:hint="eastAsia" w:ascii="仿宋_GB2312" w:hAnsi="仿宋" w:eastAsia="仿宋_GB2312" w:cs="仿宋_GB2312"/>
          <w:kern w:val="0"/>
          <w:sz w:val="24"/>
          <w:lang w:val="zh-CN"/>
        </w:rPr>
        <w:t>5、特别提示：采购机构将对项目名称和项目编号，中标供应商名称、地址和中标金额，主要中标标的的名称、服务范围、服务要求、服务时间、服务标准等予以公示。</w:t>
      </w:r>
    </w:p>
    <w:p w14:paraId="721499ED">
      <w:pPr>
        <w:snapToGrid w:val="0"/>
        <w:spacing w:line="360" w:lineRule="auto"/>
        <w:ind w:firstLine="480" w:firstLineChars="200"/>
        <w:jc w:val="left"/>
        <w:rPr>
          <w:rFonts w:hint="eastAsia" w:ascii="仿宋_GB2312" w:hAnsi="仿宋" w:eastAsia="仿宋_GB2312" w:cs="仿宋_GB2312"/>
          <w:kern w:val="0"/>
          <w:sz w:val="24"/>
          <w:lang w:val="zh-CN"/>
        </w:rPr>
      </w:pPr>
      <w:r>
        <w:rPr>
          <w:rFonts w:hint="eastAsia" w:ascii="仿宋_GB2312" w:hAnsi="仿宋" w:eastAsia="仿宋_GB2312" w:cs="仿宋_GB2312"/>
          <w:kern w:val="0"/>
          <w:sz w:val="24"/>
          <w:szCs w:val="22"/>
          <w:lang w:val="zh-CN"/>
        </w:rPr>
        <w:t>6、</w:t>
      </w:r>
      <w:r>
        <w:rPr>
          <w:rFonts w:hint="eastAsia" w:ascii="仿宋_GB2312" w:hAnsi="仿宋" w:eastAsia="仿宋_GB2312" w:cs="仿宋_GB2312"/>
          <w:kern w:val="0"/>
          <w:sz w:val="24"/>
          <w:lang w:val="zh-CN"/>
        </w:rPr>
        <w:t>符合招标文件中列明的可享受中小企业扶持政策的投标人，请填写中小企业声明函。注：投标人提供的中小企业声明函内容不实的，属于提供虚假材料谋取中标、成交，依照《中华人民共和国政府采购法》等国家有关规定追究相应责任。</w:t>
      </w:r>
    </w:p>
    <w:p w14:paraId="47DC7865">
      <w:pPr>
        <w:snapToGrid w:val="0"/>
        <w:spacing w:line="360" w:lineRule="auto"/>
        <w:ind w:firstLine="5040" w:firstLineChars="2100"/>
        <w:rPr>
          <w:rFonts w:hint="eastAsia" w:ascii="仿宋_GB2312" w:hAnsi="仿宋" w:eastAsia="仿宋_GB2312" w:cs="仿宋_GB2312"/>
          <w:kern w:val="0"/>
          <w:sz w:val="24"/>
          <w:lang w:val="zh-CN"/>
        </w:rPr>
      </w:pPr>
    </w:p>
    <w:p w14:paraId="2769598A">
      <w:pPr>
        <w:snapToGrid w:val="0"/>
        <w:spacing w:line="360" w:lineRule="auto"/>
        <w:ind w:firstLine="5040" w:firstLineChars="2100"/>
        <w:rPr>
          <w:rFonts w:hint="eastAsia" w:ascii="仿宋_GB2312" w:hAnsi="仿宋" w:eastAsia="仿宋_GB2312" w:cs="仿宋_GB2312"/>
          <w:kern w:val="0"/>
          <w:sz w:val="24"/>
        </w:rPr>
      </w:pPr>
      <w:r>
        <w:rPr>
          <w:rFonts w:hint="eastAsia" w:ascii="仿宋_GB2312" w:hAnsi="仿宋" w:eastAsia="仿宋_GB2312" w:cs="仿宋_GB2312"/>
          <w:kern w:val="0"/>
          <w:sz w:val="24"/>
          <w:lang w:val="zh-CN"/>
        </w:rPr>
        <w:t>投标人名称(电子签章)：</w:t>
      </w:r>
    </w:p>
    <w:p w14:paraId="77E8A3C7">
      <w:pPr>
        <w:snapToGrid w:val="0"/>
        <w:spacing w:line="360" w:lineRule="auto"/>
        <w:ind w:firstLine="5160" w:firstLineChars="2150"/>
        <w:rPr>
          <w:rFonts w:hint="eastAsia" w:ascii="仿宋_GB2312" w:hAnsi="仿宋" w:eastAsia="仿宋_GB2312" w:cs="仿宋_GB2312"/>
          <w:kern w:val="0"/>
          <w:sz w:val="24"/>
          <w:lang w:val="zh-CN"/>
        </w:rPr>
        <w:sectPr>
          <w:pgSz w:w="11906" w:h="16838"/>
          <w:pgMar w:top="1134" w:right="1134" w:bottom="1134" w:left="1134" w:header="720" w:footer="720" w:gutter="0"/>
          <w:cols w:space="720" w:num="1"/>
          <w:docGrid w:type="lines" w:linePitch="331" w:charSpace="0"/>
        </w:sectPr>
      </w:pPr>
      <w:r>
        <w:rPr>
          <w:rFonts w:hint="eastAsia" w:ascii="仿宋_GB2312" w:hAnsi="仿宋" w:eastAsia="仿宋_GB2312" w:cs="仿宋_GB2312"/>
          <w:kern w:val="0"/>
          <w:sz w:val="24"/>
          <w:lang w:val="zh-CN"/>
        </w:rPr>
        <w:t>日期</w:t>
      </w:r>
      <w:r>
        <w:rPr>
          <w:rFonts w:hint="eastAsia" w:ascii="仿宋_GB2312" w:hAnsi="仿宋" w:eastAsia="仿宋_GB2312" w:cs="仿宋_GB2312"/>
          <w:kern w:val="0"/>
          <w:sz w:val="24"/>
        </w:rPr>
        <w:t xml:space="preserve">：  年  </w:t>
      </w:r>
      <w:r>
        <w:rPr>
          <w:rFonts w:hint="eastAsia" w:ascii="仿宋_GB2312" w:hAnsi="仿宋" w:eastAsia="仿宋_GB2312" w:cs="仿宋_GB2312"/>
          <w:kern w:val="0"/>
          <w:sz w:val="24"/>
          <w:lang w:val="zh-CN"/>
        </w:rPr>
        <w:t>月</w:t>
      </w:r>
      <w:r>
        <w:rPr>
          <w:rFonts w:hint="eastAsia" w:ascii="仿宋_GB2312" w:hAnsi="仿宋" w:eastAsia="仿宋_GB2312" w:cs="仿宋_GB2312"/>
          <w:kern w:val="0"/>
          <w:sz w:val="24"/>
        </w:rPr>
        <w:t xml:space="preserve">   </w:t>
      </w:r>
      <w:r>
        <w:rPr>
          <w:rFonts w:hint="eastAsia" w:ascii="仿宋_GB2312" w:hAnsi="仿宋" w:eastAsia="仿宋_GB2312" w:cs="仿宋_GB2312"/>
          <w:kern w:val="0"/>
          <w:sz w:val="24"/>
          <w:lang w:val="zh-CN"/>
        </w:rPr>
        <w:t>日</w:t>
      </w:r>
    </w:p>
    <w:p w14:paraId="0ECBA02F">
      <w:pPr>
        <w:numPr>
          <w:ilvl w:val="0"/>
          <w:numId w:val="8"/>
        </w:numPr>
        <w:snapToGrid w:val="0"/>
        <w:spacing w:before="165" w:beforeLines="50" w:after="50"/>
        <w:jc w:val="center"/>
        <w:outlineLvl w:val="1"/>
        <w:rPr>
          <w:rFonts w:hint="eastAsia" w:ascii="宋体" w:hAnsi="宋体"/>
          <w:b/>
          <w:sz w:val="30"/>
          <w:szCs w:val="30"/>
        </w:rPr>
      </w:pPr>
      <w:r>
        <w:rPr>
          <w:rFonts w:hint="eastAsia" w:ascii="宋体" w:hAnsi="宋体"/>
          <w:b/>
          <w:sz w:val="30"/>
          <w:szCs w:val="30"/>
        </w:rPr>
        <w:t>投标人针对报价需要说明的其他文件和说明</w:t>
      </w:r>
    </w:p>
    <w:p w14:paraId="1DFC7D51">
      <w:pPr>
        <w:snapToGrid w:val="0"/>
        <w:spacing w:line="360" w:lineRule="auto"/>
        <w:ind w:firstLine="5040" w:firstLineChars="2100"/>
        <w:rPr>
          <w:rFonts w:hint="eastAsia" w:ascii="宋体" w:hAnsi="宋体" w:cs="HMGX"/>
          <w:kern w:val="0"/>
          <w:sz w:val="24"/>
          <w:lang w:val="zh-CN"/>
        </w:rPr>
      </w:pPr>
    </w:p>
    <w:p w14:paraId="1E0C45F7">
      <w:pPr>
        <w:snapToGrid w:val="0"/>
        <w:spacing w:line="360" w:lineRule="auto"/>
        <w:ind w:firstLine="5040" w:firstLineChars="2100"/>
        <w:rPr>
          <w:rFonts w:hint="eastAsia" w:ascii="宋体" w:hAnsi="宋体" w:cs="HMGX"/>
          <w:kern w:val="0"/>
          <w:sz w:val="24"/>
          <w:lang w:val="zh-CN"/>
        </w:rPr>
      </w:pPr>
    </w:p>
    <w:p w14:paraId="5DB7DE16">
      <w:pPr>
        <w:snapToGrid w:val="0"/>
        <w:spacing w:line="360" w:lineRule="auto"/>
        <w:ind w:firstLine="5040" w:firstLineChars="2100"/>
        <w:rPr>
          <w:rFonts w:hint="eastAsia" w:ascii="仿宋_GB2312" w:hAnsi="仿宋" w:eastAsia="仿宋_GB2312" w:cs="仿宋_GB2312"/>
          <w:kern w:val="0"/>
          <w:sz w:val="24"/>
        </w:rPr>
      </w:pPr>
      <w:r>
        <w:rPr>
          <w:rFonts w:hint="eastAsia" w:ascii="仿宋_GB2312" w:hAnsi="仿宋" w:eastAsia="仿宋_GB2312" w:cs="仿宋_GB2312"/>
          <w:kern w:val="0"/>
          <w:sz w:val="24"/>
          <w:lang w:val="zh-CN"/>
        </w:rPr>
        <w:t>投标人名称(电子签章)：</w:t>
      </w:r>
    </w:p>
    <w:p w14:paraId="63F31F21">
      <w:pPr>
        <w:snapToGrid w:val="0"/>
        <w:spacing w:line="360" w:lineRule="auto"/>
        <w:ind w:firstLine="5160" w:firstLineChars="2150"/>
        <w:rPr>
          <w:rFonts w:hint="eastAsia" w:ascii="仿宋_GB2312" w:hAnsi="仿宋" w:eastAsia="仿宋_GB2312" w:cs="仿宋_GB2312"/>
          <w:kern w:val="0"/>
          <w:sz w:val="24"/>
          <w:lang w:val="zh-CN"/>
        </w:rPr>
      </w:pPr>
      <w:r>
        <w:rPr>
          <w:rFonts w:hint="eastAsia" w:ascii="仿宋_GB2312" w:hAnsi="仿宋" w:eastAsia="仿宋_GB2312" w:cs="仿宋_GB2312"/>
          <w:kern w:val="0"/>
          <w:sz w:val="24"/>
          <w:lang w:val="zh-CN"/>
        </w:rPr>
        <w:t>日期</w:t>
      </w:r>
      <w:r>
        <w:rPr>
          <w:rFonts w:hint="eastAsia" w:ascii="仿宋_GB2312" w:hAnsi="仿宋" w:eastAsia="仿宋_GB2312" w:cs="仿宋_GB2312"/>
          <w:kern w:val="0"/>
          <w:sz w:val="24"/>
        </w:rPr>
        <w:t xml:space="preserve">：  年  </w:t>
      </w:r>
      <w:r>
        <w:rPr>
          <w:rFonts w:hint="eastAsia" w:ascii="仿宋_GB2312" w:hAnsi="仿宋" w:eastAsia="仿宋_GB2312" w:cs="仿宋_GB2312"/>
          <w:kern w:val="0"/>
          <w:sz w:val="24"/>
          <w:lang w:val="zh-CN"/>
        </w:rPr>
        <w:t>月</w:t>
      </w:r>
      <w:r>
        <w:rPr>
          <w:rFonts w:hint="eastAsia" w:ascii="仿宋_GB2312" w:hAnsi="仿宋" w:eastAsia="仿宋_GB2312" w:cs="仿宋_GB2312"/>
          <w:kern w:val="0"/>
          <w:sz w:val="24"/>
        </w:rPr>
        <w:t xml:space="preserve">   </w:t>
      </w:r>
      <w:r>
        <w:rPr>
          <w:rFonts w:hint="eastAsia" w:ascii="仿宋_GB2312" w:hAnsi="仿宋" w:eastAsia="仿宋_GB2312" w:cs="仿宋_GB2312"/>
          <w:kern w:val="0"/>
          <w:sz w:val="24"/>
          <w:lang w:val="zh-CN"/>
        </w:rPr>
        <w:t>日</w:t>
      </w:r>
    </w:p>
    <w:p w14:paraId="34597CDB">
      <w:pPr>
        <w:snapToGrid w:val="0"/>
        <w:spacing w:before="165" w:beforeLines="50" w:after="50"/>
        <w:jc w:val="center"/>
        <w:outlineLvl w:val="1"/>
        <w:rPr>
          <w:rFonts w:ascii="宋体" w:hAnsi="宋体"/>
          <w:b/>
          <w:bCs/>
          <w:color w:val="000000"/>
          <w:sz w:val="28"/>
          <w:szCs w:val="28"/>
        </w:rPr>
      </w:pPr>
      <w:bookmarkStart w:id="413" w:name="_Toc211960322"/>
      <w:bookmarkStart w:id="414" w:name="_Toc19686840"/>
      <w:r>
        <w:rPr>
          <w:rFonts w:hint="eastAsia" w:ascii="宋体" w:hAnsi="宋体"/>
          <w:b/>
          <w:bCs/>
          <w:color w:val="000000"/>
          <w:sz w:val="28"/>
          <w:szCs w:val="28"/>
        </w:rPr>
        <w:br w:type="page"/>
      </w:r>
      <w:r>
        <w:rPr>
          <w:rFonts w:hint="eastAsia" w:ascii="宋体" w:hAnsi="宋体"/>
          <w:b/>
          <w:bCs/>
          <w:color w:val="000000"/>
          <w:sz w:val="28"/>
          <w:szCs w:val="28"/>
        </w:rPr>
        <w:t>第六节 其他文书、文件格式</w:t>
      </w:r>
      <w:bookmarkEnd w:id="413"/>
      <w:bookmarkEnd w:id="414"/>
    </w:p>
    <w:p w14:paraId="3815E842">
      <w:pPr>
        <w:pStyle w:val="11"/>
        <w:spacing w:line="360" w:lineRule="auto"/>
        <w:jc w:val="center"/>
        <w:rPr>
          <w:rFonts w:hint="eastAsia"/>
          <w:b/>
          <w:sz w:val="30"/>
          <w:szCs w:val="30"/>
        </w:rPr>
      </w:pPr>
    </w:p>
    <w:p w14:paraId="52F9B032">
      <w:pPr>
        <w:pStyle w:val="11"/>
        <w:spacing w:line="360" w:lineRule="auto"/>
        <w:jc w:val="center"/>
        <w:rPr>
          <w:rFonts w:hint="eastAsia"/>
          <w:b/>
          <w:sz w:val="30"/>
          <w:szCs w:val="30"/>
        </w:rPr>
      </w:pPr>
      <w:r>
        <w:rPr>
          <w:rFonts w:hint="eastAsia"/>
          <w:b/>
          <w:sz w:val="30"/>
          <w:szCs w:val="30"/>
        </w:rPr>
        <w:t>残疾人福利性单位声明函（如有）</w:t>
      </w:r>
    </w:p>
    <w:p w14:paraId="347EAB61">
      <w:pPr>
        <w:pStyle w:val="11"/>
        <w:spacing w:line="360" w:lineRule="auto"/>
        <w:jc w:val="center"/>
        <w:rPr>
          <w:rFonts w:hint="eastAsia"/>
          <w:b/>
          <w:sz w:val="30"/>
          <w:szCs w:val="30"/>
        </w:rPr>
      </w:pPr>
    </w:p>
    <w:p w14:paraId="6AF84862">
      <w:pPr>
        <w:pStyle w:val="11"/>
        <w:spacing w:line="360" w:lineRule="auto"/>
        <w:jc w:val="left"/>
        <w:rPr>
          <w:rFonts w:hint="eastAsia" w:ascii="仿宋_GB2312" w:eastAsia="仿宋_GB2312"/>
          <w:sz w:val="24"/>
          <w:szCs w:val="24"/>
        </w:rPr>
      </w:pPr>
      <w:r>
        <w:rPr>
          <w:rFonts w:hint="eastAsia"/>
          <w:sz w:val="30"/>
          <w:szCs w:val="30"/>
        </w:rPr>
        <w:t xml:space="preserve">   </w:t>
      </w:r>
      <w:r>
        <w:rPr>
          <w:rFonts w:hint="eastAsia" w:ascii="仿宋_GB2312" w:eastAsia="仿宋_GB2312"/>
          <w:sz w:val="24"/>
          <w:szCs w:val="24"/>
        </w:rPr>
        <w:t>本单位郑重声明，根据《财政部 民政部 中国残疾人联合会关于促进残疾人就业政府采购政策的通知》（财库〔2017〕141号）的规定，本单位为符合条件的残疾人福利性单位，且本单位参加</w:t>
      </w:r>
      <w:r>
        <w:rPr>
          <w:rFonts w:hint="eastAsia" w:ascii="仿宋_GB2312" w:eastAsia="仿宋_GB2312"/>
          <w:sz w:val="24"/>
          <w:szCs w:val="24"/>
          <w:u w:val="single"/>
        </w:rPr>
        <w:t>（单位名称）</w:t>
      </w:r>
      <w:r>
        <w:rPr>
          <w:rFonts w:hint="eastAsia" w:ascii="仿宋_GB2312" w:eastAsia="仿宋_GB2312"/>
          <w:sz w:val="24"/>
          <w:szCs w:val="24"/>
        </w:rPr>
        <w:t>的</w:t>
      </w:r>
      <w:r>
        <w:rPr>
          <w:rFonts w:hint="eastAsia" w:ascii="仿宋_GB2312" w:eastAsia="仿宋_GB2312"/>
          <w:sz w:val="24"/>
          <w:szCs w:val="24"/>
          <w:u w:val="single"/>
        </w:rPr>
        <w:t>（项目名称）</w:t>
      </w:r>
      <w:r>
        <w:rPr>
          <w:rFonts w:hint="eastAsia" w:ascii="仿宋_GB2312" w:eastAsia="仿宋_GB2312"/>
          <w:sz w:val="24"/>
          <w:szCs w:val="24"/>
        </w:rPr>
        <w:t>项目采购活动提供本单位制造的货物（由本单位承担工程/提供服务），或者提供其他残疾人福利性单位制造的货物（不包括使用非残疾人福利性单位注册商标的货物）。</w:t>
      </w:r>
    </w:p>
    <w:p w14:paraId="64BC6C67">
      <w:pPr>
        <w:pStyle w:val="11"/>
        <w:spacing w:line="360" w:lineRule="auto"/>
        <w:ind w:firstLine="480" w:firstLineChars="200"/>
        <w:jc w:val="left"/>
        <w:rPr>
          <w:rFonts w:hint="eastAsia" w:ascii="仿宋_GB2312" w:eastAsia="仿宋_GB2312"/>
          <w:sz w:val="24"/>
          <w:szCs w:val="24"/>
        </w:rPr>
      </w:pPr>
      <w:r>
        <w:rPr>
          <w:rFonts w:hint="eastAsia" w:ascii="仿宋_GB2312" w:eastAsia="仿宋_GB2312"/>
          <w:sz w:val="24"/>
          <w:szCs w:val="24"/>
        </w:rPr>
        <w:t>本公司对上述声明的真实性负责。如有虚假，将依法承担相应责任。</w:t>
      </w:r>
    </w:p>
    <w:p w14:paraId="3B31ECBD">
      <w:pPr>
        <w:pStyle w:val="11"/>
        <w:spacing w:line="360" w:lineRule="auto"/>
        <w:jc w:val="left"/>
        <w:rPr>
          <w:rFonts w:hint="eastAsia"/>
          <w:b/>
          <w:szCs w:val="21"/>
        </w:rPr>
      </w:pPr>
    </w:p>
    <w:p w14:paraId="4EABA51A">
      <w:pPr>
        <w:pStyle w:val="11"/>
        <w:spacing w:line="360" w:lineRule="auto"/>
        <w:jc w:val="left"/>
        <w:rPr>
          <w:rFonts w:hint="eastAsia"/>
          <w:b/>
          <w:szCs w:val="21"/>
        </w:rPr>
      </w:pPr>
    </w:p>
    <w:p w14:paraId="7D616AFE">
      <w:pPr>
        <w:snapToGrid w:val="0"/>
        <w:spacing w:line="360" w:lineRule="auto"/>
        <w:ind w:left="5137" w:leftChars="1736" w:hanging="1491" w:hangingChars="825"/>
        <w:rPr>
          <w:rFonts w:hint="eastAsia" w:ascii="仿宋_GB2312" w:hAnsi="仿宋" w:eastAsia="仿宋_GB2312" w:cs="仿宋_GB2312"/>
          <w:kern w:val="0"/>
          <w:sz w:val="24"/>
        </w:rPr>
      </w:pPr>
      <w:r>
        <w:rPr>
          <w:b/>
          <w:sz w:val="18"/>
          <w:szCs w:val="18"/>
        </w:rPr>
        <w:t xml:space="preserve">                                                                    </w:t>
      </w:r>
      <w:r>
        <w:rPr>
          <w:rFonts w:hint="eastAsia" w:ascii="仿宋_GB2312" w:hAnsi="仿宋" w:eastAsia="仿宋_GB2312" w:cs="仿宋_GB2312"/>
          <w:kern w:val="0"/>
          <w:sz w:val="24"/>
          <w:lang w:val="zh-CN"/>
        </w:rPr>
        <w:t>投标人名称(电子签章)：</w:t>
      </w:r>
    </w:p>
    <w:p w14:paraId="575AEE41">
      <w:pPr>
        <w:snapToGrid w:val="0"/>
        <w:spacing w:line="360" w:lineRule="auto"/>
        <w:ind w:firstLine="5160" w:firstLineChars="2150"/>
        <w:rPr>
          <w:rFonts w:hint="eastAsia" w:ascii="仿宋_GB2312" w:hAnsi="仿宋" w:eastAsia="仿宋_GB2312" w:cs="仿宋_GB2312"/>
          <w:kern w:val="0"/>
          <w:sz w:val="24"/>
          <w:lang w:val="zh-CN"/>
        </w:rPr>
      </w:pPr>
      <w:r>
        <w:rPr>
          <w:rFonts w:hint="eastAsia" w:ascii="仿宋_GB2312" w:hAnsi="仿宋" w:eastAsia="仿宋_GB2312" w:cs="仿宋_GB2312"/>
          <w:kern w:val="0"/>
          <w:sz w:val="24"/>
          <w:lang w:val="zh-CN"/>
        </w:rPr>
        <w:t>日期</w:t>
      </w:r>
      <w:r>
        <w:rPr>
          <w:rFonts w:hint="eastAsia" w:ascii="仿宋_GB2312" w:hAnsi="仿宋" w:eastAsia="仿宋_GB2312" w:cs="仿宋_GB2312"/>
          <w:kern w:val="0"/>
          <w:sz w:val="24"/>
        </w:rPr>
        <w:t xml:space="preserve">：  年  </w:t>
      </w:r>
      <w:r>
        <w:rPr>
          <w:rFonts w:hint="eastAsia" w:ascii="仿宋_GB2312" w:hAnsi="仿宋" w:eastAsia="仿宋_GB2312" w:cs="仿宋_GB2312"/>
          <w:kern w:val="0"/>
          <w:sz w:val="24"/>
          <w:lang w:val="zh-CN"/>
        </w:rPr>
        <w:t>月</w:t>
      </w:r>
      <w:r>
        <w:rPr>
          <w:rFonts w:hint="eastAsia" w:ascii="仿宋_GB2312" w:hAnsi="仿宋" w:eastAsia="仿宋_GB2312" w:cs="仿宋_GB2312"/>
          <w:kern w:val="0"/>
          <w:sz w:val="24"/>
        </w:rPr>
        <w:t xml:space="preserve">   </w:t>
      </w:r>
      <w:r>
        <w:rPr>
          <w:rFonts w:hint="eastAsia" w:ascii="仿宋_GB2312" w:hAnsi="仿宋" w:eastAsia="仿宋_GB2312" w:cs="仿宋_GB2312"/>
          <w:kern w:val="0"/>
          <w:sz w:val="24"/>
          <w:lang w:val="zh-CN"/>
        </w:rPr>
        <w:t>日</w:t>
      </w:r>
    </w:p>
    <w:p w14:paraId="198F7184">
      <w:pPr>
        <w:pStyle w:val="11"/>
        <w:spacing w:line="360" w:lineRule="auto"/>
        <w:ind w:left="5132" w:leftChars="1979" w:hanging="976" w:hangingChars="488"/>
        <w:rPr>
          <w:rFonts w:hint="eastAsia"/>
          <w:sz w:val="20"/>
        </w:rPr>
      </w:pPr>
    </w:p>
    <w:p w14:paraId="19ED87BE">
      <w:pPr>
        <w:spacing w:line="360" w:lineRule="auto"/>
        <w:ind w:right="420" w:firstLine="480" w:firstLineChars="200"/>
        <w:rPr>
          <w:rFonts w:hint="eastAsia" w:ascii="仿宋_GB2312" w:hAnsi="仿宋" w:eastAsia="仿宋_GB2312" w:cs="仿宋_GB2312"/>
          <w:sz w:val="24"/>
        </w:rPr>
      </w:pPr>
      <w:r>
        <w:rPr>
          <w:rFonts w:hint="eastAsia" w:ascii="仿宋_GB2312" w:hAnsi="仿宋" w:eastAsia="仿宋_GB2312" w:cs="仿宋_GB2312"/>
          <w:sz w:val="24"/>
        </w:rPr>
        <w:t>注：请根据自己的真实情况出具《残疾人福利性单位声明函》。依法享受中小企业优惠政策的，采购人或者采购代理机构在公告中标结果时，同时公告其《残疾人福利性单位声明函》，接受社会监督；根据《关于政府采购支持监狱企业发展有关问题的通知》（</w:t>
      </w:r>
      <w:r>
        <w:rPr>
          <w:rFonts w:ascii="仿宋_GB2312" w:hAnsi="仿宋" w:eastAsia="仿宋_GB2312" w:cs="仿宋_GB2312"/>
          <w:sz w:val="24"/>
        </w:rPr>
        <w:t>财库〔2014〕68号</w:t>
      </w:r>
      <w:r>
        <w:rPr>
          <w:rFonts w:hint="eastAsia" w:ascii="仿宋_GB2312" w:hAnsi="仿宋" w:eastAsia="仿宋_GB2312" w:cs="仿宋_GB2312"/>
          <w:sz w:val="24"/>
        </w:rPr>
        <w:t>）的规定，投标人提供由省级以上监狱管理局、戒毒管理局（含新疆生产建设兵团）出具的属于监狱企业证明文件的，视同为小型和微型企业。</w:t>
      </w:r>
    </w:p>
    <w:p w14:paraId="0CF7A1EB">
      <w:pPr>
        <w:widowControl/>
        <w:spacing w:line="360" w:lineRule="auto"/>
        <w:jc w:val="left"/>
        <w:rPr>
          <w:sz w:val="20"/>
        </w:rPr>
        <w:sectPr>
          <w:pgSz w:w="11906" w:h="16838"/>
          <w:pgMar w:top="1134" w:right="1134" w:bottom="1134" w:left="1134" w:header="720" w:footer="720" w:gutter="0"/>
          <w:cols w:space="720" w:num="1"/>
          <w:docGrid w:type="lines" w:linePitch="331" w:charSpace="0"/>
        </w:sectPr>
      </w:pPr>
    </w:p>
    <w:p w14:paraId="787A8128">
      <w:pPr>
        <w:snapToGrid w:val="0"/>
        <w:spacing w:before="50" w:after="165" w:afterLines="50" w:line="360" w:lineRule="auto"/>
        <w:jc w:val="left"/>
        <w:rPr>
          <w:rFonts w:hint="eastAsia"/>
          <w:sz w:val="20"/>
        </w:rPr>
      </w:pPr>
    </w:p>
    <w:p w14:paraId="343FB569">
      <w:pPr>
        <w:pStyle w:val="11"/>
        <w:tabs>
          <w:tab w:val="left" w:pos="2472"/>
        </w:tabs>
        <w:spacing w:line="460" w:lineRule="exact"/>
        <w:jc w:val="center"/>
        <w:rPr>
          <w:rFonts w:ascii="Times New Roman" w:hAnsi="Times New Roman"/>
          <w:b/>
          <w:sz w:val="36"/>
        </w:rPr>
      </w:pPr>
    </w:p>
    <w:p w14:paraId="6019FCA0">
      <w:pPr>
        <w:pStyle w:val="11"/>
        <w:tabs>
          <w:tab w:val="left" w:pos="2472"/>
        </w:tabs>
        <w:spacing w:line="460" w:lineRule="exact"/>
        <w:jc w:val="center"/>
        <w:rPr>
          <w:rFonts w:ascii="Times New Roman" w:hAnsi="Times New Roman"/>
          <w:b/>
          <w:sz w:val="36"/>
        </w:rPr>
      </w:pPr>
    </w:p>
    <w:p w14:paraId="4EEAE871">
      <w:pPr>
        <w:pStyle w:val="11"/>
        <w:tabs>
          <w:tab w:val="left" w:pos="2472"/>
        </w:tabs>
        <w:spacing w:line="460" w:lineRule="exact"/>
        <w:jc w:val="center"/>
        <w:rPr>
          <w:rFonts w:ascii="Times New Roman" w:hAnsi="Times New Roman"/>
          <w:b/>
          <w:sz w:val="36"/>
        </w:rPr>
      </w:pPr>
    </w:p>
    <w:p w14:paraId="358660D8">
      <w:pPr>
        <w:pStyle w:val="11"/>
        <w:tabs>
          <w:tab w:val="left" w:pos="2472"/>
        </w:tabs>
        <w:spacing w:line="460" w:lineRule="exact"/>
        <w:jc w:val="center"/>
        <w:rPr>
          <w:rFonts w:ascii="Times New Roman" w:hAnsi="Times New Roman"/>
          <w:b/>
          <w:sz w:val="36"/>
        </w:rPr>
      </w:pPr>
    </w:p>
    <w:p w14:paraId="7273BDF8">
      <w:pPr>
        <w:pStyle w:val="11"/>
        <w:tabs>
          <w:tab w:val="left" w:pos="2472"/>
        </w:tabs>
        <w:spacing w:line="460" w:lineRule="exact"/>
        <w:jc w:val="center"/>
        <w:rPr>
          <w:rFonts w:ascii="Times New Roman" w:hAnsi="Times New Roman"/>
          <w:b/>
          <w:sz w:val="36"/>
        </w:rPr>
      </w:pPr>
    </w:p>
    <w:p w14:paraId="466614BB">
      <w:pPr>
        <w:pStyle w:val="11"/>
        <w:tabs>
          <w:tab w:val="left" w:pos="2472"/>
        </w:tabs>
        <w:spacing w:line="460" w:lineRule="exact"/>
        <w:jc w:val="center"/>
        <w:rPr>
          <w:rFonts w:ascii="Times New Roman" w:hAnsi="Times New Roman"/>
          <w:b/>
          <w:sz w:val="36"/>
        </w:rPr>
      </w:pPr>
    </w:p>
    <w:p w14:paraId="6BF5C450">
      <w:pPr>
        <w:pStyle w:val="11"/>
        <w:tabs>
          <w:tab w:val="left" w:pos="2472"/>
        </w:tabs>
        <w:spacing w:line="460" w:lineRule="exact"/>
        <w:jc w:val="center"/>
        <w:rPr>
          <w:rFonts w:ascii="Times New Roman" w:hAnsi="Times New Roman"/>
          <w:b/>
          <w:sz w:val="36"/>
        </w:rPr>
      </w:pPr>
    </w:p>
    <w:p w14:paraId="32C27C34">
      <w:pPr>
        <w:pStyle w:val="11"/>
        <w:tabs>
          <w:tab w:val="left" w:pos="2472"/>
        </w:tabs>
        <w:spacing w:line="460" w:lineRule="exact"/>
        <w:jc w:val="center"/>
        <w:rPr>
          <w:rFonts w:ascii="Times New Roman" w:hAnsi="Times New Roman"/>
          <w:b/>
          <w:sz w:val="36"/>
        </w:rPr>
      </w:pPr>
    </w:p>
    <w:p w14:paraId="541D2766">
      <w:pPr>
        <w:pStyle w:val="11"/>
        <w:tabs>
          <w:tab w:val="left" w:pos="2472"/>
        </w:tabs>
        <w:spacing w:line="460" w:lineRule="exact"/>
        <w:jc w:val="center"/>
        <w:rPr>
          <w:rFonts w:ascii="Times New Roman" w:hAnsi="Times New Roman"/>
          <w:b/>
          <w:sz w:val="36"/>
        </w:rPr>
      </w:pPr>
    </w:p>
    <w:p w14:paraId="238345B8">
      <w:pPr>
        <w:pStyle w:val="11"/>
        <w:tabs>
          <w:tab w:val="left" w:pos="2472"/>
        </w:tabs>
        <w:spacing w:line="460" w:lineRule="exact"/>
        <w:jc w:val="center"/>
        <w:rPr>
          <w:rFonts w:ascii="Times New Roman" w:hAnsi="Times New Roman"/>
          <w:b/>
          <w:sz w:val="36"/>
        </w:rPr>
      </w:pPr>
    </w:p>
    <w:p w14:paraId="0630DC32">
      <w:pPr>
        <w:pStyle w:val="11"/>
        <w:tabs>
          <w:tab w:val="left" w:pos="2472"/>
        </w:tabs>
        <w:spacing w:line="460" w:lineRule="exact"/>
        <w:jc w:val="center"/>
        <w:rPr>
          <w:rFonts w:ascii="Times New Roman" w:hAnsi="Times New Roman"/>
          <w:b/>
          <w:sz w:val="36"/>
        </w:rPr>
      </w:pPr>
    </w:p>
    <w:p w14:paraId="250CC366">
      <w:pPr>
        <w:pStyle w:val="11"/>
        <w:tabs>
          <w:tab w:val="left" w:pos="2472"/>
        </w:tabs>
        <w:spacing w:line="460" w:lineRule="exact"/>
        <w:jc w:val="center"/>
        <w:outlineLvl w:val="0"/>
        <w:rPr>
          <w:rFonts w:ascii="Times New Roman" w:hAnsi="Times New Roman"/>
          <w:b/>
          <w:sz w:val="36"/>
        </w:rPr>
      </w:pPr>
      <w:bookmarkStart w:id="415" w:name="_Toc211960323"/>
      <w:r>
        <w:rPr>
          <w:rFonts w:hint="eastAsia" w:ascii="Times New Roman" w:hAnsi="Times New Roman"/>
          <w:b/>
          <w:sz w:val="36"/>
        </w:rPr>
        <w:t>第七章</w:t>
      </w:r>
      <w:r>
        <w:rPr>
          <w:rFonts w:ascii="Times New Roman" w:hAnsi="Times New Roman"/>
          <w:b/>
          <w:sz w:val="36"/>
        </w:rPr>
        <w:t xml:space="preserve"> </w:t>
      </w:r>
      <w:r>
        <w:rPr>
          <w:rFonts w:hint="eastAsia" w:ascii="Times New Roman" w:hAnsi="Times New Roman"/>
          <w:b/>
          <w:sz w:val="36"/>
        </w:rPr>
        <w:t>质疑、投诉证明材料格式</w:t>
      </w:r>
      <w:bookmarkEnd w:id="415"/>
    </w:p>
    <w:p w14:paraId="5372A20B">
      <w:pPr>
        <w:widowControl/>
        <w:spacing w:line="360" w:lineRule="auto"/>
        <w:jc w:val="left"/>
        <w:rPr>
          <w:sz w:val="20"/>
        </w:rPr>
        <w:sectPr>
          <w:pgSz w:w="11906" w:h="16838"/>
          <w:pgMar w:top="1134" w:right="1134" w:bottom="1134" w:left="1134" w:header="720" w:footer="720" w:gutter="0"/>
          <w:cols w:space="720" w:num="1"/>
          <w:docGrid w:type="lines" w:linePitch="331" w:charSpace="0"/>
        </w:sectPr>
      </w:pPr>
    </w:p>
    <w:p w14:paraId="2FA95408">
      <w:pPr>
        <w:widowControl/>
        <w:shd w:val="clear" w:color="auto" w:fill="FFFFFF"/>
        <w:spacing w:line="260" w:lineRule="exact"/>
        <w:jc w:val="left"/>
        <w:rPr>
          <w:rFonts w:ascii="宋体" w:hAnsi="宋体"/>
          <w:b/>
          <w:bCs/>
          <w:color w:val="000000"/>
          <w:sz w:val="28"/>
          <w:szCs w:val="28"/>
        </w:rPr>
      </w:pPr>
    </w:p>
    <w:p w14:paraId="4B7CCA22">
      <w:pPr>
        <w:pStyle w:val="3"/>
        <w:jc w:val="center"/>
        <w:rPr>
          <w:rFonts w:hint="eastAsia" w:ascii="宋体" w:hAnsi="宋体"/>
          <w:b w:val="0"/>
          <w:bCs w:val="0"/>
          <w:color w:val="000000"/>
        </w:rPr>
      </w:pPr>
      <w:bookmarkStart w:id="416" w:name="_Toc211960324"/>
      <w:r>
        <w:rPr>
          <w:rFonts w:hint="eastAsia" w:ascii="宋体" w:hAnsi="宋体"/>
          <w:b w:val="0"/>
          <w:bCs w:val="0"/>
          <w:color w:val="000000"/>
        </w:rPr>
        <w:t>第一节 质疑函（格式）</w:t>
      </w:r>
      <w:bookmarkEnd w:id="416"/>
    </w:p>
    <w:p w14:paraId="3D8F33FB">
      <w:pPr>
        <w:jc w:val="center"/>
        <w:rPr>
          <w:rFonts w:hint="eastAsia" w:ascii="仿宋" w:hAnsi="仿宋" w:eastAsia="仿宋" w:cs="仿宋"/>
          <w:b/>
          <w:bCs/>
          <w:sz w:val="44"/>
          <w:szCs w:val="44"/>
        </w:rPr>
      </w:pPr>
      <w:r>
        <w:rPr>
          <w:rFonts w:hint="eastAsia" w:ascii="仿宋" w:hAnsi="仿宋" w:eastAsia="仿宋" w:cs="仿宋"/>
          <w:b/>
          <w:bCs/>
          <w:sz w:val="44"/>
          <w:szCs w:val="44"/>
        </w:rPr>
        <w:t>质疑函范本</w:t>
      </w:r>
    </w:p>
    <w:p w14:paraId="354FADC9">
      <w:pPr>
        <w:adjustRightInd w:val="0"/>
        <w:snapToGrid w:val="0"/>
        <w:spacing w:before="331" w:beforeLines="100" w:line="360" w:lineRule="auto"/>
        <w:rPr>
          <w:rFonts w:hint="eastAsia" w:ascii="黑体" w:hAnsi="黑体" w:eastAsia="黑体" w:cs="仿宋"/>
          <w:bCs/>
          <w:sz w:val="32"/>
          <w:szCs w:val="32"/>
        </w:rPr>
      </w:pPr>
      <w:r>
        <w:rPr>
          <w:rFonts w:hint="eastAsia" w:ascii="黑体" w:hAnsi="黑体" w:eastAsia="黑体" w:cs="仿宋"/>
          <w:bCs/>
          <w:sz w:val="32"/>
          <w:szCs w:val="32"/>
        </w:rPr>
        <w:t>一、质疑供应商基本信息</w:t>
      </w:r>
    </w:p>
    <w:p w14:paraId="6066774A">
      <w:pPr>
        <w:adjustRightInd w:val="0"/>
        <w:snapToGrid w:val="0"/>
        <w:spacing w:line="360" w:lineRule="auto"/>
        <w:rPr>
          <w:rFonts w:hint="eastAsia" w:ascii="仿宋" w:hAnsi="仿宋" w:eastAsia="仿宋" w:cs="仿宋"/>
          <w:sz w:val="32"/>
          <w:szCs w:val="32"/>
          <w:u w:val="dotted"/>
        </w:rPr>
      </w:pPr>
      <w:r>
        <w:rPr>
          <w:rFonts w:hint="eastAsia" w:ascii="仿宋" w:hAnsi="仿宋" w:eastAsia="仿宋" w:cs="仿宋"/>
          <w:sz w:val="32"/>
          <w:szCs w:val="32"/>
        </w:rPr>
        <w:t>质疑供应商：</w:t>
      </w:r>
      <w:r>
        <w:rPr>
          <w:rFonts w:hint="eastAsia" w:ascii="仿宋" w:hAnsi="仿宋" w:eastAsia="仿宋" w:cs="仿宋"/>
          <w:sz w:val="32"/>
          <w:szCs w:val="32"/>
          <w:u w:val="dotted"/>
        </w:rPr>
        <w:t xml:space="preserve">                                        </w:t>
      </w:r>
    </w:p>
    <w:p w14:paraId="799C7936">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地址：</w:t>
      </w:r>
      <w:r>
        <w:rPr>
          <w:rFonts w:hint="eastAsia" w:ascii="仿宋" w:hAnsi="仿宋" w:eastAsia="仿宋" w:cs="仿宋"/>
          <w:sz w:val="32"/>
          <w:szCs w:val="32"/>
          <w:u w:val="dotted"/>
        </w:rPr>
        <w:t xml:space="preserve">                          </w:t>
      </w:r>
      <w:r>
        <w:rPr>
          <w:rFonts w:hint="eastAsia" w:ascii="仿宋" w:hAnsi="仿宋" w:eastAsia="仿宋" w:cs="仿宋"/>
          <w:sz w:val="32"/>
          <w:szCs w:val="32"/>
        </w:rPr>
        <w:t>邮编：</w:t>
      </w:r>
      <w:r>
        <w:rPr>
          <w:rFonts w:hint="eastAsia" w:ascii="仿宋" w:hAnsi="仿宋" w:eastAsia="仿宋" w:cs="仿宋"/>
          <w:sz w:val="32"/>
          <w:szCs w:val="32"/>
          <w:u w:val="dotted"/>
        </w:rPr>
        <w:t xml:space="preserve">                                                   </w:t>
      </w:r>
    </w:p>
    <w:p w14:paraId="6C8BD250">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联系人：</w:t>
      </w:r>
      <w:r>
        <w:rPr>
          <w:rFonts w:hint="eastAsia" w:ascii="仿宋" w:hAnsi="仿宋" w:eastAsia="仿宋" w:cs="仿宋"/>
          <w:sz w:val="32"/>
          <w:szCs w:val="32"/>
          <w:u w:val="dotted"/>
        </w:rPr>
        <w:t xml:space="preserve">                      </w:t>
      </w:r>
      <w:r>
        <w:rPr>
          <w:rFonts w:hint="eastAsia" w:ascii="仿宋" w:hAnsi="仿宋" w:eastAsia="仿宋" w:cs="仿宋"/>
          <w:sz w:val="32"/>
          <w:szCs w:val="32"/>
        </w:rPr>
        <w:t>联系电话：</w:t>
      </w:r>
      <w:r>
        <w:rPr>
          <w:rFonts w:hint="eastAsia" w:ascii="仿宋" w:hAnsi="仿宋" w:eastAsia="仿宋" w:cs="仿宋"/>
          <w:sz w:val="32"/>
          <w:szCs w:val="32"/>
          <w:u w:val="dotted"/>
        </w:rPr>
        <w:t xml:space="preserve">                              </w:t>
      </w:r>
    </w:p>
    <w:p w14:paraId="5D687632">
      <w:pPr>
        <w:adjustRightInd w:val="0"/>
        <w:snapToGrid w:val="0"/>
        <w:spacing w:line="360" w:lineRule="auto"/>
        <w:rPr>
          <w:rFonts w:hint="eastAsia" w:ascii="仿宋" w:hAnsi="仿宋" w:eastAsia="仿宋" w:cs="仿宋"/>
          <w:sz w:val="32"/>
          <w:szCs w:val="32"/>
          <w:u w:val="dotted"/>
        </w:rPr>
      </w:pPr>
      <w:r>
        <w:rPr>
          <w:rFonts w:hint="eastAsia" w:ascii="仿宋" w:hAnsi="仿宋" w:eastAsia="仿宋" w:cs="仿宋"/>
          <w:sz w:val="32"/>
          <w:szCs w:val="32"/>
        </w:rPr>
        <w:t>授权代表：</w:t>
      </w:r>
      <w:r>
        <w:rPr>
          <w:rFonts w:hint="eastAsia" w:ascii="仿宋" w:hAnsi="仿宋" w:eastAsia="仿宋" w:cs="仿宋"/>
          <w:sz w:val="32"/>
          <w:szCs w:val="32"/>
          <w:u w:val="dotted"/>
        </w:rPr>
        <w:t xml:space="preserve">                                          </w:t>
      </w:r>
    </w:p>
    <w:p w14:paraId="3F08ECBB">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联系电话：</w:t>
      </w:r>
      <w:r>
        <w:rPr>
          <w:rFonts w:hint="eastAsia" w:ascii="仿宋" w:hAnsi="仿宋" w:eastAsia="仿宋" w:cs="仿宋"/>
          <w:sz w:val="32"/>
          <w:szCs w:val="32"/>
          <w:u w:val="dotted"/>
        </w:rPr>
        <w:t xml:space="preserve">                                           </w:t>
      </w:r>
      <w:r>
        <w:rPr>
          <w:rFonts w:hint="eastAsia" w:ascii="仿宋" w:hAnsi="仿宋" w:eastAsia="仿宋" w:cs="仿宋"/>
          <w:sz w:val="32"/>
          <w:szCs w:val="32"/>
        </w:rPr>
        <w:t xml:space="preserve"> </w:t>
      </w:r>
    </w:p>
    <w:p w14:paraId="6DE9067B">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 xml:space="preserve">地址： </w:t>
      </w:r>
      <w:r>
        <w:rPr>
          <w:rFonts w:hint="eastAsia" w:ascii="仿宋" w:hAnsi="仿宋" w:eastAsia="仿宋" w:cs="仿宋"/>
          <w:sz w:val="32"/>
          <w:szCs w:val="32"/>
          <w:u w:val="dotted"/>
        </w:rPr>
        <w:t xml:space="preserve">                        </w:t>
      </w:r>
      <w:r>
        <w:rPr>
          <w:rFonts w:hint="eastAsia" w:ascii="仿宋" w:hAnsi="仿宋" w:eastAsia="仿宋" w:cs="仿宋"/>
          <w:sz w:val="32"/>
          <w:szCs w:val="32"/>
        </w:rPr>
        <w:t>邮编：</w:t>
      </w:r>
      <w:r>
        <w:rPr>
          <w:rFonts w:hint="eastAsia" w:ascii="仿宋" w:hAnsi="仿宋" w:eastAsia="仿宋" w:cs="仿宋"/>
          <w:sz w:val="32"/>
          <w:szCs w:val="32"/>
          <w:u w:val="dotted"/>
        </w:rPr>
        <w:t xml:space="preserve">                                                </w:t>
      </w:r>
    </w:p>
    <w:p w14:paraId="5F8C704B">
      <w:pPr>
        <w:adjustRightInd w:val="0"/>
        <w:snapToGrid w:val="0"/>
        <w:spacing w:line="360" w:lineRule="auto"/>
        <w:rPr>
          <w:rFonts w:hint="eastAsia" w:ascii="黑体" w:hAnsi="黑体" w:eastAsia="黑体" w:cs="仿宋"/>
          <w:bCs/>
          <w:sz w:val="32"/>
          <w:szCs w:val="32"/>
        </w:rPr>
      </w:pPr>
      <w:r>
        <w:rPr>
          <w:rFonts w:hint="eastAsia" w:ascii="黑体" w:hAnsi="黑体" w:eastAsia="黑体" w:cs="仿宋"/>
          <w:bCs/>
          <w:sz w:val="32"/>
          <w:szCs w:val="32"/>
        </w:rPr>
        <w:t>二、质疑项目基本情况</w:t>
      </w:r>
    </w:p>
    <w:p w14:paraId="370D477A">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质疑项目的名称：</w:t>
      </w:r>
      <w:r>
        <w:rPr>
          <w:rFonts w:hint="eastAsia" w:ascii="仿宋" w:hAnsi="仿宋" w:eastAsia="仿宋" w:cs="仿宋"/>
          <w:sz w:val="32"/>
          <w:szCs w:val="32"/>
          <w:u w:val="dotted"/>
        </w:rPr>
        <w:t xml:space="preserve">                       </w:t>
      </w:r>
    </w:p>
    <w:p w14:paraId="197937B0">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质疑项目的编号：</w:t>
      </w:r>
      <w:r>
        <w:rPr>
          <w:rFonts w:hint="eastAsia" w:ascii="仿宋" w:hAnsi="仿宋" w:eastAsia="仿宋" w:cs="仿宋"/>
          <w:sz w:val="32"/>
          <w:szCs w:val="32"/>
          <w:u w:val="dotted"/>
        </w:rPr>
        <w:t xml:space="preserve">               </w:t>
      </w:r>
      <w:r>
        <w:rPr>
          <w:rFonts w:hint="eastAsia" w:ascii="仿宋" w:hAnsi="仿宋" w:eastAsia="仿宋" w:cs="仿宋"/>
          <w:sz w:val="32"/>
          <w:szCs w:val="32"/>
        </w:rPr>
        <w:t xml:space="preserve">  包号：</w:t>
      </w:r>
      <w:r>
        <w:rPr>
          <w:rFonts w:hint="eastAsia" w:ascii="仿宋" w:hAnsi="仿宋" w:eastAsia="仿宋" w:cs="仿宋"/>
          <w:sz w:val="32"/>
          <w:szCs w:val="32"/>
          <w:u w:val="dotted"/>
        </w:rPr>
        <w:t xml:space="preserve">                 </w:t>
      </w:r>
    </w:p>
    <w:p w14:paraId="7785450F">
      <w:pPr>
        <w:adjustRightInd w:val="0"/>
        <w:snapToGrid w:val="0"/>
        <w:spacing w:line="360" w:lineRule="auto"/>
        <w:rPr>
          <w:rFonts w:hint="eastAsia" w:ascii="仿宋" w:hAnsi="仿宋" w:eastAsia="仿宋" w:cs="仿宋"/>
          <w:sz w:val="32"/>
          <w:szCs w:val="32"/>
          <w:u w:val="dotted"/>
        </w:rPr>
      </w:pPr>
      <w:r>
        <w:rPr>
          <w:rFonts w:hint="eastAsia" w:ascii="仿宋" w:hAnsi="仿宋" w:eastAsia="仿宋" w:cs="仿宋"/>
          <w:sz w:val="32"/>
          <w:szCs w:val="32"/>
        </w:rPr>
        <w:t>采购人名称：</w:t>
      </w:r>
      <w:r>
        <w:rPr>
          <w:rFonts w:hint="eastAsia" w:ascii="仿宋" w:hAnsi="仿宋" w:eastAsia="仿宋" w:cs="仿宋"/>
          <w:sz w:val="32"/>
          <w:szCs w:val="32"/>
          <w:u w:val="dotted"/>
        </w:rPr>
        <w:t xml:space="preserve">                             </w:t>
      </w:r>
    </w:p>
    <w:p w14:paraId="52592204">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采购文件获取日期：</w:t>
      </w:r>
      <w:r>
        <w:rPr>
          <w:rFonts w:hint="eastAsia" w:ascii="仿宋" w:hAnsi="仿宋" w:eastAsia="仿宋" w:cs="仿宋"/>
          <w:sz w:val="32"/>
          <w:szCs w:val="32"/>
          <w:u w:val="dotted"/>
        </w:rPr>
        <w:t xml:space="preserve">                                           </w:t>
      </w:r>
    </w:p>
    <w:p w14:paraId="4A33839A">
      <w:pPr>
        <w:adjustRightInd w:val="0"/>
        <w:snapToGrid w:val="0"/>
        <w:spacing w:line="360" w:lineRule="auto"/>
        <w:rPr>
          <w:rFonts w:hint="eastAsia" w:ascii="黑体" w:hAnsi="黑体" w:eastAsia="黑体" w:cs="仿宋"/>
          <w:bCs/>
          <w:sz w:val="32"/>
          <w:szCs w:val="32"/>
        </w:rPr>
      </w:pPr>
      <w:r>
        <w:rPr>
          <w:rFonts w:hint="eastAsia" w:ascii="黑体" w:hAnsi="黑体" w:eastAsia="黑体" w:cs="仿宋"/>
          <w:bCs/>
          <w:sz w:val="32"/>
          <w:szCs w:val="32"/>
        </w:rPr>
        <w:t>三、质疑事项具体内容</w:t>
      </w:r>
    </w:p>
    <w:p w14:paraId="51EF6594">
      <w:pPr>
        <w:adjustRightInd w:val="0"/>
        <w:snapToGrid w:val="0"/>
        <w:spacing w:line="360" w:lineRule="auto"/>
        <w:rPr>
          <w:rFonts w:hint="eastAsia" w:ascii="仿宋" w:hAnsi="仿宋" w:eastAsia="仿宋" w:cs="仿宋"/>
          <w:sz w:val="32"/>
          <w:szCs w:val="32"/>
          <w:u w:val="dotted"/>
        </w:rPr>
      </w:pPr>
      <w:r>
        <w:rPr>
          <w:rFonts w:hint="eastAsia" w:ascii="仿宋" w:hAnsi="仿宋" w:eastAsia="仿宋" w:cs="仿宋"/>
          <w:sz w:val="32"/>
          <w:szCs w:val="32"/>
        </w:rPr>
        <w:t>质疑事项1：</w:t>
      </w:r>
      <w:r>
        <w:rPr>
          <w:rFonts w:hint="eastAsia" w:ascii="仿宋" w:hAnsi="仿宋" w:eastAsia="仿宋" w:cs="仿宋"/>
          <w:sz w:val="32"/>
          <w:szCs w:val="32"/>
          <w:u w:val="dotted"/>
        </w:rPr>
        <w:t xml:space="preserve">                                         </w:t>
      </w:r>
    </w:p>
    <w:p w14:paraId="5311212B">
      <w:pPr>
        <w:adjustRightInd w:val="0"/>
        <w:snapToGrid w:val="0"/>
        <w:spacing w:line="360" w:lineRule="auto"/>
        <w:rPr>
          <w:rFonts w:hint="eastAsia" w:ascii="仿宋" w:hAnsi="仿宋" w:eastAsia="仿宋" w:cs="仿宋"/>
          <w:sz w:val="32"/>
          <w:szCs w:val="32"/>
          <w:u w:val="dotted"/>
        </w:rPr>
      </w:pPr>
      <w:r>
        <w:rPr>
          <w:rFonts w:hint="eastAsia" w:ascii="仿宋" w:hAnsi="仿宋" w:eastAsia="仿宋" w:cs="仿宋"/>
          <w:sz w:val="32"/>
          <w:szCs w:val="32"/>
        </w:rPr>
        <w:t>事实依据：</w:t>
      </w:r>
      <w:r>
        <w:rPr>
          <w:rFonts w:hint="eastAsia" w:ascii="仿宋" w:hAnsi="仿宋" w:eastAsia="仿宋" w:cs="仿宋"/>
          <w:sz w:val="32"/>
          <w:szCs w:val="32"/>
          <w:u w:val="dotted"/>
        </w:rPr>
        <w:t xml:space="preserve">                                          </w:t>
      </w:r>
    </w:p>
    <w:p w14:paraId="651B8D78">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u w:val="dotted"/>
        </w:rPr>
        <w:t xml:space="preserve">                                                       </w:t>
      </w:r>
    </w:p>
    <w:p w14:paraId="317DCC31">
      <w:pPr>
        <w:adjustRightInd w:val="0"/>
        <w:snapToGrid w:val="0"/>
        <w:spacing w:line="360" w:lineRule="auto"/>
        <w:rPr>
          <w:rFonts w:hint="eastAsia" w:ascii="仿宋" w:hAnsi="仿宋" w:eastAsia="仿宋" w:cs="仿宋"/>
          <w:sz w:val="32"/>
          <w:szCs w:val="32"/>
          <w:u w:val="dotted"/>
        </w:rPr>
      </w:pPr>
      <w:r>
        <w:rPr>
          <w:rFonts w:hint="eastAsia" w:ascii="仿宋" w:hAnsi="仿宋" w:eastAsia="仿宋" w:cs="仿宋"/>
          <w:sz w:val="32"/>
          <w:szCs w:val="32"/>
        </w:rPr>
        <w:t>法律依据：</w:t>
      </w:r>
      <w:r>
        <w:rPr>
          <w:rFonts w:hint="eastAsia" w:ascii="仿宋" w:hAnsi="仿宋" w:eastAsia="仿宋" w:cs="仿宋"/>
          <w:sz w:val="32"/>
          <w:szCs w:val="32"/>
          <w:u w:val="dotted"/>
        </w:rPr>
        <w:t xml:space="preserve">                                          </w:t>
      </w:r>
    </w:p>
    <w:p w14:paraId="0A286C41">
      <w:pPr>
        <w:adjustRightInd w:val="0"/>
        <w:snapToGrid w:val="0"/>
        <w:spacing w:line="360" w:lineRule="auto"/>
        <w:rPr>
          <w:rFonts w:hint="eastAsia" w:ascii="仿宋" w:hAnsi="仿宋" w:eastAsia="仿宋" w:cs="仿宋"/>
          <w:sz w:val="32"/>
          <w:szCs w:val="32"/>
          <w:u w:val="dotted"/>
        </w:rPr>
      </w:pPr>
      <w:r>
        <w:rPr>
          <w:rFonts w:hint="eastAsia" w:ascii="仿宋" w:hAnsi="仿宋" w:eastAsia="仿宋" w:cs="仿宋"/>
          <w:sz w:val="32"/>
          <w:szCs w:val="32"/>
          <w:u w:val="dotted"/>
        </w:rPr>
        <w:t xml:space="preserve">                                                     </w:t>
      </w:r>
    </w:p>
    <w:p w14:paraId="59460674">
      <w:pPr>
        <w:adjustRightInd w:val="0"/>
        <w:snapToGrid w:val="0"/>
        <w:spacing w:line="360" w:lineRule="auto"/>
        <w:rPr>
          <w:rFonts w:hint="eastAsia" w:ascii="仿宋" w:hAnsi="仿宋" w:eastAsia="仿宋" w:cs="仿宋"/>
          <w:sz w:val="32"/>
          <w:szCs w:val="32"/>
          <w:u w:val="dotted"/>
        </w:rPr>
      </w:pPr>
      <w:r>
        <w:rPr>
          <w:rFonts w:hint="eastAsia" w:ascii="仿宋" w:hAnsi="仿宋" w:eastAsia="仿宋" w:cs="仿宋"/>
          <w:sz w:val="32"/>
          <w:szCs w:val="32"/>
        </w:rPr>
        <w:t>质疑事项2</w:t>
      </w:r>
    </w:p>
    <w:p w14:paraId="44F98078">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w:t>
      </w:r>
    </w:p>
    <w:p w14:paraId="409DEE40">
      <w:pPr>
        <w:adjustRightInd w:val="0"/>
        <w:snapToGrid w:val="0"/>
        <w:spacing w:line="360" w:lineRule="auto"/>
        <w:rPr>
          <w:rFonts w:hint="eastAsia" w:ascii="黑体" w:hAnsi="黑体" w:eastAsia="黑体" w:cs="仿宋"/>
          <w:bCs/>
          <w:sz w:val="32"/>
          <w:szCs w:val="32"/>
        </w:rPr>
      </w:pPr>
      <w:r>
        <w:rPr>
          <w:rFonts w:hint="eastAsia" w:ascii="黑体" w:hAnsi="黑体" w:eastAsia="黑体" w:cs="仿宋"/>
          <w:bCs/>
          <w:sz w:val="32"/>
          <w:szCs w:val="32"/>
        </w:rPr>
        <w:t>四、与质疑事项相关的质疑请求</w:t>
      </w:r>
    </w:p>
    <w:p w14:paraId="3A13C7F4">
      <w:pPr>
        <w:adjustRightInd w:val="0"/>
        <w:snapToGrid w:val="0"/>
        <w:spacing w:line="360" w:lineRule="auto"/>
        <w:rPr>
          <w:rFonts w:hint="eastAsia" w:ascii="仿宋" w:hAnsi="仿宋" w:eastAsia="仿宋" w:cs="仿宋"/>
          <w:sz w:val="32"/>
          <w:szCs w:val="32"/>
          <w:u w:val="dotted"/>
        </w:rPr>
      </w:pPr>
      <w:r>
        <w:rPr>
          <w:rFonts w:hint="eastAsia" w:ascii="仿宋" w:hAnsi="仿宋" w:eastAsia="仿宋" w:cs="仿宋"/>
          <w:sz w:val="32"/>
          <w:szCs w:val="32"/>
        </w:rPr>
        <w:t>请求：</w:t>
      </w:r>
      <w:r>
        <w:rPr>
          <w:rFonts w:hint="eastAsia" w:ascii="仿宋" w:hAnsi="仿宋" w:eastAsia="仿宋" w:cs="仿宋"/>
          <w:sz w:val="32"/>
          <w:szCs w:val="32"/>
          <w:u w:val="dotted"/>
        </w:rPr>
        <w:t xml:space="preserve">                                               </w:t>
      </w:r>
    </w:p>
    <w:p w14:paraId="567A1872">
      <w:pPr>
        <w:rPr>
          <w:rFonts w:hint="eastAsia" w:ascii="仿宋_GB2312" w:eastAsia="仿宋_GB2312"/>
          <w:sz w:val="30"/>
          <w:szCs w:val="30"/>
        </w:rPr>
      </w:pPr>
      <w:r>
        <w:rPr>
          <w:rFonts w:hint="eastAsia" w:ascii="仿宋_GB2312" w:eastAsia="仿宋_GB2312"/>
          <w:sz w:val="30"/>
          <w:szCs w:val="30"/>
        </w:rPr>
        <w:t xml:space="preserve">签字(签章)：                   公章：                      </w:t>
      </w:r>
    </w:p>
    <w:p w14:paraId="42B906AD">
      <w:pPr>
        <w:rPr>
          <w:rFonts w:hint="eastAsia" w:ascii="仿宋_GB2312" w:eastAsia="仿宋_GB2312"/>
          <w:sz w:val="30"/>
          <w:szCs w:val="30"/>
        </w:rPr>
      </w:pPr>
      <w:r>
        <w:rPr>
          <w:rFonts w:hint="eastAsia" w:ascii="仿宋_GB2312" w:eastAsia="仿宋_GB2312"/>
          <w:sz w:val="30"/>
          <w:szCs w:val="30"/>
        </w:rPr>
        <w:t xml:space="preserve">日期：    </w:t>
      </w:r>
    </w:p>
    <w:p w14:paraId="4C8B4930">
      <w:pPr>
        <w:adjustRightInd w:val="0"/>
        <w:snapToGrid w:val="0"/>
        <w:spacing w:line="360" w:lineRule="auto"/>
        <w:rPr>
          <w:rFonts w:hint="eastAsia" w:ascii="仿宋" w:hAnsi="仿宋" w:eastAsia="仿宋" w:cs="仿宋"/>
          <w:sz w:val="32"/>
          <w:szCs w:val="32"/>
        </w:rPr>
      </w:pPr>
    </w:p>
    <w:p w14:paraId="58901221">
      <w:pPr>
        <w:adjustRightInd w:val="0"/>
        <w:snapToGrid w:val="0"/>
        <w:spacing w:line="360" w:lineRule="auto"/>
        <w:rPr>
          <w:rFonts w:hint="eastAsia" w:ascii="仿宋" w:hAnsi="仿宋" w:eastAsia="仿宋" w:cs="仿宋"/>
          <w:sz w:val="32"/>
          <w:szCs w:val="32"/>
        </w:rPr>
      </w:pPr>
    </w:p>
    <w:p w14:paraId="70A73077">
      <w:pPr>
        <w:jc w:val="center"/>
        <w:rPr>
          <w:rFonts w:hint="eastAsia" w:ascii="仿宋" w:hAnsi="仿宋" w:eastAsia="仿宋" w:cs="仿宋"/>
          <w:b/>
          <w:bCs/>
          <w:sz w:val="32"/>
          <w:szCs w:val="32"/>
        </w:rPr>
      </w:pPr>
    </w:p>
    <w:p w14:paraId="69F2B867">
      <w:pPr>
        <w:jc w:val="center"/>
        <w:rPr>
          <w:rFonts w:hint="eastAsia" w:ascii="仿宋" w:hAnsi="仿宋" w:eastAsia="仿宋" w:cs="仿宋"/>
          <w:b/>
          <w:bCs/>
          <w:sz w:val="32"/>
          <w:szCs w:val="32"/>
        </w:rPr>
      </w:pPr>
    </w:p>
    <w:p w14:paraId="289CA2B3">
      <w:pPr>
        <w:jc w:val="center"/>
        <w:rPr>
          <w:rFonts w:hint="eastAsia" w:ascii="仿宋" w:hAnsi="仿宋" w:eastAsia="仿宋" w:cs="仿宋"/>
          <w:b/>
          <w:bCs/>
          <w:sz w:val="32"/>
          <w:szCs w:val="32"/>
        </w:rPr>
      </w:pPr>
    </w:p>
    <w:p w14:paraId="6F9B1521">
      <w:pPr>
        <w:jc w:val="center"/>
        <w:rPr>
          <w:rFonts w:hint="eastAsia" w:ascii="仿宋" w:hAnsi="仿宋" w:eastAsia="仿宋" w:cs="仿宋"/>
          <w:b/>
          <w:bCs/>
          <w:sz w:val="32"/>
          <w:szCs w:val="32"/>
        </w:rPr>
      </w:pPr>
    </w:p>
    <w:p w14:paraId="6D8A2683">
      <w:pPr>
        <w:jc w:val="center"/>
        <w:rPr>
          <w:rFonts w:hint="eastAsia" w:ascii="仿宋" w:hAnsi="仿宋" w:eastAsia="仿宋" w:cs="仿宋"/>
          <w:b/>
          <w:bCs/>
          <w:sz w:val="32"/>
          <w:szCs w:val="32"/>
        </w:rPr>
      </w:pPr>
    </w:p>
    <w:p w14:paraId="1F9EF22C">
      <w:pPr>
        <w:jc w:val="center"/>
        <w:rPr>
          <w:rFonts w:hint="eastAsia" w:ascii="仿宋" w:hAnsi="仿宋" w:eastAsia="仿宋" w:cs="仿宋"/>
          <w:b/>
          <w:bCs/>
          <w:sz w:val="32"/>
          <w:szCs w:val="32"/>
        </w:rPr>
      </w:pPr>
    </w:p>
    <w:p w14:paraId="15BF4B81">
      <w:pPr>
        <w:jc w:val="center"/>
        <w:rPr>
          <w:rFonts w:hint="eastAsia" w:ascii="仿宋" w:hAnsi="仿宋" w:eastAsia="仿宋" w:cs="仿宋"/>
          <w:b/>
          <w:bCs/>
          <w:sz w:val="32"/>
          <w:szCs w:val="32"/>
        </w:rPr>
      </w:pPr>
    </w:p>
    <w:p w14:paraId="25B2E194">
      <w:pPr>
        <w:rPr>
          <w:rFonts w:hint="eastAsia" w:ascii="黑体" w:hAnsi="黑体" w:eastAsia="黑体"/>
          <w:b/>
          <w:sz w:val="32"/>
          <w:szCs w:val="32"/>
        </w:rPr>
      </w:pPr>
    </w:p>
    <w:p w14:paraId="22004E28">
      <w:pPr>
        <w:rPr>
          <w:rFonts w:hint="eastAsia" w:ascii="黑体" w:hAnsi="黑体" w:eastAsia="黑体"/>
          <w:b/>
          <w:sz w:val="32"/>
          <w:szCs w:val="32"/>
        </w:rPr>
      </w:pPr>
    </w:p>
    <w:p w14:paraId="24F44C66">
      <w:pPr>
        <w:rPr>
          <w:rFonts w:hint="eastAsia" w:ascii="黑体" w:hAnsi="黑体" w:eastAsia="黑体"/>
          <w:b/>
          <w:sz w:val="32"/>
          <w:szCs w:val="32"/>
        </w:rPr>
      </w:pPr>
    </w:p>
    <w:p w14:paraId="7D276126">
      <w:pPr>
        <w:rPr>
          <w:rFonts w:hint="eastAsia" w:ascii="黑体" w:hAnsi="黑体" w:eastAsia="黑体"/>
          <w:b/>
          <w:sz w:val="32"/>
          <w:szCs w:val="32"/>
        </w:rPr>
      </w:pPr>
    </w:p>
    <w:p w14:paraId="1C5EFB85">
      <w:pPr>
        <w:rPr>
          <w:rFonts w:hint="eastAsia" w:ascii="黑体" w:hAnsi="黑体" w:eastAsia="黑体"/>
          <w:b/>
          <w:sz w:val="32"/>
          <w:szCs w:val="32"/>
        </w:rPr>
      </w:pPr>
    </w:p>
    <w:p w14:paraId="79C15544">
      <w:pPr>
        <w:rPr>
          <w:rFonts w:hint="eastAsia" w:ascii="黑体" w:hAnsi="黑体" w:eastAsia="黑体"/>
          <w:b/>
          <w:sz w:val="32"/>
          <w:szCs w:val="32"/>
        </w:rPr>
      </w:pPr>
    </w:p>
    <w:p w14:paraId="37878CAC">
      <w:pPr>
        <w:rPr>
          <w:rFonts w:hint="eastAsia" w:ascii="黑体" w:hAnsi="黑体" w:eastAsia="黑体"/>
          <w:b/>
          <w:sz w:val="32"/>
          <w:szCs w:val="32"/>
        </w:rPr>
      </w:pPr>
    </w:p>
    <w:p w14:paraId="4DB72D46">
      <w:pPr>
        <w:rPr>
          <w:rFonts w:hint="eastAsia" w:ascii="黑体" w:hAnsi="黑体" w:eastAsia="黑体"/>
          <w:b/>
          <w:sz w:val="32"/>
          <w:szCs w:val="32"/>
        </w:rPr>
      </w:pPr>
    </w:p>
    <w:p w14:paraId="104C1FD9">
      <w:pPr>
        <w:rPr>
          <w:rFonts w:hint="eastAsia" w:ascii="黑体" w:hAnsi="黑体" w:eastAsia="黑体"/>
          <w:b/>
          <w:sz w:val="32"/>
          <w:szCs w:val="32"/>
        </w:rPr>
      </w:pPr>
    </w:p>
    <w:p w14:paraId="74F848B8">
      <w:pPr>
        <w:rPr>
          <w:rFonts w:hint="eastAsia" w:ascii="黑体" w:hAnsi="黑体" w:eastAsia="黑体"/>
          <w:b/>
          <w:sz w:val="32"/>
          <w:szCs w:val="32"/>
        </w:rPr>
      </w:pPr>
      <w:r>
        <w:rPr>
          <w:rFonts w:hint="eastAsia" w:ascii="黑体" w:hAnsi="黑体" w:eastAsia="黑体"/>
          <w:b/>
          <w:sz w:val="32"/>
          <w:szCs w:val="32"/>
        </w:rPr>
        <w:t>质疑函制作说明：</w:t>
      </w:r>
    </w:p>
    <w:p w14:paraId="0C0C7651">
      <w:pPr>
        <w:widowControl/>
        <w:ind w:firstLine="640" w:firstLineChars="200"/>
        <w:jc w:val="left"/>
        <w:rPr>
          <w:rFonts w:hint="eastAsia" w:ascii="仿宋_GB2312" w:eastAsia="仿宋_GB2312"/>
          <w:sz w:val="32"/>
          <w:szCs w:val="32"/>
        </w:rPr>
      </w:pPr>
      <w:r>
        <w:rPr>
          <w:rFonts w:hint="eastAsia" w:ascii="仿宋_GB2312" w:eastAsia="仿宋_GB2312"/>
          <w:sz w:val="32"/>
          <w:szCs w:val="32"/>
        </w:rPr>
        <w:t>1.供应商提出质疑时，应提交质疑函和必要的证明材料。</w:t>
      </w:r>
    </w:p>
    <w:p w14:paraId="3B9127B6">
      <w:pPr>
        <w:widowControl/>
        <w:ind w:firstLine="640" w:firstLineChars="200"/>
        <w:jc w:val="left"/>
        <w:rPr>
          <w:rFonts w:hint="eastAsia" w:ascii="仿宋_GB2312" w:eastAsia="仿宋_GB2312"/>
          <w:sz w:val="32"/>
          <w:szCs w:val="32"/>
        </w:rPr>
      </w:pPr>
      <w:r>
        <w:rPr>
          <w:rFonts w:hint="eastAsia" w:ascii="仿宋_GB2312" w:eastAsia="仿宋_GB2312"/>
          <w:sz w:val="32"/>
          <w:szCs w:val="32"/>
        </w:rPr>
        <w:t>2.质疑供应商若委托代理人进行质疑的，质疑函应按要求列明“授权代表”的有关内容，并在附件中提交由质疑</w:t>
      </w:r>
      <w:r>
        <w:rPr>
          <w:rFonts w:hint="eastAsia" w:ascii="仿宋_GB2312" w:hAnsi="宋体" w:eastAsia="仿宋_GB2312" w:cs="宋体"/>
          <w:kern w:val="0"/>
          <w:sz w:val="32"/>
          <w:szCs w:val="32"/>
        </w:rPr>
        <w:t>供应商签署的授权委托书。授权委托书应载明代理人的姓名或者名称、代理事项、具体权限、期限和相关事项。</w:t>
      </w:r>
    </w:p>
    <w:p w14:paraId="5DCAC897">
      <w:pPr>
        <w:widowControl/>
        <w:ind w:firstLine="640" w:firstLineChars="200"/>
        <w:jc w:val="left"/>
        <w:rPr>
          <w:rFonts w:hint="eastAsia" w:ascii="仿宋_GB2312" w:eastAsia="仿宋_GB2312"/>
          <w:sz w:val="32"/>
          <w:szCs w:val="32"/>
        </w:rPr>
      </w:pPr>
      <w:r>
        <w:rPr>
          <w:rFonts w:hint="eastAsia" w:ascii="仿宋_GB2312" w:eastAsia="仿宋_GB2312"/>
          <w:sz w:val="32"/>
          <w:szCs w:val="32"/>
        </w:rPr>
        <w:t>3.质疑供应商若对项目的某一分包进行质疑，质疑函中应列明具体分包号。</w:t>
      </w:r>
    </w:p>
    <w:p w14:paraId="1B3C88B2">
      <w:pPr>
        <w:widowControl/>
        <w:ind w:firstLine="640" w:firstLineChars="200"/>
        <w:jc w:val="left"/>
        <w:rPr>
          <w:rFonts w:hint="eastAsia" w:ascii="仿宋_GB2312" w:eastAsia="仿宋_GB2312"/>
          <w:sz w:val="32"/>
          <w:szCs w:val="32"/>
        </w:rPr>
      </w:pPr>
      <w:r>
        <w:rPr>
          <w:rFonts w:hint="eastAsia" w:ascii="仿宋_GB2312" w:eastAsia="仿宋_GB2312"/>
          <w:sz w:val="32"/>
          <w:szCs w:val="32"/>
        </w:rPr>
        <w:t>4.质疑函的质疑事项应具体、明确，并有必要的事实依据和法律依据。</w:t>
      </w:r>
    </w:p>
    <w:p w14:paraId="769B8665">
      <w:pPr>
        <w:widowControl/>
        <w:ind w:firstLine="640" w:firstLineChars="200"/>
        <w:jc w:val="left"/>
        <w:rPr>
          <w:rFonts w:hint="eastAsia" w:ascii="仿宋_GB2312" w:eastAsia="仿宋_GB2312"/>
          <w:sz w:val="32"/>
          <w:szCs w:val="32"/>
        </w:rPr>
      </w:pPr>
      <w:r>
        <w:rPr>
          <w:rFonts w:hint="eastAsia" w:ascii="仿宋_GB2312" w:eastAsia="仿宋_GB2312"/>
          <w:sz w:val="32"/>
          <w:szCs w:val="32"/>
        </w:rPr>
        <w:t>5.质疑函的质疑请求应与质疑事项相关。</w:t>
      </w:r>
    </w:p>
    <w:p w14:paraId="06CFECAD">
      <w:pPr>
        <w:widowControl/>
        <w:ind w:firstLine="640" w:firstLineChars="200"/>
        <w:jc w:val="left"/>
        <w:rPr>
          <w:rFonts w:hint="eastAsia" w:ascii="仿宋_GB2312" w:eastAsia="仿宋_GB2312"/>
          <w:sz w:val="32"/>
          <w:szCs w:val="32"/>
        </w:rPr>
      </w:pPr>
      <w:r>
        <w:rPr>
          <w:rFonts w:hint="eastAsia" w:ascii="仿宋_GB2312" w:eastAsia="仿宋_GB2312"/>
          <w:sz w:val="32"/>
          <w:szCs w:val="32"/>
        </w:rPr>
        <w:t>6.质疑供应商为自然人的，质疑函应由本人签字；质疑供应商为法人或者其他组织的，质疑函应由法定代表人、主要负责人，或者其授权代表签字或者盖章，并加盖公章。</w:t>
      </w:r>
    </w:p>
    <w:p w14:paraId="4063A8F5">
      <w:pPr>
        <w:widowControl/>
        <w:ind w:firstLine="600" w:firstLineChars="200"/>
        <w:jc w:val="left"/>
        <w:rPr>
          <w:rFonts w:hint="eastAsia" w:ascii="仿宋_GB2312" w:eastAsia="仿宋_GB2312"/>
          <w:sz w:val="30"/>
          <w:szCs w:val="30"/>
        </w:rPr>
      </w:pPr>
    </w:p>
    <w:p w14:paraId="43E4F49A">
      <w:pPr>
        <w:widowControl/>
        <w:spacing w:line="360" w:lineRule="auto"/>
        <w:jc w:val="left"/>
        <w:rPr>
          <w:rFonts w:ascii="ˎ̥" w:hAnsi="ˎ̥" w:cs="宋体"/>
          <w:color w:val="000000"/>
          <w:kern w:val="0"/>
          <w:sz w:val="24"/>
        </w:rPr>
        <w:sectPr>
          <w:pgSz w:w="11906" w:h="16838"/>
          <w:pgMar w:top="1134" w:right="1134" w:bottom="1134" w:left="1134" w:header="720" w:footer="720" w:gutter="0"/>
          <w:cols w:space="720" w:num="1"/>
          <w:docGrid w:type="lines" w:linePitch="331" w:charSpace="0"/>
        </w:sectPr>
      </w:pPr>
    </w:p>
    <w:p w14:paraId="312730A5">
      <w:pPr>
        <w:pStyle w:val="3"/>
        <w:jc w:val="center"/>
        <w:rPr>
          <w:rFonts w:hint="eastAsia" w:ascii="宋体" w:hAnsi="宋体"/>
          <w:b w:val="0"/>
          <w:bCs w:val="0"/>
          <w:color w:val="000000"/>
        </w:rPr>
      </w:pPr>
      <w:bookmarkStart w:id="417" w:name="_Toc211960325"/>
      <w:r>
        <w:rPr>
          <w:rFonts w:hint="eastAsia" w:ascii="宋体" w:hAnsi="宋体"/>
          <w:b w:val="0"/>
          <w:bCs w:val="0"/>
          <w:color w:val="000000"/>
        </w:rPr>
        <w:t>第二节 投诉书（格式）</w:t>
      </w:r>
      <w:bookmarkEnd w:id="417"/>
    </w:p>
    <w:p w14:paraId="20FA45FC">
      <w:pPr>
        <w:jc w:val="center"/>
        <w:rPr>
          <w:rFonts w:hint="eastAsia" w:ascii="宋体" w:hAnsi="宋体"/>
          <w:b/>
          <w:sz w:val="44"/>
          <w:szCs w:val="44"/>
        </w:rPr>
      </w:pPr>
      <w:r>
        <w:rPr>
          <w:rFonts w:hint="eastAsia" w:ascii="宋体" w:hAnsi="宋体"/>
          <w:b/>
          <w:sz w:val="44"/>
          <w:szCs w:val="44"/>
        </w:rPr>
        <w:t>投诉书范本</w:t>
      </w:r>
    </w:p>
    <w:p w14:paraId="0D08BCBD">
      <w:pPr>
        <w:rPr>
          <w:rFonts w:hint="eastAsia" w:ascii="黑体" w:hAnsi="黑体" w:eastAsia="黑体"/>
          <w:sz w:val="32"/>
          <w:szCs w:val="32"/>
        </w:rPr>
      </w:pPr>
      <w:r>
        <w:rPr>
          <w:rFonts w:hint="eastAsia" w:ascii="黑体" w:hAnsi="黑体" w:eastAsia="黑体"/>
          <w:sz w:val="32"/>
          <w:szCs w:val="32"/>
        </w:rPr>
        <w:t>一、投诉相关主体基本情况</w:t>
      </w:r>
    </w:p>
    <w:p w14:paraId="483F72F9">
      <w:pPr>
        <w:rPr>
          <w:rFonts w:hint="eastAsia" w:ascii="仿宋_GB2312" w:eastAsia="仿宋_GB2312"/>
          <w:sz w:val="32"/>
          <w:szCs w:val="32"/>
          <w:u w:val="dotted"/>
        </w:rPr>
      </w:pPr>
      <w:r>
        <w:rPr>
          <w:rFonts w:hint="eastAsia" w:ascii="仿宋_GB2312" w:eastAsia="仿宋_GB2312"/>
          <w:sz w:val="32"/>
          <w:szCs w:val="32"/>
        </w:rPr>
        <w:t>投诉人：</w:t>
      </w:r>
      <w:r>
        <w:rPr>
          <w:rFonts w:hint="eastAsia" w:ascii="仿宋_GB2312" w:eastAsia="仿宋_GB2312"/>
          <w:sz w:val="32"/>
          <w:szCs w:val="32"/>
          <w:u w:val="dotted"/>
        </w:rPr>
        <w:t xml:space="preserve">                                               </w:t>
      </w:r>
    </w:p>
    <w:p w14:paraId="4897D814">
      <w:pPr>
        <w:rPr>
          <w:rFonts w:hint="eastAsia" w:ascii="仿宋_GB2312" w:eastAsia="仿宋_GB2312"/>
          <w:sz w:val="32"/>
          <w:szCs w:val="32"/>
          <w:u w:val="single"/>
        </w:rPr>
      </w:pPr>
      <w:r>
        <w:rPr>
          <w:rFonts w:hint="eastAsia" w:ascii="仿宋_GB2312" w:eastAsia="仿宋_GB2312"/>
          <w:sz w:val="32"/>
          <w:szCs w:val="32"/>
        </w:rPr>
        <w:t>地     址：</w:t>
      </w:r>
      <w:r>
        <w:rPr>
          <w:rFonts w:hint="eastAsia" w:ascii="仿宋_GB2312" w:eastAsia="仿宋_GB2312"/>
          <w:sz w:val="32"/>
          <w:szCs w:val="32"/>
          <w:u w:val="dotted"/>
        </w:rPr>
        <w:t xml:space="preserve">                             </w:t>
      </w:r>
      <w:r>
        <w:rPr>
          <w:rFonts w:hint="eastAsia" w:ascii="仿宋_GB2312" w:eastAsia="仿宋_GB2312"/>
          <w:sz w:val="32"/>
          <w:szCs w:val="32"/>
        </w:rPr>
        <w:t>邮编：</w:t>
      </w:r>
      <w:r>
        <w:rPr>
          <w:rFonts w:hint="eastAsia" w:ascii="仿宋_GB2312" w:eastAsia="仿宋_GB2312"/>
          <w:sz w:val="32"/>
          <w:szCs w:val="32"/>
          <w:u w:val="dotted"/>
        </w:rPr>
        <w:t xml:space="preserve">         </w:t>
      </w:r>
      <w:r>
        <w:rPr>
          <w:rFonts w:hint="eastAsia" w:ascii="仿宋_GB2312" w:eastAsia="仿宋_GB2312"/>
          <w:sz w:val="32"/>
          <w:szCs w:val="32"/>
          <w:u w:val="single"/>
        </w:rPr>
        <w:t xml:space="preserve">   </w:t>
      </w:r>
    </w:p>
    <w:p w14:paraId="65BEC427">
      <w:pPr>
        <w:tabs>
          <w:tab w:val="left" w:pos="6510"/>
        </w:tabs>
        <w:jc w:val="left"/>
        <w:rPr>
          <w:rFonts w:hint="eastAsia" w:ascii="仿宋_GB2312" w:eastAsia="仿宋_GB2312"/>
          <w:sz w:val="32"/>
          <w:szCs w:val="32"/>
        </w:rPr>
      </w:pPr>
      <w:r>
        <w:rPr>
          <w:rFonts w:hint="eastAsia" w:ascii="仿宋_GB2312" w:eastAsia="仿宋_GB2312"/>
          <w:sz w:val="32"/>
          <w:szCs w:val="32"/>
        </w:rPr>
        <w:t>法定代表人/主要负责人：</w:t>
      </w:r>
      <w:r>
        <w:rPr>
          <w:rFonts w:hint="eastAsia" w:ascii="仿宋_GB2312" w:eastAsia="仿宋_GB2312"/>
          <w:sz w:val="32"/>
          <w:szCs w:val="32"/>
          <w:u w:val="dotted"/>
        </w:rPr>
        <w:t xml:space="preserve">                                   </w:t>
      </w:r>
      <w:r>
        <w:rPr>
          <w:rFonts w:hint="eastAsia" w:ascii="仿宋_GB2312" w:eastAsia="仿宋_GB2312"/>
          <w:sz w:val="32"/>
          <w:szCs w:val="32"/>
        </w:rPr>
        <w:t xml:space="preserve">  </w:t>
      </w:r>
    </w:p>
    <w:p w14:paraId="3E78D86B">
      <w:pPr>
        <w:tabs>
          <w:tab w:val="left" w:pos="6510"/>
        </w:tabs>
        <w:rPr>
          <w:rFonts w:hint="eastAsia" w:ascii="仿宋_GB2312" w:eastAsia="仿宋_GB2312"/>
          <w:sz w:val="32"/>
          <w:szCs w:val="32"/>
          <w:u w:val="dotted"/>
        </w:rPr>
      </w:pPr>
      <w:r>
        <w:rPr>
          <w:rFonts w:hint="eastAsia" w:ascii="仿宋_GB2312" w:eastAsia="仿宋_GB2312"/>
          <w:sz w:val="32"/>
          <w:szCs w:val="32"/>
        </w:rPr>
        <w:t>联系电话：</w:t>
      </w:r>
      <w:r>
        <w:rPr>
          <w:rFonts w:hint="eastAsia" w:ascii="仿宋_GB2312" w:eastAsia="仿宋_GB2312"/>
          <w:sz w:val="32"/>
          <w:szCs w:val="32"/>
          <w:u w:val="dotted"/>
        </w:rPr>
        <w:t xml:space="preserve">                                             </w:t>
      </w:r>
    </w:p>
    <w:p w14:paraId="5E9AC265">
      <w:pPr>
        <w:rPr>
          <w:rFonts w:hint="eastAsia" w:ascii="仿宋_GB2312" w:eastAsia="仿宋_GB2312"/>
          <w:sz w:val="32"/>
          <w:szCs w:val="32"/>
          <w:u w:val="dotted"/>
        </w:rPr>
      </w:pPr>
      <w:r>
        <w:rPr>
          <w:rFonts w:hint="eastAsia" w:ascii="仿宋_GB2312" w:eastAsia="仿宋_GB2312"/>
          <w:sz w:val="32"/>
          <w:szCs w:val="32"/>
        </w:rPr>
        <w:t>授权代表：</w:t>
      </w:r>
      <w:r>
        <w:rPr>
          <w:rFonts w:hint="eastAsia" w:ascii="仿宋_GB2312" w:eastAsia="仿宋_GB2312"/>
          <w:sz w:val="32"/>
          <w:szCs w:val="32"/>
          <w:u w:val="dotted"/>
        </w:rPr>
        <w:t xml:space="preserve">             </w:t>
      </w:r>
      <w:r>
        <w:rPr>
          <w:rFonts w:hint="eastAsia" w:ascii="仿宋_GB2312" w:eastAsia="仿宋_GB2312"/>
          <w:sz w:val="32"/>
          <w:szCs w:val="32"/>
        </w:rPr>
        <w:t>联系电话</w:t>
      </w:r>
      <w:r>
        <w:rPr>
          <w:rFonts w:hint="eastAsia" w:ascii="仿宋_GB2312" w:eastAsia="仿宋_GB2312"/>
          <w:sz w:val="32"/>
          <w:szCs w:val="32"/>
          <w:u w:val="dotted"/>
        </w:rPr>
        <w:t xml:space="preserve">：                  </w:t>
      </w:r>
    </w:p>
    <w:p w14:paraId="45499A24">
      <w:pPr>
        <w:rPr>
          <w:rFonts w:hint="eastAsia" w:ascii="仿宋_GB2312" w:eastAsia="仿宋_GB2312"/>
          <w:sz w:val="32"/>
          <w:szCs w:val="32"/>
          <w:u w:val="dotted"/>
        </w:rPr>
      </w:pPr>
      <w:r>
        <w:rPr>
          <w:rFonts w:hint="eastAsia" w:ascii="仿宋_GB2312" w:eastAsia="仿宋_GB2312"/>
          <w:sz w:val="32"/>
          <w:szCs w:val="32"/>
        </w:rPr>
        <w:t>地     址：</w:t>
      </w:r>
      <w:r>
        <w:rPr>
          <w:rFonts w:hint="eastAsia" w:ascii="仿宋_GB2312" w:eastAsia="仿宋_GB2312"/>
          <w:sz w:val="32"/>
          <w:szCs w:val="32"/>
          <w:u w:val="dotted"/>
        </w:rPr>
        <w:t xml:space="preserve">                             </w:t>
      </w:r>
      <w:r>
        <w:rPr>
          <w:rFonts w:hint="eastAsia" w:ascii="仿宋_GB2312" w:eastAsia="仿宋_GB2312"/>
          <w:sz w:val="32"/>
          <w:szCs w:val="32"/>
        </w:rPr>
        <w:t>邮编：</w:t>
      </w:r>
      <w:r>
        <w:rPr>
          <w:rFonts w:hint="eastAsia" w:ascii="仿宋_GB2312" w:eastAsia="仿宋_GB2312"/>
          <w:sz w:val="32"/>
          <w:szCs w:val="32"/>
          <w:u w:val="dotted"/>
        </w:rPr>
        <w:t xml:space="preserve">         </w:t>
      </w:r>
      <w:r>
        <w:rPr>
          <w:rFonts w:hint="eastAsia" w:ascii="仿宋_GB2312" w:eastAsia="仿宋_GB2312"/>
          <w:sz w:val="32"/>
          <w:szCs w:val="32"/>
          <w:u w:val="single"/>
        </w:rPr>
        <w:t xml:space="preserve"> </w:t>
      </w:r>
      <w:r>
        <w:rPr>
          <w:rFonts w:hint="eastAsia" w:ascii="仿宋_GB2312" w:eastAsia="仿宋_GB2312"/>
          <w:sz w:val="32"/>
          <w:szCs w:val="32"/>
          <w:u w:val="dotted"/>
        </w:rPr>
        <w:t xml:space="preserve">                   </w:t>
      </w:r>
    </w:p>
    <w:p w14:paraId="71E8FFEB">
      <w:pPr>
        <w:rPr>
          <w:rFonts w:hint="eastAsia" w:ascii="仿宋_GB2312" w:eastAsia="仿宋_GB2312"/>
          <w:sz w:val="32"/>
          <w:szCs w:val="32"/>
          <w:u w:val="single"/>
        </w:rPr>
      </w:pPr>
      <w:r>
        <w:rPr>
          <w:rFonts w:hint="eastAsia" w:ascii="仿宋_GB2312" w:eastAsia="仿宋_GB2312"/>
          <w:sz w:val="32"/>
          <w:szCs w:val="32"/>
        </w:rPr>
        <w:t>被投诉人1：</w:t>
      </w:r>
      <w:r>
        <w:rPr>
          <w:rFonts w:hint="eastAsia" w:ascii="仿宋_GB2312" w:eastAsia="仿宋_GB2312"/>
          <w:sz w:val="32"/>
          <w:szCs w:val="32"/>
          <w:u w:val="dotted"/>
        </w:rPr>
        <w:t xml:space="preserve">                                           </w:t>
      </w:r>
      <w:r>
        <w:rPr>
          <w:rFonts w:hint="eastAsia" w:ascii="仿宋_GB2312" w:eastAsia="仿宋_GB2312"/>
          <w:sz w:val="32"/>
          <w:szCs w:val="32"/>
          <w:u w:val="single"/>
        </w:rPr>
        <w:t xml:space="preserve">  </w:t>
      </w:r>
    </w:p>
    <w:p w14:paraId="4C231759">
      <w:pPr>
        <w:rPr>
          <w:rFonts w:hint="eastAsia" w:ascii="仿宋_GB2312" w:eastAsia="仿宋_GB2312"/>
          <w:sz w:val="32"/>
          <w:szCs w:val="32"/>
          <w:u w:val="single"/>
        </w:rPr>
      </w:pPr>
      <w:r>
        <w:rPr>
          <w:rFonts w:hint="eastAsia" w:ascii="仿宋_GB2312" w:eastAsia="仿宋_GB2312"/>
          <w:sz w:val="32"/>
          <w:szCs w:val="32"/>
        </w:rPr>
        <w:t>地     址：</w:t>
      </w:r>
      <w:r>
        <w:rPr>
          <w:rFonts w:hint="eastAsia" w:ascii="仿宋_GB2312" w:eastAsia="仿宋_GB2312"/>
          <w:sz w:val="32"/>
          <w:szCs w:val="32"/>
          <w:u w:val="dotted"/>
        </w:rPr>
        <w:t xml:space="preserve">                             </w:t>
      </w:r>
      <w:r>
        <w:rPr>
          <w:rFonts w:hint="eastAsia" w:ascii="仿宋_GB2312" w:eastAsia="仿宋_GB2312"/>
          <w:sz w:val="32"/>
          <w:szCs w:val="32"/>
        </w:rPr>
        <w:t>邮编：</w:t>
      </w:r>
      <w:r>
        <w:rPr>
          <w:rFonts w:hint="eastAsia" w:ascii="仿宋_GB2312" w:eastAsia="仿宋_GB2312"/>
          <w:sz w:val="32"/>
          <w:szCs w:val="32"/>
          <w:u w:val="dotted"/>
        </w:rPr>
        <w:t xml:space="preserve">          </w:t>
      </w:r>
      <w:r>
        <w:rPr>
          <w:rFonts w:hint="eastAsia" w:ascii="仿宋_GB2312" w:eastAsia="仿宋_GB2312"/>
          <w:sz w:val="32"/>
          <w:szCs w:val="32"/>
          <w:u w:val="single"/>
        </w:rPr>
        <w:t xml:space="preserve"> </w:t>
      </w:r>
    </w:p>
    <w:p w14:paraId="1F77E0C0">
      <w:pPr>
        <w:rPr>
          <w:rFonts w:hint="eastAsia" w:ascii="仿宋_GB2312" w:eastAsia="仿宋_GB2312"/>
          <w:sz w:val="32"/>
          <w:szCs w:val="32"/>
          <w:u w:val="single"/>
        </w:rPr>
      </w:pPr>
      <w:r>
        <w:rPr>
          <w:rFonts w:hint="eastAsia" w:ascii="仿宋_GB2312" w:eastAsia="仿宋_GB2312"/>
          <w:sz w:val="32"/>
          <w:szCs w:val="32"/>
        </w:rPr>
        <w:t>联系人：</w:t>
      </w:r>
      <w:r>
        <w:rPr>
          <w:rFonts w:hint="eastAsia" w:ascii="仿宋_GB2312" w:eastAsia="仿宋_GB2312"/>
          <w:sz w:val="32"/>
          <w:szCs w:val="32"/>
          <w:u w:val="dotted"/>
        </w:rPr>
        <w:t xml:space="preserve">               </w:t>
      </w:r>
      <w:r>
        <w:rPr>
          <w:rFonts w:hint="eastAsia" w:ascii="仿宋_GB2312" w:eastAsia="仿宋_GB2312"/>
          <w:sz w:val="32"/>
          <w:szCs w:val="32"/>
        </w:rPr>
        <w:t>联系电话：</w:t>
      </w:r>
      <w:r>
        <w:rPr>
          <w:rFonts w:hint="eastAsia" w:ascii="仿宋_GB2312" w:eastAsia="仿宋_GB2312"/>
          <w:sz w:val="32"/>
          <w:szCs w:val="32"/>
          <w:u w:val="dotted"/>
        </w:rPr>
        <w:t xml:space="preserve">                      </w:t>
      </w:r>
      <w:r>
        <w:rPr>
          <w:rFonts w:hint="eastAsia" w:ascii="仿宋_GB2312" w:eastAsia="仿宋_GB2312"/>
          <w:sz w:val="32"/>
          <w:szCs w:val="32"/>
          <w:u w:val="single"/>
        </w:rPr>
        <w:t xml:space="preserve"> </w:t>
      </w:r>
    </w:p>
    <w:p w14:paraId="60C422E2">
      <w:pPr>
        <w:rPr>
          <w:rFonts w:hint="eastAsia" w:ascii="仿宋_GB2312" w:eastAsia="仿宋_GB2312"/>
          <w:sz w:val="32"/>
          <w:szCs w:val="32"/>
        </w:rPr>
      </w:pPr>
      <w:r>
        <w:rPr>
          <w:rFonts w:hint="eastAsia" w:ascii="仿宋_GB2312" w:eastAsia="仿宋_GB2312"/>
          <w:sz w:val="32"/>
          <w:szCs w:val="32"/>
        </w:rPr>
        <w:t>被投诉人2</w:t>
      </w:r>
    </w:p>
    <w:p w14:paraId="74DAED7B">
      <w:pPr>
        <w:rPr>
          <w:rFonts w:hint="eastAsia" w:ascii="仿宋_GB2312" w:eastAsia="仿宋_GB2312"/>
          <w:sz w:val="32"/>
          <w:szCs w:val="32"/>
          <w:u w:val="dotted"/>
        </w:rPr>
      </w:pPr>
      <w:r>
        <w:rPr>
          <w:rFonts w:hint="eastAsia" w:ascii="仿宋_GB2312" w:eastAsia="仿宋_GB2312"/>
          <w:sz w:val="32"/>
          <w:szCs w:val="32"/>
        </w:rPr>
        <w:t>……</w:t>
      </w:r>
    </w:p>
    <w:p w14:paraId="6FBABD4D">
      <w:pPr>
        <w:rPr>
          <w:rFonts w:hint="eastAsia" w:ascii="仿宋_GB2312" w:eastAsia="仿宋_GB2312"/>
          <w:sz w:val="32"/>
          <w:szCs w:val="32"/>
          <w:u w:val="single"/>
        </w:rPr>
      </w:pPr>
      <w:r>
        <w:rPr>
          <w:rFonts w:hint="eastAsia" w:ascii="仿宋_GB2312" w:eastAsia="仿宋_GB2312"/>
          <w:sz w:val="32"/>
          <w:szCs w:val="32"/>
        </w:rPr>
        <w:t>相关供应商：</w:t>
      </w:r>
      <w:r>
        <w:rPr>
          <w:rFonts w:hint="eastAsia" w:ascii="仿宋_GB2312" w:eastAsia="仿宋_GB2312"/>
          <w:sz w:val="32"/>
          <w:szCs w:val="32"/>
          <w:u w:val="dotted"/>
        </w:rPr>
        <w:t xml:space="preserve">                                           </w:t>
      </w:r>
      <w:r>
        <w:rPr>
          <w:rFonts w:hint="eastAsia" w:ascii="仿宋_GB2312" w:eastAsia="仿宋_GB2312"/>
          <w:sz w:val="32"/>
          <w:szCs w:val="32"/>
          <w:u w:val="single"/>
        </w:rPr>
        <w:t xml:space="preserve">    </w:t>
      </w:r>
    </w:p>
    <w:p w14:paraId="6E9F72AB">
      <w:pPr>
        <w:rPr>
          <w:rFonts w:hint="eastAsia" w:ascii="仿宋_GB2312" w:eastAsia="仿宋_GB2312"/>
          <w:sz w:val="32"/>
          <w:szCs w:val="32"/>
          <w:u w:val="single"/>
        </w:rPr>
      </w:pPr>
      <w:r>
        <w:rPr>
          <w:rFonts w:hint="eastAsia" w:ascii="仿宋_GB2312" w:eastAsia="仿宋_GB2312"/>
          <w:sz w:val="32"/>
          <w:szCs w:val="32"/>
        </w:rPr>
        <w:t>地     址：</w:t>
      </w:r>
      <w:r>
        <w:rPr>
          <w:rFonts w:hint="eastAsia" w:ascii="仿宋_GB2312" w:eastAsia="仿宋_GB2312"/>
          <w:sz w:val="32"/>
          <w:szCs w:val="32"/>
          <w:u w:val="dotted"/>
        </w:rPr>
        <w:t xml:space="preserve">                             </w:t>
      </w:r>
      <w:r>
        <w:rPr>
          <w:rFonts w:hint="eastAsia" w:ascii="仿宋_GB2312" w:eastAsia="仿宋_GB2312"/>
          <w:sz w:val="32"/>
          <w:szCs w:val="32"/>
        </w:rPr>
        <w:t>邮编：</w:t>
      </w:r>
      <w:r>
        <w:rPr>
          <w:rFonts w:hint="eastAsia" w:ascii="仿宋_GB2312" w:eastAsia="仿宋_GB2312"/>
          <w:sz w:val="32"/>
          <w:szCs w:val="32"/>
          <w:u w:val="dotted"/>
        </w:rPr>
        <w:t xml:space="preserve">          </w:t>
      </w:r>
      <w:r>
        <w:rPr>
          <w:rFonts w:hint="eastAsia" w:ascii="仿宋_GB2312" w:eastAsia="仿宋_GB2312"/>
          <w:sz w:val="32"/>
          <w:szCs w:val="32"/>
          <w:u w:val="single"/>
        </w:rPr>
        <w:t xml:space="preserve"> </w:t>
      </w:r>
    </w:p>
    <w:p w14:paraId="6B29435F">
      <w:pPr>
        <w:rPr>
          <w:rFonts w:hint="eastAsia" w:ascii="仿宋_GB2312" w:eastAsia="仿宋_GB2312"/>
          <w:sz w:val="32"/>
          <w:szCs w:val="32"/>
          <w:u w:val="single"/>
        </w:rPr>
      </w:pPr>
      <w:r>
        <w:rPr>
          <w:rFonts w:hint="eastAsia" w:ascii="仿宋_GB2312" w:eastAsia="仿宋_GB2312"/>
          <w:sz w:val="32"/>
          <w:szCs w:val="32"/>
        </w:rPr>
        <w:t>联系人：</w:t>
      </w:r>
      <w:r>
        <w:rPr>
          <w:rFonts w:hint="eastAsia" w:ascii="仿宋_GB2312" w:eastAsia="仿宋_GB2312"/>
          <w:sz w:val="32"/>
          <w:szCs w:val="32"/>
          <w:u w:val="dotted"/>
        </w:rPr>
        <w:t xml:space="preserve">               </w:t>
      </w:r>
      <w:r>
        <w:rPr>
          <w:rFonts w:hint="eastAsia" w:ascii="仿宋_GB2312" w:eastAsia="仿宋_GB2312"/>
          <w:sz w:val="32"/>
          <w:szCs w:val="32"/>
        </w:rPr>
        <w:t>联系电话：</w:t>
      </w:r>
      <w:r>
        <w:rPr>
          <w:rFonts w:hint="eastAsia" w:ascii="仿宋_GB2312" w:eastAsia="仿宋_GB2312"/>
          <w:sz w:val="32"/>
          <w:szCs w:val="32"/>
          <w:u w:val="dotted"/>
        </w:rPr>
        <w:t xml:space="preserve">                      </w:t>
      </w:r>
      <w:r>
        <w:rPr>
          <w:rFonts w:hint="eastAsia" w:ascii="仿宋_GB2312" w:eastAsia="仿宋_GB2312"/>
          <w:sz w:val="32"/>
          <w:szCs w:val="32"/>
          <w:u w:val="single"/>
        </w:rPr>
        <w:t xml:space="preserve">      </w:t>
      </w:r>
    </w:p>
    <w:p w14:paraId="61F7C3A3">
      <w:pPr>
        <w:rPr>
          <w:rFonts w:hint="eastAsia" w:ascii="黑体" w:hAnsi="黑体" w:eastAsia="黑体"/>
          <w:sz w:val="32"/>
          <w:szCs w:val="32"/>
        </w:rPr>
      </w:pPr>
      <w:r>
        <w:rPr>
          <w:rFonts w:hint="eastAsia" w:ascii="黑体" w:hAnsi="黑体" w:eastAsia="黑体"/>
          <w:sz w:val="32"/>
          <w:szCs w:val="32"/>
        </w:rPr>
        <w:t>二、投诉项目基本情况</w:t>
      </w:r>
    </w:p>
    <w:p w14:paraId="2EFEFFED">
      <w:pPr>
        <w:rPr>
          <w:rFonts w:hint="eastAsia" w:ascii="仿宋_GB2312" w:eastAsia="仿宋_GB2312"/>
          <w:sz w:val="32"/>
          <w:szCs w:val="32"/>
          <w:u w:val="dotted"/>
        </w:rPr>
      </w:pPr>
      <w:r>
        <w:rPr>
          <w:rFonts w:hint="eastAsia" w:ascii="仿宋_GB2312" w:eastAsia="仿宋_GB2312"/>
          <w:sz w:val="32"/>
          <w:szCs w:val="32"/>
        </w:rPr>
        <w:t>采购项目名称：</w:t>
      </w:r>
      <w:r>
        <w:rPr>
          <w:rFonts w:hint="eastAsia" w:ascii="仿宋_GB2312" w:eastAsia="仿宋_GB2312"/>
          <w:sz w:val="32"/>
          <w:szCs w:val="32"/>
          <w:u w:val="dotted"/>
        </w:rPr>
        <w:t xml:space="preserve">                   </w:t>
      </w:r>
    </w:p>
    <w:p w14:paraId="3ED452A8">
      <w:pPr>
        <w:rPr>
          <w:rFonts w:hint="eastAsia" w:ascii="仿宋_GB2312" w:eastAsia="仿宋_GB2312"/>
          <w:sz w:val="32"/>
          <w:szCs w:val="32"/>
          <w:u w:val="single"/>
        </w:rPr>
      </w:pPr>
      <w:r>
        <w:rPr>
          <w:rFonts w:hint="eastAsia" w:ascii="仿宋_GB2312" w:eastAsia="仿宋_GB2312"/>
          <w:sz w:val="32"/>
          <w:szCs w:val="32"/>
        </w:rPr>
        <w:t>采购项目编号：</w:t>
      </w:r>
      <w:r>
        <w:rPr>
          <w:rFonts w:hint="eastAsia" w:ascii="仿宋_GB2312" w:eastAsia="仿宋_GB2312"/>
          <w:sz w:val="32"/>
          <w:szCs w:val="32"/>
          <w:u w:val="dotted"/>
        </w:rPr>
        <w:t xml:space="preserve">                </w:t>
      </w:r>
      <w:r>
        <w:rPr>
          <w:rFonts w:hint="eastAsia" w:ascii="仿宋_GB2312" w:eastAsia="仿宋_GB2312"/>
          <w:sz w:val="32"/>
          <w:szCs w:val="32"/>
        </w:rPr>
        <w:t xml:space="preserve">  包号：</w:t>
      </w:r>
      <w:r>
        <w:rPr>
          <w:rFonts w:hint="eastAsia" w:ascii="仿宋_GB2312" w:eastAsia="仿宋_GB2312"/>
          <w:sz w:val="32"/>
          <w:szCs w:val="32"/>
          <w:u w:val="dotted"/>
        </w:rPr>
        <w:t xml:space="preserve">              </w:t>
      </w:r>
    </w:p>
    <w:p w14:paraId="7B0D79A3">
      <w:pPr>
        <w:rPr>
          <w:rFonts w:hint="eastAsia" w:ascii="仿宋_GB2312" w:eastAsia="仿宋_GB2312"/>
          <w:sz w:val="32"/>
          <w:szCs w:val="32"/>
        </w:rPr>
      </w:pPr>
      <w:r>
        <w:rPr>
          <w:rFonts w:hint="eastAsia" w:ascii="仿宋_GB2312" w:eastAsia="仿宋_GB2312"/>
          <w:sz w:val="32"/>
          <w:szCs w:val="32"/>
        </w:rPr>
        <w:t>采购人名称：</w:t>
      </w:r>
      <w:r>
        <w:rPr>
          <w:rFonts w:hint="eastAsia" w:ascii="仿宋_GB2312" w:eastAsia="仿宋_GB2312"/>
          <w:sz w:val="32"/>
          <w:szCs w:val="32"/>
          <w:u w:val="dotted"/>
        </w:rPr>
        <w:t xml:space="preserve">                  </w:t>
      </w:r>
    </w:p>
    <w:p w14:paraId="19ABFB71">
      <w:pPr>
        <w:rPr>
          <w:rFonts w:hint="eastAsia" w:ascii="仿宋_GB2312" w:eastAsia="仿宋_GB2312"/>
          <w:sz w:val="32"/>
          <w:szCs w:val="32"/>
          <w:u w:val="single"/>
        </w:rPr>
      </w:pPr>
      <w:r>
        <w:rPr>
          <w:rFonts w:hint="eastAsia" w:ascii="仿宋_GB2312" w:eastAsia="仿宋_GB2312"/>
          <w:sz w:val="32"/>
          <w:szCs w:val="32"/>
        </w:rPr>
        <w:t>代理机构名称：</w:t>
      </w:r>
      <w:r>
        <w:rPr>
          <w:rFonts w:hint="eastAsia" w:ascii="仿宋_GB2312" w:eastAsia="仿宋_GB2312"/>
          <w:sz w:val="32"/>
          <w:szCs w:val="32"/>
          <w:u w:val="dotted"/>
        </w:rPr>
        <w:t xml:space="preserve">                                         </w:t>
      </w:r>
    </w:p>
    <w:p w14:paraId="0F6DB4F5">
      <w:pPr>
        <w:rPr>
          <w:rFonts w:hint="eastAsia" w:ascii="仿宋_GB2312" w:eastAsia="仿宋_GB2312"/>
          <w:sz w:val="32"/>
          <w:szCs w:val="32"/>
          <w:u w:val="dotted"/>
        </w:rPr>
      </w:pPr>
      <w:r>
        <w:rPr>
          <w:rFonts w:hint="eastAsia" w:ascii="仿宋_GB2312" w:eastAsia="仿宋_GB2312"/>
          <w:sz w:val="32"/>
          <w:szCs w:val="32"/>
        </w:rPr>
        <w:t>采购文件公告：</w:t>
      </w:r>
      <w:r>
        <w:rPr>
          <w:rFonts w:hint="eastAsia" w:ascii="仿宋_GB2312" w:eastAsia="仿宋_GB2312"/>
          <w:sz w:val="32"/>
          <w:szCs w:val="32"/>
          <w:u w:val="dotted"/>
        </w:rPr>
        <w:t xml:space="preserve">是/否 </w:t>
      </w:r>
      <w:r>
        <w:rPr>
          <w:rFonts w:hint="eastAsia" w:ascii="仿宋_GB2312" w:eastAsia="仿宋_GB2312"/>
          <w:sz w:val="32"/>
          <w:szCs w:val="32"/>
        </w:rPr>
        <w:t>公告期限：</w:t>
      </w:r>
      <w:r>
        <w:rPr>
          <w:rFonts w:hint="eastAsia" w:ascii="仿宋_GB2312" w:eastAsia="仿宋_GB2312"/>
          <w:sz w:val="32"/>
          <w:szCs w:val="32"/>
          <w:u w:val="dotted"/>
        </w:rPr>
        <w:t xml:space="preserve">                                 </w:t>
      </w:r>
    </w:p>
    <w:p w14:paraId="3EA0AD0A">
      <w:pPr>
        <w:rPr>
          <w:rFonts w:hint="eastAsia" w:ascii="仿宋_GB2312" w:eastAsia="仿宋_GB2312"/>
          <w:sz w:val="32"/>
          <w:szCs w:val="32"/>
          <w:u w:val="single"/>
        </w:rPr>
      </w:pPr>
      <w:r>
        <w:rPr>
          <w:rFonts w:hint="eastAsia" w:ascii="仿宋_GB2312" w:eastAsia="仿宋_GB2312"/>
          <w:sz w:val="32"/>
          <w:szCs w:val="32"/>
        </w:rPr>
        <w:t>采购结果公告：</w:t>
      </w:r>
      <w:r>
        <w:rPr>
          <w:rFonts w:hint="eastAsia" w:ascii="仿宋_GB2312" w:eastAsia="仿宋_GB2312"/>
          <w:sz w:val="32"/>
          <w:szCs w:val="32"/>
          <w:u w:val="dotted"/>
        </w:rPr>
        <w:t xml:space="preserve">是/否 </w:t>
      </w:r>
      <w:r>
        <w:rPr>
          <w:rFonts w:hint="eastAsia" w:ascii="仿宋_GB2312" w:eastAsia="仿宋_GB2312"/>
          <w:sz w:val="32"/>
          <w:szCs w:val="32"/>
        </w:rPr>
        <w:t>公告期限：</w:t>
      </w:r>
      <w:r>
        <w:rPr>
          <w:rFonts w:hint="eastAsia" w:ascii="仿宋_GB2312" w:eastAsia="仿宋_GB2312"/>
          <w:sz w:val="32"/>
          <w:szCs w:val="32"/>
          <w:u w:val="dotted"/>
        </w:rPr>
        <w:t xml:space="preserve">                        </w:t>
      </w:r>
    </w:p>
    <w:p w14:paraId="2C136E6F">
      <w:pPr>
        <w:rPr>
          <w:rFonts w:hint="eastAsia" w:ascii="黑体" w:hAnsi="黑体" w:eastAsia="黑体"/>
          <w:sz w:val="32"/>
          <w:szCs w:val="32"/>
        </w:rPr>
      </w:pPr>
      <w:r>
        <w:rPr>
          <w:rFonts w:hint="eastAsia" w:ascii="黑体" w:hAnsi="黑体" w:eastAsia="黑体"/>
          <w:sz w:val="32"/>
          <w:szCs w:val="32"/>
        </w:rPr>
        <w:t>三、质疑基本情况</w:t>
      </w:r>
    </w:p>
    <w:p w14:paraId="6572325F">
      <w:pPr>
        <w:ind w:firstLine="640" w:firstLineChars="200"/>
        <w:rPr>
          <w:rFonts w:hint="eastAsia" w:ascii="仿宋_GB2312" w:eastAsia="仿宋_GB2312"/>
          <w:sz w:val="32"/>
          <w:szCs w:val="32"/>
          <w:u w:val="dotted"/>
        </w:rPr>
      </w:pPr>
      <w:r>
        <w:rPr>
          <w:rFonts w:hint="eastAsia" w:ascii="仿宋_GB2312" w:eastAsia="仿宋_GB2312"/>
          <w:sz w:val="32"/>
          <w:szCs w:val="32"/>
        </w:rPr>
        <w:t>投诉人于</w:t>
      </w:r>
      <w:r>
        <w:rPr>
          <w:rFonts w:hint="eastAsia" w:ascii="仿宋_GB2312" w:eastAsia="仿宋_GB2312"/>
          <w:sz w:val="32"/>
          <w:szCs w:val="32"/>
          <w:u w:val="dotted"/>
        </w:rPr>
        <w:t xml:space="preserve">   </w:t>
      </w:r>
      <w:r>
        <w:rPr>
          <w:rFonts w:hint="eastAsia" w:ascii="仿宋_GB2312" w:eastAsia="仿宋_GB2312"/>
          <w:sz w:val="32"/>
          <w:szCs w:val="32"/>
        </w:rPr>
        <w:t>年</w:t>
      </w:r>
      <w:r>
        <w:rPr>
          <w:rFonts w:hint="eastAsia" w:ascii="仿宋_GB2312" w:eastAsia="仿宋_GB2312"/>
          <w:sz w:val="32"/>
          <w:szCs w:val="32"/>
          <w:u w:val="dotted"/>
        </w:rPr>
        <w:t xml:space="preserve">   </w:t>
      </w:r>
      <w:r>
        <w:rPr>
          <w:rFonts w:hint="eastAsia" w:ascii="仿宋_GB2312" w:eastAsia="仿宋_GB2312"/>
          <w:sz w:val="32"/>
          <w:szCs w:val="32"/>
        </w:rPr>
        <w:t>月</w:t>
      </w:r>
      <w:r>
        <w:rPr>
          <w:rFonts w:hint="eastAsia" w:ascii="仿宋_GB2312" w:eastAsia="仿宋_GB2312"/>
          <w:sz w:val="32"/>
          <w:szCs w:val="32"/>
          <w:u w:val="dotted"/>
        </w:rPr>
        <w:t xml:space="preserve">  </w:t>
      </w:r>
      <w:r>
        <w:rPr>
          <w:rFonts w:hint="eastAsia" w:ascii="仿宋_GB2312" w:eastAsia="仿宋_GB2312"/>
          <w:sz w:val="32"/>
          <w:szCs w:val="32"/>
        </w:rPr>
        <w:t>日,向</w:t>
      </w:r>
      <w:r>
        <w:rPr>
          <w:rFonts w:hint="eastAsia" w:ascii="仿宋_GB2312" w:eastAsia="仿宋_GB2312"/>
          <w:sz w:val="32"/>
          <w:szCs w:val="32"/>
          <w:u w:val="dotted"/>
        </w:rPr>
        <w:t xml:space="preserve">                   </w:t>
      </w:r>
      <w:r>
        <w:rPr>
          <w:rFonts w:hint="eastAsia" w:ascii="仿宋_GB2312" w:eastAsia="仿宋_GB2312"/>
          <w:sz w:val="32"/>
          <w:szCs w:val="32"/>
        </w:rPr>
        <w:t>提出质疑，质疑事项为：</w:t>
      </w:r>
      <w:r>
        <w:rPr>
          <w:rFonts w:hint="eastAsia" w:ascii="仿宋_GB2312" w:eastAsia="仿宋_GB2312"/>
          <w:sz w:val="32"/>
          <w:szCs w:val="32"/>
          <w:u w:val="dotted"/>
        </w:rPr>
        <w:t xml:space="preserve">                                </w:t>
      </w:r>
    </w:p>
    <w:p w14:paraId="5E09E948">
      <w:pPr>
        <w:rPr>
          <w:rFonts w:hint="eastAsia" w:ascii="仿宋_GB2312" w:eastAsia="仿宋_GB2312"/>
          <w:sz w:val="32"/>
          <w:szCs w:val="32"/>
          <w:u w:val="dotted"/>
        </w:rPr>
      </w:pPr>
      <w:r>
        <w:rPr>
          <w:rFonts w:hint="eastAsia" w:ascii="仿宋_GB2312" w:eastAsia="仿宋_GB2312"/>
          <w:sz w:val="32"/>
          <w:szCs w:val="32"/>
          <w:u w:val="dotted"/>
        </w:rPr>
        <w:t xml:space="preserve">                                                     </w:t>
      </w:r>
      <w:r>
        <w:rPr>
          <w:rFonts w:hint="eastAsia" w:ascii="仿宋_GB2312" w:eastAsia="仿宋_GB2312"/>
          <w:sz w:val="32"/>
          <w:szCs w:val="32"/>
        </w:rPr>
        <w:t xml:space="preserve">  </w:t>
      </w:r>
    </w:p>
    <w:p w14:paraId="45FE83C6">
      <w:pPr>
        <w:ind w:firstLine="480" w:firstLineChars="150"/>
        <w:rPr>
          <w:rFonts w:hint="eastAsia" w:ascii="仿宋_GB2312" w:eastAsia="仿宋_GB2312"/>
          <w:sz w:val="32"/>
          <w:szCs w:val="32"/>
        </w:rPr>
      </w:pPr>
      <w:r>
        <w:rPr>
          <w:rFonts w:hint="eastAsia" w:ascii="仿宋_GB2312" w:eastAsia="仿宋_GB2312"/>
          <w:sz w:val="32"/>
          <w:szCs w:val="32"/>
          <w:u w:val="dotted"/>
        </w:rPr>
        <w:t>采购人/代理机构</w:t>
      </w:r>
      <w:r>
        <w:rPr>
          <w:rFonts w:hint="eastAsia" w:ascii="仿宋_GB2312" w:eastAsia="仿宋_GB2312"/>
          <w:sz w:val="32"/>
          <w:szCs w:val="32"/>
        </w:rPr>
        <w:t>于</w:t>
      </w:r>
      <w:r>
        <w:rPr>
          <w:rFonts w:hint="eastAsia" w:ascii="仿宋_GB2312" w:eastAsia="仿宋_GB2312"/>
          <w:sz w:val="32"/>
          <w:szCs w:val="32"/>
          <w:u w:val="dotted"/>
        </w:rPr>
        <w:t xml:space="preserve">   </w:t>
      </w:r>
      <w:r>
        <w:rPr>
          <w:rFonts w:hint="eastAsia" w:ascii="仿宋_GB2312" w:eastAsia="仿宋_GB2312"/>
          <w:sz w:val="32"/>
          <w:szCs w:val="32"/>
        </w:rPr>
        <w:t>年</w:t>
      </w:r>
      <w:r>
        <w:rPr>
          <w:rFonts w:hint="eastAsia" w:ascii="仿宋_GB2312" w:eastAsia="仿宋_GB2312"/>
          <w:sz w:val="32"/>
          <w:szCs w:val="32"/>
          <w:u w:val="dotted"/>
        </w:rPr>
        <w:t xml:space="preserve">   </w:t>
      </w:r>
      <w:r>
        <w:rPr>
          <w:rFonts w:hint="eastAsia" w:ascii="仿宋_GB2312" w:eastAsia="仿宋_GB2312"/>
          <w:sz w:val="32"/>
          <w:szCs w:val="32"/>
        </w:rPr>
        <w:t>月</w:t>
      </w:r>
      <w:r>
        <w:rPr>
          <w:rFonts w:hint="eastAsia" w:ascii="仿宋_GB2312" w:eastAsia="仿宋_GB2312"/>
          <w:sz w:val="32"/>
          <w:szCs w:val="32"/>
          <w:u w:val="dotted"/>
        </w:rPr>
        <w:t xml:space="preserve">   </w:t>
      </w:r>
      <w:r>
        <w:rPr>
          <w:rFonts w:hint="eastAsia" w:ascii="仿宋_GB2312" w:eastAsia="仿宋_GB2312"/>
          <w:sz w:val="32"/>
          <w:szCs w:val="32"/>
        </w:rPr>
        <w:t>日,就质疑事项作出了答复/没有在法定期限内作出答复。</w:t>
      </w:r>
    </w:p>
    <w:p w14:paraId="79DC3F6C">
      <w:pPr>
        <w:rPr>
          <w:rFonts w:hint="eastAsia" w:ascii="黑体" w:hAnsi="黑体" w:eastAsia="黑体"/>
          <w:sz w:val="32"/>
          <w:szCs w:val="32"/>
        </w:rPr>
      </w:pPr>
      <w:r>
        <w:rPr>
          <w:rFonts w:hint="eastAsia" w:ascii="黑体" w:hAnsi="黑体" w:eastAsia="黑体"/>
          <w:sz w:val="32"/>
          <w:szCs w:val="32"/>
        </w:rPr>
        <w:t>四、投诉事项具体内容</w:t>
      </w:r>
    </w:p>
    <w:p w14:paraId="779296A1">
      <w:pPr>
        <w:rPr>
          <w:rFonts w:hint="eastAsia" w:ascii="仿宋_GB2312" w:eastAsia="仿宋_GB2312"/>
          <w:sz w:val="32"/>
          <w:szCs w:val="32"/>
          <w:u w:val="single"/>
        </w:rPr>
      </w:pPr>
      <w:r>
        <w:rPr>
          <w:rFonts w:hint="eastAsia" w:ascii="仿宋_GB2312" w:eastAsia="仿宋_GB2312"/>
          <w:sz w:val="32"/>
          <w:szCs w:val="32"/>
        </w:rPr>
        <w:t>投诉事项 1：</w:t>
      </w:r>
      <w:r>
        <w:rPr>
          <w:rFonts w:hint="eastAsia" w:ascii="仿宋_GB2312" w:eastAsia="仿宋_GB2312"/>
          <w:sz w:val="32"/>
          <w:szCs w:val="32"/>
          <w:u w:val="dotted"/>
        </w:rPr>
        <w:t xml:space="preserve">                                       </w:t>
      </w:r>
    </w:p>
    <w:p w14:paraId="65D581B5">
      <w:pPr>
        <w:rPr>
          <w:rFonts w:hint="eastAsia" w:ascii="仿宋_GB2312" w:eastAsia="仿宋_GB2312"/>
          <w:sz w:val="32"/>
          <w:szCs w:val="32"/>
        </w:rPr>
      </w:pPr>
      <w:r>
        <w:rPr>
          <w:rFonts w:hint="eastAsia" w:ascii="仿宋_GB2312" w:eastAsia="仿宋_GB2312"/>
          <w:sz w:val="32"/>
          <w:szCs w:val="32"/>
        </w:rPr>
        <w:t>事实依据：</w:t>
      </w:r>
      <w:r>
        <w:rPr>
          <w:rFonts w:hint="eastAsia" w:ascii="仿宋_GB2312" w:eastAsia="仿宋_GB2312"/>
          <w:sz w:val="32"/>
          <w:szCs w:val="32"/>
          <w:u w:val="dotted"/>
        </w:rPr>
        <w:t xml:space="preserve">                                         </w:t>
      </w:r>
    </w:p>
    <w:p w14:paraId="4312AD72">
      <w:pPr>
        <w:rPr>
          <w:rFonts w:hint="eastAsia" w:ascii="仿宋_GB2312" w:eastAsia="仿宋_GB2312"/>
          <w:sz w:val="32"/>
          <w:szCs w:val="32"/>
          <w:u w:val="dotted"/>
        </w:rPr>
      </w:pPr>
      <w:r>
        <w:rPr>
          <w:rFonts w:hint="eastAsia" w:ascii="仿宋_GB2312" w:eastAsia="仿宋_GB2312"/>
          <w:sz w:val="32"/>
          <w:szCs w:val="32"/>
          <w:u w:val="dotted"/>
        </w:rPr>
        <w:t xml:space="preserve">                                                      </w:t>
      </w:r>
    </w:p>
    <w:p w14:paraId="61A44753">
      <w:pPr>
        <w:rPr>
          <w:rFonts w:hint="eastAsia" w:ascii="仿宋_GB2312" w:eastAsia="仿宋_GB2312"/>
          <w:sz w:val="32"/>
          <w:szCs w:val="32"/>
          <w:u w:val="single"/>
        </w:rPr>
      </w:pPr>
      <w:r>
        <w:rPr>
          <w:rFonts w:hint="eastAsia" w:ascii="仿宋_GB2312" w:eastAsia="仿宋_GB2312"/>
          <w:sz w:val="32"/>
          <w:szCs w:val="32"/>
        </w:rPr>
        <w:t>法律依据：</w:t>
      </w:r>
      <w:r>
        <w:rPr>
          <w:rFonts w:hint="eastAsia" w:ascii="仿宋_GB2312" w:eastAsia="仿宋_GB2312"/>
          <w:sz w:val="32"/>
          <w:szCs w:val="32"/>
          <w:u w:val="dotted"/>
        </w:rPr>
        <w:t xml:space="preserve">                                          </w:t>
      </w:r>
    </w:p>
    <w:p w14:paraId="77D0ABCB">
      <w:pPr>
        <w:rPr>
          <w:rFonts w:hint="eastAsia" w:ascii="仿宋_GB2312" w:eastAsia="仿宋_GB2312"/>
          <w:sz w:val="32"/>
          <w:szCs w:val="32"/>
          <w:u w:val="dotted"/>
        </w:rPr>
      </w:pPr>
      <w:r>
        <w:rPr>
          <w:rFonts w:hint="eastAsia" w:ascii="仿宋_GB2312" w:eastAsia="仿宋_GB2312"/>
          <w:sz w:val="32"/>
          <w:szCs w:val="32"/>
          <w:u w:val="dotted"/>
        </w:rPr>
        <w:t xml:space="preserve">                                                      </w:t>
      </w:r>
    </w:p>
    <w:p w14:paraId="333970E0">
      <w:pPr>
        <w:rPr>
          <w:rFonts w:hint="eastAsia" w:ascii="仿宋_GB2312" w:eastAsia="仿宋_GB2312"/>
          <w:sz w:val="32"/>
          <w:szCs w:val="32"/>
        </w:rPr>
      </w:pPr>
      <w:r>
        <w:rPr>
          <w:rFonts w:hint="eastAsia" w:ascii="仿宋_GB2312" w:eastAsia="仿宋_GB2312"/>
          <w:sz w:val="32"/>
          <w:szCs w:val="32"/>
        </w:rPr>
        <w:t>投诉事项2</w:t>
      </w:r>
    </w:p>
    <w:p w14:paraId="0E8309CE">
      <w:pPr>
        <w:rPr>
          <w:rFonts w:hint="eastAsia" w:ascii="仿宋_GB2312" w:eastAsia="仿宋_GB2312"/>
          <w:sz w:val="32"/>
          <w:szCs w:val="32"/>
          <w:u w:val="dotted"/>
        </w:rPr>
      </w:pPr>
      <w:r>
        <w:rPr>
          <w:rFonts w:hint="eastAsia" w:ascii="仿宋_GB2312" w:eastAsia="仿宋_GB2312"/>
          <w:sz w:val="32"/>
          <w:szCs w:val="32"/>
        </w:rPr>
        <w:t>……</w:t>
      </w:r>
    </w:p>
    <w:p w14:paraId="185AEDD6">
      <w:pPr>
        <w:rPr>
          <w:rFonts w:hint="eastAsia" w:ascii="黑体" w:hAnsi="黑体" w:eastAsia="黑体"/>
          <w:sz w:val="32"/>
          <w:szCs w:val="32"/>
        </w:rPr>
      </w:pPr>
      <w:r>
        <w:rPr>
          <w:rFonts w:hint="eastAsia" w:ascii="黑体" w:hAnsi="黑体" w:eastAsia="黑体"/>
          <w:sz w:val="32"/>
          <w:szCs w:val="32"/>
        </w:rPr>
        <w:t>五、与投诉事项相关的投诉请求</w:t>
      </w:r>
    </w:p>
    <w:p w14:paraId="0DB9932B">
      <w:pPr>
        <w:rPr>
          <w:rFonts w:hint="eastAsia" w:ascii="仿宋_GB2312" w:eastAsia="仿宋_GB2312"/>
          <w:sz w:val="32"/>
          <w:szCs w:val="32"/>
        </w:rPr>
      </w:pPr>
      <w:r>
        <w:rPr>
          <w:rFonts w:hint="eastAsia" w:ascii="仿宋_GB2312" w:eastAsia="仿宋_GB2312"/>
          <w:sz w:val="32"/>
          <w:szCs w:val="32"/>
        </w:rPr>
        <w:t>请求：</w:t>
      </w:r>
      <w:r>
        <w:rPr>
          <w:rFonts w:hint="eastAsia" w:ascii="仿宋_GB2312" w:eastAsia="仿宋_GB2312"/>
          <w:sz w:val="32"/>
          <w:szCs w:val="32"/>
          <w:u w:val="dotted"/>
        </w:rPr>
        <w:t xml:space="preserve">                                              </w:t>
      </w:r>
      <w:r>
        <w:rPr>
          <w:rFonts w:hint="eastAsia" w:ascii="仿宋_GB2312" w:eastAsia="仿宋_GB2312"/>
          <w:sz w:val="32"/>
          <w:szCs w:val="32"/>
        </w:rPr>
        <w:t xml:space="preserve"> </w:t>
      </w:r>
    </w:p>
    <w:p w14:paraId="23DA071E">
      <w:pPr>
        <w:rPr>
          <w:rFonts w:hint="eastAsia" w:ascii="仿宋_GB2312" w:eastAsia="仿宋_GB2312"/>
          <w:sz w:val="32"/>
          <w:szCs w:val="32"/>
          <w:u w:val="single"/>
        </w:rPr>
      </w:pPr>
      <w:r>
        <w:rPr>
          <w:rFonts w:hint="eastAsia" w:ascii="仿宋_GB2312" w:eastAsia="仿宋_GB2312"/>
          <w:sz w:val="32"/>
          <w:szCs w:val="32"/>
        </w:rPr>
        <w:t xml:space="preserve">                                                                                                    </w:t>
      </w:r>
    </w:p>
    <w:p w14:paraId="564B9178">
      <w:pPr>
        <w:rPr>
          <w:rFonts w:hint="eastAsia" w:ascii="仿宋_GB2312" w:eastAsia="仿宋_GB2312"/>
          <w:sz w:val="32"/>
          <w:szCs w:val="32"/>
        </w:rPr>
      </w:pPr>
      <w:r>
        <w:rPr>
          <w:rFonts w:hint="eastAsia" w:ascii="仿宋_GB2312" w:eastAsia="仿宋_GB2312"/>
          <w:sz w:val="32"/>
          <w:szCs w:val="32"/>
        </w:rPr>
        <w:t xml:space="preserve">签字(签章)：                   公章：                      </w:t>
      </w:r>
    </w:p>
    <w:p w14:paraId="4F0148C8">
      <w:pPr>
        <w:rPr>
          <w:rFonts w:hint="eastAsia" w:ascii="仿宋_GB2312" w:eastAsia="仿宋_GB2312"/>
          <w:sz w:val="32"/>
          <w:szCs w:val="32"/>
        </w:rPr>
      </w:pPr>
      <w:r>
        <w:rPr>
          <w:rFonts w:hint="eastAsia" w:ascii="仿宋_GB2312" w:eastAsia="仿宋_GB2312"/>
          <w:sz w:val="32"/>
          <w:szCs w:val="32"/>
        </w:rPr>
        <w:t xml:space="preserve">日期：    </w:t>
      </w:r>
    </w:p>
    <w:p w14:paraId="175A8BA7">
      <w:pPr>
        <w:rPr>
          <w:rFonts w:hint="eastAsia" w:ascii="黑体" w:hAnsi="黑体" w:eastAsia="黑体"/>
          <w:b/>
          <w:sz w:val="32"/>
          <w:szCs w:val="32"/>
        </w:rPr>
      </w:pPr>
    </w:p>
    <w:p w14:paraId="13288D58">
      <w:pPr>
        <w:rPr>
          <w:rFonts w:hint="eastAsia" w:ascii="黑体" w:hAnsi="黑体" w:eastAsia="黑体"/>
          <w:b/>
          <w:sz w:val="32"/>
          <w:szCs w:val="32"/>
        </w:rPr>
      </w:pPr>
      <w:r>
        <w:rPr>
          <w:rFonts w:hint="eastAsia" w:ascii="黑体" w:hAnsi="黑体" w:eastAsia="黑体"/>
          <w:b/>
          <w:sz w:val="32"/>
          <w:szCs w:val="32"/>
        </w:rPr>
        <w:t>投诉书制作说明：</w:t>
      </w:r>
    </w:p>
    <w:p w14:paraId="1AD462A5">
      <w:pPr>
        <w:widowControl/>
        <w:ind w:firstLine="640" w:firstLineChars="200"/>
        <w:rPr>
          <w:rFonts w:hint="eastAsia" w:ascii="仿宋_GB2312" w:hAnsi="宋体" w:eastAsia="仿宋_GB2312" w:cs="宋体"/>
          <w:kern w:val="0"/>
          <w:sz w:val="32"/>
          <w:szCs w:val="32"/>
        </w:rPr>
      </w:pPr>
      <w:r>
        <w:rPr>
          <w:rFonts w:hint="eastAsia" w:ascii="仿宋_GB2312" w:eastAsia="仿宋_GB2312"/>
          <w:sz w:val="32"/>
          <w:szCs w:val="32"/>
        </w:rPr>
        <w:t>1.投诉人提起投诉时，应当提交投诉书和必要的证明材料，并按照被投诉人和与投诉事项有关的供应商数量提供投诉书副本。</w:t>
      </w:r>
    </w:p>
    <w:p w14:paraId="28976B4D">
      <w:pPr>
        <w:widowControl/>
        <w:ind w:firstLine="640" w:firstLineChars="200"/>
        <w:jc w:val="left"/>
        <w:rPr>
          <w:rFonts w:hint="eastAsia" w:ascii="仿宋_GB2312" w:hAnsi="宋体" w:eastAsia="仿宋_GB2312" w:cs="宋体"/>
          <w:kern w:val="0"/>
          <w:sz w:val="32"/>
          <w:szCs w:val="32"/>
        </w:rPr>
      </w:pPr>
      <w:r>
        <w:rPr>
          <w:rFonts w:hint="eastAsia" w:ascii="仿宋_GB2312" w:eastAsia="仿宋_GB2312"/>
          <w:sz w:val="32"/>
          <w:szCs w:val="32"/>
        </w:rPr>
        <w:t>2.投诉人若委托代理人进行投诉的，投诉书应按照要求列明“授权代表”的有关内容，并在附件中提交由</w:t>
      </w:r>
      <w:r>
        <w:rPr>
          <w:rFonts w:hint="eastAsia" w:ascii="仿宋_GB2312" w:hAnsi="宋体" w:eastAsia="仿宋_GB2312" w:cs="宋体"/>
          <w:kern w:val="0"/>
          <w:sz w:val="32"/>
          <w:szCs w:val="32"/>
        </w:rPr>
        <w:t>投诉人签署的授权委托书。授权委托书应当载明代理人的姓名或者名称、代理事项、具体权限、期限和相关事项。</w:t>
      </w:r>
    </w:p>
    <w:p w14:paraId="36A6DDE2">
      <w:pPr>
        <w:widowControl/>
        <w:ind w:firstLine="640" w:firstLineChars="200"/>
        <w:jc w:val="left"/>
        <w:rPr>
          <w:rFonts w:hint="eastAsia" w:ascii="仿宋_GB2312" w:eastAsia="仿宋_GB2312"/>
          <w:sz w:val="32"/>
          <w:szCs w:val="32"/>
        </w:rPr>
      </w:pPr>
      <w:r>
        <w:rPr>
          <w:rFonts w:hint="eastAsia" w:ascii="仿宋_GB2312" w:eastAsia="仿宋_GB2312"/>
          <w:sz w:val="32"/>
          <w:szCs w:val="32"/>
        </w:rPr>
        <w:t>3.投诉人若对项目的某一分包进行投诉，投诉书应列明具体分包号。</w:t>
      </w:r>
    </w:p>
    <w:p w14:paraId="4CA9437B">
      <w:pPr>
        <w:widowControl/>
        <w:ind w:firstLine="640" w:firstLineChars="200"/>
        <w:jc w:val="left"/>
        <w:rPr>
          <w:rFonts w:hint="eastAsia" w:ascii="仿宋_GB2312" w:eastAsia="仿宋_GB2312"/>
          <w:sz w:val="32"/>
          <w:szCs w:val="32"/>
        </w:rPr>
      </w:pPr>
      <w:r>
        <w:rPr>
          <w:rFonts w:hint="eastAsia" w:ascii="仿宋_GB2312" w:eastAsia="仿宋_GB2312"/>
          <w:sz w:val="32"/>
          <w:szCs w:val="32"/>
        </w:rPr>
        <w:t>4.投诉书应简要列明质疑事项，质疑函、质疑答复等作为附件材料提供。</w:t>
      </w:r>
    </w:p>
    <w:p w14:paraId="2A9E29BC">
      <w:pPr>
        <w:widowControl/>
        <w:ind w:firstLine="640" w:firstLineChars="200"/>
        <w:jc w:val="left"/>
        <w:rPr>
          <w:rFonts w:hint="eastAsia" w:ascii="仿宋_GB2312" w:eastAsia="仿宋_GB2312"/>
          <w:sz w:val="32"/>
          <w:szCs w:val="32"/>
        </w:rPr>
      </w:pPr>
      <w:r>
        <w:rPr>
          <w:rFonts w:hint="eastAsia" w:ascii="仿宋_GB2312" w:eastAsia="仿宋_GB2312"/>
          <w:sz w:val="32"/>
          <w:szCs w:val="32"/>
        </w:rPr>
        <w:t>5.投诉书的投诉事项应具体、明确，并有必要的事实依据和法律依据。</w:t>
      </w:r>
    </w:p>
    <w:p w14:paraId="74083B6D">
      <w:pPr>
        <w:widowControl/>
        <w:ind w:firstLine="640" w:firstLineChars="200"/>
        <w:jc w:val="left"/>
        <w:rPr>
          <w:rFonts w:hint="eastAsia" w:ascii="仿宋_GB2312" w:eastAsia="仿宋_GB2312"/>
          <w:sz w:val="32"/>
          <w:szCs w:val="32"/>
        </w:rPr>
      </w:pPr>
      <w:r>
        <w:rPr>
          <w:rFonts w:hint="eastAsia" w:ascii="仿宋_GB2312" w:eastAsia="仿宋_GB2312"/>
          <w:sz w:val="32"/>
          <w:szCs w:val="32"/>
        </w:rPr>
        <w:t>6.投诉书的投诉请求应与投诉事项相关。</w:t>
      </w:r>
    </w:p>
    <w:p w14:paraId="2F2FEEA4">
      <w:pPr>
        <w:widowControl/>
        <w:ind w:firstLine="640" w:firstLineChars="200"/>
        <w:jc w:val="left"/>
        <w:rPr>
          <w:rFonts w:hint="eastAsia" w:ascii="仿宋_GB2312" w:hAnsi="宋体" w:eastAsia="仿宋_GB2312" w:cs="宋体"/>
          <w:kern w:val="0"/>
          <w:sz w:val="32"/>
          <w:szCs w:val="32"/>
        </w:rPr>
      </w:pPr>
      <w:r>
        <w:rPr>
          <w:rFonts w:hint="eastAsia" w:ascii="仿宋_GB2312" w:eastAsia="仿宋_GB2312"/>
          <w:sz w:val="32"/>
          <w:szCs w:val="32"/>
        </w:rPr>
        <w:t>7.投诉人为自然人的，投诉书应当由本人签字；投诉人为法人或者其他组织的，投诉书应当由法定代表人、主要负责人，或者其授权代表签字或者盖章，并加盖公章。</w:t>
      </w:r>
    </w:p>
    <w:p w14:paraId="3B7C04A5">
      <w:pPr>
        <w:snapToGrid w:val="0"/>
        <w:spacing w:before="50" w:after="165" w:afterLines="50" w:line="360" w:lineRule="auto"/>
        <w:ind w:firstLine="480" w:firstLineChars="200"/>
        <w:jc w:val="left"/>
        <w:rPr>
          <w:rFonts w:hint="eastAsia"/>
          <w:sz w:val="24"/>
        </w:rPr>
      </w:pPr>
    </w:p>
    <w:p w14:paraId="60A63ED3">
      <w:pPr>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大黑简体2.">
    <w:altName w:val="黑体"/>
    <w:panose1 w:val="00000000000000000000"/>
    <w:charset w:val="86"/>
    <w:family w:val="swiss"/>
    <w:pitch w:val="default"/>
    <w:sig w:usb0="00000000" w:usb1="00000000" w:usb2="00000010" w:usb3="00000000" w:csb0="00040000" w:csb1="00000000"/>
  </w:font>
  <w:font w:name="Cambria Math">
    <w:panose1 w:val="02040503050406030204"/>
    <w:charset w:val="00"/>
    <w:family w:val="roman"/>
    <w:pitch w:val="default"/>
    <w:sig w:usb0="E00006FF" w:usb1="420024FF" w:usb2="02000000" w:usb3="00000000" w:csb0="2000019F" w:csb1="00000000"/>
  </w:font>
  <w:font w:name="Segoe UI Symbol">
    <w:panose1 w:val="020B0502040204020203"/>
    <w:charset w:val="00"/>
    <w:family w:val="swiss"/>
    <w:pitch w:val="default"/>
    <w:sig w:usb0="800001E3" w:usb1="1200FFEF" w:usb2="00040000" w:usb3="04000000" w:csb0="00000001" w:csb1="40000000"/>
  </w:font>
  <w:font w:name="MS Gothic">
    <w:panose1 w:val="020B0609070205080204"/>
    <w:charset w:val="80"/>
    <w:family w:val="modern"/>
    <w:pitch w:val="default"/>
    <w:sig w:usb0="E00002FF" w:usb1="6AC7FDFB" w:usb2="08000012" w:usb3="00000000" w:csb0="4002009F" w:csb1="DFD70000"/>
  </w:font>
  <w:font w:name="微软雅黑">
    <w:panose1 w:val="020B0503020204020204"/>
    <w:charset w:val="86"/>
    <w:family w:val="swiss"/>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Helvetica">
    <w:altName w:val="Arial"/>
    <w:panose1 w:val="020B0604020202020204"/>
    <w:charset w:val="00"/>
    <w:family w:val="swiss"/>
    <w:pitch w:val="default"/>
    <w:sig w:usb0="00000000" w:usb1="00000000" w:usb2="00000009" w:usb3="00000000" w:csb0="000001FF" w:csb1="00000000"/>
  </w:font>
  <w:font w:name="楷体">
    <w:panose1 w:val="02010609060101010101"/>
    <w:charset w:val="86"/>
    <w:family w:val="modern"/>
    <w:pitch w:val="default"/>
    <w:sig w:usb0="800002BF" w:usb1="38CF7CFA" w:usb2="00000016" w:usb3="00000000" w:csb0="00040001" w:csb1="00000000"/>
  </w:font>
  <w:font w:name="HMGX">
    <w:altName w:val="Calibri"/>
    <w:panose1 w:val="00000000000000000000"/>
    <w:charset w:val="00"/>
    <w:family w:val="auto"/>
    <w:pitch w:val="default"/>
    <w:sig w:usb0="00000000" w:usb1="00000000" w:usb2="00000000" w:usb3="00000000" w:csb0="00000001" w:csb1="00000000"/>
  </w:font>
  <w:font w:name="TimesNewRomanPSMT">
    <w:altName w:val="Times New Roman"/>
    <w:panose1 w:val="00000000000000000000"/>
    <w:charset w:val="00"/>
    <w:family w:val="roman"/>
    <w:pitch w:val="default"/>
    <w:sig w:usb0="00000000" w:usb1="00000000" w:usb2="00000000" w:usb3="00000000" w:csb0="00000001" w:csb1="00000000"/>
  </w:font>
  <w:font w:name="ˎ̥">
    <w:altName w:val="Times New Roman"/>
    <w:panose1 w:val="00000000000000000000"/>
    <w:charset w:val="00"/>
    <w:family w:val="roman"/>
    <w:pitch w:val="default"/>
    <w:sig w:usb0="00000000"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1B2E2A">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DBB78AE">
                          <w:pPr>
                            <w:pStyle w:val="12"/>
                          </w:pPr>
                          <w:r>
                            <w:fldChar w:fldCharType="begin"/>
                          </w:r>
                          <w:r>
                            <w:instrText xml:space="preserve"> PAGE  \* MERGEFORMAT </w:instrText>
                          </w:r>
                          <w:r>
                            <w:fldChar w:fldCharType="separate"/>
                          </w:r>
                          <w:r>
                            <w:t>95</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6DBB78AE">
                    <w:pPr>
                      <w:pStyle w:val="12"/>
                    </w:pPr>
                    <w:r>
                      <w:fldChar w:fldCharType="begin"/>
                    </w:r>
                    <w:r>
                      <w:instrText xml:space="preserve"> PAGE  \* MERGEFORMAT </w:instrText>
                    </w:r>
                    <w:r>
                      <w:fldChar w:fldCharType="separate"/>
                    </w:r>
                    <w:r>
                      <w:t>95</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24D4C0"/>
    <w:multiLevelType w:val="singleLevel"/>
    <w:tmpl w:val="BC24D4C0"/>
    <w:lvl w:ilvl="0" w:tentative="0">
      <w:start w:val="6"/>
      <w:numFmt w:val="chineseCounting"/>
      <w:suff w:val="nothing"/>
      <w:lvlText w:val="%1、"/>
      <w:lvlJc w:val="left"/>
      <w:rPr>
        <w:rFonts w:hint="eastAsia"/>
      </w:rPr>
    </w:lvl>
  </w:abstractNum>
  <w:abstractNum w:abstractNumId="1">
    <w:nsid w:val="DC3C4FD3"/>
    <w:multiLevelType w:val="singleLevel"/>
    <w:tmpl w:val="DC3C4FD3"/>
    <w:lvl w:ilvl="0" w:tentative="0">
      <w:start w:val="1"/>
      <w:numFmt w:val="decimal"/>
      <w:suff w:val="nothing"/>
      <w:lvlText w:val="（%1）"/>
      <w:lvlJc w:val="left"/>
    </w:lvl>
  </w:abstractNum>
  <w:abstractNum w:abstractNumId="2">
    <w:nsid w:val="00000007"/>
    <w:multiLevelType w:val="multilevel"/>
    <w:tmpl w:val="00000007"/>
    <w:lvl w:ilvl="0" w:tentative="0">
      <w:start w:val="1"/>
      <w:numFmt w:val="decimal"/>
      <w:lvlText w:val="（%1）"/>
      <w:lvlJc w:val="left"/>
      <w:pPr>
        <w:tabs>
          <w:tab w:val="left" w:pos="1140"/>
        </w:tabs>
        <w:ind w:left="1140" w:hanging="720"/>
      </w:pPr>
      <w:rPr>
        <w:rFonts w:ascii="宋体" w:hAnsi="宋体" w:eastAsia="宋体" w:cs="Times New Roman"/>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3">
    <w:nsid w:val="28170407"/>
    <w:multiLevelType w:val="singleLevel"/>
    <w:tmpl w:val="28170407"/>
    <w:lvl w:ilvl="0" w:tentative="0">
      <w:start w:val="3"/>
      <w:numFmt w:val="chineseCounting"/>
      <w:suff w:val="nothing"/>
      <w:lvlText w:val="%1、"/>
      <w:lvlJc w:val="left"/>
      <w:rPr>
        <w:rFonts w:hint="eastAsia"/>
      </w:rPr>
    </w:lvl>
  </w:abstractNum>
  <w:abstractNum w:abstractNumId="4">
    <w:nsid w:val="34444808"/>
    <w:multiLevelType w:val="multilevel"/>
    <w:tmpl w:val="34444808"/>
    <w:lvl w:ilvl="0" w:tentative="0">
      <w:start w:val="1"/>
      <w:numFmt w:val="decimal"/>
      <w:lvlText w:val="%1、"/>
      <w:lvlJc w:val="left"/>
      <w:pPr>
        <w:ind w:left="660" w:hanging="360"/>
      </w:pPr>
      <w:rPr>
        <w:rFonts w:hint="default"/>
      </w:rPr>
    </w:lvl>
    <w:lvl w:ilvl="1" w:tentative="0">
      <w:start w:val="1"/>
      <w:numFmt w:val="lowerLetter"/>
      <w:lvlText w:val="%2)"/>
      <w:lvlJc w:val="left"/>
      <w:pPr>
        <w:ind w:left="1140" w:hanging="420"/>
      </w:pPr>
    </w:lvl>
    <w:lvl w:ilvl="2" w:tentative="0">
      <w:start w:val="1"/>
      <w:numFmt w:val="lowerRoman"/>
      <w:lvlText w:val="%3."/>
      <w:lvlJc w:val="right"/>
      <w:pPr>
        <w:ind w:left="1560" w:hanging="420"/>
      </w:pPr>
    </w:lvl>
    <w:lvl w:ilvl="3" w:tentative="0">
      <w:start w:val="1"/>
      <w:numFmt w:val="decimal"/>
      <w:lvlText w:val="%4."/>
      <w:lvlJc w:val="left"/>
      <w:pPr>
        <w:ind w:left="1980" w:hanging="420"/>
      </w:pPr>
    </w:lvl>
    <w:lvl w:ilvl="4" w:tentative="0">
      <w:start w:val="1"/>
      <w:numFmt w:val="lowerLetter"/>
      <w:lvlText w:val="%5)"/>
      <w:lvlJc w:val="left"/>
      <w:pPr>
        <w:ind w:left="2400" w:hanging="420"/>
      </w:pPr>
    </w:lvl>
    <w:lvl w:ilvl="5" w:tentative="0">
      <w:start w:val="1"/>
      <w:numFmt w:val="lowerRoman"/>
      <w:lvlText w:val="%6."/>
      <w:lvlJc w:val="right"/>
      <w:pPr>
        <w:ind w:left="2820" w:hanging="420"/>
      </w:pPr>
    </w:lvl>
    <w:lvl w:ilvl="6" w:tentative="0">
      <w:start w:val="1"/>
      <w:numFmt w:val="decimal"/>
      <w:lvlText w:val="%7."/>
      <w:lvlJc w:val="left"/>
      <w:pPr>
        <w:ind w:left="3240" w:hanging="420"/>
      </w:pPr>
    </w:lvl>
    <w:lvl w:ilvl="7" w:tentative="0">
      <w:start w:val="1"/>
      <w:numFmt w:val="lowerLetter"/>
      <w:lvlText w:val="%8)"/>
      <w:lvlJc w:val="left"/>
      <w:pPr>
        <w:ind w:left="3660" w:hanging="420"/>
      </w:pPr>
    </w:lvl>
    <w:lvl w:ilvl="8" w:tentative="0">
      <w:start w:val="1"/>
      <w:numFmt w:val="lowerRoman"/>
      <w:lvlText w:val="%9."/>
      <w:lvlJc w:val="right"/>
      <w:pPr>
        <w:ind w:left="4080" w:hanging="420"/>
      </w:pPr>
    </w:lvl>
  </w:abstractNum>
  <w:abstractNum w:abstractNumId="5">
    <w:nsid w:val="41367BD3"/>
    <w:multiLevelType w:val="multilevel"/>
    <w:tmpl w:val="41367BD3"/>
    <w:lvl w:ilvl="0" w:tentative="0">
      <w:start w:val="6"/>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66E82708"/>
    <w:multiLevelType w:val="singleLevel"/>
    <w:tmpl w:val="66E82708"/>
    <w:lvl w:ilvl="0" w:tentative="0">
      <w:start w:val="1"/>
      <w:numFmt w:val="decimal"/>
      <w:suff w:val="nothing"/>
      <w:lvlText w:val="%1、"/>
      <w:lvlJc w:val="left"/>
    </w:lvl>
  </w:abstractNum>
  <w:num w:numId="1">
    <w:abstractNumId w:val="6"/>
  </w:num>
  <w:num w:numId="2">
    <w:abstractNumId w:val="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3B1923"/>
    <w:rsid w:val="14631572"/>
    <w:rsid w:val="153B1923"/>
    <w:rsid w:val="69974C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nhideWhenUsed="0"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beforeLines="0" w:after="260" w:afterLines="0" w:line="413" w:lineRule="auto"/>
      <w:outlineLvl w:val="1"/>
    </w:pPr>
    <w:rPr>
      <w:rFonts w:ascii="Arial" w:hAnsi="Arial" w:eastAsia="黑体"/>
      <w:b/>
      <w:bCs/>
      <w:sz w:val="32"/>
      <w:szCs w:val="32"/>
    </w:rPr>
  </w:style>
  <w:style w:type="paragraph" w:styleId="4">
    <w:name w:val="heading 3"/>
    <w:basedOn w:val="1"/>
    <w:next w:val="1"/>
    <w:qFormat/>
    <w:uiPriority w:val="0"/>
    <w:pPr>
      <w:keepNext/>
      <w:keepLines/>
      <w:spacing w:line="600" w:lineRule="exact"/>
      <w:ind w:firstLine="643" w:firstLineChars="200"/>
      <w:outlineLvl w:val="2"/>
    </w:pPr>
    <w:rPr>
      <w:b/>
      <w:bCs/>
      <w:sz w:val="32"/>
      <w:szCs w:val="32"/>
    </w:rPr>
  </w:style>
  <w:style w:type="paragraph" w:styleId="5">
    <w:name w:val="heading 5"/>
    <w:basedOn w:val="1"/>
    <w:next w:val="1"/>
    <w:qFormat/>
    <w:uiPriority w:val="9"/>
    <w:pPr>
      <w:keepNext/>
      <w:keepLines/>
      <w:spacing w:before="280" w:after="290" w:line="376" w:lineRule="auto"/>
      <w:outlineLvl w:val="4"/>
    </w:pPr>
    <w:rPr>
      <w:b/>
      <w:bCs/>
      <w:sz w:val="28"/>
      <w:szCs w:val="28"/>
    </w:rPr>
  </w:style>
  <w:style w:type="character" w:default="1" w:styleId="18">
    <w:name w:val="Default Paragraph Font"/>
    <w:semiHidden/>
    <w:uiPriority w:val="0"/>
  </w:style>
  <w:style w:type="table" w:default="1" w:styleId="16">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方正大黑简体2." w:hAnsi="Times New Roman" w:eastAsia="方正大黑简体2." w:cs="方正大黑简体2."/>
      <w:color w:val="000000"/>
      <w:sz w:val="24"/>
      <w:szCs w:val="24"/>
      <w:lang w:val="en-US" w:eastAsia="zh-CN" w:bidi="ar-SA"/>
    </w:rPr>
  </w:style>
  <w:style w:type="paragraph" w:styleId="6">
    <w:name w:val="Normal Indent"/>
    <w:basedOn w:val="1"/>
    <w:qFormat/>
    <w:uiPriority w:val="0"/>
    <w:pPr>
      <w:ind w:firstLine="420"/>
    </w:pPr>
    <w:rPr>
      <w:szCs w:val="20"/>
    </w:rPr>
  </w:style>
  <w:style w:type="paragraph" w:styleId="7">
    <w:name w:val="annotation text"/>
    <w:basedOn w:val="1"/>
    <w:qFormat/>
    <w:uiPriority w:val="0"/>
    <w:pPr>
      <w:jc w:val="left"/>
    </w:pPr>
  </w:style>
  <w:style w:type="paragraph" w:styleId="8">
    <w:name w:val="Body Text"/>
    <w:basedOn w:val="1"/>
    <w:next w:val="1"/>
    <w:qFormat/>
    <w:uiPriority w:val="99"/>
    <w:pPr>
      <w:spacing w:after="120"/>
    </w:pPr>
  </w:style>
  <w:style w:type="paragraph" w:styleId="9">
    <w:name w:val="Body Text Indent"/>
    <w:basedOn w:val="1"/>
    <w:qFormat/>
    <w:uiPriority w:val="0"/>
    <w:pPr>
      <w:spacing w:line="200" w:lineRule="exact"/>
      <w:ind w:firstLine="301"/>
    </w:pPr>
    <w:rPr>
      <w:rFonts w:ascii="宋体" w:hAnsi="Courier New"/>
      <w:spacing w:val="-4"/>
      <w:sz w:val="18"/>
      <w:szCs w:val="20"/>
    </w:rPr>
  </w:style>
  <w:style w:type="paragraph" w:styleId="10">
    <w:name w:val="toc 3"/>
    <w:basedOn w:val="1"/>
    <w:next w:val="1"/>
    <w:qFormat/>
    <w:uiPriority w:val="39"/>
    <w:pPr>
      <w:jc w:val="left"/>
    </w:pPr>
    <w:rPr>
      <w:rFonts w:ascii="Calibri" w:hAnsi="Calibri"/>
      <w:smallCaps/>
      <w:sz w:val="22"/>
      <w:szCs w:val="22"/>
    </w:rPr>
  </w:style>
  <w:style w:type="paragraph" w:styleId="11">
    <w:name w:val="Plain Text"/>
    <w:basedOn w:val="1"/>
    <w:next w:val="1"/>
    <w:qFormat/>
    <w:uiPriority w:val="0"/>
    <w:rPr>
      <w:rFonts w:ascii="宋体" w:hAnsi="Courier New"/>
      <w:szCs w:val="20"/>
    </w:rPr>
  </w:style>
  <w:style w:type="paragraph" w:styleId="12">
    <w:name w:val="footer"/>
    <w:basedOn w:val="1"/>
    <w:qFormat/>
    <w:uiPriority w:val="99"/>
    <w:pPr>
      <w:tabs>
        <w:tab w:val="center" w:pos="4153"/>
        <w:tab w:val="right" w:pos="8306"/>
      </w:tabs>
      <w:snapToGrid w:val="0"/>
      <w:jc w:val="left"/>
    </w:pPr>
    <w:rPr>
      <w:sz w:val="18"/>
      <w:szCs w:val="18"/>
    </w:rPr>
  </w:style>
  <w:style w:type="paragraph" w:styleId="13">
    <w:name w:val="toc 1"/>
    <w:basedOn w:val="1"/>
    <w:next w:val="1"/>
    <w:qFormat/>
    <w:uiPriority w:val="39"/>
    <w:pPr>
      <w:spacing w:before="360" w:after="360"/>
      <w:jc w:val="left"/>
    </w:pPr>
    <w:rPr>
      <w:rFonts w:ascii="Calibri" w:hAnsi="Calibri"/>
      <w:b/>
      <w:bCs/>
      <w:caps/>
      <w:sz w:val="22"/>
      <w:szCs w:val="22"/>
      <w:u w:val="single"/>
    </w:rPr>
  </w:style>
  <w:style w:type="paragraph" w:styleId="14">
    <w:name w:val="toc 2"/>
    <w:basedOn w:val="1"/>
    <w:next w:val="1"/>
    <w:qFormat/>
    <w:uiPriority w:val="39"/>
    <w:pPr>
      <w:jc w:val="left"/>
    </w:pPr>
    <w:rPr>
      <w:rFonts w:ascii="Calibri" w:hAnsi="Calibri"/>
      <w:b/>
      <w:bCs/>
      <w:smallCaps/>
      <w:sz w:val="22"/>
      <w:szCs w:val="22"/>
    </w:rPr>
  </w:style>
  <w:style w:type="paragraph" w:styleId="15">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qFormat/>
    <w:uiPriority w:val="99"/>
    <w:rPr>
      <w:color w:val="0000FF"/>
      <w:u w:val="single"/>
    </w:rPr>
  </w:style>
  <w:style w:type="paragraph" w:customStyle="1" w:styleId="20">
    <w:name w:val="表格文字"/>
    <w:basedOn w:val="1"/>
    <w:next w:val="8"/>
    <w:qFormat/>
    <w:uiPriority w:val="0"/>
    <w:pPr>
      <w:adjustRightInd w:val="0"/>
      <w:spacing w:line="420" w:lineRule="atLeast"/>
      <w:jc w:val="left"/>
      <w:textAlignment w:val="baseline"/>
    </w:pPr>
    <w:rPr>
      <w:kern w:val="0"/>
    </w:rPr>
  </w:style>
  <w:style w:type="paragraph" w:customStyle="1" w:styleId="21">
    <w:name w:val="无间隔1"/>
    <w:basedOn w:val="1"/>
    <w:qFormat/>
    <w:uiPriority w:val="99"/>
    <w:pPr>
      <w:spacing w:line="400" w:lineRule="exact"/>
    </w:pPr>
    <w:rPr>
      <w:sz w:val="24"/>
    </w:rPr>
  </w:style>
  <w:style w:type="character" w:customStyle="1" w:styleId="22">
    <w:name w:val="正文文本 (26) + 间距 0 pt"/>
    <w:uiPriority w:val="0"/>
    <w:rPr>
      <w:rFonts w:ascii="宋体" w:hAnsi="宋体" w:eastAsia="宋体" w:cs="宋体"/>
      <w:color w:val="000000"/>
      <w:spacing w:val="0"/>
      <w:w w:val="100"/>
      <w:position w:val="0"/>
      <w:sz w:val="22"/>
      <w:szCs w:val="22"/>
      <w:u w:val="none"/>
      <w:lang w:val="zh-CN" w:eastAsia="zh-CN" w:bidi="zh-CN"/>
    </w:rPr>
  </w:style>
  <w:style w:type="paragraph" w:customStyle="1" w:styleId="23">
    <w:name w:val="正文2"/>
    <w:basedOn w:val="1"/>
    <w:qFormat/>
    <w:uiPriority w:val="0"/>
    <w:pPr>
      <w:adjustRightInd w:val="0"/>
      <w:spacing w:before="156" w:line="360" w:lineRule="auto"/>
      <w:ind w:firstLine="510" w:firstLineChars="200"/>
    </w:pPr>
    <w:rPr>
      <w:sz w:val="24"/>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7EDCC"/>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149</Pages>
  <Words>23755</Words>
  <Characters>24966</Characters>
  <Lines>0</Lines>
  <Paragraphs>0</Paragraphs>
  <TotalTime>2</TotalTime>
  <ScaleCrop>false</ScaleCrop>
  <LinksUpToDate>false</LinksUpToDate>
  <CharactersWithSpaces>25081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2026-09-23T07:23:00Z</dcterms:created>
  <dc:creator>HRW</dc:creator>
  <cp:lastModifiedBy>HRW</cp:lastModifiedBy>
  <dcterms:modified xsi:type="dcterms:W3CDTF">2026-09-24T07:04:19Z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08A7FE1C303E4ED49522D4116A927BAA_11</vt:lpwstr>
  </property>
  <property fmtid="{D5CDD505-2E9C-101B-9397-08002B2CF9AE}" pid="4" name="KSOTemplateDocerSaveRecord">
    <vt:lpwstr>eyJoZGlkIjoiM2EyZDhiMzgzNGI4ZTFjNzI2MDU2ODE2NjllMGQ3MDAiLCJ1c2VySWQiOiIyNzM2ODIwNTYifQ==</vt:lpwstr>
  </property>
</Properties>
</file>