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9F6B5A">
      <w:pPr>
        <w:spacing w:before="331" w:beforeLines="100" w:after="165" w:afterLines="50" w:line="600" w:lineRule="exact"/>
        <w:jc w:val="center"/>
        <w:rPr>
          <w:rFonts w:hint="eastAsia" w:ascii="宋体" w:hAnsi="宋体" w:cs="宋体"/>
          <w:color w:val="auto"/>
          <w:sz w:val="72"/>
          <w:szCs w:val="72"/>
          <w:highlight w:val="none"/>
        </w:rPr>
      </w:pPr>
    </w:p>
    <w:p w14:paraId="577B1619">
      <w:pPr>
        <w:spacing w:before="331" w:beforeLines="100" w:after="165" w:afterLines="50" w:line="600" w:lineRule="exact"/>
        <w:jc w:val="center"/>
        <w:rPr>
          <w:rFonts w:hint="eastAsia" w:ascii="宋体" w:hAnsi="宋体" w:cs="宋体"/>
          <w:color w:val="auto"/>
          <w:sz w:val="72"/>
          <w:szCs w:val="72"/>
          <w:highlight w:val="none"/>
        </w:rPr>
      </w:pPr>
      <w:r>
        <w:rPr>
          <w:rFonts w:hint="eastAsia" w:ascii="Courier New"/>
          <w:sz w:val="52"/>
        </w:rPr>
        <w:drawing>
          <wp:anchor distT="0" distB="0" distL="114300" distR="114300" simplePos="0" relativeHeight="251659264" behindDoc="0" locked="0" layoutInCell="1" allowOverlap="1">
            <wp:simplePos x="0" y="0"/>
            <wp:positionH relativeFrom="column">
              <wp:posOffset>2341245</wp:posOffset>
            </wp:positionH>
            <wp:positionV relativeFrom="paragraph">
              <wp:posOffset>-79375</wp:posOffset>
            </wp:positionV>
            <wp:extent cx="1644015" cy="2355215"/>
            <wp:effectExtent l="0" t="0" r="13335" b="6985"/>
            <wp:wrapSquare wrapText="bothSides"/>
            <wp:docPr id="3" name="图片 2" descr="科联标志（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科联标志（改）"/>
                    <pic:cNvPicPr>
                      <a:picLocks noChangeAspect="1"/>
                    </pic:cNvPicPr>
                  </pic:nvPicPr>
                  <pic:blipFill>
                    <a:blip r:embed="rId10"/>
                    <a:stretch>
                      <a:fillRect/>
                    </a:stretch>
                  </pic:blipFill>
                  <pic:spPr>
                    <a:xfrm>
                      <a:off x="0" y="0"/>
                      <a:ext cx="1644015" cy="2355215"/>
                    </a:xfrm>
                    <a:prstGeom prst="rect">
                      <a:avLst/>
                    </a:prstGeom>
                    <a:noFill/>
                    <a:ln>
                      <a:noFill/>
                    </a:ln>
                  </pic:spPr>
                </pic:pic>
              </a:graphicData>
            </a:graphic>
          </wp:anchor>
        </w:drawing>
      </w:r>
    </w:p>
    <w:p w14:paraId="3206FE03">
      <w:pPr>
        <w:spacing w:before="331" w:beforeLines="100" w:after="165" w:afterLines="50" w:line="600" w:lineRule="exact"/>
        <w:jc w:val="center"/>
        <w:rPr>
          <w:rFonts w:hint="eastAsia" w:ascii="宋体" w:hAnsi="宋体" w:cs="宋体"/>
          <w:color w:val="auto"/>
          <w:sz w:val="72"/>
          <w:szCs w:val="72"/>
          <w:highlight w:val="none"/>
        </w:rPr>
      </w:pPr>
    </w:p>
    <w:p w14:paraId="0A5B7905">
      <w:pPr>
        <w:spacing w:before="331" w:beforeLines="100" w:after="165" w:afterLines="50" w:line="600" w:lineRule="exact"/>
        <w:jc w:val="center"/>
        <w:rPr>
          <w:rFonts w:hint="eastAsia" w:ascii="宋体" w:hAnsi="宋体" w:cs="宋体"/>
          <w:color w:val="auto"/>
          <w:sz w:val="72"/>
          <w:szCs w:val="72"/>
          <w:highlight w:val="none"/>
        </w:rPr>
      </w:pPr>
    </w:p>
    <w:p w14:paraId="7A0782A5">
      <w:pPr>
        <w:spacing w:before="331" w:beforeLines="100" w:after="165" w:afterLines="50" w:line="600" w:lineRule="exact"/>
        <w:jc w:val="center"/>
        <w:rPr>
          <w:rFonts w:hint="eastAsia" w:ascii="宋体" w:hAnsi="宋体" w:cs="宋体"/>
          <w:color w:val="auto"/>
          <w:sz w:val="72"/>
          <w:szCs w:val="72"/>
          <w:highlight w:val="none"/>
        </w:rPr>
      </w:pPr>
    </w:p>
    <w:p w14:paraId="0584B981">
      <w:pPr>
        <w:spacing w:before="331" w:beforeLines="100" w:after="165" w:afterLines="50" w:line="600" w:lineRule="exact"/>
        <w:jc w:val="center"/>
        <w:rPr>
          <w:rFonts w:hint="eastAsia" w:ascii="宋体" w:hAnsi="宋体" w:cs="宋体"/>
          <w:color w:val="auto"/>
          <w:sz w:val="72"/>
          <w:szCs w:val="72"/>
          <w:highlight w:val="none"/>
        </w:rPr>
      </w:pPr>
      <w:r>
        <w:rPr>
          <w:rFonts w:hint="eastAsia" w:ascii="宋体" w:hAnsi="宋体" w:cs="宋体"/>
          <w:color w:val="auto"/>
          <w:sz w:val="72"/>
          <w:szCs w:val="72"/>
          <w:highlight w:val="none"/>
        </w:rPr>
        <w:t>竞争性磋商文件</w:t>
      </w:r>
    </w:p>
    <w:p w14:paraId="7A7E15F0">
      <w:pPr>
        <w:spacing w:before="331" w:beforeLines="100" w:after="165" w:afterLines="50" w:line="600" w:lineRule="exact"/>
        <w:jc w:val="center"/>
        <w:rPr>
          <w:rFonts w:hint="eastAsia" w:ascii="宋体" w:hAnsi="宋体" w:cs="宋体"/>
          <w:b/>
          <w:color w:val="auto"/>
          <w:sz w:val="44"/>
          <w:szCs w:val="44"/>
          <w:highlight w:val="none"/>
        </w:rPr>
      </w:pPr>
    </w:p>
    <w:p w14:paraId="689E703D">
      <w:pPr>
        <w:spacing w:before="331" w:beforeLines="100" w:after="165" w:afterLines="50" w:line="600" w:lineRule="exact"/>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（全流程电子化采购）</w:t>
      </w:r>
    </w:p>
    <w:p w14:paraId="58F3EF48">
      <w:pPr>
        <w:spacing w:before="331" w:beforeLines="100" w:after="165" w:afterLines="50" w:line="600" w:lineRule="exact"/>
        <w:jc w:val="both"/>
        <w:rPr>
          <w:rFonts w:hint="eastAsia" w:ascii="宋体" w:hAnsi="宋体" w:eastAsia="宋体" w:cs="宋体"/>
          <w:b/>
          <w:bCs/>
          <w:color w:val="000000"/>
          <w:kern w:val="2"/>
          <w:sz w:val="30"/>
          <w:szCs w:val="30"/>
          <w:highlight w:val="none"/>
          <w:lang w:val="en-US" w:eastAsia="zh-CN" w:bidi="ar-SA"/>
        </w:rPr>
      </w:pPr>
    </w:p>
    <w:p w14:paraId="2DB2A78E">
      <w:pPr>
        <w:spacing w:line="400" w:lineRule="exact"/>
        <w:jc w:val="center"/>
        <w:rPr>
          <w:rFonts w:hint="eastAsia" w:ascii="宋体" w:hAnsi="宋体" w:eastAsia="宋体" w:cs="宋体"/>
          <w:b/>
          <w:bCs/>
          <w:color w:val="000000"/>
          <w:kern w:val="2"/>
          <w:sz w:val="30"/>
          <w:szCs w:val="30"/>
          <w:highlight w:val="none"/>
          <w:lang w:val="en-US" w:eastAsia="zh-CN" w:bidi="ar-SA"/>
        </w:rPr>
      </w:pPr>
      <w:r>
        <w:rPr>
          <w:rFonts w:hint="eastAsia" w:ascii="宋体" w:hAnsi="宋体" w:eastAsia="宋体" w:cs="宋体"/>
          <w:b/>
          <w:bCs/>
          <w:color w:val="000000"/>
          <w:kern w:val="2"/>
          <w:sz w:val="30"/>
          <w:szCs w:val="30"/>
          <w:highlight w:val="none"/>
          <w:lang w:val="en-US" w:eastAsia="zh-CN" w:bidi="ar-SA"/>
        </w:rPr>
        <w:t xml:space="preserve">  项目名称：贵港市第八高级中学生活超市副食品及学校食堂框架协议外物品配送服务的政府采购</w:t>
      </w:r>
    </w:p>
    <w:p w14:paraId="5098B623">
      <w:pPr>
        <w:spacing w:line="400" w:lineRule="exact"/>
        <w:jc w:val="center"/>
        <w:rPr>
          <w:rFonts w:hint="eastAsia" w:ascii="宋体" w:hAnsi="宋体" w:eastAsia="宋体" w:cs="宋体"/>
          <w:b/>
          <w:bCs/>
          <w:color w:val="000000"/>
          <w:kern w:val="2"/>
          <w:sz w:val="30"/>
          <w:szCs w:val="30"/>
          <w:highlight w:val="none"/>
          <w:lang w:val="en-US" w:eastAsia="zh-CN" w:bidi="ar-SA"/>
        </w:rPr>
      </w:pPr>
    </w:p>
    <w:p w14:paraId="1C310AE7">
      <w:pPr>
        <w:spacing w:line="400" w:lineRule="exact"/>
        <w:ind w:firstLine="1638" w:firstLineChars="544"/>
        <w:rPr>
          <w:rFonts w:hint="eastAsia" w:ascii="宋体" w:hAnsi="宋体" w:eastAsia="宋体" w:cs="宋体"/>
          <w:b/>
          <w:bCs/>
          <w:color w:val="000000"/>
          <w:kern w:val="2"/>
          <w:sz w:val="30"/>
          <w:szCs w:val="30"/>
          <w:highlight w:val="none"/>
          <w:lang w:val="en-US" w:eastAsia="zh-CN" w:bidi="ar-SA"/>
        </w:rPr>
      </w:pPr>
      <w:r>
        <w:rPr>
          <w:rFonts w:hint="eastAsia" w:ascii="宋体" w:hAnsi="宋体" w:eastAsia="宋体" w:cs="宋体"/>
          <w:b/>
          <w:bCs/>
          <w:color w:val="000000"/>
          <w:kern w:val="2"/>
          <w:sz w:val="30"/>
          <w:szCs w:val="30"/>
          <w:highlight w:val="none"/>
          <w:lang w:val="en-US" w:eastAsia="zh-CN" w:bidi="ar-SA"/>
        </w:rPr>
        <w:t>项目编号：GGZC2026-C3-990226-GXKL</w:t>
      </w:r>
    </w:p>
    <w:p w14:paraId="4102DB7F">
      <w:pPr>
        <w:spacing w:line="400" w:lineRule="exact"/>
        <w:jc w:val="center"/>
        <w:rPr>
          <w:rFonts w:hint="eastAsia" w:ascii="宋体" w:hAnsi="宋体" w:eastAsia="宋体" w:cs="宋体"/>
          <w:b/>
          <w:bCs/>
          <w:color w:val="000000"/>
          <w:kern w:val="2"/>
          <w:sz w:val="30"/>
          <w:szCs w:val="30"/>
          <w:highlight w:val="none"/>
          <w:lang w:val="en-US" w:eastAsia="zh-CN" w:bidi="ar-SA"/>
        </w:rPr>
      </w:pPr>
    </w:p>
    <w:p w14:paraId="1B03419D">
      <w:pPr>
        <w:spacing w:line="400" w:lineRule="exact"/>
        <w:ind w:firstLine="1638" w:firstLineChars="544"/>
        <w:rPr>
          <w:rFonts w:hint="eastAsia" w:ascii="宋体" w:hAnsi="宋体" w:eastAsia="宋体" w:cs="宋体"/>
          <w:b/>
          <w:bCs/>
          <w:color w:val="000000"/>
          <w:kern w:val="2"/>
          <w:sz w:val="30"/>
          <w:szCs w:val="30"/>
          <w:highlight w:val="none"/>
          <w:lang w:val="en-US" w:eastAsia="zh-CN" w:bidi="ar-SA"/>
        </w:rPr>
      </w:pPr>
      <w:r>
        <w:rPr>
          <w:rFonts w:hint="eastAsia" w:ascii="宋体" w:hAnsi="宋体" w:eastAsia="宋体" w:cs="宋体"/>
          <w:b/>
          <w:bCs/>
          <w:color w:val="000000"/>
          <w:kern w:val="2"/>
          <w:sz w:val="30"/>
          <w:szCs w:val="30"/>
          <w:highlight w:val="none"/>
          <w:lang w:val="en-US" w:eastAsia="zh-CN" w:bidi="ar-SA"/>
        </w:rPr>
        <w:t>采 购 人：贵港市第八高级中学</w:t>
      </w:r>
    </w:p>
    <w:p w14:paraId="2BF77063">
      <w:pPr>
        <w:spacing w:line="400" w:lineRule="exact"/>
        <w:jc w:val="center"/>
        <w:rPr>
          <w:rFonts w:hint="eastAsia" w:ascii="宋体" w:hAnsi="宋体" w:eastAsia="宋体" w:cs="宋体"/>
          <w:b/>
          <w:bCs/>
          <w:color w:val="000000"/>
          <w:kern w:val="2"/>
          <w:sz w:val="30"/>
          <w:szCs w:val="30"/>
          <w:highlight w:val="none"/>
          <w:lang w:val="en-US" w:eastAsia="zh-CN" w:bidi="ar-SA"/>
        </w:rPr>
      </w:pPr>
    </w:p>
    <w:p w14:paraId="11A8F6AB">
      <w:pPr>
        <w:spacing w:line="400" w:lineRule="exact"/>
        <w:ind w:firstLine="1638" w:firstLineChars="544"/>
        <w:rPr>
          <w:rFonts w:hint="eastAsia" w:ascii="宋体" w:hAnsi="宋体" w:eastAsia="宋体" w:cs="宋体"/>
          <w:b/>
          <w:bCs/>
          <w:color w:val="000000"/>
          <w:kern w:val="2"/>
          <w:sz w:val="30"/>
          <w:szCs w:val="30"/>
          <w:highlight w:val="none"/>
          <w:lang w:val="en-US" w:eastAsia="zh-CN" w:bidi="ar-SA"/>
        </w:rPr>
      </w:pPr>
      <w:r>
        <w:rPr>
          <w:rFonts w:hint="eastAsia" w:ascii="宋体" w:hAnsi="宋体" w:eastAsia="宋体" w:cs="宋体"/>
          <w:b/>
          <w:bCs/>
          <w:color w:val="000000"/>
          <w:kern w:val="2"/>
          <w:sz w:val="30"/>
          <w:szCs w:val="30"/>
          <w:highlight w:val="none"/>
          <w:lang w:val="en-US" w:eastAsia="zh-CN" w:bidi="ar-SA"/>
        </w:rPr>
        <w:t>采购代理机构：广西科联招标中心有限公司</w:t>
      </w:r>
    </w:p>
    <w:p w14:paraId="288F77DD">
      <w:pPr>
        <w:spacing w:line="400" w:lineRule="exact"/>
        <w:jc w:val="both"/>
        <w:rPr>
          <w:rFonts w:hint="eastAsia" w:ascii="宋体" w:hAnsi="宋体" w:cs="宋体"/>
          <w:b/>
          <w:color w:val="auto"/>
          <w:sz w:val="32"/>
          <w:szCs w:val="32"/>
          <w:highlight w:val="none"/>
        </w:rPr>
      </w:pPr>
    </w:p>
    <w:p w14:paraId="127600CB">
      <w:pPr>
        <w:spacing w:line="400" w:lineRule="exact"/>
        <w:jc w:val="center"/>
        <w:rPr>
          <w:rFonts w:hint="eastAsia" w:ascii="宋体" w:hAnsi="宋体" w:cs="宋体"/>
          <w:b/>
          <w:color w:val="auto"/>
          <w:sz w:val="32"/>
          <w:szCs w:val="32"/>
          <w:highlight w:val="none"/>
        </w:rPr>
      </w:pPr>
    </w:p>
    <w:p w14:paraId="49B14A4D">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202</w:t>
      </w:r>
      <w:r>
        <w:rPr>
          <w:rFonts w:hint="eastAsia" w:ascii="宋体" w:hAnsi="宋体" w:cs="宋体"/>
          <w:b/>
          <w:color w:val="auto"/>
          <w:sz w:val="32"/>
          <w:szCs w:val="32"/>
          <w:highlight w:val="none"/>
          <w:lang w:val="en-US" w:eastAsia="zh-CN"/>
        </w:rPr>
        <w:t>6</w:t>
      </w:r>
      <w:r>
        <w:rPr>
          <w:rFonts w:hint="eastAsia" w:ascii="宋体" w:hAnsi="宋体" w:cs="宋体"/>
          <w:b/>
          <w:color w:val="auto"/>
          <w:sz w:val="32"/>
          <w:szCs w:val="32"/>
          <w:highlight w:val="none"/>
        </w:rPr>
        <w:t>年</w:t>
      </w:r>
      <w:r>
        <w:rPr>
          <w:rFonts w:hint="eastAsia" w:ascii="宋体" w:hAnsi="宋体" w:cs="宋体"/>
          <w:b/>
          <w:color w:val="auto"/>
          <w:sz w:val="32"/>
          <w:szCs w:val="32"/>
          <w:highlight w:val="none"/>
          <w:lang w:val="en-US" w:eastAsia="zh-CN"/>
        </w:rPr>
        <w:t>8</w:t>
      </w:r>
      <w:r>
        <w:rPr>
          <w:rFonts w:hint="eastAsia" w:ascii="宋体" w:hAnsi="宋体" w:cs="宋体"/>
          <w:b/>
          <w:color w:val="auto"/>
          <w:sz w:val="32"/>
          <w:szCs w:val="32"/>
          <w:highlight w:val="none"/>
        </w:rPr>
        <w:t xml:space="preserve">月 </w:t>
      </w:r>
    </w:p>
    <w:p w14:paraId="4934D098">
      <w:pPr>
        <w:spacing w:line="400" w:lineRule="exact"/>
        <w:ind w:firstLine="602" w:firstLineChars="200"/>
        <w:rPr>
          <w:rFonts w:hint="eastAsia" w:ascii="宋体" w:hAnsi="宋体" w:cs="宋体"/>
          <w:b/>
          <w:color w:val="auto"/>
          <w:sz w:val="32"/>
          <w:szCs w:val="32"/>
          <w:highlight w:val="none"/>
        </w:rPr>
      </w:pPr>
      <w:r>
        <w:rPr>
          <w:rFonts w:hint="eastAsia" w:ascii="宋体" w:hAnsi="宋体" w:cs="宋体"/>
          <w:b/>
          <w:color w:val="auto"/>
          <w:sz w:val="30"/>
          <w:szCs w:val="30"/>
          <w:highlight w:val="none"/>
        </w:rPr>
        <w:br w:type="page"/>
      </w:r>
    </w:p>
    <w:p w14:paraId="3D4042CB">
      <w:pPr>
        <w:spacing w:line="360" w:lineRule="auto"/>
        <w:jc w:val="center"/>
        <w:rPr>
          <w:rFonts w:hint="eastAsia" w:ascii="宋体" w:hAnsi="宋体" w:cs="宋体"/>
          <w:b/>
          <w:color w:val="auto"/>
          <w:sz w:val="44"/>
          <w:szCs w:val="44"/>
          <w:highlight w:val="none"/>
        </w:rPr>
      </w:pPr>
    </w:p>
    <w:p w14:paraId="7BEE52A6">
      <w:pPr>
        <w:spacing w:line="360" w:lineRule="auto"/>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目   录</w:t>
      </w:r>
    </w:p>
    <w:p w14:paraId="4D2E130D">
      <w:pPr>
        <w:spacing w:line="400" w:lineRule="exact"/>
        <w:jc w:val="center"/>
        <w:rPr>
          <w:rFonts w:hint="eastAsia" w:ascii="宋体" w:hAnsi="宋体" w:cs="宋体"/>
          <w:b/>
          <w:color w:val="auto"/>
          <w:sz w:val="44"/>
          <w:szCs w:val="44"/>
          <w:highlight w:val="none"/>
        </w:rPr>
      </w:pPr>
    </w:p>
    <w:p w14:paraId="526AC81C">
      <w:pPr>
        <w:pStyle w:val="15"/>
        <w:tabs>
          <w:tab w:val="right" w:leader="dot" w:pos="9638"/>
          <w:tab w:val="clear" w:pos="8296"/>
        </w:tabs>
        <w:spacing w:line="360" w:lineRule="auto"/>
        <w:rPr>
          <w:color w:val="auto"/>
          <w:sz w:val="30"/>
          <w:szCs w:val="30"/>
          <w:highlight w:val="none"/>
        </w:rPr>
      </w:pPr>
      <w:r>
        <w:rPr>
          <w:rFonts w:hint="eastAsia" w:ascii="宋体" w:hAnsi="宋体" w:cs="宋体"/>
          <w:b/>
          <w:color w:val="auto"/>
          <w:sz w:val="30"/>
          <w:szCs w:val="30"/>
          <w:highlight w:val="none"/>
        </w:rPr>
        <w:fldChar w:fldCharType="begin"/>
      </w:r>
      <w:r>
        <w:rPr>
          <w:rFonts w:hint="eastAsia" w:ascii="宋体" w:hAnsi="宋体" w:cs="宋体"/>
          <w:b/>
          <w:color w:val="auto"/>
          <w:sz w:val="30"/>
          <w:szCs w:val="30"/>
          <w:highlight w:val="none"/>
        </w:rPr>
        <w:instrText xml:space="preserve"> TOC \o "1-3" \h \z \u </w:instrText>
      </w:r>
      <w:r>
        <w:rPr>
          <w:rFonts w:hint="eastAsia" w:ascii="宋体" w:hAnsi="宋体" w:cs="宋体"/>
          <w:b/>
          <w:color w:val="auto"/>
          <w:sz w:val="30"/>
          <w:szCs w:val="30"/>
          <w:highlight w:val="none"/>
        </w:rPr>
        <w:fldChar w:fldCharType="separate"/>
      </w:r>
      <w:r>
        <w:rPr>
          <w:rFonts w:hint="eastAsia" w:ascii="宋体" w:hAnsi="宋体" w:cs="宋体"/>
          <w:color w:val="auto"/>
          <w:sz w:val="30"/>
          <w:szCs w:val="30"/>
          <w:highlight w:val="none"/>
        </w:rPr>
        <w:fldChar w:fldCharType="begin"/>
      </w:r>
      <w:r>
        <w:rPr>
          <w:rFonts w:hint="eastAsia" w:ascii="宋体" w:hAnsi="宋体" w:cs="宋体"/>
          <w:color w:val="auto"/>
          <w:sz w:val="30"/>
          <w:szCs w:val="30"/>
          <w:highlight w:val="none"/>
        </w:rPr>
        <w:instrText xml:space="preserve"> HYPERLINK \l _Toc12454 </w:instrText>
      </w:r>
      <w:r>
        <w:rPr>
          <w:rFonts w:hint="eastAsia" w:ascii="宋体" w:hAnsi="宋体" w:cs="宋体"/>
          <w:color w:val="auto"/>
          <w:sz w:val="30"/>
          <w:szCs w:val="30"/>
          <w:highlight w:val="none"/>
        </w:rPr>
        <w:fldChar w:fldCharType="separate"/>
      </w:r>
      <w:r>
        <w:rPr>
          <w:rFonts w:hint="eastAsia" w:ascii="宋体" w:hAnsi="宋体" w:cs="宋体"/>
          <w:color w:val="auto"/>
          <w:sz w:val="30"/>
          <w:szCs w:val="30"/>
          <w:highlight w:val="none"/>
        </w:rPr>
        <w:t>第一章 竞争性磋商公告</w:t>
      </w:r>
      <w:r>
        <w:rPr>
          <w:color w:val="auto"/>
          <w:sz w:val="30"/>
          <w:szCs w:val="30"/>
          <w:highlight w:val="none"/>
        </w:rPr>
        <w:tab/>
      </w:r>
      <w:r>
        <w:rPr>
          <w:color w:val="auto"/>
          <w:sz w:val="30"/>
          <w:szCs w:val="30"/>
          <w:highlight w:val="none"/>
        </w:rPr>
        <w:fldChar w:fldCharType="begin"/>
      </w:r>
      <w:r>
        <w:rPr>
          <w:color w:val="auto"/>
          <w:sz w:val="30"/>
          <w:szCs w:val="30"/>
          <w:highlight w:val="none"/>
        </w:rPr>
        <w:instrText xml:space="preserve"> PAGEREF _Toc12454 \h </w:instrText>
      </w:r>
      <w:r>
        <w:rPr>
          <w:color w:val="auto"/>
          <w:sz w:val="30"/>
          <w:szCs w:val="30"/>
          <w:highlight w:val="none"/>
        </w:rPr>
        <w:fldChar w:fldCharType="separate"/>
      </w:r>
      <w:r>
        <w:rPr>
          <w:color w:val="auto"/>
          <w:sz w:val="30"/>
          <w:szCs w:val="30"/>
          <w:highlight w:val="none"/>
        </w:rPr>
        <w:t>1</w:t>
      </w:r>
      <w:r>
        <w:rPr>
          <w:color w:val="auto"/>
          <w:sz w:val="30"/>
          <w:szCs w:val="30"/>
          <w:highlight w:val="none"/>
        </w:rPr>
        <w:fldChar w:fldCharType="end"/>
      </w:r>
      <w:r>
        <w:rPr>
          <w:rFonts w:hint="eastAsia" w:ascii="宋体" w:hAnsi="宋体" w:cs="宋体"/>
          <w:color w:val="auto"/>
          <w:sz w:val="30"/>
          <w:szCs w:val="30"/>
          <w:highlight w:val="none"/>
        </w:rPr>
        <w:fldChar w:fldCharType="end"/>
      </w:r>
    </w:p>
    <w:p w14:paraId="5557FA91">
      <w:pPr>
        <w:pStyle w:val="15"/>
        <w:tabs>
          <w:tab w:val="right" w:leader="dot" w:pos="9638"/>
          <w:tab w:val="clear" w:pos="8296"/>
        </w:tabs>
        <w:spacing w:line="360" w:lineRule="auto"/>
        <w:rPr>
          <w:color w:val="auto"/>
          <w:sz w:val="30"/>
          <w:szCs w:val="30"/>
          <w:highlight w:val="none"/>
        </w:rPr>
      </w:pPr>
      <w:r>
        <w:rPr>
          <w:rFonts w:hint="eastAsia" w:ascii="宋体" w:hAnsi="宋体" w:cs="宋体"/>
          <w:color w:val="auto"/>
          <w:sz w:val="30"/>
          <w:szCs w:val="30"/>
          <w:highlight w:val="none"/>
        </w:rPr>
        <w:fldChar w:fldCharType="begin"/>
      </w:r>
      <w:r>
        <w:rPr>
          <w:rFonts w:hint="eastAsia" w:ascii="宋体" w:hAnsi="宋体" w:cs="宋体"/>
          <w:color w:val="auto"/>
          <w:sz w:val="30"/>
          <w:szCs w:val="30"/>
          <w:highlight w:val="none"/>
        </w:rPr>
        <w:instrText xml:space="preserve"> HYPERLINK \l _Toc18376 </w:instrText>
      </w:r>
      <w:r>
        <w:rPr>
          <w:rFonts w:hint="eastAsia" w:ascii="宋体" w:hAnsi="宋体" w:cs="宋体"/>
          <w:color w:val="auto"/>
          <w:sz w:val="30"/>
          <w:szCs w:val="30"/>
          <w:highlight w:val="none"/>
        </w:rPr>
        <w:fldChar w:fldCharType="separate"/>
      </w:r>
      <w:r>
        <w:rPr>
          <w:rFonts w:hint="eastAsia" w:ascii="宋体" w:hAnsi="宋体" w:cs="宋体"/>
          <w:color w:val="auto"/>
          <w:sz w:val="30"/>
          <w:szCs w:val="30"/>
          <w:highlight w:val="none"/>
        </w:rPr>
        <w:t>第二章 供应商须知</w:t>
      </w:r>
      <w:r>
        <w:rPr>
          <w:color w:val="auto"/>
          <w:sz w:val="30"/>
          <w:szCs w:val="30"/>
          <w:highlight w:val="none"/>
        </w:rPr>
        <w:tab/>
      </w:r>
      <w:r>
        <w:rPr>
          <w:color w:val="auto"/>
          <w:sz w:val="30"/>
          <w:szCs w:val="30"/>
          <w:highlight w:val="none"/>
        </w:rPr>
        <w:fldChar w:fldCharType="begin"/>
      </w:r>
      <w:r>
        <w:rPr>
          <w:color w:val="auto"/>
          <w:sz w:val="30"/>
          <w:szCs w:val="30"/>
          <w:highlight w:val="none"/>
        </w:rPr>
        <w:instrText xml:space="preserve"> PAGEREF _Toc18376 \h </w:instrText>
      </w:r>
      <w:r>
        <w:rPr>
          <w:color w:val="auto"/>
          <w:sz w:val="30"/>
          <w:szCs w:val="30"/>
          <w:highlight w:val="none"/>
        </w:rPr>
        <w:fldChar w:fldCharType="separate"/>
      </w:r>
      <w:r>
        <w:rPr>
          <w:color w:val="auto"/>
          <w:sz w:val="30"/>
          <w:szCs w:val="30"/>
          <w:highlight w:val="none"/>
        </w:rPr>
        <w:t>5</w:t>
      </w:r>
      <w:r>
        <w:rPr>
          <w:color w:val="auto"/>
          <w:sz w:val="30"/>
          <w:szCs w:val="30"/>
          <w:highlight w:val="none"/>
        </w:rPr>
        <w:fldChar w:fldCharType="end"/>
      </w:r>
      <w:r>
        <w:rPr>
          <w:rFonts w:hint="eastAsia" w:ascii="宋体" w:hAnsi="宋体" w:cs="宋体"/>
          <w:color w:val="auto"/>
          <w:sz w:val="30"/>
          <w:szCs w:val="30"/>
          <w:highlight w:val="none"/>
        </w:rPr>
        <w:fldChar w:fldCharType="end"/>
      </w:r>
    </w:p>
    <w:p w14:paraId="7A07453F">
      <w:pPr>
        <w:pStyle w:val="15"/>
        <w:tabs>
          <w:tab w:val="right" w:leader="dot" w:pos="9638"/>
          <w:tab w:val="clear" w:pos="8296"/>
        </w:tabs>
        <w:spacing w:line="360" w:lineRule="auto"/>
        <w:rPr>
          <w:color w:val="auto"/>
          <w:sz w:val="30"/>
          <w:szCs w:val="30"/>
          <w:highlight w:val="none"/>
        </w:rPr>
      </w:pPr>
      <w:r>
        <w:rPr>
          <w:rFonts w:hint="eastAsia" w:ascii="宋体" w:hAnsi="宋体" w:cs="宋体"/>
          <w:color w:val="auto"/>
          <w:sz w:val="30"/>
          <w:szCs w:val="30"/>
          <w:highlight w:val="none"/>
        </w:rPr>
        <w:fldChar w:fldCharType="begin"/>
      </w:r>
      <w:r>
        <w:rPr>
          <w:rFonts w:hint="eastAsia" w:ascii="宋体" w:hAnsi="宋体" w:cs="宋体"/>
          <w:color w:val="auto"/>
          <w:sz w:val="30"/>
          <w:szCs w:val="30"/>
          <w:highlight w:val="none"/>
        </w:rPr>
        <w:instrText xml:space="preserve"> HYPERLINK \l _Toc22008 </w:instrText>
      </w:r>
      <w:r>
        <w:rPr>
          <w:rFonts w:hint="eastAsia" w:ascii="宋体" w:hAnsi="宋体" w:cs="宋体"/>
          <w:color w:val="auto"/>
          <w:sz w:val="30"/>
          <w:szCs w:val="30"/>
          <w:highlight w:val="none"/>
        </w:rPr>
        <w:fldChar w:fldCharType="separate"/>
      </w:r>
      <w:r>
        <w:rPr>
          <w:rFonts w:hint="eastAsia" w:ascii="宋体" w:hAnsi="宋体" w:cs="宋体"/>
          <w:color w:val="auto"/>
          <w:sz w:val="30"/>
          <w:szCs w:val="30"/>
          <w:highlight w:val="none"/>
        </w:rPr>
        <w:t>第三章 采购需求（所属行业：批发业）</w:t>
      </w:r>
      <w:r>
        <w:rPr>
          <w:color w:val="auto"/>
          <w:sz w:val="30"/>
          <w:szCs w:val="30"/>
          <w:highlight w:val="none"/>
        </w:rPr>
        <w:tab/>
      </w:r>
      <w:r>
        <w:rPr>
          <w:color w:val="auto"/>
          <w:sz w:val="30"/>
          <w:szCs w:val="30"/>
          <w:highlight w:val="none"/>
        </w:rPr>
        <w:fldChar w:fldCharType="begin"/>
      </w:r>
      <w:r>
        <w:rPr>
          <w:color w:val="auto"/>
          <w:sz w:val="30"/>
          <w:szCs w:val="30"/>
          <w:highlight w:val="none"/>
        </w:rPr>
        <w:instrText xml:space="preserve"> PAGEREF _Toc22008 \h </w:instrText>
      </w:r>
      <w:r>
        <w:rPr>
          <w:color w:val="auto"/>
          <w:sz w:val="30"/>
          <w:szCs w:val="30"/>
          <w:highlight w:val="none"/>
        </w:rPr>
        <w:fldChar w:fldCharType="separate"/>
      </w:r>
      <w:r>
        <w:rPr>
          <w:color w:val="auto"/>
          <w:sz w:val="30"/>
          <w:szCs w:val="30"/>
          <w:highlight w:val="none"/>
        </w:rPr>
        <w:t>22</w:t>
      </w:r>
      <w:r>
        <w:rPr>
          <w:color w:val="auto"/>
          <w:sz w:val="30"/>
          <w:szCs w:val="30"/>
          <w:highlight w:val="none"/>
        </w:rPr>
        <w:fldChar w:fldCharType="end"/>
      </w:r>
      <w:r>
        <w:rPr>
          <w:rFonts w:hint="eastAsia" w:ascii="宋体" w:hAnsi="宋体" w:cs="宋体"/>
          <w:color w:val="auto"/>
          <w:sz w:val="30"/>
          <w:szCs w:val="30"/>
          <w:highlight w:val="none"/>
        </w:rPr>
        <w:fldChar w:fldCharType="end"/>
      </w:r>
    </w:p>
    <w:p w14:paraId="4D14C9DC">
      <w:pPr>
        <w:pStyle w:val="15"/>
        <w:tabs>
          <w:tab w:val="right" w:leader="dot" w:pos="9638"/>
          <w:tab w:val="clear" w:pos="8296"/>
        </w:tabs>
        <w:spacing w:line="360" w:lineRule="auto"/>
        <w:rPr>
          <w:color w:val="auto"/>
          <w:sz w:val="30"/>
          <w:szCs w:val="30"/>
          <w:highlight w:val="none"/>
        </w:rPr>
      </w:pPr>
      <w:r>
        <w:rPr>
          <w:rFonts w:hint="eastAsia" w:ascii="宋体" w:hAnsi="宋体" w:cs="宋体"/>
          <w:color w:val="auto"/>
          <w:sz w:val="30"/>
          <w:szCs w:val="30"/>
          <w:highlight w:val="none"/>
        </w:rPr>
        <w:fldChar w:fldCharType="begin"/>
      </w:r>
      <w:r>
        <w:rPr>
          <w:rFonts w:hint="eastAsia" w:ascii="宋体" w:hAnsi="宋体" w:cs="宋体"/>
          <w:color w:val="auto"/>
          <w:sz w:val="30"/>
          <w:szCs w:val="30"/>
          <w:highlight w:val="none"/>
        </w:rPr>
        <w:instrText xml:space="preserve"> HYPERLINK \l _Toc9650 </w:instrText>
      </w:r>
      <w:r>
        <w:rPr>
          <w:rFonts w:hint="eastAsia" w:ascii="宋体" w:hAnsi="宋体" w:cs="宋体"/>
          <w:color w:val="auto"/>
          <w:sz w:val="30"/>
          <w:szCs w:val="30"/>
          <w:highlight w:val="none"/>
        </w:rPr>
        <w:fldChar w:fldCharType="separate"/>
      </w:r>
      <w:r>
        <w:rPr>
          <w:rFonts w:hint="eastAsia" w:ascii="宋体" w:hAnsi="宋体" w:cs="宋体"/>
          <w:color w:val="auto"/>
          <w:sz w:val="30"/>
          <w:szCs w:val="30"/>
          <w:highlight w:val="none"/>
        </w:rPr>
        <w:t>第四章 评审程序、评审方法和评审标准</w:t>
      </w:r>
      <w:r>
        <w:rPr>
          <w:color w:val="auto"/>
          <w:sz w:val="30"/>
          <w:szCs w:val="30"/>
          <w:highlight w:val="none"/>
        </w:rPr>
        <w:tab/>
      </w:r>
      <w:r>
        <w:rPr>
          <w:color w:val="auto"/>
          <w:sz w:val="30"/>
          <w:szCs w:val="30"/>
          <w:highlight w:val="none"/>
        </w:rPr>
        <w:fldChar w:fldCharType="begin"/>
      </w:r>
      <w:r>
        <w:rPr>
          <w:color w:val="auto"/>
          <w:sz w:val="30"/>
          <w:szCs w:val="30"/>
          <w:highlight w:val="none"/>
        </w:rPr>
        <w:instrText xml:space="preserve"> PAGEREF _Toc9650 \h </w:instrText>
      </w:r>
      <w:r>
        <w:rPr>
          <w:color w:val="auto"/>
          <w:sz w:val="30"/>
          <w:szCs w:val="30"/>
          <w:highlight w:val="none"/>
        </w:rPr>
        <w:fldChar w:fldCharType="separate"/>
      </w:r>
      <w:r>
        <w:rPr>
          <w:color w:val="auto"/>
          <w:sz w:val="30"/>
          <w:szCs w:val="30"/>
          <w:highlight w:val="none"/>
        </w:rPr>
        <w:t>32</w:t>
      </w:r>
      <w:r>
        <w:rPr>
          <w:color w:val="auto"/>
          <w:sz w:val="30"/>
          <w:szCs w:val="30"/>
          <w:highlight w:val="none"/>
        </w:rPr>
        <w:fldChar w:fldCharType="end"/>
      </w:r>
      <w:r>
        <w:rPr>
          <w:rFonts w:hint="eastAsia" w:ascii="宋体" w:hAnsi="宋体" w:cs="宋体"/>
          <w:color w:val="auto"/>
          <w:sz w:val="30"/>
          <w:szCs w:val="30"/>
          <w:highlight w:val="none"/>
        </w:rPr>
        <w:fldChar w:fldCharType="end"/>
      </w:r>
    </w:p>
    <w:p w14:paraId="758FC18B">
      <w:pPr>
        <w:pStyle w:val="15"/>
        <w:tabs>
          <w:tab w:val="right" w:leader="dot" w:pos="9638"/>
          <w:tab w:val="clear" w:pos="8296"/>
        </w:tabs>
        <w:spacing w:line="360" w:lineRule="auto"/>
        <w:rPr>
          <w:color w:val="auto"/>
          <w:sz w:val="30"/>
          <w:szCs w:val="30"/>
          <w:highlight w:val="none"/>
        </w:rPr>
      </w:pPr>
      <w:r>
        <w:rPr>
          <w:rFonts w:hint="eastAsia" w:ascii="宋体" w:hAnsi="宋体" w:cs="宋体"/>
          <w:color w:val="auto"/>
          <w:sz w:val="30"/>
          <w:szCs w:val="30"/>
          <w:highlight w:val="none"/>
        </w:rPr>
        <w:fldChar w:fldCharType="begin"/>
      </w:r>
      <w:r>
        <w:rPr>
          <w:rFonts w:hint="eastAsia" w:ascii="宋体" w:hAnsi="宋体" w:cs="宋体"/>
          <w:color w:val="auto"/>
          <w:sz w:val="30"/>
          <w:szCs w:val="30"/>
          <w:highlight w:val="none"/>
        </w:rPr>
        <w:instrText xml:space="preserve"> HYPERLINK \l _Toc28623 </w:instrText>
      </w:r>
      <w:r>
        <w:rPr>
          <w:rFonts w:hint="eastAsia" w:ascii="宋体" w:hAnsi="宋体" w:cs="宋体"/>
          <w:color w:val="auto"/>
          <w:sz w:val="30"/>
          <w:szCs w:val="30"/>
          <w:highlight w:val="none"/>
        </w:rPr>
        <w:fldChar w:fldCharType="separate"/>
      </w:r>
      <w:r>
        <w:rPr>
          <w:rFonts w:hint="eastAsia" w:ascii="宋体" w:hAnsi="宋体" w:cs="宋体"/>
          <w:color w:val="auto"/>
          <w:sz w:val="30"/>
          <w:szCs w:val="30"/>
          <w:highlight w:val="none"/>
        </w:rPr>
        <w:t>第五章 响应文件格式</w:t>
      </w:r>
      <w:r>
        <w:rPr>
          <w:color w:val="auto"/>
          <w:sz w:val="30"/>
          <w:szCs w:val="30"/>
          <w:highlight w:val="none"/>
        </w:rPr>
        <w:tab/>
      </w:r>
      <w:r>
        <w:rPr>
          <w:color w:val="auto"/>
          <w:sz w:val="30"/>
          <w:szCs w:val="30"/>
          <w:highlight w:val="none"/>
        </w:rPr>
        <w:fldChar w:fldCharType="begin"/>
      </w:r>
      <w:r>
        <w:rPr>
          <w:color w:val="auto"/>
          <w:sz w:val="30"/>
          <w:szCs w:val="30"/>
          <w:highlight w:val="none"/>
        </w:rPr>
        <w:instrText xml:space="preserve"> PAGEREF _Toc28623 \h </w:instrText>
      </w:r>
      <w:r>
        <w:rPr>
          <w:color w:val="auto"/>
          <w:sz w:val="30"/>
          <w:szCs w:val="30"/>
          <w:highlight w:val="none"/>
        </w:rPr>
        <w:fldChar w:fldCharType="separate"/>
      </w:r>
      <w:r>
        <w:rPr>
          <w:color w:val="auto"/>
          <w:sz w:val="30"/>
          <w:szCs w:val="30"/>
          <w:highlight w:val="none"/>
        </w:rPr>
        <w:t>43</w:t>
      </w:r>
      <w:r>
        <w:rPr>
          <w:color w:val="auto"/>
          <w:sz w:val="30"/>
          <w:szCs w:val="30"/>
          <w:highlight w:val="none"/>
        </w:rPr>
        <w:fldChar w:fldCharType="end"/>
      </w:r>
      <w:r>
        <w:rPr>
          <w:rFonts w:hint="eastAsia" w:ascii="宋体" w:hAnsi="宋体" w:cs="宋体"/>
          <w:color w:val="auto"/>
          <w:sz w:val="30"/>
          <w:szCs w:val="30"/>
          <w:highlight w:val="none"/>
        </w:rPr>
        <w:fldChar w:fldCharType="end"/>
      </w:r>
    </w:p>
    <w:p w14:paraId="594782EB">
      <w:pPr>
        <w:pStyle w:val="15"/>
        <w:tabs>
          <w:tab w:val="right" w:leader="dot" w:pos="9638"/>
          <w:tab w:val="clear" w:pos="8296"/>
        </w:tabs>
        <w:spacing w:line="360" w:lineRule="auto"/>
        <w:rPr>
          <w:color w:val="auto"/>
          <w:sz w:val="30"/>
          <w:szCs w:val="30"/>
          <w:highlight w:val="none"/>
        </w:rPr>
      </w:pPr>
      <w:r>
        <w:rPr>
          <w:rFonts w:hint="eastAsia" w:ascii="宋体" w:hAnsi="宋体" w:cs="宋体"/>
          <w:color w:val="auto"/>
          <w:sz w:val="30"/>
          <w:szCs w:val="30"/>
          <w:highlight w:val="none"/>
        </w:rPr>
        <w:fldChar w:fldCharType="begin"/>
      </w:r>
      <w:r>
        <w:rPr>
          <w:rFonts w:hint="eastAsia" w:ascii="宋体" w:hAnsi="宋体" w:cs="宋体"/>
          <w:color w:val="auto"/>
          <w:sz w:val="30"/>
          <w:szCs w:val="30"/>
          <w:highlight w:val="none"/>
        </w:rPr>
        <w:instrText xml:space="preserve"> HYPERLINK \l _Toc11528 </w:instrText>
      </w:r>
      <w:r>
        <w:rPr>
          <w:rFonts w:hint="eastAsia" w:ascii="宋体" w:hAnsi="宋体" w:cs="宋体"/>
          <w:color w:val="auto"/>
          <w:sz w:val="30"/>
          <w:szCs w:val="30"/>
          <w:highlight w:val="none"/>
        </w:rPr>
        <w:fldChar w:fldCharType="separate"/>
      </w:r>
      <w:r>
        <w:rPr>
          <w:rFonts w:hint="eastAsia" w:ascii="宋体" w:hAnsi="宋体" w:cs="宋体"/>
          <w:color w:val="auto"/>
          <w:sz w:val="30"/>
          <w:szCs w:val="30"/>
          <w:highlight w:val="none"/>
        </w:rPr>
        <w:t>第六章 合同文本</w:t>
      </w:r>
      <w:r>
        <w:rPr>
          <w:color w:val="auto"/>
          <w:sz w:val="30"/>
          <w:szCs w:val="30"/>
          <w:highlight w:val="none"/>
        </w:rPr>
        <w:tab/>
      </w:r>
      <w:r>
        <w:rPr>
          <w:color w:val="auto"/>
          <w:sz w:val="30"/>
          <w:szCs w:val="30"/>
          <w:highlight w:val="none"/>
        </w:rPr>
        <w:fldChar w:fldCharType="begin"/>
      </w:r>
      <w:r>
        <w:rPr>
          <w:color w:val="auto"/>
          <w:sz w:val="30"/>
          <w:szCs w:val="30"/>
          <w:highlight w:val="none"/>
        </w:rPr>
        <w:instrText xml:space="preserve"> PAGEREF _Toc11528 \h </w:instrText>
      </w:r>
      <w:r>
        <w:rPr>
          <w:color w:val="auto"/>
          <w:sz w:val="30"/>
          <w:szCs w:val="30"/>
          <w:highlight w:val="none"/>
        </w:rPr>
        <w:fldChar w:fldCharType="separate"/>
      </w:r>
      <w:r>
        <w:rPr>
          <w:color w:val="auto"/>
          <w:sz w:val="30"/>
          <w:szCs w:val="30"/>
          <w:highlight w:val="none"/>
        </w:rPr>
        <w:t>69</w:t>
      </w:r>
      <w:r>
        <w:rPr>
          <w:color w:val="auto"/>
          <w:sz w:val="30"/>
          <w:szCs w:val="30"/>
          <w:highlight w:val="none"/>
        </w:rPr>
        <w:fldChar w:fldCharType="end"/>
      </w:r>
      <w:r>
        <w:rPr>
          <w:rFonts w:hint="eastAsia" w:ascii="宋体" w:hAnsi="宋体" w:cs="宋体"/>
          <w:color w:val="auto"/>
          <w:sz w:val="30"/>
          <w:szCs w:val="30"/>
          <w:highlight w:val="none"/>
        </w:rPr>
        <w:fldChar w:fldCharType="end"/>
      </w:r>
    </w:p>
    <w:p w14:paraId="222AE459">
      <w:pPr>
        <w:pStyle w:val="15"/>
        <w:spacing w:line="360" w:lineRule="auto"/>
        <w:rPr>
          <w:rFonts w:hint="eastAsia" w:ascii="宋体" w:hAnsi="宋体" w:cs="宋体"/>
          <w:color w:val="auto"/>
          <w:sz w:val="30"/>
          <w:szCs w:val="30"/>
          <w:highlight w:val="none"/>
        </w:rPr>
      </w:pPr>
      <w:r>
        <w:rPr>
          <w:rFonts w:hint="eastAsia" w:ascii="宋体" w:hAnsi="宋体" w:cs="宋体"/>
          <w:color w:val="auto"/>
          <w:sz w:val="30"/>
          <w:szCs w:val="30"/>
          <w:highlight w:val="none"/>
        </w:rPr>
        <w:fldChar w:fldCharType="end"/>
      </w:r>
    </w:p>
    <w:p w14:paraId="752E8354">
      <w:pPr>
        <w:spacing w:line="400" w:lineRule="exact"/>
        <w:jc w:val="left"/>
        <w:rPr>
          <w:rFonts w:hint="eastAsia" w:ascii="宋体" w:hAnsi="宋体" w:cs="宋体"/>
          <w:b/>
          <w:color w:val="auto"/>
          <w:sz w:val="32"/>
          <w:szCs w:val="32"/>
          <w:highlight w:val="none"/>
        </w:rPr>
      </w:pPr>
    </w:p>
    <w:p w14:paraId="194DBAB7">
      <w:pPr>
        <w:pStyle w:val="18"/>
        <w:rPr>
          <w:rFonts w:hint="eastAsia"/>
          <w:color w:val="auto"/>
          <w:highlight w:val="none"/>
        </w:rPr>
      </w:pPr>
    </w:p>
    <w:p w14:paraId="6E593D08">
      <w:pPr>
        <w:spacing w:line="400" w:lineRule="exact"/>
        <w:jc w:val="center"/>
        <w:rPr>
          <w:rFonts w:hint="eastAsia" w:ascii="宋体" w:hAnsi="宋体" w:cs="宋体"/>
          <w:b/>
          <w:color w:val="auto"/>
          <w:sz w:val="32"/>
          <w:szCs w:val="32"/>
          <w:highlight w:val="none"/>
        </w:rPr>
      </w:pPr>
    </w:p>
    <w:p w14:paraId="27D7B4CF">
      <w:pPr>
        <w:spacing w:line="400" w:lineRule="exact"/>
        <w:jc w:val="center"/>
        <w:rPr>
          <w:rFonts w:hint="eastAsia" w:ascii="宋体" w:hAnsi="宋体" w:cs="宋体"/>
          <w:b/>
          <w:color w:val="auto"/>
          <w:sz w:val="32"/>
          <w:szCs w:val="32"/>
          <w:highlight w:val="none"/>
        </w:rPr>
      </w:pPr>
    </w:p>
    <w:p w14:paraId="66C58EF8">
      <w:pPr>
        <w:spacing w:line="400" w:lineRule="exact"/>
        <w:jc w:val="center"/>
        <w:rPr>
          <w:rFonts w:hint="eastAsia" w:ascii="宋体" w:hAnsi="宋体" w:cs="宋体"/>
          <w:b/>
          <w:color w:val="auto"/>
          <w:sz w:val="32"/>
          <w:szCs w:val="32"/>
          <w:highlight w:val="none"/>
        </w:rPr>
      </w:pPr>
    </w:p>
    <w:p w14:paraId="4909D8AC">
      <w:pPr>
        <w:spacing w:line="400" w:lineRule="exact"/>
        <w:jc w:val="center"/>
        <w:rPr>
          <w:rFonts w:hint="eastAsia" w:ascii="宋体" w:hAnsi="宋体" w:cs="宋体"/>
          <w:b/>
          <w:color w:val="auto"/>
          <w:sz w:val="32"/>
          <w:szCs w:val="32"/>
          <w:highlight w:val="none"/>
        </w:rPr>
      </w:pPr>
    </w:p>
    <w:p w14:paraId="003A8A2B">
      <w:pPr>
        <w:spacing w:line="400" w:lineRule="exact"/>
        <w:jc w:val="center"/>
        <w:rPr>
          <w:rFonts w:hint="eastAsia" w:ascii="宋体" w:hAnsi="宋体" w:cs="宋体"/>
          <w:b/>
          <w:color w:val="auto"/>
          <w:sz w:val="32"/>
          <w:szCs w:val="32"/>
          <w:highlight w:val="none"/>
        </w:rPr>
      </w:pPr>
    </w:p>
    <w:p w14:paraId="0423699A">
      <w:pPr>
        <w:spacing w:line="400" w:lineRule="exact"/>
        <w:jc w:val="center"/>
        <w:rPr>
          <w:rFonts w:hint="eastAsia" w:ascii="宋体" w:hAnsi="宋体" w:cs="宋体"/>
          <w:b/>
          <w:color w:val="auto"/>
          <w:sz w:val="32"/>
          <w:szCs w:val="32"/>
          <w:highlight w:val="none"/>
        </w:rPr>
      </w:pPr>
    </w:p>
    <w:p w14:paraId="22EFBE3C">
      <w:pPr>
        <w:spacing w:line="400" w:lineRule="exact"/>
        <w:jc w:val="center"/>
        <w:rPr>
          <w:rFonts w:hint="eastAsia" w:ascii="宋体" w:hAnsi="宋体" w:cs="宋体"/>
          <w:b/>
          <w:color w:val="auto"/>
          <w:sz w:val="32"/>
          <w:szCs w:val="32"/>
          <w:highlight w:val="none"/>
        </w:rPr>
      </w:pPr>
    </w:p>
    <w:p w14:paraId="08E736E7">
      <w:pPr>
        <w:spacing w:line="400" w:lineRule="exact"/>
        <w:jc w:val="center"/>
        <w:rPr>
          <w:rFonts w:hint="eastAsia" w:ascii="宋体" w:hAnsi="宋体" w:cs="宋体"/>
          <w:b/>
          <w:color w:val="auto"/>
          <w:sz w:val="32"/>
          <w:szCs w:val="32"/>
          <w:highlight w:val="none"/>
        </w:rPr>
      </w:pPr>
    </w:p>
    <w:p w14:paraId="75016228">
      <w:pPr>
        <w:spacing w:line="400" w:lineRule="exact"/>
        <w:jc w:val="center"/>
        <w:rPr>
          <w:rFonts w:hint="eastAsia" w:ascii="宋体" w:hAnsi="宋体" w:cs="宋体"/>
          <w:b/>
          <w:color w:val="auto"/>
          <w:sz w:val="32"/>
          <w:szCs w:val="32"/>
          <w:highlight w:val="none"/>
        </w:rPr>
      </w:pPr>
    </w:p>
    <w:p w14:paraId="06415A63">
      <w:pPr>
        <w:spacing w:line="400" w:lineRule="exact"/>
        <w:jc w:val="center"/>
        <w:rPr>
          <w:rFonts w:hint="eastAsia" w:ascii="宋体" w:hAnsi="宋体" w:cs="宋体"/>
          <w:b/>
          <w:color w:val="auto"/>
          <w:sz w:val="32"/>
          <w:szCs w:val="32"/>
          <w:highlight w:val="none"/>
        </w:rPr>
      </w:pPr>
    </w:p>
    <w:p w14:paraId="6E33A62B">
      <w:pPr>
        <w:spacing w:line="400" w:lineRule="exact"/>
        <w:jc w:val="center"/>
        <w:rPr>
          <w:rFonts w:hint="eastAsia" w:ascii="宋体" w:hAnsi="宋体" w:cs="宋体"/>
          <w:b/>
          <w:color w:val="auto"/>
          <w:sz w:val="32"/>
          <w:szCs w:val="32"/>
          <w:highlight w:val="none"/>
        </w:rPr>
      </w:pPr>
    </w:p>
    <w:p w14:paraId="0B2BC5AA">
      <w:pPr>
        <w:spacing w:line="400" w:lineRule="exact"/>
        <w:jc w:val="center"/>
        <w:rPr>
          <w:rFonts w:hint="eastAsia" w:ascii="宋体" w:hAnsi="宋体" w:cs="宋体"/>
          <w:b/>
          <w:color w:val="auto"/>
          <w:sz w:val="32"/>
          <w:szCs w:val="32"/>
          <w:highlight w:val="none"/>
        </w:rPr>
      </w:pPr>
    </w:p>
    <w:p w14:paraId="1D404F8A">
      <w:pPr>
        <w:spacing w:line="400" w:lineRule="exact"/>
        <w:jc w:val="center"/>
        <w:rPr>
          <w:rFonts w:hint="eastAsia" w:ascii="宋体" w:hAnsi="宋体" w:cs="宋体"/>
          <w:b/>
          <w:color w:val="auto"/>
          <w:sz w:val="32"/>
          <w:szCs w:val="32"/>
          <w:highlight w:val="none"/>
        </w:rPr>
      </w:pPr>
    </w:p>
    <w:p w14:paraId="40945E98">
      <w:pPr>
        <w:spacing w:line="400" w:lineRule="exact"/>
        <w:jc w:val="center"/>
        <w:rPr>
          <w:rFonts w:hint="eastAsia" w:ascii="宋体" w:hAnsi="宋体" w:cs="宋体"/>
          <w:b/>
          <w:color w:val="auto"/>
          <w:sz w:val="32"/>
          <w:szCs w:val="32"/>
          <w:highlight w:val="none"/>
        </w:rPr>
      </w:pPr>
    </w:p>
    <w:p w14:paraId="550447DC">
      <w:pPr>
        <w:spacing w:line="400" w:lineRule="exact"/>
        <w:jc w:val="center"/>
        <w:rPr>
          <w:rFonts w:hint="eastAsia" w:ascii="宋体" w:hAnsi="宋体" w:cs="宋体"/>
          <w:b/>
          <w:color w:val="auto"/>
          <w:sz w:val="32"/>
          <w:szCs w:val="32"/>
          <w:highlight w:val="none"/>
        </w:rPr>
      </w:pPr>
    </w:p>
    <w:p w14:paraId="02E2ACC0">
      <w:pPr>
        <w:spacing w:line="400" w:lineRule="exact"/>
        <w:rPr>
          <w:rFonts w:hint="eastAsia" w:ascii="宋体" w:hAnsi="宋体" w:cs="宋体"/>
          <w:b/>
          <w:color w:val="auto"/>
          <w:sz w:val="32"/>
          <w:szCs w:val="32"/>
          <w:highlight w:val="none"/>
        </w:rPr>
      </w:pPr>
    </w:p>
    <w:p w14:paraId="5949A1E7">
      <w:pPr>
        <w:pStyle w:val="2"/>
        <w:numPr>
          <w:ilvl w:val="0"/>
          <w:numId w:val="2"/>
        </w:numPr>
        <w:jc w:val="center"/>
        <w:rPr>
          <w:rFonts w:hint="eastAsia" w:ascii="宋体" w:hAnsi="宋体" w:cs="宋体"/>
          <w:color w:val="auto"/>
          <w:highlight w:val="none"/>
        </w:rPr>
        <w:sectPr>
          <w:footerReference r:id="rId4" w:type="first"/>
          <w:footerReference r:id="rId3" w:type="default"/>
          <w:pgSz w:w="11906" w:h="16838"/>
          <w:pgMar w:top="1134" w:right="1134" w:bottom="1134" w:left="1134" w:header="720" w:footer="720" w:gutter="0"/>
          <w:pgNumType w:fmt="decimal" w:start="1"/>
          <w:cols w:space="720" w:num="1"/>
          <w:docGrid w:type="lines" w:linePitch="331" w:charSpace="0"/>
        </w:sectPr>
      </w:pPr>
    </w:p>
    <w:p w14:paraId="1C1BF1A7">
      <w:pPr>
        <w:pStyle w:val="2"/>
        <w:numPr>
          <w:ilvl w:val="0"/>
          <w:numId w:val="2"/>
        </w:numPr>
        <w:jc w:val="center"/>
        <w:rPr>
          <w:rFonts w:hint="eastAsia" w:ascii="宋体" w:hAnsi="宋体" w:cs="宋体"/>
          <w:color w:val="auto"/>
          <w:highlight w:val="none"/>
        </w:rPr>
      </w:pPr>
      <w:r>
        <w:rPr>
          <w:rFonts w:hint="eastAsia" w:ascii="宋体" w:hAnsi="宋体" w:cs="宋体"/>
          <w:color w:val="auto"/>
          <w:highlight w:val="none"/>
          <w:lang w:val="en-US" w:eastAsia="zh-CN"/>
        </w:rPr>
        <w:t xml:space="preserve"> </w:t>
      </w:r>
      <w:bookmarkStart w:id="0" w:name="_Toc12454"/>
      <w:r>
        <w:rPr>
          <w:rFonts w:hint="eastAsia" w:ascii="宋体" w:hAnsi="宋体" w:cs="宋体"/>
          <w:color w:val="auto"/>
          <w:highlight w:val="none"/>
        </w:rPr>
        <w:t>竞争性磋商公告</w:t>
      </w:r>
      <w:bookmarkEnd w:id="0"/>
    </w:p>
    <w:p w14:paraId="035F2EEB">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s="宋体"/>
          <w:color w:val="auto"/>
          <w:szCs w:val="21"/>
          <w:highlight w:val="none"/>
        </w:rPr>
      </w:pPr>
      <w:bookmarkStart w:id="1" w:name="_Hlk37430271"/>
      <w:r>
        <w:rPr>
          <w:rFonts w:hint="eastAsia" w:ascii="宋体" w:hAnsi="宋体" w:cs="宋体"/>
          <w:color w:val="auto"/>
          <w:szCs w:val="21"/>
          <w:highlight w:val="none"/>
        </w:rPr>
        <w:t>项目概况</w:t>
      </w:r>
    </w:p>
    <w:p w14:paraId="073E7ADA">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贵港市第八高级中学生活超市副食品及学校食堂框架协议外物品配送服务的政府采购</w:t>
      </w:r>
      <w:r>
        <w:rPr>
          <w:rFonts w:hint="eastAsia" w:ascii="宋体" w:hAnsi="宋体" w:cs="宋体"/>
          <w:color w:val="auto"/>
          <w:szCs w:val="21"/>
          <w:highlight w:val="none"/>
        </w:rPr>
        <w:t>项目的潜在供应商应在广西政府采购云平台（https://www.gcy.zfcg.gxzf.gov.cn/）获取竞争性磋商文件，并于</w:t>
      </w:r>
      <w:r>
        <w:rPr>
          <w:rFonts w:hint="eastAsia" w:ascii="宋体" w:hAnsi="宋体" w:cs="宋体"/>
          <w:color w:val="auto"/>
          <w:szCs w:val="21"/>
          <w:highlight w:val="none"/>
          <w:u w:val="single"/>
        </w:rPr>
        <w:t xml:space="preserve"> 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27</w:t>
      </w:r>
      <w:r>
        <w:rPr>
          <w:rFonts w:hint="eastAsia" w:ascii="宋体" w:hAnsi="宋体" w:cs="宋体"/>
          <w:color w:val="auto"/>
          <w:szCs w:val="21"/>
          <w:highlight w:val="none"/>
          <w:u w:val="single"/>
        </w:rPr>
        <w:t>日9时00分00秒</w:t>
      </w:r>
      <w:r>
        <w:rPr>
          <w:rFonts w:hint="eastAsia" w:ascii="宋体" w:hAnsi="宋体" w:cs="宋体"/>
          <w:bCs/>
          <w:color w:val="auto"/>
          <w:szCs w:val="21"/>
          <w:highlight w:val="none"/>
        </w:rPr>
        <w:t>（北京时间）前提交响应文件</w:t>
      </w:r>
      <w:r>
        <w:rPr>
          <w:rFonts w:hint="eastAsia" w:ascii="宋体" w:hAnsi="宋体" w:cs="宋体"/>
          <w:color w:val="auto"/>
          <w:szCs w:val="21"/>
          <w:highlight w:val="none"/>
        </w:rPr>
        <w:t>。</w:t>
      </w:r>
    </w:p>
    <w:p w14:paraId="571B8BCF">
      <w:pPr>
        <w:pStyle w:val="2"/>
        <w:spacing w:before="0" w:after="0" w:line="360" w:lineRule="auto"/>
        <w:ind w:firstLine="422" w:firstLineChars="200"/>
        <w:rPr>
          <w:rFonts w:hint="eastAsia" w:ascii="宋体" w:hAnsi="宋体" w:cs="宋体"/>
          <w:bCs w:val="0"/>
          <w:color w:val="auto"/>
          <w:sz w:val="21"/>
          <w:szCs w:val="21"/>
          <w:highlight w:val="none"/>
        </w:rPr>
      </w:pPr>
      <w:bookmarkStart w:id="2" w:name="_Toc22839"/>
      <w:bookmarkStart w:id="3" w:name="_Toc35393798"/>
      <w:bookmarkStart w:id="4" w:name="_Toc28359089"/>
      <w:bookmarkStart w:id="5" w:name="_Toc35393629"/>
      <w:bookmarkStart w:id="6" w:name="_Toc44229878"/>
      <w:bookmarkStart w:id="7" w:name="_Toc22650"/>
      <w:bookmarkStart w:id="8" w:name="_Toc28359012"/>
      <w:r>
        <w:rPr>
          <w:rFonts w:hint="eastAsia" w:ascii="宋体" w:hAnsi="宋体" w:cs="宋体"/>
          <w:bCs w:val="0"/>
          <w:color w:val="auto"/>
          <w:sz w:val="21"/>
          <w:szCs w:val="21"/>
          <w:highlight w:val="none"/>
        </w:rPr>
        <w:t>一、项目基本情况</w:t>
      </w:r>
      <w:bookmarkEnd w:id="2"/>
      <w:bookmarkEnd w:id="3"/>
      <w:bookmarkEnd w:id="4"/>
      <w:bookmarkEnd w:id="5"/>
      <w:bookmarkEnd w:id="6"/>
      <w:bookmarkEnd w:id="7"/>
      <w:bookmarkEnd w:id="8"/>
    </w:p>
    <w:p w14:paraId="4BE82272">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 xml:space="preserve"> 项目编号：GGZC2026-C3-990226-GXKL</w:t>
      </w:r>
    </w:p>
    <w:p w14:paraId="1FE4B6F3">
      <w:pPr>
        <w:spacing w:line="360" w:lineRule="auto"/>
        <w:ind w:firstLine="420" w:firstLineChars="20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 xml:space="preserve"> 项目名称：</w:t>
      </w:r>
      <w:r>
        <w:rPr>
          <w:rFonts w:hint="eastAsia" w:ascii="宋体" w:hAnsi="宋体" w:cs="宋体"/>
          <w:color w:val="auto"/>
          <w:szCs w:val="21"/>
          <w:highlight w:val="none"/>
          <w:lang w:eastAsia="zh-CN"/>
        </w:rPr>
        <w:t>贵港市第八高级中学生活超市副食品及学校食堂框架协议外物品配送服务的政府采购</w:t>
      </w:r>
    </w:p>
    <w:p w14:paraId="4C8A1A1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 采购方式：竞争性磋商</w:t>
      </w:r>
    </w:p>
    <w:p w14:paraId="37594C19">
      <w:pPr>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 xml:space="preserve"> 预算金额（元）：</w:t>
      </w:r>
      <w:r>
        <w:rPr>
          <w:rFonts w:hint="eastAsia" w:ascii="宋体" w:hAnsi="宋体" w:cs="宋体"/>
          <w:color w:val="auto"/>
          <w:szCs w:val="21"/>
          <w:highlight w:val="none"/>
          <w:lang w:val="en-US" w:eastAsia="zh-CN"/>
        </w:rPr>
        <w:t>人民币陆拾万元(¥600000.00元）</w:t>
      </w:r>
    </w:p>
    <w:p w14:paraId="5417E85C">
      <w:pPr>
        <w:spacing w:line="360" w:lineRule="auto"/>
        <w:ind w:left="420" w:leftChars="200"/>
        <w:rPr>
          <w:rFonts w:hint="eastAsia" w:ascii="宋体" w:hAnsi="宋体" w:cs="宋体"/>
          <w:color w:val="auto"/>
          <w:szCs w:val="21"/>
          <w:highlight w:val="none"/>
        </w:rPr>
      </w:pPr>
      <w:r>
        <w:rPr>
          <w:rFonts w:hint="eastAsia" w:ascii="宋体" w:hAnsi="宋体"/>
          <w:color w:val="auto"/>
          <w:szCs w:val="21"/>
          <w:highlight w:val="none"/>
        </w:rPr>
        <w:t>简要技术需求或者服务要求</w:t>
      </w:r>
      <w:r>
        <w:rPr>
          <w:rFonts w:hint="eastAsia" w:ascii="宋体" w:hAnsi="宋体" w:cs="宋体"/>
          <w:color w:val="auto"/>
          <w:szCs w:val="21"/>
          <w:highlight w:val="none"/>
        </w:rPr>
        <w:t>：面包、牛奶、矿泉水、纯净水等政策允许销售的物品及学校食堂框架</w:t>
      </w:r>
    </w:p>
    <w:p w14:paraId="794B8259">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协议外物品</w:t>
      </w: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；如需进一步了解详细内容，详见竞争性磋商文件。</w:t>
      </w:r>
    </w:p>
    <w:p w14:paraId="57899779">
      <w:pPr>
        <w:spacing w:line="360" w:lineRule="auto"/>
        <w:ind w:firstLine="420" w:firstLineChars="200"/>
        <w:rPr>
          <w:rFonts w:hint="default" w:ascii="宋体" w:hAnsi="宋体" w:cs="宋体"/>
          <w:color w:val="auto"/>
          <w:szCs w:val="21"/>
          <w:highlight w:val="none"/>
          <w:lang w:val="en-US"/>
        </w:rPr>
      </w:pPr>
      <w:r>
        <w:rPr>
          <w:rFonts w:hint="eastAsia" w:ascii="宋体" w:hAnsi="宋体" w:cs="宋体"/>
          <w:color w:val="auto"/>
          <w:szCs w:val="21"/>
          <w:highlight w:val="none"/>
        </w:rPr>
        <w:t>最高限价（元）：</w:t>
      </w:r>
      <w:r>
        <w:rPr>
          <w:rFonts w:hint="eastAsia" w:ascii="宋体" w:hAnsi="宋体" w:cs="宋体"/>
          <w:color w:val="auto"/>
          <w:szCs w:val="21"/>
          <w:highlight w:val="none"/>
          <w:lang w:val="en-US" w:eastAsia="zh-CN"/>
        </w:rPr>
        <w:t>人民币陆拾万元(￥600000.00元）</w:t>
      </w:r>
    </w:p>
    <w:p w14:paraId="4FCD594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合同履约期限：自签订合同之日起壹年。</w:t>
      </w:r>
    </w:p>
    <w:p w14:paraId="3DFBEE7C">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本</w:t>
      </w:r>
      <w:r>
        <w:rPr>
          <w:rFonts w:hint="eastAsia" w:ascii="宋体" w:hAnsi="宋体" w:cs="宋体"/>
          <w:color w:val="auto"/>
          <w:szCs w:val="21"/>
          <w:highlight w:val="none"/>
          <w:lang w:val="en-US" w:eastAsia="zh-CN"/>
        </w:rPr>
        <w:t>项目不</w:t>
      </w:r>
      <w:r>
        <w:rPr>
          <w:rFonts w:hint="eastAsia" w:ascii="宋体" w:hAnsi="宋体" w:cs="宋体"/>
          <w:color w:val="auto"/>
          <w:szCs w:val="21"/>
          <w:highlight w:val="none"/>
        </w:rPr>
        <w:t>接受联合体投标</w:t>
      </w:r>
    </w:p>
    <w:p w14:paraId="52391E3B">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备注：/</w:t>
      </w:r>
    </w:p>
    <w:p w14:paraId="65BAA14D">
      <w:pPr>
        <w:spacing w:line="360" w:lineRule="auto"/>
        <w:ind w:firstLine="361" w:firstLineChars="150"/>
        <w:rPr>
          <w:rFonts w:hint="eastAsia" w:ascii="宋体" w:hAnsi="宋体" w:cs="宋体"/>
          <w:b/>
          <w:color w:val="auto"/>
          <w:sz w:val="24"/>
          <w:highlight w:val="none"/>
        </w:rPr>
      </w:pPr>
      <w:bookmarkStart w:id="9" w:name="_Toc71366167"/>
      <w:r>
        <w:rPr>
          <w:rFonts w:hint="eastAsia" w:ascii="宋体" w:hAnsi="宋体" w:cs="宋体"/>
          <w:b/>
          <w:color w:val="auto"/>
          <w:sz w:val="24"/>
          <w:highlight w:val="none"/>
        </w:rPr>
        <w:t>二、申请人的资格条件：</w:t>
      </w:r>
      <w:bookmarkEnd w:id="9"/>
    </w:p>
    <w:p w14:paraId="3E5A91C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1.满足《中华人民共和国政府采购法》第二十二条规定；</w:t>
      </w:r>
    </w:p>
    <w:p w14:paraId="69457F3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2.落实政府采购政策需满足的资格要求：本项目属于专门面向小微企业采购的项目，承接服务的供应商应为小微企业或监狱企业或残疾人福利性单位。</w:t>
      </w:r>
    </w:p>
    <w:p w14:paraId="585C8C89">
      <w:pPr>
        <w:spacing w:line="360" w:lineRule="auto"/>
        <w:ind w:firstLine="420" w:firstLineChars="200"/>
        <w:rPr>
          <w:rFonts w:hint="eastAsia" w:ascii="宋体" w:hAnsi="宋体" w:cs="宋体"/>
          <w:color w:val="auto"/>
          <w:spacing w:val="-1"/>
          <w:szCs w:val="21"/>
          <w:highlight w:val="none"/>
        </w:rPr>
      </w:pPr>
      <w:r>
        <w:rPr>
          <w:rFonts w:hint="eastAsia" w:ascii="宋体" w:hAnsi="宋体" w:cs="宋体"/>
          <w:color w:val="auto"/>
          <w:szCs w:val="21"/>
          <w:highlight w:val="none"/>
        </w:rPr>
        <w:t>3.本项目的特定资格要求：供应商必须具备食品经营许可证或者食品生产许可证（仅销售自己生产的食品）或食品经营者备案（仅销售预包装食品）。</w:t>
      </w:r>
    </w:p>
    <w:p w14:paraId="3E18D4E9">
      <w:pPr>
        <w:spacing w:line="360" w:lineRule="auto"/>
        <w:ind w:firstLine="361" w:firstLineChars="150"/>
        <w:rPr>
          <w:rFonts w:hint="eastAsia" w:ascii="宋体" w:hAnsi="宋体" w:cs="宋体"/>
          <w:b/>
          <w:color w:val="auto"/>
          <w:sz w:val="24"/>
          <w:highlight w:val="none"/>
        </w:rPr>
      </w:pPr>
      <w:bookmarkStart w:id="10" w:name="_Toc71366168"/>
      <w:r>
        <w:rPr>
          <w:rFonts w:hint="eastAsia" w:ascii="宋体" w:hAnsi="宋体" w:cs="宋体"/>
          <w:b/>
          <w:color w:val="auto"/>
          <w:sz w:val="24"/>
          <w:highlight w:val="none"/>
        </w:rPr>
        <w:t>三、获取竞争性磋商文件</w:t>
      </w:r>
      <w:bookmarkEnd w:id="10"/>
    </w:p>
    <w:p w14:paraId="6164B77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时间：202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14</w:t>
      </w:r>
      <w:r>
        <w:rPr>
          <w:rFonts w:hint="eastAsia" w:ascii="宋体" w:hAnsi="宋体" w:cs="宋体"/>
          <w:color w:val="auto"/>
          <w:szCs w:val="21"/>
          <w:highlight w:val="none"/>
        </w:rPr>
        <w:t>日至202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26</w:t>
      </w:r>
      <w:r>
        <w:rPr>
          <w:rFonts w:hint="eastAsia" w:ascii="宋体" w:hAnsi="宋体" w:cs="宋体"/>
          <w:color w:val="auto"/>
          <w:szCs w:val="21"/>
          <w:highlight w:val="none"/>
        </w:rPr>
        <w:t>日 ，每天上午00:00至12:00 ，下午12:00至23:59（北京时间，法定节假日除外）</w:t>
      </w:r>
    </w:p>
    <w:p w14:paraId="0F6C66E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地点（网址）：广西政府采购云平台（https://www.gcy.zfcg.gxzf.gov.cn/）</w:t>
      </w:r>
    </w:p>
    <w:p w14:paraId="0CCB650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方式：</w:t>
      </w:r>
      <w:r>
        <w:rPr>
          <w:rFonts w:hint="eastAsia" w:ascii="宋体" w:hAnsi="宋体" w:cs="宋体"/>
          <w:bCs/>
          <w:color w:val="auto"/>
          <w:kern w:val="0"/>
          <w:szCs w:val="21"/>
          <w:highlight w:val="none"/>
        </w:rPr>
        <w:t>网上下载。本项目不提供纸质文件，潜在供应商需使用账号登录或者使用CA登录广西政府采购云平台（https://www.gcy.zfcg.gxzf.gov.cn/）-进入“项目采购”应用，在获取采购文件菜单中选择项目，获取竞争性磋商文件。</w:t>
      </w:r>
      <w:r>
        <w:rPr>
          <w:rFonts w:hint="eastAsia" w:ascii="宋体" w:hAnsi="宋体"/>
          <w:color w:val="auto"/>
          <w:szCs w:val="21"/>
          <w:highlight w:val="none"/>
        </w:rPr>
        <w:t>电子</w:t>
      </w:r>
      <w:r>
        <w:rPr>
          <w:rFonts w:hint="eastAsia"/>
          <w:color w:val="auto"/>
          <w:highlight w:val="none"/>
        </w:rPr>
        <w:t>响应文件</w:t>
      </w:r>
      <w:r>
        <w:rPr>
          <w:rFonts w:hint="eastAsia" w:ascii="宋体" w:hAnsi="宋体"/>
          <w:color w:val="auto"/>
          <w:szCs w:val="21"/>
          <w:highlight w:val="none"/>
        </w:rPr>
        <w:t>制作需要基于广西政府采购云平台获取的磋商文件编制，</w:t>
      </w:r>
      <w:r>
        <w:rPr>
          <w:rFonts w:hint="eastAsia" w:ascii="宋体" w:hAnsi="宋体" w:cs="宋体"/>
          <w:bCs/>
          <w:color w:val="auto"/>
          <w:kern w:val="0"/>
          <w:szCs w:val="21"/>
          <w:highlight w:val="none"/>
        </w:rPr>
        <w:t>通过其他方式获取磋商文件的，将有可能导致供应商无法在广西政府采购云平台编制及上传响应文件。</w:t>
      </w:r>
    </w:p>
    <w:p w14:paraId="70292961">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售价（元）：0</w:t>
      </w:r>
      <w:r>
        <w:rPr>
          <w:rFonts w:hint="eastAsia" w:ascii="宋体" w:hAnsi="宋体" w:cs="宋体"/>
          <w:color w:val="auto"/>
          <w:szCs w:val="21"/>
          <w:highlight w:val="none"/>
          <w:lang w:eastAsia="zh-CN"/>
        </w:rPr>
        <w:t>元</w:t>
      </w:r>
    </w:p>
    <w:p w14:paraId="38DC8086">
      <w:pPr>
        <w:spacing w:line="360" w:lineRule="auto"/>
        <w:ind w:firstLine="361" w:firstLineChars="150"/>
        <w:rPr>
          <w:rFonts w:hint="eastAsia" w:ascii="宋体" w:hAnsi="宋体" w:cs="宋体"/>
          <w:b/>
          <w:color w:val="auto"/>
          <w:sz w:val="24"/>
          <w:highlight w:val="none"/>
        </w:rPr>
      </w:pPr>
      <w:bookmarkStart w:id="11" w:name="_Toc71366169"/>
      <w:r>
        <w:rPr>
          <w:rFonts w:hint="eastAsia" w:ascii="宋体" w:hAnsi="宋体" w:cs="宋体"/>
          <w:b/>
          <w:color w:val="auto"/>
          <w:sz w:val="24"/>
          <w:highlight w:val="none"/>
        </w:rPr>
        <w:t>四、响应文件提交</w:t>
      </w:r>
      <w:bookmarkEnd w:id="11"/>
    </w:p>
    <w:p w14:paraId="2AB60F6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截止时间：202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27</w:t>
      </w:r>
      <w:r>
        <w:rPr>
          <w:rFonts w:hint="eastAsia" w:ascii="宋体" w:hAnsi="宋体" w:cs="宋体"/>
          <w:color w:val="auto"/>
          <w:szCs w:val="21"/>
          <w:highlight w:val="none"/>
        </w:rPr>
        <w:t>日9时00分（北京时间）</w:t>
      </w:r>
    </w:p>
    <w:p w14:paraId="5E38C4C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地点（网址）：广西政府采购云平台（https://www.gcy.zfcg.gxzf.gov.cn/）</w:t>
      </w:r>
    </w:p>
    <w:p w14:paraId="05133C3C">
      <w:pPr>
        <w:spacing w:line="360" w:lineRule="auto"/>
        <w:ind w:firstLine="361" w:firstLineChars="150"/>
        <w:rPr>
          <w:rFonts w:hint="eastAsia" w:ascii="宋体" w:hAnsi="宋体" w:cs="宋体"/>
          <w:b/>
          <w:color w:val="auto"/>
          <w:sz w:val="24"/>
          <w:highlight w:val="none"/>
        </w:rPr>
      </w:pPr>
      <w:bookmarkStart w:id="12" w:name="_Toc71366170"/>
      <w:r>
        <w:rPr>
          <w:rFonts w:hint="eastAsia" w:ascii="宋体" w:hAnsi="宋体" w:cs="宋体"/>
          <w:b/>
          <w:color w:val="auto"/>
          <w:sz w:val="24"/>
          <w:highlight w:val="none"/>
        </w:rPr>
        <w:t>五、</w:t>
      </w:r>
      <w:bookmarkEnd w:id="12"/>
      <w:r>
        <w:rPr>
          <w:rFonts w:hint="eastAsia" w:ascii="宋体" w:hAnsi="宋体" w:cs="宋体"/>
          <w:b/>
          <w:color w:val="auto"/>
          <w:sz w:val="24"/>
          <w:highlight w:val="none"/>
        </w:rPr>
        <w:t>开启</w:t>
      </w:r>
    </w:p>
    <w:p w14:paraId="022A4EA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1.时间：202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27</w:t>
      </w:r>
      <w:r>
        <w:rPr>
          <w:rFonts w:hint="eastAsia" w:ascii="宋体" w:hAnsi="宋体" w:cs="宋体"/>
          <w:color w:val="auto"/>
          <w:szCs w:val="21"/>
          <w:highlight w:val="none"/>
        </w:rPr>
        <w:t>日9时00分（北京时间）</w:t>
      </w:r>
    </w:p>
    <w:p w14:paraId="6703E50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2.地点：广西政府采购云平台（https://www.gcy.zfcg.gxzf.gov.cn/）</w:t>
      </w:r>
    </w:p>
    <w:p w14:paraId="7FA5BF67">
      <w:pPr>
        <w:spacing w:line="360" w:lineRule="auto"/>
        <w:ind w:firstLine="361" w:firstLineChars="150"/>
        <w:rPr>
          <w:rFonts w:hint="eastAsia" w:ascii="宋体" w:hAnsi="宋体" w:cs="宋体"/>
          <w:b/>
          <w:color w:val="auto"/>
          <w:sz w:val="24"/>
          <w:highlight w:val="none"/>
        </w:rPr>
      </w:pPr>
      <w:bookmarkStart w:id="13" w:name="_Toc71366171"/>
      <w:r>
        <w:rPr>
          <w:rFonts w:hint="eastAsia" w:ascii="宋体" w:hAnsi="宋体" w:cs="宋体"/>
          <w:b/>
          <w:color w:val="auto"/>
          <w:sz w:val="24"/>
          <w:highlight w:val="none"/>
        </w:rPr>
        <w:t>六、公告期限</w:t>
      </w:r>
      <w:bookmarkEnd w:id="13"/>
    </w:p>
    <w:p w14:paraId="386A36D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自本公告发布之日起5个工作日。</w:t>
      </w:r>
    </w:p>
    <w:p w14:paraId="42A24A25">
      <w:pPr>
        <w:spacing w:line="360" w:lineRule="auto"/>
        <w:ind w:firstLine="361" w:firstLineChars="150"/>
        <w:rPr>
          <w:rFonts w:hint="eastAsia" w:ascii="宋体" w:hAnsi="宋体" w:cs="宋体"/>
          <w:b/>
          <w:color w:val="auto"/>
          <w:sz w:val="24"/>
          <w:highlight w:val="none"/>
        </w:rPr>
      </w:pPr>
      <w:bookmarkStart w:id="14" w:name="_Toc71366172"/>
      <w:r>
        <w:rPr>
          <w:rFonts w:hint="eastAsia" w:ascii="宋体" w:hAnsi="宋体" w:cs="宋体"/>
          <w:b/>
          <w:color w:val="auto"/>
          <w:sz w:val="24"/>
          <w:highlight w:val="none"/>
        </w:rPr>
        <w:t>七、其他补充事宜</w:t>
      </w:r>
      <w:bookmarkEnd w:id="14"/>
    </w:p>
    <w:p w14:paraId="297ADB8F">
      <w:pPr>
        <w:spacing w:line="360" w:lineRule="auto"/>
        <w:ind w:firstLine="420" w:firstLineChars="200"/>
        <w:rPr>
          <w:rFonts w:hint="eastAsia" w:ascii="宋体" w:hAnsi="宋体" w:cs="宋体"/>
          <w:color w:val="auto"/>
          <w:kern w:val="0"/>
          <w:szCs w:val="21"/>
          <w:highlight w:val="none"/>
        </w:rPr>
      </w:pPr>
      <w:bookmarkStart w:id="15" w:name="_Toc44229885"/>
      <w:bookmarkStart w:id="16" w:name="_Toc35393636"/>
      <w:bookmarkStart w:id="17" w:name="_Toc28359095"/>
      <w:bookmarkStart w:id="18" w:name="_Toc28359018"/>
      <w:bookmarkStart w:id="19" w:name="_Toc35393805"/>
      <w:r>
        <w:rPr>
          <w:rFonts w:hint="eastAsia" w:ascii="宋体" w:hAnsi="宋体" w:cs="宋体"/>
          <w:color w:val="auto"/>
          <w:kern w:val="0"/>
          <w:szCs w:val="21"/>
          <w:highlight w:val="none"/>
        </w:rPr>
        <w:t>1.磋商保证金：本项目不需要缴纳投标保证金。</w:t>
      </w:r>
    </w:p>
    <w:p w14:paraId="7391542E">
      <w:pPr>
        <w:spacing w:line="360" w:lineRule="auto"/>
        <w:ind w:firstLine="420" w:firstLineChars="200"/>
        <w:rPr>
          <w:rFonts w:hint="eastAsia" w:ascii="宋体" w:hAnsi="宋体" w:cs="宋体"/>
          <w:color w:val="auto"/>
          <w:kern w:val="0"/>
          <w:highlight w:val="none"/>
        </w:rPr>
      </w:pPr>
      <w:r>
        <w:rPr>
          <w:rFonts w:hint="eastAsia" w:ascii="宋体" w:hAnsi="宋体" w:cs="宋体"/>
          <w:color w:val="auto"/>
          <w:kern w:val="0"/>
          <w:szCs w:val="21"/>
          <w:highlight w:val="none"/>
        </w:rPr>
        <w:t xml:space="preserve">2. </w:t>
      </w:r>
      <w:r>
        <w:rPr>
          <w:rFonts w:hint="eastAsia" w:ascii="宋体" w:hAnsi="宋体" w:cs="宋体"/>
          <w:color w:val="auto"/>
          <w:kern w:val="0"/>
          <w:highlight w:val="none"/>
        </w:rPr>
        <w:t>本项目需要落实的政府采购政策：</w:t>
      </w:r>
    </w:p>
    <w:p w14:paraId="0D5F84FE">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16446F5F">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（2）政府采购支持采用本国产品的政策。</w:t>
      </w:r>
    </w:p>
    <w:p w14:paraId="4DA34311">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（3）强制采购节能产品；优先采购节能产品、环境标志产品。</w:t>
      </w:r>
    </w:p>
    <w:p w14:paraId="14F27CC0">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（4）政府采购促进残疾人就业政策。</w:t>
      </w:r>
    </w:p>
    <w:p w14:paraId="21A685E3">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（5）政府采购支持监狱企业发展。</w:t>
      </w:r>
    </w:p>
    <w:p w14:paraId="150B8749">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3.网上查询地址</w:t>
      </w:r>
    </w:p>
    <w:p w14:paraId="6AAEFE56">
      <w:pPr>
        <w:widowControl/>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szCs w:val="21"/>
          <w:highlight w:val="none"/>
          <w:lang w:bidi="ar"/>
        </w:rPr>
        <w:t>中国政府采购网（www.ccgp.gov.cn）、广西政府采购网（zfcg.gxzf.gov.cn）</w:t>
      </w:r>
      <w:bookmarkStart w:id="20" w:name="_Hlk73023815"/>
      <w:r>
        <w:rPr>
          <w:rFonts w:hint="eastAsia" w:ascii="宋体" w:hAnsi="宋体" w:cs="宋体"/>
          <w:color w:val="auto"/>
          <w:kern w:val="0"/>
          <w:szCs w:val="21"/>
          <w:highlight w:val="none"/>
        </w:rPr>
        <w:t>、</w:t>
      </w:r>
      <w:r>
        <w:rPr>
          <w:rFonts w:hint="eastAsia" w:ascii="宋体" w:hAnsi="宋体" w:cs="Arial"/>
          <w:color w:val="auto"/>
          <w:szCs w:val="21"/>
          <w:highlight w:val="none"/>
        </w:rPr>
        <w:t>全国公共资源交易平台（广西•贵港）</w:t>
      </w:r>
      <w:bookmarkEnd w:id="20"/>
      <w:r>
        <w:rPr>
          <w:rFonts w:hint="eastAsia" w:ascii="宋体" w:hAnsi="宋体" w:cs="Arial"/>
          <w:color w:val="auto"/>
          <w:szCs w:val="21"/>
          <w:highlight w:val="none"/>
        </w:rPr>
        <w:t>（http</w:t>
      </w:r>
      <w:r>
        <w:rPr>
          <w:rFonts w:ascii="宋体" w:hAnsi="宋体" w:cs="Arial"/>
          <w:color w:val="auto"/>
          <w:szCs w:val="21"/>
          <w:highlight w:val="none"/>
        </w:rPr>
        <w:t>:</w:t>
      </w:r>
      <w:r>
        <w:rPr>
          <w:rFonts w:hint="eastAsia" w:ascii="宋体" w:hAnsi="宋体" w:cs="Arial"/>
          <w:color w:val="auto"/>
          <w:szCs w:val="21"/>
          <w:highlight w:val="none"/>
        </w:rPr>
        <w:t>//ggzy.jgswj.gxzf.gov.cn/ggggzy/）</w:t>
      </w:r>
      <w:r>
        <w:rPr>
          <w:rFonts w:hint="eastAsia" w:ascii="宋体" w:hAnsi="宋体" w:cs="宋体"/>
          <w:color w:val="auto"/>
          <w:szCs w:val="21"/>
          <w:highlight w:val="none"/>
          <w:lang w:bidi="ar"/>
        </w:rPr>
        <w:t>。</w:t>
      </w:r>
    </w:p>
    <w:p w14:paraId="37799E81">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4.监督部门</w:t>
      </w:r>
    </w:p>
    <w:p w14:paraId="48E120A7">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名  称：</w:t>
      </w:r>
      <w:r>
        <w:rPr>
          <w:rFonts w:hint="eastAsia" w:cs="Arial"/>
          <w:color w:val="auto"/>
          <w:highlight w:val="none"/>
          <w:lang w:val="en-US" w:eastAsia="zh-CN"/>
        </w:rPr>
        <w:t>贵港市财政局政府采购监督管理科。</w:t>
      </w:r>
    </w:p>
    <w:p w14:paraId="101DCD17">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电  话：</w:t>
      </w:r>
      <w:r>
        <w:rPr>
          <w:rFonts w:hint="eastAsia" w:cs="Arial"/>
          <w:color w:val="auto"/>
          <w:highlight w:val="none"/>
          <w:lang w:val="en-US" w:eastAsia="zh-CN"/>
        </w:rPr>
        <w:t>0775-4555290、0775-4564649</w:t>
      </w:r>
    </w:p>
    <w:p w14:paraId="56C34A5D">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98D0357">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6.未被“信用中国”（www.creditchina.gov.cn）、中国政府采购网（www.ccgp.gov.cn）列入失信被执行人、重大税收违法失信主体、政府采购严重违法失信行为记录名单。</w:t>
      </w:r>
    </w:p>
    <w:p w14:paraId="21F8F5DC">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7.供应商竞标注意事项</w:t>
      </w:r>
    </w:p>
    <w:p w14:paraId="54927166">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本项目为全流程电子化采购项目，通过广西政府采购云平台（https://www.gcy.zfcg.gxzf.gov.cn/）实行在线电子竞标，供应商应按照本项目竞争性磋商文件和广西政府采购云平台的要求编制、加密后在提交响应文件截止时间前通过网络上传至 广西政府采购云平台（加密的电子响应文件是指</w:t>
      </w:r>
      <w:r>
        <w:rPr>
          <w:rFonts w:hint="eastAsia"/>
          <w:color w:val="auto"/>
          <w:highlight w:val="none"/>
        </w:rPr>
        <w:t>后缀名为“jm</w:t>
      </w:r>
      <w:r>
        <w:rPr>
          <w:color w:val="auto"/>
          <w:highlight w:val="none"/>
        </w:rPr>
        <w:t>bs</w:t>
      </w:r>
      <w:r>
        <w:rPr>
          <w:rFonts w:hint="eastAsia"/>
          <w:color w:val="auto"/>
          <w:highlight w:val="none"/>
        </w:rPr>
        <w:t>”的文件</w:t>
      </w:r>
      <w:r>
        <w:rPr>
          <w:rFonts w:hint="eastAsia" w:ascii="宋体" w:hAnsi="宋体"/>
          <w:color w:val="auto"/>
          <w:szCs w:val="21"/>
          <w:highlight w:val="none"/>
        </w:rPr>
        <w:t>），</w:t>
      </w:r>
      <w:r>
        <w:rPr>
          <w:rFonts w:hint="eastAsia" w:ascii="宋体" w:hAnsi="宋体"/>
          <w:b/>
          <w:color w:val="auto"/>
          <w:szCs w:val="21"/>
          <w:highlight w:val="none"/>
        </w:rPr>
        <w:t>供应商在广西政府采购云平台提交电子响应文件时，请填写参加远程采购活动经办人联系方式。</w:t>
      </w:r>
      <w:r>
        <w:rPr>
          <w:rFonts w:hint="eastAsia" w:ascii="宋体" w:hAnsi="宋体"/>
          <w:color w:val="auto"/>
          <w:szCs w:val="21"/>
          <w:highlight w:val="none"/>
        </w:rPr>
        <w:t>供应商登录广西政府采购云平台，依次进入“服务中心－项目采购－操作流程－电子招投标－</w:t>
      </w:r>
      <w:r>
        <w:rPr>
          <w:rFonts w:hint="eastAsia"/>
          <w:color w:val="auto"/>
          <w:highlight w:val="none"/>
        </w:rPr>
        <w:t>政府采购项目电子交易管理操作指南－供应商</w:t>
      </w:r>
      <w:r>
        <w:rPr>
          <w:rFonts w:hint="eastAsia" w:ascii="宋体" w:hAnsi="宋体"/>
          <w:color w:val="auto"/>
          <w:szCs w:val="21"/>
          <w:highlight w:val="none"/>
        </w:rPr>
        <w:t>”查看电子竞标具体操作流程。</w:t>
      </w:r>
    </w:p>
    <w:p w14:paraId="666CA358">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Pr>
          <w:rFonts w:hint="eastAsia" w:ascii="宋体" w:hAnsi="宋体" w:cs="宋体"/>
          <w:color w:val="auto"/>
          <w:kern w:val="0"/>
          <w:szCs w:val="21"/>
          <w:highlight w:val="none"/>
        </w:rPr>
        <w:t>广西政府采购云平台，</w:t>
      </w:r>
      <w:r>
        <w:rPr>
          <w:rFonts w:hint="eastAsia" w:ascii="宋体" w:hAnsi="宋体"/>
          <w:color w:val="auto"/>
          <w:szCs w:val="21"/>
          <w:highlight w:val="none"/>
        </w:rPr>
        <w:t>依次进入“服务中心－入驻与配置”中查看CA数字证书办理操作流程。</w:t>
      </w:r>
      <w:r>
        <w:rPr>
          <w:rFonts w:hint="eastAsia" w:ascii="宋体" w:hAnsi="宋体" w:cs="宋体"/>
          <w:bCs/>
          <w:color w:val="auto"/>
          <w:kern w:val="0"/>
          <w:szCs w:val="21"/>
          <w:highlight w:val="none"/>
        </w:rPr>
        <w:t>如在操作过程中遇到问题或者需要技术支持，请致电客服热线：95763或者0771-3381253</w:t>
      </w:r>
      <w:r>
        <w:rPr>
          <w:rFonts w:hint="eastAsia" w:ascii="宋体" w:hAnsi="宋体"/>
          <w:color w:val="auto"/>
          <w:szCs w:val="21"/>
          <w:highlight w:val="none"/>
        </w:rPr>
        <w:t>）。</w:t>
      </w:r>
    </w:p>
    <w:p w14:paraId="471869BF">
      <w:pPr>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3841C600">
      <w:pPr>
        <w:widowControl/>
        <w:spacing w:line="360" w:lineRule="auto"/>
        <w:ind w:firstLine="420" w:firstLineChars="200"/>
        <w:jc w:val="left"/>
        <w:rPr>
          <w:rFonts w:hint="eastAsia" w:ascii="宋体" w:hAnsi="宋体"/>
          <w:bCs/>
          <w:color w:val="auto"/>
          <w:szCs w:val="21"/>
          <w:highlight w:val="none"/>
        </w:rPr>
      </w:pPr>
      <w:r>
        <w:rPr>
          <w:rFonts w:hint="eastAsia" w:ascii="宋体" w:hAnsi="宋体"/>
          <w:color w:val="auto"/>
          <w:szCs w:val="21"/>
          <w:highlight w:val="none"/>
        </w:rPr>
        <w:t>注：1）为确保网上操作合法、有效和安全，请供应商确保在电子竞标过程中能够对相关数据电文进行加密和使用电子签章，妥善保管CA数字证书并使用有效的CA数字证书参与整个采购活动。2）</w:t>
      </w:r>
      <w:r>
        <w:rPr>
          <w:rFonts w:hint="eastAsia" w:ascii="宋体" w:hAnsi="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01EFEC79">
      <w:pPr>
        <w:spacing w:line="360" w:lineRule="auto"/>
        <w:ind w:firstLine="308" w:firstLineChars="147"/>
        <w:rPr>
          <w:rFonts w:hint="eastAsia" w:ascii="宋体" w:hAnsi="宋体" w:cs="宋体"/>
          <w:color w:val="auto"/>
          <w:kern w:val="0"/>
          <w:szCs w:val="21"/>
          <w:highlight w:val="none"/>
        </w:rPr>
      </w:pPr>
      <w:r>
        <w:rPr>
          <w:rFonts w:hint="eastAsia" w:ascii="宋体" w:hAnsi="宋体" w:cs="宋体"/>
          <w:color w:val="auto"/>
          <w:kern w:val="0"/>
          <w:szCs w:val="21"/>
          <w:highlight w:val="none"/>
        </w:rPr>
        <w:t>（4）供应商需要在具备有摄像头及语音功能且互联网网络状况良好的电脑登录广西政府采购云平台远程开标大厅参与本次磋商，否则后果自负。</w:t>
      </w:r>
    </w:p>
    <w:p w14:paraId="27D71776">
      <w:pPr>
        <w:spacing w:line="360" w:lineRule="auto"/>
        <w:ind w:firstLine="361" w:firstLineChars="150"/>
        <w:rPr>
          <w:rFonts w:hint="eastAsia" w:ascii="宋体" w:hAnsi="宋体" w:cs="宋体"/>
          <w:color w:val="auto"/>
          <w:sz w:val="24"/>
          <w:highlight w:val="none"/>
        </w:rPr>
      </w:pPr>
      <w:r>
        <w:rPr>
          <w:rFonts w:hint="eastAsia" w:ascii="宋体" w:hAnsi="宋体" w:cs="宋体"/>
          <w:b/>
          <w:color w:val="auto"/>
          <w:sz w:val="24"/>
          <w:highlight w:val="none"/>
        </w:rPr>
        <w:t>八、凡对本次采购提出询问，请按以下方式联系</w:t>
      </w:r>
      <w:r>
        <w:rPr>
          <w:rFonts w:hint="eastAsia" w:ascii="宋体" w:hAnsi="宋体" w:cs="宋体"/>
          <w:color w:val="auto"/>
          <w:sz w:val="24"/>
          <w:highlight w:val="none"/>
        </w:rPr>
        <w:t>。</w:t>
      </w:r>
      <w:bookmarkEnd w:id="15"/>
      <w:bookmarkEnd w:id="16"/>
      <w:bookmarkEnd w:id="17"/>
      <w:bookmarkEnd w:id="18"/>
      <w:bookmarkEnd w:id="19"/>
    </w:p>
    <w:p w14:paraId="2E98192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1.采购人信息</w:t>
      </w:r>
    </w:p>
    <w:p w14:paraId="1B704D91">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名    称：</w:t>
      </w:r>
      <w:r>
        <w:rPr>
          <w:rFonts w:hint="eastAsia" w:ascii="宋体" w:hAnsi="宋体" w:cs="宋体"/>
          <w:color w:val="auto"/>
          <w:szCs w:val="21"/>
          <w:highlight w:val="none"/>
          <w:lang w:eastAsia="zh-CN"/>
        </w:rPr>
        <w:t>贵港市第八高级中学</w:t>
      </w:r>
      <w:r>
        <w:rPr>
          <w:rFonts w:hint="eastAsia" w:ascii="宋体" w:hAnsi="宋体" w:cs="宋体"/>
          <w:color w:val="auto"/>
          <w:szCs w:val="21"/>
          <w:highlight w:val="none"/>
        </w:rPr>
        <w:t>　</w:t>
      </w:r>
    </w:p>
    <w:p w14:paraId="27998887">
      <w:pPr>
        <w:spacing w:line="360" w:lineRule="auto"/>
        <w:ind w:firstLine="420" w:firstLineChars="200"/>
        <w:rPr>
          <w:rFonts w:hint="eastAsia" w:ascii="宋体" w:hAnsi="宋体" w:eastAsia="宋体" w:cs="宋体"/>
          <w:color w:val="auto"/>
          <w:highlight w:val="none"/>
          <w:lang w:eastAsia="zh-CN"/>
        </w:rPr>
      </w:pPr>
      <w:r>
        <w:rPr>
          <w:rFonts w:hint="eastAsia" w:ascii="宋体" w:hAnsi="宋体" w:cs="宋体"/>
          <w:color w:val="auto"/>
          <w:szCs w:val="21"/>
          <w:highlight w:val="none"/>
        </w:rPr>
        <w:t>地    址：</w:t>
      </w:r>
      <w:r>
        <w:rPr>
          <w:rFonts w:hint="eastAsia" w:ascii="宋体" w:hAnsi="宋体" w:cs="宋体"/>
          <w:color w:val="auto"/>
          <w:szCs w:val="21"/>
          <w:highlight w:val="none"/>
          <w:lang w:val="en-US" w:eastAsia="zh-CN"/>
        </w:rPr>
        <w:t>广西贵港市港北区高级中学</w:t>
      </w:r>
    </w:p>
    <w:p w14:paraId="24F9A664">
      <w:pPr>
        <w:spacing w:line="360" w:lineRule="auto"/>
        <w:ind w:firstLine="420" w:firstLineChars="200"/>
        <w:rPr>
          <w:rFonts w:hint="default" w:ascii="宋体" w:hAnsi="宋体" w:eastAsia="宋体" w:cs="宋体"/>
          <w:color w:val="auto"/>
          <w:highlight w:val="none"/>
          <w:lang w:val="en-US" w:eastAsia="zh-CN"/>
        </w:rPr>
      </w:pPr>
      <w:r>
        <w:rPr>
          <w:rFonts w:hint="eastAsia" w:ascii="宋体" w:hAnsi="宋体" w:cs="宋体"/>
          <w:color w:val="auto"/>
          <w:highlight w:val="none"/>
        </w:rPr>
        <w:t>项目联系人：杨国俊</w:t>
      </w:r>
      <w:r>
        <w:rPr>
          <w:rFonts w:hint="eastAsia" w:ascii="宋体" w:hAnsi="宋体" w:cs="宋体"/>
          <w:color w:val="auto"/>
          <w:highlight w:val="none"/>
          <w:lang w:val="en-US" w:eastAsia="zh-CN"/>
        </w:rPr>
        <w:t xml:space="preserve"> </w:t>
      </w:r>
    </w:p>
    <w:p w14:paraId="21A4013C">
      <w:pPr>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highlight w:val="none"/>
        </w:rPr>
        <w:t>联系方式：</w:t>
      </w:r>
      <w:r>
        <w:rPr>
          <w:rFonts w:hint="eastAsia" w:ascii="宋体" w:hAnsi="宋体" w:cs="宋体"/>
          <w:color w:val="auto"/>
          <w:highlight w:val="none"/>
          <w:lang w:val="en-US" w:eastAsia="zh-CN"/>
        </w:rPr>
        <w:t>0775-4580625</w:t>
      </w:r>
    </w:p>
    <w:p w14:paraId="3C60032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2.采购代理机构信息</w:t>
      </w:r>
    </w:p>
    <w:p w14:paraId="4A28FD4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名    称：　</w:t>
      </w:r>
      <w:r>
        <w:rPr>
          <w:rFonts w:hint="eastAsia" w:ascii="宋体" w:hAnsi="宋体" w:cs="宋体"/>
          <w:color w:val="auto"/>
          <w:szCs w:val="21"/>
          <w:highlight w:val="none"/>
          <w:lang w:eastAsia="zh-CN"/>
        </w:rPr>
        <w:t>广西科联招标中心有限公司</w:t>
      </w:r>
      <w:r>
        <w:rPr>
          <w:rFonts w:hint="eastAsia" w:ascii="宋体" w:hAnsi="宋体" w:cs="宋体"/>
          <w:color w:val="auto"/>
          <w:szCs w:val="21"/>
          <w:highlight w:val="none"/>
        </w:rPr>
        <w:t>　</w:t>
      </w:r>
    </w:p>
    <w:p w14:paraId="29B4696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szCs w:val="21"/>
          <w:highlight w:val="none"/>
          <w:lang w:val="zh-CN" w:eastAsia="zh-CN"/>
        </w:rPr>
        <w:t>贵港市港北区金港大道935号17楼172</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val="zh-CN" w:eastAsia="zh-CN"/>
        </w:rPr>
        <w:t>室</w:t>
      </w:r>
    </w:p>
    <w:p w14:paraId="366EDE19">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项目联系人：</w:t>
      </w:r>
      <w:r>
        <w:rPr>
          <w:rFonts w:hint="eastAsia" w:ascii="宋体" w:hAnsi="宋体" w:cs="宋体"/>
          <w:color w:val="auto"/>
          <w:szCs w:val="21"/>
          <w:highlight w:val="none"/>
          <w:lang w:eastAsia="zh-CN"/>
        </w:rPr>
        <w:t>韦世纪</w:t>
      </w:r>
    </w:p>
    <w:p w14:paraId="19987C4E">
      <w:pPr>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 xml:space="preserve">项目联系方式： </w:t>
      </w:r>
      <w:r>
        <w:rPr>
          <w:rFonts w:hint="eastAsia" w:ascii="宋体" w:hAnsi="宋体" w:eastAsia="宋体" w:cs="宋体"/>
          <w:color w:val="auto"/>
          <w:szCs w:val="21"/>
          <w:highlight w:val="none"/>
          <w:lang w:val="en-US" w:eastAsia="zh-CN"/>
        </w:rPr>
        <w:t>0775-4563700</w:t>
      </w:r>
    </w:p>
    <w:p w14:paraId="55851977">
      <w:pPr>
        <w:spacing w:line="360" w:lineRule="auto"/>
        <w:ind w:firstLine="420" w:firstLineChars="200"/>
        <w:rPr>
          <w:rFonts w:hint="eastAsia" w:ascii="宋体" w:hAnsi="宋体" w:eastAsia="宋体" w:cs="宋体"/>
          <w:color w:val="auto"/>
          <w:szCs w:val="21"/>
          <w:highlight w:val="none"/>
          <w:lang w:eastAsia="zh-CN"/>
        </w:rPr>
      </w:pPr>
    </w:p>
    <w:p w14:paraId="4C78923C">
      <w:pPr>
        <w:spacing w:line="360" w:lineRule="auto"/>
        <w:ind w:firstLine="5880" w:firstLineChars="28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广西科联招标中心有限公司</w:t>
      </w:r>
      <w:r>
        <w:rPr>
          <w:rFonts w:hint="eastAsia" w:ascii="宋体" w:hAnsi="宋体" w:eastAsia="宋体" w:cs="宋体"/>
          <w:color w:val="auto"/>
          <w:szCs w:val="21"/>
          <w:highlight w:val="none"/>
        </w:rPr>
        <w:t xml:space="preserve"> </w:t>
      </w:r>
    </w:p>
    <w:p w14:paraId="77BF3B7F">
      <w:pPr>
        <w:spacing w:line="360" w:lineRule="auto"/>
        <w:ind w:firstLine="6300" w:firstLineChars="30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月</w:t>
      </w:r>
      <w:r>
        <w:rPr>
          <w:rFonts w:hint="eastAsia" w:ascii="宋体" w:hAnsi="宋体" w:cs="宋体"/>
          <w:color w:val="auto"/>
          <w:szCs w:val="21"/>
          <w:highlight w:val="none"/>
          <w:lang w:val="en-US" w:eastAsia="zh-CN"/>
        </w:rPr>
        <w:t>14</w:t>
      </w:r>
      <w:r>
        <w:rPr>
          <w:rFonts w:hint="eastAsia" w:ascii="宋体" w:hAnsi="宋体" w:eastAsia="宋体" w:cs="宋体"/>
          <w:color w:val="auto"/>
          <w:szCs w:val="21"/>
          <w:highlight w:val="none"/>
        </w:rPr>
        <w:t>日</w:t>
      </w:r>
    </w:p>
    <w:p w14:paraId="703AF647">
      <w:pPr>
        <w:spacing w:line="360" w:lineRule="auto"/>
        <w:ind w:firstLine="420" w:firstLineChars="200"/>
        <w:rPr>
          <w:rFonts w:hint="eastAsia" w:ascii="宋体" w:hAnsi="宋体" w:cs="宋体"/>
          <w:color w:val="auto"/>
          <w:szCs w:val="21"/>
          <w:highlight w:val="none"/>
        </w:rPr>
      </w:pPr>
      <w:r>
        <w:rPr>
          <w:rFonts w:hint="eastAsia" w:ascii="宋体" w:hAnsi="宋体" w:eastAsia="宋体" w:cs="宋体"/>
          <w:color w:val="auto"/>
          <w:szCs w:val="21"/>
          <w:highlight w:val="none"/>
        </w:rPr>
        <w:br w:type="page"/>
      </w:r>
    </w:p>
    <w:bookmarkEnd w:id="1"/>
    <w:p w14:paraId="0A924A5D">
      <w:pPr>
        <w:pStyle w:val="2"/>
        <w:jc w:val="center"/>
        <w:rPr>
          <w:rFonts w:hint="eastAsia" w:ascii="宋体" w:hAnsi="宋体" w:cs="宋体"/>
          <w:color w:val="auto"/>
          <w:highlight w:val="none"/>
        </w:rPr>
      </w:pPr>
      <w:bookmarkStart w:id="21" w:name="_Toc18376"/>
      <w:r>
        <w:rPr>
          <w:rFonts w:hint="eastAsia" w:ascii="宋体" w:hAnsi="宋体" w:cs="宋体"/>
          <w:color w:val="auto"/>
          <w:highlight w:val="none"/>
        </w:rPr>
        <w:t>第二章 供应商须知</w:t>
      </w:r>
      <w:bookmarkEnd w:id="21"/>
    </w:p>
    <w:p w14:paraId="3DC4C603">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供应商须知前附表</w:t>
      </w:r>
    </w:p>
    <w:p w14:paraId="49BBDAE3">
      <w:pPr>
        <w:spacing w:line="400" w:lineRule="exact"/>
        <w:jc w:val="center"/>
        <w:rPr>
          <w:rFonts w:hint="eastAsia" w:ascii="宋体" w:hAnsi="宋体" w:cs="宋体"/>
          <w:b/>
          <w:color w:val="auto"/>
          <w:sz w:val="32"/>
          <w:szCs w:val="32"/>
          <w:highlight w:val="none"/>
        </w:rPr>
      </w:pPr>
    </w:p>
    <w:tbl>
      <w:tblPr>
        <w:tblStyle w:val="16"/>
        <w:tblW w:w="925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1"/>
        <w:gridCol w:w="8385"/>
      </w:tblGrid>
      <w:tr w14:paraId="6C0A7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noWrap w:val="0"/>
            <w:vAlign w:val="top"/>
          </w:tcPr>
          <w:p w14:paraId="4D5FF90D">
            <w:pPr>
              <w:spacing w:line="312"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8385" w:type="dxa"/>
            <w:noWrap w:val="0"/>
            <w:vAlign w:val="top"/>
          </w:tcPr>
          <w:p w14:paraId="0E3891B7">
            <w:pPr>
              <w:spacing w:line="312"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内    容</w:t>
            </w:r>
          </w:p>
        </w:tc>
      </w:tr>
      <w:tr w14:paraId="4653DA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noWrap w:val="0"/>
            <w:vAlign w:val="center"/>
          </w:tcPr>
          <w:p w14:paraId="27BBAFA9">
            <w:pPr>
              <w:spacing w:line="312"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8385" w:type="dxa"/>
            <w:noWrap w:val="0"/>
            <w:vAlign w:val="center"/>
          </w:tcPr>
          <w:p w14:paraId="23C66F30">
            <w:pPr>
              <w:spacing w:line="312" w:lineRule="auto"/>
              <w:rPr>
                <w:rFonts w:hint="eastAsia" w:ascii="宋体" w:hAnsi="宋体" w:cs="宋体"/>
                <w:color w:val="auto"/>
                <w:szCs w:val="21"/>
                <w:highlight w:val="none"/>
              </w:rPr>
            </w:pPr>
            <w:r>
              <w:rPr>
                <w:rFonts w:hint="eastAsia" w:ascii="宋体" w:hAnsi="宋体" w:cs="宋体"/>
                <w:bCs/>
                <w:color w:val="auto"/>
                <w:szCs w:val="21"/>
                <w:highlight w:val="none"/>
              </w:rPr>
              <w:t>1.供应商的资格条件</w:t>
            </w:r>
            <w:r>
              <w:rPr>
                <w:rFonts w:hint="eastAsia" w:ascii="宋体" w:hAnsi="宋体" w:cs="宋体"/>
                <w:color w:val="auto"/>
                <w:szCs w:val="21"/>
                <w:highlight w:val="none"/>
              </w:rPr>
              <w:t>：详见竞争性磋商公告</w:t>
            </w:r>
          </w:p>
          <w:p w14:paraId="163028AE">
            <w:pPr>
              <w:spacing w:line="312" w:lineRule="auto"/>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Cs/>
                <w:color w:val="auto"/>
                <w:szCs w:val="21"/>
                <w:highlight w:val="none"/>
              </w:rPr>
              <w:t>供应商</w:t>
            </w:r>
            <w:r>
              <w:rPr>
                <w:rFonts w:hint="eastAsia" w:ascii="宋体" w:hAnsi="宋体" w:cs="宋体"/>
                <w:color w:val="auto"/>
                <w:szCs w:val="21"/>
                <w:highlight w:val="none"/>
              </w:rPr>
              <w:t>出现下列情形之一的，不得参加政府采购活动：</w:t>
            </w:r>
          </w:p>
          <w:p w14:paraId="3E8F1D12">
            <w:pPr>
              <w:spacing w:line="312" w:lineRule="auto"/>
              <w:rPr>
                <w:rFonts w:hint="eastAsia"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60FB18E">
            <w:pPr>
              <w:spacing w:line="312" w:lineRule="auto"/>
              <w:rPr>
                <w:rFonts w:hint="eastAsia" w:ascii="宋体" w:hAnsi="宋体" w:cs="宋体"/>
                <w:color w:val="auto"/>
                <w:szCs w:val="21"/>
                <w:highlight w:val="none"/>
              </w:rPr>
            </w:pPr>
            <w:r>
              <w:rPr>
                <w:rFonts w:hint="eastAsia" w:ascii="宋体" w:hAnsi="宋体" w:cs="宋体"/>
                <w:color w:val="auto"/>
                <w:szCs w:val="21"/>
                <w:highlight w:val="none"/>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2EE033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noWrap w:val="0"/>
            <w:vAlign w:val="center"/>
          </w:tcPr>
          <w:p w14:paraId="634905AA">
            <w:pPr>
              <w:spacing w:line="312" w:lineRule="auto"/>
              <w:jc w:val="center"/>
              <w:rPr>
                <w:rFonts w:hint="eastAsia" w:ascii="宋体" w:hAnsi="宋体" w:cs="宋体"/>
                <w:color w:val="auto"/>
                <w:szCs w:val="21"/>
                <w:highlight w:val="none"/>
              </w:rPr>
            </w:pPr>
            <w:r>
              <w:rPr>
                <w:rFonts w:hint="eastAsia" w:ascii="宋体" w:hAnsi="宋体" w:cs="宋体"/>
                <w:color w:val="auto"/>
                <w:szCs w:val="21"/>
                <w:highlight w:val="none"/>
              </w:rPr>
              <w:t>5.1</w:t>
            </w:r>
          </w:p>
        </w:tc>
        <w:tc>
          <w:tcPr>
            <w:tcW w:w="8385" w:type="dxa"/>
            <w:noWrap w:val="0"/>
            <w:vAlign w:val="center"/>
          </w:tcPr>
          <w:p w14:paraId="2D4436D1">
            <w:pPr>
              <w:spacing w:line="312" w:lineRule="auto"/>
              <w:rPr>
                <w:rFonts w:hint="eastAsia" w:ascii="宋体" w:hAnsi="宋体" w:cs="宋体"/>
                <w:color w:val="auto"/>
                <w:szCs w:val="21"/>
                <w:highlight w:val="none"/>
              </w:rPr>
            </w:pPr>
            <w:r>
              <w:rPr>
                <w:rFonts w:hint="eastAsia" w:ascii="宋体" w:hAnsi="宋体" w:cs="宋体"/>
                <w:color w:val="auto"/>
                <w:szCs w:val="21"/>
                <w:highlight w:val="none"/>
              </w:rPr>
              <w:t>是否接受联合体竞标: 详见竞争性磋商公告</w:t>
            </w:r>
          </w:p>
        </w:tc>
      </w:tr>
      <w:tr w14:paraId="3E2F75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noWrap w:val="0"/>
            <w:vAlign w:val="center"/>
          </w:tcPr>
          <w:p w14:paraId="7D54061D">
            <w:pPr>
              <w:spacing w:line="312" w:lineRule="auto"/>
              <w:jc w:val="center"/>
              <w:rPr>
                <w:rFonts w:hint="eastAsia" w:ascii="宋体" w:hAnsi="宋体" w:cs="宋体"/>
                <w:color w:val="auto"/>
                <w:szCs w:val="21"/>
                <w:highlight w:val="none"/>
              </w:rPr>
            </w:pPr>
            <w:r>
              <w:rPr>
                <w:rFonts w:hint="eastAsia" w:ascii="宋体" w:hAnsi="宋体" w:cs="宋体"/>
                <w:color w:val="auto"/>
                <w:szCs w:val="21"/>
                <w:highlight w:val="none"/>
              </w:rPr>
              <w:t>6.2</w:t>
            </w:r>
          </w:p>
        </w:tc>
        <w:tc>
          <w:tcPr>
            <w:tcW w:w="8385" w:type="dxa"/>
            <w:noWrap w:val="0"/>
            <w:vAlign w:val="center"/>
          </w:tcPr>
          <w:p w14:paraId="071E2328">
            <w:pPr>
              <w:pStyle w:val="7"/>
              <w:spacing w:line="312"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是否允许分包：☑不允许</w:t>
            </w:r>
          </w:p>
        </w:tc>
      </w:tr>
      <w:tr w14:paraId="34B4A2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noWrap w:val="0"/>
            <w:vAlign w:val="center"/>
          </w:tcPr>
          <w:p w14:paraId="31A01490">
            <w:pPr>
              <w:spacing w:line="312" w:lineRule="auto"/>
              <w:jc w:val="center"/>
              <w:rPr>
                <w:rFonts w:hint="eastAsia" w:ascii="宋体" w:hAnsi="宋体" w:cs="宋体"/>
                <w:color w:val="auto"/>
                <w:szCs w:val="21"/>
                <w:highlight w:val="none"/>
              </w:rPr>
            </w:pPr>
            <w:r>
              <w:rPr>
                <w:rFonts w:hint="eastAsia" w:ascii="宋体" w:hAnsi="宋体" w:cs="宋体"/>
                <w:color w:val="auto"/>
                <w:szCs w:val="21"/>
                <w:highlight w:val="none"/>
              </w:rPr>
              <w:t>12.1.1</w:t>
            </w:r>
          </w:p>
        </w:tc>
        <w:tc>
          <w:tcPr>
            <w:tcW w:w="8385" w:type="dxa"/>
            <w:noWrap w:val="0"/>
            <w:vAlign w:val="center"/>
          </w:tcPr>
          <w:p w14:paraId="75DAB292">
            <w:pPr>
              <w:snapToGrid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资格证明文件</w:t>
            </w:r>
          </w:p>
          <w:p w14:paraId="526D71CD">
            <w:pPr>
              <w:pStyle w:val="7"/>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1.法人或者其他组织的营业执照等证明文件（如营业执照或事业单位法人证书或执业许可证等），自然人的身份证复印件；（</w:t>
            </w:r>
            <w:r>
              <w:rPr>
                <w:rFonts w:hint="eastAsia" w:ascii="宋体" w:hAnsi="宋体" w:cs="宋体"/>
                <w:b/>
                <w:color w:val="auto"/>
                <w:szCs w:val="21"/>
                <w:highlight w:val="none"/>
                <w:lang w:val="en-US" w:eastAsia="zh-CN"/>
              </w:rPr>
              <w:t>必须提供，否则响应文件按无效响应处理</w:t>
            </w:r>
            <w:r>
              <w:rPr>
                <w:rFonts w:hint="eastAsia" w:ascii="宋体" w:hAnsi="宋体" w:cs="宋体"/>
                <w:color w:val="auto"/>
                <w:szCs w:val="21"/>
                <w:highlight w:val="none"/>
                <w:lang w:val="en-US" w:eastAsia="zh-CN"/>
              </w:rPr>
              <w:t>）；</w:t>
            </w:r>
          </w:p>
          <w:p w14:paraId="3344983C">
            <w:pPr>
              <w:spacing w:line="360" w:lineRule="auto"/>
              <w:contextualSpacing/>
              <w:rPr>
                <w:rFonts w:hint="eastAsia" w:ascii="宋体" w:hAnsi="宋体" w:cs="宋体"/>
                <w:b/>
                <w:color w:val="auto"/>
                <w:highlight w:val="none"/>
              </w:rPr>
            </w:pPr>
            <w:r>
              <w:rPr>
                <w:rFonts w:hint="eastAsia" w:ascii="宋体" w:hAnsi="宋体" w:cs="宋体"/>
                <w:color w:val="auto"/>
                <w:szCs w:val="21"/>
                <w:highlight w:val="none"/>
              </w:rPr>
              <w:t>2.贵港市政府采购项目投标资格承诺函；</w:t>
            </w:r>
            <w:r>
              <w:rPr>
                <w:rFonts w:hint="eastAsia" w:ascii="宋体" w:hAnsi="宋体" w:cs="宋体"/>
                <w:b/>
                <w:bCs/>
                <w:color w:val="auto"/>
                <w:szCs w:val="21"/>
                <w:highlight w:val="none"/>
              </w:rPr>
              <w:t>（必须提供，否则响应文件按无效响应处理）</w:t>
            </w:r>
            <w:r>
              <w:rPr>
                <w:rFonts w:hint="eastAsia" w:ascii="宋体" w:hAnsi="宋体" w:cs="宋体"/>
                <w:color w:val="auto"/>
                <w:highlight w:val="none"/>
              </w:rPr>
              <w:t>；</w:t>
            </w:r>
          </w:p>
          <w:p w14:paraId="0C8E9C52">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.供应商直接控股、管理关系信息表（格式后附）；（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033C200">
            <w:pPr>
              <w:snapToGrid w:val="0"/>
              <w:spacing w:line="360" w:lineRule="auto"/>
              <w:jc w:val="left"/>
              <w:rPr>
                <w:rFonts w:hint="eastAsia" w:ascii="宋体" w:hAnsi="宋体" w:cs="宋体"/>
                <w:b/>
                <w:bCs/>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.竞标声明（格式后附）；</w:t>
            </w:r>
            <w:r>
              <w:rPr>
                <w:rFonts w:hint="eastAsia" w:ascii="宋体" w:hAnsi="宋体" w:cs="宋体"/>
                <w:b/>
                <w:bCs/>
                <w:color w:val="auto"/>
                <w:szCs w:val="21"/>
                <w:highlight w:val="none"/>
              </w:rPr>
              <w:t>（必须提供，否则响应文件按无效响应处理）</w:t>
            </w:r>
          </w:p>
          <w:p w14:paraId="65F9988B">
            <w:pPr>
              <w:snapToGrid w:val="0"/>
              <w:spacing w:line="360" w:lineRule="auto"/>
              <w:jc w:val="left"/>
              <w:rPr>
                <w:rFonts w:ascii="宋体" w:hAnsi="宋体" w:cs="宋体"/>
                <w:b/>
                <w:bCs/>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.供应商必须具备食品经营许可证或者食品生产许可证（仅销售自己生产的食品）或食品经营者备案（仅销售预包装食品）；</w:t>
            </w:r>
            <w:r>
              <w:rPr>
                <w:rFonts w:hint="eastAsia" w:ascii="宋体" w:hAnsi="宋体" w:cs="宋体"/>
                <w:b/>
                <w:bCs/>
                <w:color w:val="auto"/>
                <w:szCs w:val="21"/>
                <w:highlight w:val="none"/>
              </w:rPr>
              <w:t>（必须提供，否则响应文件按无效响应处理）</w:t>
            </w:r>
          </w:p>
          <w:p w14:paraId="6A6AA503">
            <w:pPr>
              <w:snapToGrid w:val="0"/>
              <w:spacing w:line="360" w:lineRule="auto"/>
              <w:jc w:val="left"/>
              <w:rPr>
                <w:rFonts w:hint="eastAsia" w:ascii="宋体" w:hAnsi="宋体" w:cs="宋体"/>
                <w:b/>
                <w:bCs/>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.中小企业声明函（格式后附）或残疾人福利性单位声明函（格式后附）或监狱企业的证明文件；</w:t>
            </w:r>
            <w:r>
              <w:rPr>
                <w:rFonts w:hint="eastAsia" w:ascii="宋体" w:hAnsi="宋体" w:cs="宋体"/>
                <w:b/>
                <w:bCs/>
                <w:color w:val="auto"/>
                <w:szCs w:val="21"/>
                <w:highlight w:val="none"/>
              </w:rPr>
              <w:t>（必须提供，否则响应文件按无效响应处理）</w:t>
            </w:r>
          </w:p>
          <w:p w14:paraId="55385473">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w:t>
            </w:r>
            <w:r>
              <w:rPr>
                <w:rFonts w:hint="eastAsia" w:ascii="宋体" w:hAnsi="宋体" w:cs="宋体"/>
                <w:bCs/>
                <w:color w:val="auto"/>
                <w:szCs w:val="21"/>
                <w:highlight w:val="none"/>
              </w:rPr>
              <w:t>除竞争性磋商文件</w:t>
            </w:r>
            <w:r>
              <w:rPr>
                <w:rFonts w:hint="eastAsia" w:ascii="宋体" w:hAnsi="宋体" w:cs="宋体"/>
                <w:color w:val="auto"/>
                <w:szCs w:val="21"/>
                <w:highlight w:val="none"/>
              </w:rPr>
              <w:t>规定必须提供以外，供应商认为需要提供的其他证明材料；</w:t>
            </w:r>
          </w:p>
          <w:p w14:paraId="2FEFD440">
            <w:pPr>
              <w:snapToGrid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注：</w:t>
            </w:r>
          </w:p>
          <w:p w14:paraId="045D9FEE">
            <w:pPr>
              <w:snapToGrid w:val="0"/>
              <w:spacing w:line="360" w:lineRule="auto"/>
              <w:ind w:firstLine="413" w:firstLineChars="196"/>
              <w:jc w:val="left"/>
              <w:rPr>
                <w:rFonts w:hint="eastAsia" w:ascii="宋体" w:hAnsi="宋体" w:cs="宋体"/>
                <w:b/>
                <w:color w:val="auto"/>
                <w:szCs w:val="21"/>
                <w:highlight w:val="none"/>
              </w:rPr>
            </w:pPr>
            <w:r>
              <w:rPr>
                <w:rFonts w:hint="eastAsia" w:ascii="宋体" w:hAnsi="宋体" w:cs="宋体"/>
                <w:b/>
                <w:color w:val="auto"/>
                <w:szCs w:val="21"/>
                <w:highlight w:val="none"/>
              </w:rPr>
              <w:t>1.以上标明“必须提供”材料的，必须加盖供应商电子签章，否则响应文件按无效响应处理。</w:t>
            </w:r>
          </w:p>
          <w:p w14:paraId="3D31EEBA">
            <w:pPr>
              <w:snapToGrid w:val="0"/>
              <w:spacing w:line="360" w:lineRule="auto"/>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2.竞标声明必须由法定代表人在规定签章处签字或盖章或电子签名，并加盖供应商电子签章，否则响应文件按无效响应处理。</w:t>
            </w:r>
          </w:p>
          <w:p w14:paraId="73FF8839">
            <w:pPr>
              <w:snapToGrid w:val="0"/>
              <w:spacing w:line="360" w:lineRule="auto"/>
              <w:ind w:firstLine="422" w:firstLineChars="200"/>
              <w:jc w:val="left"/>
              <w:rPr>
                <w:rFonts w:hint="eastAsia" w:ascii="宋体" w:hAnsi="宋体" w:cs="宋体"/>
                <w:color w:val="auto"/>
                <w:szCs w:val="21"/>
                <w:highlight w:val="none"/>
              </w:rPr>
            </w:pPr>
            <w:r>
              <w:rPr>
                <w:rFonts w:hint="eastAsia" w:ascii="宋体" w:hAnsi="宋体" w:cs="宋体"/>
                <w:b/>
                <w:color w:val="auto"/>
                <w:szCs w:val="21"/>
                <w:highlight w:val="none"/>
              </w:rPr>
              <w:t>3.供应商直接控股、管理关系信息表必须由法定代表人或委托代理人在规定签章处签字或盖章或电子签名，否则响应文件按无效响应处理。</w:t>
            </w:r>
          </w:p>
        </w:tc>
      </w:tr>
      <w:tr w14:paraId="289EC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noWrap w:val="0"/>
            <w:vAlign w:val="center"/>
          </w:tcPr>
          <w:p w14:paraId="3839B2B6">
            <w:pPr>
              <w:spacing w:line="312" w:lineRule="auto"/>
              <w:jc w:val="center"/>
              <w:rPr>
                <w:rFonts w:hint="eastAsia" w:ascii="宋体" w:hAnsi="宋体" w:cs="宋体"/>
                <w:color w:val="auto"/>
                <w:szCs w:val="21"/>
                <w:highlight w:val="none"/>
              </w:rPr>
            </w:pPr>
            <w:r>
              <w:rPr>
                <w:rFonts w:hint="eastAsia" w:ascii="宋体" w:hAnsi="宋体" w:cs="宋体"/>
                <w:color w:val="auto"/>
                <w:szCs w:val="21"/>
                <w:highlight w:val="none"/>
              </w:rPr>
              <w:t>12.1.2</w:t>
            </w:r>
          </w:p>
        </w:tc>
        <w:tc>
          <w:tcPr>
            <w:tcW w:w="8385" w:type="dxa"/>
            <w:noWrap w:val="0"/>
            <w:vAlign w:val="center"/>
          </w:tcPr>
          <w:p w14:paraId="00FEE918">
            <w:pPr>
              <w:snapToGrid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报价文件</w:t>
            </w:r>
          </w:p>
          <w:p w14:paraId="5E258FC0">
            <w:pPr>
              <w:snapToGrid w:val="0"/>
              <w:spacing w:line="360" w:lineRule="auto"/>
              <w:ind w:firstLine="420" w:firstLineChars="200"/>
              <w:jc w:val="left"/>
              <w:rPr>
                <w:rFonts w:hint="eastAsia" w:ascii="宋体" w:hAnsi="宋体" w:cs="宋体"/>
                <w:b/>
                <w:color w:val="auto"/>
                <w:szCs w:val="21"/>
                <w:highlight w:val="none"/>
              </w:rPr>
            </w:pPr>
            <w:r>
              <w:rPr>
                <w:rFonts w:hint="eastAsia" w:ascii="宋体" w:hAnsi="宋体" w:cs="宋体"/>
                <w:bCs/>
                <w:color w:val="auto"/>
                <w:szCs w:val="21"/>
                <w:highlight w:val="none"/>
              </w:rPr>
              <w:t>1.竞标报价表（格式后附）；</w:t>
            </w:r>
            <w:r>
              <w:rPr>
                <w:rFonts w:hint="eastAsia" w:ascii="宋体" w:hAnsi="宋体" w:cs="宋体"/>
                <w:b/>
                <w:color w:val="auto"/>
                <w:szCs w:val="21"/>
                <w:highlight w:val="none"/>
              </w:rPr>
              <w:t>（必须提供，否则响应文件按无效处理）</w:t>
            </w:r>
          </w:p>
          <w:p w14:paraId="1EA68025">
            <w:pPr>
              <w:snapToGrid w:val="0"/>
              <w:spacing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2.供应商认为需要提供的其他有关资料。</w:t>
            </w:r>
          </w:p>
          <w:p w14:paraId="00797576">
            <w:pPr>
              <w:spacing w:line="360" w:lineRule="auto"/>
              <w:rPr>
                <w:rFonts w:hint="eastAsia" w:ascii="宋体" w:hAnsi="宋体" w:cs="宋体"/>
                <w:bCs/>
                <w:color w:val="auto"/>
                <w:szCs w:val="21"/>
                <w:highlight w:val="none"/>
              </w:rPr>
            </w:pPr>
            <w:r>
              <w:rPr>
                <w:rFonts w:hint="eastAsia" w:ascii="宋体" w:hAnsi="宋体" w:cs="宋体"/>
                <w:b/>
                <w:color w:val="auto"/>
                <w:szCs w:val="21"/>
                <w:highlight w:val="none"/>
              </w:rPr>
              <w:t>注：以上标明“必须提供”材料属于扫描件或复印件的，必须加盖供应商CA签章，否则电子响应文件作无效处理。</w:t>
            </w:r>
          </w:p>
        </w:tc>
      </w:tr>
      <w:tr w14:paraId="45DE7A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noWrap w:val="0"/>
            <w:vAlign w:val="center"/>
          </w:tcPr>
          <w:p w14:paraId="06CE8F4D">
            <w:pPr>
              <w:spacing w:line="312" w:lineRule="auto"/>
              <w:jc w:val="center"/>
              <w:rPr>
                <w:rFonts w:hint="eastAsia" w:ascii="宋体" w:hAnsi="宋体" w:cs="宋体"/>
                <w:color w:val="auto"/>
                <w:szCs w:val="21"/>
                <w:highlight w:val="none"/>
              </w:rPr>
            </w:pPr>
            <w:r>
              <w:rPr>
                <w:rFonts w:hint="eastAsia" w:ascii="宋体" w:hAnsi="宋体" w:cs="宋体"/>
                <w:color w:val="auto"/>
                <w:szCs w:val="21"/>
                <w:highlight w:val="none"/>
              </w:rPr>
              <w:t>12.1.3</w:t>
            </w:r>
          </w:p>
        </w:tc>
        <w:tc>
          <w:tcPr>
            <w:tcW w:w="8385" w:type="dxa"/>
            <w:noWrap w:val="0"/>
            <w:vAlign w:val="center"/>
          </w:tcPr>
          <w:p w14:paraId="0671EF58">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商务技术文件</w:t>
            </w:r>
          </w:p>
          <w:p w14:paraId="54CBEE7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1.无串通竞标行为的承诺函（格式后附）；（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4846CE0">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2.法定代表人身份证明书及法定代表人有效身份证正反面复印件（格式后附）；（</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A988DE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3.法定代表人授权委托书及委托代理人有效身份证正反面复印件（格式后附）；（</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224F750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4.技术要求响应偏离表（格式后附）；（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827163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5.商务要求响应偏离表（格式后附）；（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C9A25A7">
            <w:pPr>
              <w:spacing w:line="360" w:lineRule="auto"/>
              <w:rPr>
                <w:rFonts w:hint="eastAsia" w:ascii="宋体" w:hAnsi="宋体" w:cs="宋体"/>
                <w:b/>
                <w:bCs/>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.技术服务方案；</w:t>
            </w:r>
            <w:r>
              <w:rPr>
                <w:rFonts w:hint="eastAsia" w:ascii="宋体" w:hAnsi="宋体" w:cs="宋体"/>
                <w:b/>
                <w:bCs/>
                <w:color w:val="auto"/>
                <w:szCs w:val="21"/>
                <w:highlight w:val="none"/>
              </w:rPr>
              <w:t>（必须提供，否则响应文件作无效处理）</w:t>
            </w:r>
          </w:p>
          <w:p w14:paraId="0B2B046A">
            <w:pPr>
              <w:spacing w:line="360" w:lineRule="auto"/>
              <w:rPr>
                <w:rFonts w:hint="eastAsia" w:ascii="宋体" w:hAnsi="宋体" w:cs="宋体"/>
                <w:b/>
                <w:bCs/>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.拟投入项目实施人员一览表（格式后附）；</w:t>
            </w:r>
          </w:p>
          <w:p w14:paraId="571B611C">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.对应采购需求的商务要求提供的其他文件资料；</w:t>
            </w:r>
          </w:p>
          <w:p w14:paraId="335D65A7">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.对应采购需求的技术需求提供的其他文件资料；</w:t>
            </w:r>
          </w:p>
          <w:p w14:paraId="1B885EB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.供应商认为需要提供的有关资料。</w:t>
            </w:r>
          </w:p>
          <w:p w14:paraId="692ADA55">
            <w:pPr>
              <w:snapToGrid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注： </w:t>
            </w:r>
          </w:p>
          <w:p w14:paraId="408C46DC">
            <w:pPr>
              <w:snapToGrid w:val="0"/>
              <w:spacing w:line="360" w:lineRule="auto"/>
              <w:ind w:firstLine="413" w:firstLineChars="196"/>
              <w:jc w:val="left"/>
              <w:rPr>
                <w:rFonts w:hint="eastAsia" w:ascii="宋体" w:hAnsi="宋体" w:cs="宋体"/>
                <w:b/>
                <w:color w:val="auto"/>
                <w:szCs w:val="21"/>
                <w:highlight w:val="none"/>
              </w:rPr>
            </w:pPr>
            <w:r>
              <w:rPr>
                <w:rFonts w:hint="eastAsia" w:ascii="宋体" w:hAnsi="宋体" w:cs="宋体"/>
                <w:b/>
                <w:color w:val="auto"/>
                <w:szCs w:val="21"/>
                <w:highlight w:val="none"/>
              </w:rPr>
              <w:t>1.法定代表人授权委托书必须由法定代表人及委托代理人签字或盖章或电子签名，并加盖供应商电子签章，否则响应文件按无效响应处理。</w:t>
            </w:r>
          </w:p>
          <w:p w14:paraId="3D978979">
            <w:pPr>
              <w:spacing w:line="360" w:lineRule="auto"/>
              <w:ind w:firstLine="413" w:firstLineChars="196"/>
              <w:rPr>
                <w:rFonts w:hint="eastAsia" w:ascii="宋体" w:hAnsi="宋体" w:cs="宋体"/>
                <w:b/>
                <w:color w:val="auto"/>
                <w:szCs w:val="21"/>
                <w:highlight w:val="none"/>
              </w:rPr>
            </w:pPr>
            <w:r>
              <w:rPr>
                <w:rFonts w:hint="eastAsia" w:ascii="宋体" w:hAnsi="宋体" w:cs="宋体"/>
                <w:b/>
                <w:color w:val="auto"/>
                <w:szCs w:val="21"/>
                <w:highlight w:val="none"/>
              </w:rPr>
              <w:t>2.以上标明“必须提供”材料的，必须加盖供应商电子签章，否则响应文件按无效响应处理。</w:t>
            </w:r>
          </w:p>
          <w:p w14:paraId="18264FC8">
            <w:pPr>
              <w:spacing w:line="360" w:lineRule="auto"/>
              <w:ind w:firstLine="413" w:firstLineChars="196"/>
              <w:rPr>
                <w:rFonts w:hint="eastAsia" w:ascii="宋体" w:hAnsi="宋体" w:cs="宋体"/>
                <w:color w:val="auto"/>
                <w:szCs w:val="21"/>
                <w:highlight w:val="none"/>
              </w:rPr>
            </w:pPr>
            <w:r>
              <w:rPr>
                <w:rFonts w:hint="eastAsia" w:ascii="宋体" w:hAnsi="宋体" w:cs="宋体"/>
                <w:b/>
                <w:color w:val="auto"/>
                <w:szCs w:val="21"/>
                <w:highlight w:val="none"/>
              </w:rPr>
              <w:t>3.以上材料未附格式的，由供应商自行拟定。</w:t>
            </w:r>
          </w:p>
        </w:tc>
      </w:tr>
      <w:tr w14:paraId="308A7F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5" w:hRule="atLeast"/>
          <w:jc w:val="center"/>
        </w:trPr>
        <w:tc>
          <w:tcPr>
            <w:tcW w:w="871" w:type="dxa"/>
            <w:noWrap w:val="0"/>
            <w:vAlign w:val="center"/>
          </w:tcPr>
          <w:p w14:paraId="60C9E426">
            <w:pPr>
              <w:spacing w:line="312" w:lineRule="auto"/>
              <w:jc w:val="center"/>
              <w:rPr>
                <w:rFonts w:hint="eastAsia" w:ascii="宋体" w:hAnsi="宋体" w:cs="宋体"/>
                <w:color w:val="auto"/>
                <w:szCs w:val="21"/>
                <w:highlight w:val="none"/>
              </w:rPr>
            </w:pPr>
            <w:r>
              <w:rPr>
                <w:rFonts w:hint="eastAsia" w:ascii="宋体" w:hAnsi="宋体" w:cs="宋体"/>
                <w:color w:val="auto"/>
                <w:szCs w:val="21"/>
                <w:highlight w:val="none"/>
              </w:rPr>
              <w:t>15.2</w:t>
            </w:r>
          </w:p>
        </w:tc>
        <w:tc>
          <w:tcPr>
            <w:tcW w:w="8385" w:type="dxa"/>
            <w:noWrap w:val="0"/>
            <w:vAlign w:val="center"/>
          </w:tcPr>
          <w:p w14:paraId="03AD46AF">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竞标报价应当包含满足本次竞标全部服务的所有费用。</w:t>
            </w:r>
          </w:p>
          <w:p w14:paraId="462FF60C">
            <w:pPr>
              <w:snapToGrid w:val="0"/>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 xml:space="preserve">☑竞标报价包含采购代理服务费 </w:t>
            </w:r>
          </w:p>
          <w:p w14:paraId="7A49B9D4">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1、供货价格须包含品种的成本、运输、装卸、搬运、保险、利润、税金、质保期售后服务、雇员费、合同实施过程中的应预见和或不可预见等费用总和。所产生的费用由中标人负责。</w:t>
            </w:r>
          </w:p>
          <w:p w14:paraId="0E396DC1">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、不论竞标结果如何，竞标人均应自行承担所有与竞标有关的全部费用。</w:t>
            </w:r>
          </w:p>
        </w:tc>
      </w:tr>
      <w:tr w14:paraId="7A5C5D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noWrap w:val="0"/>
            <w:vAlign w:val="center"/>
          </w:tcPr>
          <w:p w14:paraId="7204751E">
            <w:pPr>
              <w:spacing w:line="312" w:lineRule="auto"/>
              <w:jc w:val="center"/>
              <w:rPr>
                <w:rFonts w:hint="eastAsia" w:ascii="宋体" w:hAnsi="宋体" w:cs="宋体"/>
                <w:color w:val="auto"/>
                <w:szCs w:val="21"/>
                <w:highlight w:val="none"/>
              </w:rPr>
            </w:pPr>
            <w:r>
              <w:rPr>
                <w:rFonts w:hint="eastAsia" w:ascii="宋体" w:hAnsi="宋体" w:cs="宋体"/>
                <w:color w:val="auto"/>
                <w:szCs w:val="21"/>
                <w:highlight w:val="none"/>
              </w:rPr>
              <w:t>16.2</w:t>
            </w:r>
          </w:p>
        </w:tc>
        <w:tc>
          <w:tcPr>
            <w:tcW w:w="8385" w:type="dxa"/>
            <w:noWrap w:val="0"/>
            <w:vAlign w:val="center"/>
          </w:tcPr>
          <w:p w14:paraId="47B68101">
            <w:pPr>
              <w:pStyle w:val="5"/>
              <w:widowControl w:val="0"/>
              <w:tabs>
                <w:tab w:val="left" w:pos="720"/>
                <w:tab w:val="left" w:pos="840"/>
              </w:tabs>
              <w:snapToGrid w:val="0"/>
              <w:spacing w:afterLines="0" w:line="312" w:lineRule="auto"/>
              <w:ind w:left="283" w:hanging="283" w:hangingChars="135"/>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竞标有效期：自首次响应文件提交截止之日起90日。</w:t>
            </w:r>
          </w:p>
        </w:tc>
      </w:tr>
      <w:tr w14:paraId="6BD920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noWrap w:val="0"/>
            <w:vAlign w:val="center"/>
          </w:tcPr>
          <w:p w14:paraId="529EEC93">
            <w:pPr>
              <w:spacing w:line="312" w:lineRule="auto"/>
              <w:jc w:val="center"/>
              <w:rPr>
                <w:rFonts w:hint="eastAsia" w:ascii="宋体" w:hAnsi="宋体" w:cs="宋体"/>
                <w:color w:val="auto"/>
                <w:szCs w:val="21"/>
                <w:highlight w:val="none"/>
              </w:rPr>
            </w:pPr>
            <w:r>
              <w:rPr>
                <w:rFonts w:hint="eastAsia" w:ascii="宋体" w:hAnsi="宋体" w:cs="宋体"/>
                <w:color w:val="auto"/>
                <w:szCs w:val="21"/>
                <w:highlight w:val="none"/>
              </w:rPr>
              <w:t>17.1</w:t>
            </w:r>
          </w:p>
        </w:tc>
        <w:tc>
          <w:tcPr>
            <w:tcW w:w="8385" w:type="dxa"/>
            <w:noWrap w:val="0"/>
            <w:vAlign w:val="center"/>
          </w:tcPr>
          <w:p w14:paraId="6C1AA691">
            <w:pPr>
              <w:snapToGrid w:val="0"/>
              <w:spacing w:line="360" w:lineRule="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磋商保证金：</w:t>
            </w:r>
            <w:r>
              <w:rPr>
                <w:rFonts w:hint="eastAsia" w:ascii="宋体" w:hAnsi="宋体" w:cs="宋体"/>
                <w:color w:val="auto"/>
                <w:szCs w:val="21"/>
                <w:highlight w:val="none"/>
                <w:lang w:val="en-US" w:eastAsia="zh-CN"/>
              </w:rPr>
              <w:t>无。</w:t>
            </w:r>
          </w:p>
        </w:tc>
      </w:tr>
      <w:tr w14:paraId="1D818A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8" w:hRule="atLeast"/>
          <w:jc w:val="center"/>
        </w:trPr>
        <w:tc>
          <w:tcPr>
            <w:tcW w:w="871" w:type="dxa"/>
            <w:noWrap w:val="0"/>
            <w:vAlign w:val="center"/>
          </w:tcPr>
          <w:p w14:paraId="4469F9AB">
            <w:pPr>
              <w:spacing w:line="312" w:lineRule="auto"/>
              <w:jc w:val="center"/>
              <w:rPr>
                <w:rFonts w:hint="eastAsia" w:ascii="宋体" w:hAnsi="宋体" w:cs="宋体"/>
                <w:color w:val="auto"/>
                <w:szCs w:val="21"/>
                <w:highlight w:val="none"/>
              </w:rPr>
            </w:pPr>
            <w:r>
              <w:rPr>
                <w:rFonts w:hint="eastAsia" w:ascii="宋体" w:hAnsi="宋体" w:cs="宋体"/>
                <w:color w:val="auto"/>
                <w:szCs w:val="21"/>
                <w:highlight w:val="none"/>
              </w:rPr>
              <w:t>19</w:t>
            </w:r>
          </w:p>
        </w:tc>
        <w:tc>
          <w:tcPr>
            <w:tcW w:w="8385" w:type="dxa"/>
            <w:noWrap w:val="0"/>
            <w:vAlign w:val="center"/>
          </w:tcPr>
          <w:p w14:paraId="0882260D">
            <w:pPr>
              <w:snapToGrid w:val="0"/>
              <w:spacing w:line="312" w:lineRule="auto"/>
              <w:rPr>
                <w:rFonts w:hint="eastAsia" w:ascii="宋体" w:hAnsi="宋体" w:cs="宋体"/>
                <w:color w:val="auto"/>
                <w:szCs w:val="21"/>
                <w:highlight w:val="none"/>
              </w:rPr>
            </w:pPr>
            <w:r>
              <w:rPr>
                <w:rFonts w:hint="eastAsia" w:ascii="宋体" w:hAnsi="宋体" w:cs="宋体"/>
                <w:color w:val="auto"/>
                <w:szCs w:val="21"/>
                <w:highlight w:val="none"/>
              </w:rPr>
              <w:t>本项目不接受电子备份响应文件</w:t>
            </w:r>
          </w:p>
        </w:tc>
      </w:tr>
      <w:tr w14:paraId="63A2EB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1" w:hRule="atLeast"/>
          <w:jc w:val="center"/>
        </w:trPr>
        <w:tc>
          <w:tcPr>
            <w:tcW w:w="871" w:type="dxa"/>
            <w:noWrap w:val="0"/>
            <w:vAlign w:val="center"/>
          </w:tcPr>
          <w:p w14:paraId="0BD6515E">
            <w:pPr>
              <w:spacing w:line="312" w:lineRule="auto"/>
              <w:jc w:val="center"/>
              <w:rPr>
                <w:rFonts w:hint="eastAsia" w:ascii="宋体" w:hAnsi="宋体" w:cs="宋体"/>
                <w:color w:val="auto"/>
                <w:szCs w:val="21"/>
                <w:highlight w:val="none"/>
              </w:rPr>
            </w:pPr>
            <w:r>
              <w:rPr>
                <w:rFonts w:hint="eastAsia" w:ascii="宋体" w:hAnsi="宋体" w:cs="宋体"/>
                <w:color w:val="auto"/>
                <w:szCs w:val="21"/>
                <w:highlight w:val="none"/>
              </w:rPr>
              <w:t>20.1</w:t>
            </w:r>
          </w:p>
        </w:tc>
        <w:tc>
          <w:tcPr>
            <w:tcW w:w="8385" w:type="dxa"/>
            <w:noWrap w:val="0"/>
            <w:vAlign w:val="center"/>
          </w:tcPr>
          <w:p w14:paraId="39F29517">
            <w:pPr>
              <w:snapToGrid w:val="0"/>
              <w:spacing w:line="312" w:lineRule="auto"/>
              <w:jc w:val="left"/>
              <w:rPr>
                <w:rFonts w:hint="eastAsia" w:ascii="宋体" w:hAnsi="宋体" w:cs="宋体"/>
                <w:color w:val="auto"/>
                <w:szCs w:val="21"/>
                <w:highlight w:val="none"/>
                <w:u w:val="single"/>
              </w:rPr>
            </w:pPr>
            <w:r>
              <w:rPr>
                <w:rFonts w:hint="eastAsia" w:ascii="宋体" w:hAnsi="宋体" w:cs="宋体"/>
                <w:color w:val="auto"/>
                <w:szCs w:val="21"/>
                <w:highlight w:val="none"/>
              </w:rPr>
              <w:t>首次响应文件提交起止时间：详见竞争性磋商公告。</w:t>
            </w:r>
          </w:p>
          <w:p w14:paraId="6129C18D">
            <w:pPr>
              <w:snapToGrid w:val="0"/>
              <w:spacing w:line="312" w:lineRule="auto"/>
              <w:jc w:val="left"/>
              <w:rPr>
                <w:rFonts w:hint="eastAsia" w:ascii="宋体" w:hAnsi="宋体" w:cs="宋体"/>
                <w:color w:val="auto"/>
                <w:szCs w:val="21"/>
                <w:highlight w:val="none"/>
                <w:u w:val="single"/>
              </w:rPr>
            </w:pPr>
            <w:r>
              <w:rPr>
                <w:rFonts w:hint="eastAsia" w:ascii="宋体" w:hAnsi="宋体" w:cs="宋体"/>
                <w:color w:val="auto"/>
                <w:szCs w:val="21"/>
                <w:highlight w:val="none"/>
              </w:rPr>
              <w:t>首次响应文件提交截止时间：详见竞争性磋商公告。</w:t>
            </w:r>
          </w:p>
          <w:p w14:paraId="5DCCB482">
            <w:pPr>
              <w:snapToGrid w:val="0"/>
              <w:spacing w:line="312" w:lineRule="auto"/>
              <w:jc w:val="left"/>
              <w:rPr>
                <w:rFonts w:hint="eastAsia" w:ascii="宋体" w:hAnsi="宋体" w:cs="宋体"/>
                <w:color w:val="auto"/>
                <w:szCs w:val="21"/>
                <w:highlight w:val="none"/>
              </w:rPr>
            </w:pPr>
            <w:r>
              <w:rPr>
                <w:rFonts w:hint="eastAsia" w:ascii="宋体" w:hAnsi="宋体" w:cs="宋体"/>
                <w:color w:val="auto"/>
                <w:szCs w:val="21"/>
                <w:highlight w:val="none"/>
              </w:rPr>
              <w:t>首次响应文件提交地点：详见竞争性磋商公告。</w:t>
            </w:r>
          </w:p>
        </w:tc>
      </w:tr>
      <w:tr w14:paraId="001A06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noWrap w:val="0"/>
            <w:vAlign w:val="center"/>
          </w:tcPr>
          <w:p w14:paraId="452F5246">
            <w:pPr>
              <w:spacing w:line="312" w:lineRule="auto"/>
              <w:jc w:val="center"/>
              <w:rPr>
                <w:rFonts w:hint="eastAsia" w:ascii="宋体" w:hAnsi="宋体" w:cs="宋体"/>
                <w:color w:val="auto"/>
                <w:szCs w:val="21"/>
                <w:highlight w:val="none"/>
              </w:rPr>
            </w:pPr>
            <w:r>
              <w:rPr>
                <w:rFonts w:hint="eastAsia" w:ascii="宋体" w:hAnsi="宋体" w:cs="宋体"/>
                <w:color w:val="auto"/>
                <w:szCs w:val="21"/>
                <w:highlight w:val="none"/>
              </w:rPr>
              <w:t>24.1</w:t>
            </w:r>
          </w:p>
        </w:tc>
        <w:tc>
          <w:tcPr>
            <w:tcW w:w="8385" w:type="dxa"/>
            <w:noWrap w:val="0"/>
            <w:vAlign w:val="center"/>
          </w:tcPr>
          <w:p w14:paraId="765C1155">
            <w:pPr>
              <w:snapToGrid w:val="0"/>
              <w:spacing w:line="312" w:lineRule="auto"/>
              <w:jc w:val="left"/>
              <w:rPr>
                <w:rFonts w:hint="eastAsia" w:ascii="宋体" w:hAnsi="宋体" w:cs="宋体"/>
                <w:color w:val="auto"/>
                <w:szCs w:val="21"/>
                <w:highlight w:val="none"/>
                <w:u w:val="single"/>
              </w:rPr>
            </w:pPr>
            <w:r>
              <w:rPr>
                <w:rFonts w:hint="eastAsia" w:ascii="宋体" w:hAnsi="宋体" w:cs="宋体"/>
                <w:color w:val="auto"/>
                <w:szCs w:val="21"/>
                <w:highlight w:val="none"/>
              </w:rPr>
              <w:t>磋商小组的人数：</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人。</w:t>
            </w:r>
          </w:p>
        </w:tc>
      </w:tr>
      <w:tr w14:paraId="154854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noWrap w:val="0"/>
            <w:vAlign w:val="center"/>
          </w:tcPr>
          <w:p w14:paraId="0E998CCA">
            <w:pPr>
              <w:spacing w:line="312" w:lineRule="auto"/>
              <w:jc w:val="center"/>
              <w:rPr>
                <w:rFonts w:hint="eastAsia" w:ascii="宋体" w:hAnsi="宋体" w:cs="宋体"/>
                <w:color w:val="auto"/>
                <w:szCs w:val="21"/>
                <w:highlight w:val="none"/>
              </w:rPr>
            </w:pPr>
            <w:r>
              <w:rPr>
                <w:rFonts w:hint="eastAsia" w:ascii="宋体" w:hAnsi="宋体" w:cs="宋体"/>
                <w:color w:val="auto"/>
                <w:szCs w:val="21"/>
                <w:highlight w:val="none"/>
              </w:rPr>
              <w:t>25</w:t>
            </w:r>
          </w:p>
        </w:tc>
        <w:tc>
          <w:tcPr>
            <w:tcW w:w="8385" w:type="dxa"/>
            <w:noWrap w:val="0"/>
            <w:vAlign w:val="center"/>
          </w:tcPr>
          <w:p w14:paraId="28A5C214">
            <w:pPr>
              <w:snapToGrid w:val="0"/>
              <w:spacing w:line="312" w:lineRule="auto"/>
              <w:jc w:val="left"/>
              <w:rPr>
                <w:rFonts w:hint="eastAsia" w:ascii="宋体" w:hAnsi="宋体" w:cs="宋体"/>
                <w:color w:val="auto"/>
                <w:szCs w:val="21"/>
                <w:highlight w:val="none"/>
              </w:rPr>
            </w:pPr>
            <w:r>
              <w:rPr>
                <w:rFonts w:hint="eastAsia" w:ascii="宋体" w:hAnsi="宋体" w:cs="宋体"/>
                <w:color w:val="auto"/>
                <w:szCs w:val="21"/>
                <w:highlight w:val="none"/>
              </w:rPr>
              <w:t>首次响应文件的开启：通过广西政府采购云平台实行在线解密开启</w:t>
            </w:r>
          </w:p>
          <w:p w14:paraId="65CCB227">
            <w:pPr>
              <w:snapToGrid w:val="0"/>
              <w:spacing w:line="312" w:lineRule="auto"/>
              <w:jc w:val="left"/>
              <w:rPr>
                <w:rFonts w:hint="eastAsia" w:ascii="宋体" w:hAnsi="宋体" w:cs="宋体"/>
                <w:color w:val="auto"/>
                <w:szCs w:val="21"/>
                <w:highlight w:val="none"/>
              </w:rPr>
            </w:pPr>
            <w:r>
              <w:rPr>
                <w:rFonts w:hint="eastAsia" w:ascii="宋体" w:hAnsi="宋体" w:cs="宋体"/>
                <w:color w:val="auto"/>
                <w:szCs w:val="21"/>
                <w:highlight w:val="none"/>
              </w:rPr>
              <w:t>首次响应文件解密时间：</w:t>
            </w:r>
            <w:r>
              <w:rPr>
                <w:rFonts w:hint="eastAsia" w:ascii="宋体" w:hAnsi="宋体" w:cs="宋体"/>
                <w:color w:val="auto"/>
                <w:szCs w:val="21"/>
                <w:highlight w:val="none"/>
                <w:u w:val="single"/>
              </w:rPr>
              <w:t xml:space="preserve"> 30 </w:t>
            </w:r>
            <w:r>
              <w:rPr>
                <w:rFonts w:hint="eastAsia" w:ascii="宋体" w:hAnsi="宋体" w:cs="宋体"/>
                <w:color w:val="auto"/>
                <w:szCs w:val="21"/>
                <w:highlight w:val="none"/>
              </w:rPr>
              <w:t>分钟</w:t>
            </w:r>
          </w:p>
        </w:tc>
      </w:tr>
      <w:tr w14:paraId="0D9BAA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noWrap w:val="0"/>
            <w:vAlign w:val="center"/>
          </w:tcPr>
          <w:p w14:paraId="753A8F56">
            <w:pPr>
              <w:spacing w:line="312" w:lineRule="auto"/>
              <w:jc w:val="center"/>
              <w:rPr>
                <w:rFonts w:hint="eastAsia" w:ascii="宋体" w:hAnsi="宋体" w:cs="宋体"/>
                <w:color w:val="auto"/>
                <w:szCs w:val="21"/>
                <w:highlight w:val="none"/>
              </w:rPr>
            </w:pPr>
            <w:r>
              <w:rPr>
                <w:rFonts w:hint="eastAsia" w:ascii="宋体" w:hAnsi="宋体" w:cs="宋体"/>
                <w:color w:val="auto"/>
                <w:szCs w:val="21"/>
                <w:highlight w:val="none"/>
              </w:rPr>
              <w:t>26.3</w:t>
            </w:r>
          </w:p>
        </w:tc>
        <w:tc>
          <w:tcPr>
            <w:tcW w:w="8385" w:type="dxa"/>
            <w:noWrap w:val="0"/>
            <w:vAlign w:val="center"/>
          </w:tcPr>
          <w:p w14:paraId="17C67538">
            <w:pPr>
              <w:snapToGrid w:val="0"/>
              <w:spacing w:line="312" w:lineRule="auto"/>
              <w:rPr>
                <w:rFonts w:hint="eastAsia" w:ascii="宋体" w:hAnsi="宋体" w:cs="宋体"/>
                <w:color w:val="auto"/>
                <w:szCs w:val="21"/>
                <w:highlight w:val="none"/>
              </w:rPr>
            </w:pPr>
            <w:r>
              <w:rPr>
                <w:rFonts w:hint="eastAsia" w:ascii="宋体" w:hAnsi="宋体" w:cs="宋体"/>
                <w:color w:val="auto"/>
                <w:szCs w:val="21"/>
                <w:highlight w:val="none"/>
              </w:rPr>
              <w:t>商务要求评审中允许负偏离的条款数为</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项。</w:t>
            </w:r>
          </w:p>
          <w:p w14:paraId="41980CB6">
            <w:pPr>
              <w:snapToGrid w:val="0"/>
              <w:spacing w:line="312" w:lineRule="auto"/>
              <w:jc w:val="left"/>
              <w:rPr>
                <w:rFonts w:hint="eastAsia" w:ascii="宋体" w:hAnsi="宋体" w:cs="宋体"/>
                <w:color w:val="auto"/>
                <w:szCs w:val="21"/>
                <w:highlight w:val="none"/>
              </w:rPr>
            </w:pPr>
            <w:r>
              <w:rPr>
                <w:rFonts w:hint="eastAsia" w:ascii="宋体" w:hAnsi="宋体" w:cs="宋体"/>
                <w:color w:val="auto"/>
                <w:szCs w:val="21"/>
                <w:highlight w:val="none"/>
              </w:rPr>
              <w:t>技术要求评审中允许负偏离的条款数为</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项。</w:t>
            </w:r>
          </w:p>
        </w:tc>
      </w:tr>
      <w:tr w14:paraId="3B526F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871" w:type="dxa"/>
            <w:noWrap w:val="0"/>
            <w:vAlign w:val="center"/>
          </w:tcPr>
          <w:p w14:paraId="73330436">
            <w:pPr>
              <w:spacing w:line="312" w:lineRule="auto"/>
              <w:jc w:val="center"/>
              <w:rPr>
                <w:rFonts w:hint="eastAsia" w:ascii="宋体" w:hAnsi="宋体" w:cs="宋体"/>
                <w:color w:val="auto"/>
                <w:szCs w:val="21"/>
                <w:highlight w:val="none"/>
              </w:rPr>
            </w:pPr>
            <w:r>
              <w:rPr>
                <w:rFonts w:hint="eastAsia" w:ascii="宋体" w:hAnsi="宋体" w:cs="宋体"/>
                <w:color w:val="auto"/>
                <w:szCs w:val="21"/>
                <w:highlight w:val="none"/>
              </w:rPr>
              <w:t>28.1</w:t>
            </w:r>
          </w:p>
        </w:tc>
        <w:tc>
          <w:tcPr>
            <w:tcW w:w="8385" w:type="dxa"/>
            <w:noWrap w:val="0"/>
            <w:vAlign w:val="center"/>
          </w:tcPr>
          <w:p w14:paraId="228ECC96">
            <w:pPr>
              <w:spacing w:line="312" w:lineRule="auto"/>
              <w:rPr>
                <w:rFonts w:hint="eastAsia" w:ascii="宋体" w:hAnsi="宋体" w:cs="宋体"/>
                <w:color w:val="auto"/>
                <w:highlight w:val="none"/>
                <w:lang w:eastAsia="zh-CN"/>
              </w:rPr>
            </w:pPr>
            <w:r>
              <w:rPr>
                <w:rFonts w:hint="eastAsia" w:ascii="宋体" w:hAnsi="宋体" w:cs="宋体"/>
                <w:color w:val="auto"/>
                <w:highlight w:val="none"/>
                <w:lang w:eastAsia="zh-CN"/>
              </w:rPr>
              <w:t>☑ 本项目不需要缴纳磋商保证金。</w:t>
            </w:r>
          </w:p>
          <w:p w14:paraId="1441387F">
            <w:pPr>
              <w:spacing w:line="312" w:lineRule="auto"/>
              <w:rPr>
                <w:rFonts w:hint="eastAsia" w:ascii="宋体" w:hAnsi="宋体" w:cs="宋体"/>
                <w:color w:val="auto"/>
                <w:highlight w:val="none"/>
                <w:lang w:eastAsia="zh-CN"/>
              </w:rPr>
            </w:pPr>
            <w:r>
              <w:rPr>
                <w:rFonts w:hint="eastAsia" w:ascii="宋体" w:hAnsi="宋体" w:cs="宋体"/>
                <w:color w:val="auto"/>
                <w:highlight w:val="none"/>
                <w:lang w:eastAsia="zh-CN"/>
              </w:rPr>
              <w:t>□ 本项目需要缴纳磋商保证金，相关要求如下：</w:t>
            </w:r>
          </w:p>
          <w:p w14:paraId="2D8EB977">
            <w:pPr>
              <w:spacing w:line="312" w:lineRule="auto"/>
              <w:rPr>
                <w:rFonts w:hint="eastAsia" w:ascii="宋体" w:hAnsi="宋体" w:cs="宋体"/>
                <w:color w:val="auto"/>
                <w:highlight w:val="none"/>
                <w:lang w:eastAsia="zh-CN"/>
              </w:rPr>
            </w:pPr>
            <w:r>
              <w:rPr>
                <w:rFonts w:hint="eastAsia" w:ascii="宋体" w:hAnsi="宋体" w:cs="宋体"/>
                <w:color w:val="auto"/>
                <w:highlight w:val="none"/>
                <w:lang w:val="en-US" w:eastAsia="zh-CN"/>
              </w:rPr>
              <w:t>1.</w:t>
            </w:r>
            <w:r>
              <w:rPr>
                <w:rFonts w:hint="eastAsia" w:ascii="宋体" w:hAnsi="宋体" w:cs="宋体"/>
                <w:color w:val="auto"/>
                <w:highlight w:val="none"/>
                <w:lang w:eastAsia="zh-CN"/>
              </w:rPr>
              <w:t>磋商保证金的缴纳方式：详见竞争性磋商公告。</w:t>
            </w:r>
          </w:p>
          <w:p w14:paraId="3AC4381A">
            <w:pPr>
              <w:spacing w:line="312" w:lineRule="auto"/>
              <w:rPr>
                <w:rFonts w:hint="eastAsia" w:ascii="宋体" w:hAnsi="宋体" w:cs="宋体"/>
                <w:color w:val="auto"/>
                <w:highlight w:val="none"/>
                <w:lang w:eastAsia="zh-CN"/>
              </w:rPr>
            </w:pPr>
            <w:r>
              <w:rPr>
                <w:rFonts w:hint="eastAsia" w:ascii="宋体" w:hAnsi="宋体" w:cs="宋体"/>
                <w:color w:val="auto"/>
                <w:highlight w:val="none"/>
                <w:lang w:val="en-US" w:eastAsia="zh-CN"/>
              </w:rPr>
              <w:t>2.</w:t>
            </w:r>
            <w:r>
              <w:rPr>
                <w:rFonts w:hint="eastAsia" w:ascii="宋体" w:hAnsi="宋体" w:cs="宋体"/>
                <w:color w:val="auto"/>
                <w:highlight w:val="none"/>
                <w:lang w:eastAsia="zh-CN"/>
              </w:rPr>
              <w:t>磋商保证金的金额：详见竞争性磋商公告。</w:t>
            </w:r>
          </w:p>
          <w:p w14:paraId="3EF69AD7">
            <w:pPr>
              <w:spacing w:line="312" w:lineRule="auto"/>
              <w:rPr>
                <w:rFonts w:hint="eastAsia" w:ascii="宋体" w:hAnsi="宋体" w:cs="宋体"/>
                <w:color w:val="auto"/>
                <w:highlight w:val="none"/>
                <w:lang w:eastAsia="zh-CN"/>
              </w:rPr>
            </w:pPr>
            <w:r>
              <w:rPr>
                <w:rFonts w:hint="eastAsia" w:ascii="宋体" w:hAnsi="宋体" w:cs="宋体"/>
                <w:color w:val="auto"/>
                <w:highlight w:val="none"/>
                <w:lang w:val="en-US" w:eastAsia="zh-CN"/>
              </w:rPr>
              <w:t>3</w:t>
            </w:r>
            <w:r>
              <w:rPr>
                <w:rFonts w:hint="eastAsia" w:ascii="宋体" w:hAnsi="宋体" w:cs="宋体"/>
                <w:color w:val="auto"/>
                <w:highlight w:val="none"/>
                <w:lang w:eastAsia="zh-CN"/>
              </w:rPr>
              <w:t>.磋商保证金采用银行转账缴纳方式的，在首次响应文件提交截止时间前交至采购代理机构指定账户并且到账，供应商应将银行转账底单的复印件作为磋商保证金提交凭证，放置于商务文件中，否则响应文件按无效响应处理。</w:t>
            </w:r>
          </w:p>
          <w:p w14:paraId="386D24D8">
            <w:pPr>
              <w:spacing w:line="312" w:lineRule="auto"/>
              <w:rPr>
                <w:rFonts w:hint="eastAsia" w:ascii="宋体" w:hAnsi="宋体" w:cs="宋体"/>
                <w:color w:val="auto"/>
                <w:highlight w:val="none"/>
                <w:lang w:eastAsia="zh-CN"/>
              </w:rPr>
            </w:pPr>
            <w:r>
              <w:rPr>
                <w:rFonts w:hint="eastAsia" w:ascii="宋体" w:hAnsi="宋体" w:cs="宋体"/>
                <w:color w:val="auto"/>
                <w:highlight w:val="none"/>
                <w:lang w:val="en-US" w:eastAsia="zh-CN"/>
              </w:rPr>
              <w:t>4</w:t>
            </w:r>
            <w:r>
              <w:rPr>
                <w:rFonts w:hint="eastAsia" w:ascii="宋体" w:hAnsi="宋体" w:cs="宋体"/>
                <w:color w:val="auto"/>
                <w:highlight w:val="none"/>
                <w:lang w:eastAsia="zh-CN"/>
              </w:rPr>
              <w:t>.磋商保证金采用支票、汇票、本票或者金融机构、担保机构出具的保函等缴纳方式的，供应商应将支票、汇票、本票或者金融机构、担保机构出具的保函等的复印件或者金融机构、担保机构出具的</w:t>
            </w:r>
            <w:r>
              <w:rPr>
                <w:rFonts w:hint="eastAsia" w:ascii="宋体" w:hAnsi="宋体" w:cs="宋体"/>
                <w:color w:val="auto"/>
                <w:highlight w:val="none"/>
                <w:lang w:val="en-US" w:eastAsia="zh-CN"/>
              </w:rPr>
              <w:t>电子保函</w:t>
            </w:r>
            <w:r>
              <w:rPr>
                <w:rFonts w:hint="eastAsia" w:ascii="宋体" w:hAnsi="宋体" w:cs="宋体"/>
                <w:color w:val="auto"/>
                <w:highlight w:val="none"/>
                <w:lang w:eastAsia="zh-CN"/>
              </w:rPr>
              <w:t>作为磋商保证金提交凭证，放置于商务文件中，否则响应文件按无效响应处理。供应商必须在首次响应文件提交截止时间前将支票、汇票、本票或者金融机构、担保机构出具的保函（</w:t>
            </w:r>
            <w:r>
              <w:rPr>
                <w:rFonts w:hint="eastAsia" w:ascii="宋体" w:hAnsi="宋体" w:cs="宋体"/>
                <w:color w:val="auto"/>
                <w:highlight w:val="none"/>
                <w:lang w:val="en-US" w:eastAsia="zh-CN"/>
              </w:rPr>
              <w:t>电子保函除外</w:t>
            </w:r>
            <w:r>
              <w:rPr>
                <w:rFonts w:hint="eastAsia" w:ascii="宋体" w:hAnsi="宋体" w:cs="宋体"/>
                <w:color w:val="auto"/>
                <w:highlight w:val="none"/>
                <w:lang w:eastAsia="zh-CN"/>
              </w:rPr>
              <w:t>）等原件提交给采购代理机构，由采购代理机构向供应商出具回执，并妥善保管。</w:t>
            </w:r>
          </w:p>
          <w:p w14:paraId="7357A896">
            <w:pPr>
              <w:spacing w:line="312" w:lineRule="auto"/>
              <w:rPr>
                <w:rFonts w:hint="eastAsia" w:ascii="宋体" w:hAnsi="宋体" w:cs="宋体"/>
                <w:color w:val="auto"/>
                <w:highlight w:val="none"/>
                <w:lang w:eastAsia="zh-CN"/>
              </w:rPr>
            </w:pPr>
            <w:r>
              <w:rPr>
                <w:rFonts w:hint="eastAsia" w:ascii="宋体" w:hAnsi="宋体" w:cs="宋体"/>
                <w:color w:val="auto"/>
                <w:highlight w:val="none"/>
                <w:lang w:val="en-US" w:eastAsia="zh-CN"/>
              </w:rPr>
              <w:t>5</w:t>
            </w:r>
            <w:r>
              <w:rPr>
                <w:rFonts w:hint="eastAsia" w:ascii="宋体" w:hAnsi="宋体" w:cs="宋体"/>
                <w:color w:val="auto"/>
                <w:highlight w:val="none"/>
                <w:lang w:eastAsia="zh-CN"/>
              </w:rPr>
              <w:t>.磋商保证金指定账户：详见竞争性磋商公告。</w:t>
            </w:r>
          </w:p>
          <w:p w14:paraId="4E6E26C0">
            <w:pPr>
              <w:spacing w:line="312" w:lineRule="auto"/>
              <w:rPr>
                <w:rFonts w:hint="eastAsia" w:ascii="宋体" w:hAnsi="宋体" w:cs="宋体"/>
                <w:color w:val="auto"/>
                <w:highlight w:val="none"/>
                <w:lang w:eastAsia="zh-CN"/>
              </w:rPr>
            </w:pPr>
            <w:r>
              <w:rPr>
                <w:rFonts w:hint="eastAsia" w:ascii="宋体" w:hAnsi="宋体" w:cs="宋体"/>
                <w:color w:val="auto"/>
                <w:highlight w:val="none"/>
                <w:lang w:val="en-US" w:eastAsia="zh-CN"/>
              </w:rPr>
              <w:t>6</w:t>
            </w:r>
            <w:r>
              <w:rPr>
                <w:rFonts w:hint="eastAsia" w:ascii="宋体" w:hAnsi="宋体" w:cs="宋体"/>
                <w:color w:val="auto"/>
                <w:highlight w:val="none"/>
                <w:lang w:eastAsia="zh-CN"/>
              </w:rPr>
              <w:t>.供应商为联合体的，可以由联合体中的一方或者多方共同缴纳磋商保证金，其缴纳的磋商保证金对联合体各方均具有约束力。</w:t>
            </w:r>
          </w:p>
          <w:p w14:paraId="562BD608">
            <w:pPr>
              <w:spacing w:line="312" w:lineRule="auto"/>
              <w:rPr>
                <w:rFonts w:hint="eastAsia" w:ascii="宋体" w:hAnsi="宋体" w:cs="宋体"/>
                <w:color w:val="auto"/>
                <w:highlight w:val="none"/>
                <w:lang w:eastAsia="zh-CN"/>
              </w:rPr>
            </w:pPr>
            <w:r>
              <w:rPr>
                <w:rFonts w:hint="eastAsia" w:ascii="宋体" w:hAnsi="宋体" w:cs="宋体"/>
                <w:color w:val="auto"/>
                <w:highlight w:val="none"/>
                <w:lang w:eastAsia="zh-CN"/>
              </w:rPr>
              <w:t xml:space="preserve">备注： </w:t>
            </w:r>
          </w:p>
          <w:p w14:paraId="24C45C1D">
            <w:pPr>
              <w:spacing w:line="312" w:lineRule="auto"/>
              <w:rPr>
                <w:rFonts w:hint="eastAsia" w:ascii="宋体" w:hAnsi="宋体" w:cs="宋体"/>
                <w:color w:val="auto"/>
                <w:highlight w:val="none"/>
                <w:lang w:eastAsia="zh-CN"/>
              </w:rPr>
            </w:pPr>
            <w:r>
              <w:rPr>
                <w:rFonts w:hint="eastAsia" w:ascii="宋体" w:hAnsi="宋体" w:cs="宋体"/>
                <w:color w:val="auto"/>
                <w:highlight w:val="none"/>
                <w:lang w:eastAsia="zh-CN"/>
              </w:rPr>
              <w:t>1.磋商保证金在首次响应文件提交截止时间后提交的，或者不按规定缴纳方式缴纳的，或者未足额缴纳的（包含保函额度不足的），视为无效磋商保证金。</w:t>
            </w:r>
          </w:p>
          <w:p w14:paraId="6D94A020">
            <w:pPr>
              <w:spacing w:line="312" w:lineRule="auto"/>
              <w:rPr>
                <w:rFonts w:hint="eastAsia" w:ascii="宋体" w:hAnsi="宋体" w:cs="宋体"/>
                <w:color w:val="auto"/>
                <w:highlight w:val="none"/>
                <w:lang w:eastAsia="zh-CN"/>
              </w:rPr>
            </w:pPr>
            <w:r>
              <w:rPr>
                <w:rFonts w:hint="eastAsia" w:ascii="宋体" w:hAnsi="宋体" w:cs="宋体"/>
                <w:color w:val="auto"/>
                <w:highlight w:val="none"/>
                <w:lang w:eastAsia="zh-CN"/>
              </w:rPr>
              <w:t>2.供应商采用现金方式或者从个人账户（自然人竞标除外）转出的磋商保证金，视为无效磋商保证金。</w:t>
            </w:r>
          </w:p>
          <w:p w14:paraId="2147AE7A">
            <w:pPr>
              <w:spacing w:line="312" w:lineRule="auto"/>
              <w:rPr>
                <w:rFonts w:hint="eastAsia" w:ascii="宋体" w:hAnsi="宋体" w:cs="宋体"/>
                <w:color w:val="auto"/>
                <w:highlight w:val="none"/>
                <w:lang w:eastAsia="zh-CN"/>
              </w:rPr>
            </w:pPr>
            <w:r>
              <w:rPr>
                <w:rFonts w:hint="eastAsia" w:ascii="宋体" w:hAnsi="宋体" w:cs="宋体"/>
                <w:color w:val="auto"/>
                <w:highlight w:val="none"/>
                <w:lang w:eastAsia="zh-CN"/>
              </w:rPr>
              <w:t>3.支票、汇票或者本票出现无效或者背书情形的，视为无效磋商保证金。</w:t>
            </w:r>
          </w:p>
          <w:p w14:paraId="56DA1D7B">
            <w:pPr>
              <w:spacing w:line="312" w:lineRule="auto"/>
              <w:rPr>
                <w:rFonts w:hint="eastAsia" w:ascii="宋体" w:hAnsi="宋体" w:cs="宋体"/>
                <w:color w:val="auto"/>
                <w:highlight w:val="none"/>
                <w:lang w:eastAsia="zh-CN"/>
              </w:rPr>
            </w:pPr>
            <w:r>
              <w:rPr>
                <w:rFonts w:hint="eastAsia" w:ascii="宋体" w:hAnsi="宋体" w:cs="宋体"/>
                <w:color w:val="auto"/>
                <w:highlight w:val="none"/>
                <w:lang w:eastAsia="zh-CN"/>
              </w:rPr>
              <w:t>4.保函有效期低于竞标有效期的，视为无效磋商保证金。</w:t>
            </w:r>
          </w:p>
          <w:p w14:paraId="119FF4B8">
            <w:pPr>
              <w:spacing w:line="312" w:lineRule="auto"/>
              <w:rPr>
                <w:rFonts w:hint="eastAsia" w:ascii="宋体" w:hAnsi="宋体" w:cs="宋体"/>
                <w:color w:val="auto"/>
                <w:szCs w:val="21"/>
                <w:highlight w:val="none"/>
              </w:rPr>
            </w:pPr>
            <w:r>
              <w:rPr>
                <w:rFonts w:hint="eastAsia" w:ascii="宋体" w:hAnsi="宋体" w:cs="宋体"/>
                <w:color w:val="auto"/>
                <w:highlight w:val="none"/>
                <w:lang w:eastAsia="zh-CN"/>
              </w:rPr>
              <w:t>5.采用金融、担保机构出具保函的，必须为无条件保函，否则视为无效磋商保证金。</w:t>
            </w:r>
          </w:p>
        </w:tc>
      </w:tr>
      <w:tr w14:paraId="10ED04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noWrap w:val="0"/>
            <w:vAlign w:val="center"/>
          </w:tcPr>
          <w:p w14:paraId="128A1CBD">
            <w:pPr>
              <w:spacing w:line="312" w:lineRule="auto"/>
              <w:jc w:val="center"/>
              <w:rPr>
                <w:rFonts w:hint="eastAsia" w:ascii="宋体" w:hAnsi="宋体" w:cs="宋体"/>
                <w:color w:val="auto"/>
                <w:szCs w:val="21"/>
                <w:highlight w:val="none"/>
              </w:rPr>
            </w:pPr>
            <w:r>
              <w:rPr>
                <w:rFonts w:hint="eastAsia" w:ascii="宋体" w:hAnsi="宋体" w:cs="宋体"/>
                <w:color w:val="auto"/>
                <w:szCs w:val="21"/>
                <w:highlight w:val="none"/>
              </w:rPr>
              <w:t>29.1</w:t>
            </w:r>
          </w:p>
        </w:tc>
        <w:tc>
          <w:tcPr>
            <w:tcW w:w="8385" w:type="dxa"/>
            <w:noWrap w:val="0"/>
            <w:vAlign w:val="center"/>
          </w:tcPr>
          <w:p w14:paraId="472DD15E">
            <w:pPr>
              <w:autoSpaceDE w:val="0"/>
              <w:autoSpaceDN w:val="0"/>
              <w:snapToGrid w:val="0"/>
              <w:spacing w:line="312" w:lineRule="auto"/>
              <w:textAlignment w:val="bottom"/>
              <w:rPr>
                <w:rFonts w:hint="eastAsia" w:ascii="宋体" w:hAnsi="宋体" w:cs="宋体"/>
                <w:color w:val="auto"/>
                <w:szCs w:val="21"/>
                <w:highlight w:val="none"/>
              </w:rPr>
            </w:pPr>
            <w:r>
              <w:rPr>
                <w:rFonts w:hint="eastAsia" w:ascii="宋体" w:hAnsi="宋体" w:cs="宋体"/>
                <w:color w:val="auto"/>
                <w:szCs w:val="21"/>
                <w:highlight w:val="none"/>
              </w:rPr>
              <w:t xml:space="preserve">签订合同携带的证明材料： </w:t>
            </w:r>
          </w:p>
          <w:p w14:paraId="5EFE169E">
            <w:pPr>
              <w:autoSpaceDE w:val="0"/>
              <w:autoSpaceDN w:val="0"/>
              <w:snapToGrid w:val="0"/>
              <w:spacing w:line="312" w:lineRule="auto"/>
              <w:textAlignment w:val="bottom"/>
              <w:rPr>
                <w:rFonts w:hint="eastAsia" w:ascii="宋体" w:hAnsi="宋体" w:cs="宋体"/>
                <w:color w:val="auto"/>
                <w:szCs w:val="21"/>
                <w:highlight w:val="none"/>
              </w:rPr>
            </w:pPr>
            <w:r>
              <w:rPr>
                <w:rFonts w:hint="eastAsia" w:ascii="宋体" w:hAnsi="宋体" w:cs="宋体"/>
                <w:color w:val="auto"/>
                <w:szCs w:val="21"/>
                <w:highlight w:val="none"/>
              </w:rPr>
              <w:t>委托代理人负责签订合同的，须携带授权委托书及委托代理人身份证原件等其他资格证件。</w:t>
            </w:r>
          </w:p>
          <w:p w14:paraId="4941111A">
            <w:pPr>
              <w:snapToGrid w:val="0"/>
              <w:spacing w:line="312" w:lineRule="auto"/>
              <w:rPr>
                <w:rFonts w:hint="eastAsia" w:ascii="宋体" w:hAnsi="宋体" w:cs="宋体"/>
                <w:color w:val="auto"/>
                <w:szCs w:val="21"/>
                <w:highlight w:val="none"/>
              </w:rPr>
            </w:pPr>
            <w:r>
              <w:rPr>
                <w:rFonts w:hint="eastAsia" w:ascii="宋体" w:hAnsi="宋体" w:cs="宋体"/>
                <w:color w:val="auto"/>
                <w:szCs w:val="21"/>
                <w:highlight w:val="none"/>
              </w:rPr>
              <w:t>法定代表人负责签订合同的，须携带法定代表人身份证明原件及身份证原件等其他证明材料。</w:t>
            </w:r>
          </w:p>
          <w:p w14:paraId="357043A6">
            <w:pPr>
              <w:snapToGrid w:val="0"/>
              <w:spacing w:line="312" w:lineRule="auto"/>
              <w:rPr>
                <w:rFonts w:hint="eastAsia" w:ascii="宋体" w:hAnsi="宋体" w:cs="宋体"/>
                <w:color w:val="auto"/>
                <w:szCs w:val="21"/>
                <w:highlight w:val="none"/>
              </w:rPr>
            </w:pPr>
            <w:r>
              <w:rPr>
                <w:rFonts w:hint="eastAsia" w:ascii="宋体" w:hAnsi="宋体" w:cs="宋体"/>
                <w:b/>
                <w:bCs/>
                <w:color w:val="auto"/>
                <w:szCs w:val="21"/>
                <w:highlight w:val="none"/>
              </w:rPr>
              <w:t>合同签订时间：自成交通知书发出之日起25日内与采购人签订政府采购合同。</w:t>
            </w:r>
          </w:p>
        </w:tc>
      </w:tr>
      <w:tr w14:paraId="17C3D9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noWrap w:val="0"/>
            <w:vAlign w:val="center"/>
          </w:tcPr>
          <w:p w14:paraId="379654E2">
            <w:pPr>
              <w:spacing w:line="312" w:lineRule="auto"/>
              <w:jc w:val="center"/>
              <w:rPr>
                <w:rFonts w:hint="eastAsia" w:ascii="宋体" w:hAnsi="宋体" w:cs="宋体"/>
                <w:color w:val="auto"/>
                <w:szCs w:val="21"/>
                <w:highlight w:val="none"/>
              </w:rPr>
            </w:pPr>
            <w:r>
              <w:rPr>
                <w:rFonts w:hint="eastAsia" w:ascii="宋体" w:hAnsi="宋体" w:cs="宋体"/>
                <w:color w:val="auto"/>
                <w:szCs w:val="21"/>
                <w:highlight w:val="none"/>
              </w:rPr>
              <w:t>31.2</w:t>
            </w:r>
          </w:p>
        </w:tc>
        <w:tc>
          <w:tcPr>
            <w:tcW w:w="8385" w:type="dxa"/>
            <w:noWrap w:val="0"/>
            <w:vAlign w:val="center"/>
          </w:tcPr>
          <w:p w14:paraId="63869C09">
            <w:pPr>
              <w:pStyle w:val="12"/>
              <w:snapToGrid w:val="0"/>
              <w:spacing w:line="312" w:lineRule="auto"/>
              <w:rPr>
                <w:rFonts w:hint="eastAsia" w:hAnsi="宋体" w:cs="宋体"/>
                <w:color w:val="auto"/>
                <w:kern w:val="2"/>
                <w:sz w:val="21"/>
                <w:highlight w:val="none"/>
                <w:lang w:val="en-US" w:eastAsia="zh-CN"/>
              </w:rPr>
            </w:pPr>
            <w:r>
              <w:rPr>
                <w:rFonts w:hint="eastAsia" w:hAnsi="宋体" w:cs="宋体"/>
                <w:color w:val="auto"/>
                <w:kern w:val="2"/>
                <w:sz w:val="21"/>
                <w:highlight w:val="none"/>
                <w:lang w:val="en-US" w:eastAsia="zh-CN"/>
              </w:rPr>
              <w:t>接收质疑函方式：以书面形式</w:t>
            </w:r>
          </w:p>
          <w:p w14:paraId="60C59324">
            <w:pPr>
              <w:pStyle w:val="12"/>
              <w:snapToGrid w:val="0"/>
              <w:spacing w:line="312" w:lineRule="auto"/>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质疑联系部门：广西科联招标中心有限公司</w:t>
            </w:r>
          </w:p>
          <w:p w14:paraId="38910686">
            <w:pPr>
              <w:pStyle w:val="12"/>
              <w:snapToGrid w:val="0"/>
              <w:spacing w:line="312" w:lineRule="auto"/>
              <w:rPr>
                <w:rFonts w:hint="default"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联系电话：0775-4563700</w:t>
            </w:r>
          </w:p>
          <w:p w14:paraId="6D77F1E4">
            <w:pPr>
              <w:pStyle w:val="12"/>
              <w:snapToGrid w:val="0"/>
              <w:spacing w:line="312" w:lineRule="auto"/>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通讯地址：贵港市港北区金港大道935号十七楼1722室</w:t>
            </w:r>
          </w:p>
          <w:p w14:paraId="639EF0AA">
            <w:pPr>
              <w:pStyle w:val="12"/>
              <w:snapToGrid w:val="0"/>
              <w:spacing w:line="312" w:lineRule="auto"/>
              <w:rPr>
                <w:rFonts w:hint="eastAsia" w:hAnsi="宋体" w:cs="宋体"/>
                <w:color w:val="auto"/>
                <w:sz w:val="21"/>
                <w:highlight w:val="none"/>
                <w:lang w:val="en-US" w:eastAsia="zh-CN"/>
              </w:rPr>
            </w:pPr>
            <w:r>
              <w:rPr>
                <w:rFonts w:hint="eastAsia" w:hAnsi="宋体" w:cs="宋体"/>
                <w:color w:val="auto"/>
                <w:kern w:val="2"/>
                <w:sz w:val="21"/>
                <w:highlight w:val="none"/>
                <w:lang w:val="en-US" w:eastAsia="zh-CN"/>
              </w:rPr>
              <w:t>业务时间：工作日每天上午8时00分到12时00分，下午3时00分到6时00分。</w:t>
            </w:r>
          </w:p>
        </w:tc>
      </w:tr>
      <w:tr w14:paraId="69D2CF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71" w:type="dxa"/>
            <w:noWrap w:val="0"/>
            <w:vAlign w:val="center"/>
          </w:tcPr>
          <w:p w14:paraId="5889D3FD">
            <w:pPr>
              <w:spacing w:line="312" w:lineRule="auto"/>
              <w:jc w:val="center"/>
              <w:rPr>
                <w:rFonts w:hint="eastAsia" w:ascii="宋体" w:hAnsi="宋体" w:cs="宋体"/>
                <w:color w:val="auto"/>
                <w:szCs w:val="21"/>
                <w:highlight w:val="none"/>
              </w:rPr>
            </w:pPr>
            <w:r>
              <w:rPr>
                <w:rFonts w:hint="eastAsia" w:ascii="宋体" w:hAnsi="宋体" w:cs="宋体"/>
                <w:color w:val="auto"/>
                <w:szCs w:val="21"/>
                <w:highlight w:val="none"/>
              </w:rPr>
              <w:t>32.1</w:t>
            </w:r>
          </w:p>
        </w:tc>
        <w:tc>
          <w:tcPr>
            <w:tcW w:w="8385" w:type="dxa"/>
            <w:noWrap w:val="0"/>
            <w:vAlign w:val="center"/>
          </w:tcPr>
          <w:p w14:paraId="10F460FA">
            <w:pPr>
              <w:pStyle w:val="12"/>
              <w:snapToGrid w:val="0"/>
              <w:spacing w:line="312"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1.采购代理费收取方式：</w:t>
            </w:r>
          </w:p>
          <w:p w14:paraId="39DED2E2">
            <w:pPr>
              <w:pStyle w:val="12"/>
              <w:snapToGrid w:val="0"/>
              <w:spacing w:line="312" w:lineRule="auto"/>
              <w:ind w:firstLine="315" w:firstLineChars="150"/>
              <w:rPr>
                <w:rFonts w:hint="eastAsia" w:hAnsi="宋体" w:cs="宋体"/>
                <w:color w:val="auto"/>
                <w:sz w:val="21"/>
                <w:highlight w:val="none"/>
                <w:lang w:val="en-US" w:eastAsia="zh-CN"/>
              </w:rPr>
            </w:pPr>
            <w:r>
              <w:rPr>
                <w:rFonts w:hint="eastAsia" w:hAnsi="宋体" w:cs="宋体"/>
                <w:color w:val="auto"/>
                <w:sz w:val="21"/>
                <w:highlight w:val="none"/>
                <w:lang w:val="en-US" w:eastAsia="zh-CN"/>
              </w:rPr>
              <w:t>☑本项目代理服务费由</w:t>
            </w:r>
            <w:r>
              <w:rPr>
                <w:rFonts w:hint="eastAsia" w:hAnsi="宋体" w:cs="宋体"/>
                <w:color w:val="auto"/>
                <w:sz w:val="21"/>
                <w:highlight w:val="none"/>
                <w:u w:val="single"/>
                <w:lang w:val="en-US" w:eastAsia="zh-CN"/>
              </w:rPr>
              <w:t>成交供应商</w:t>
            </w:r>
            <w:r>
              <w:rPr>
                <w:rFonts w:hint="eastAsia" w:hAnsi="宋体" w:cs="宋体"/>
                <w:color w:val="auto"/>
                <w:sz w:val="21"/>
                <w:highlight w:val="none"/>
                <w:lang w:val="en-US" w:eastAsia="zh-CN"/>
              </w:rPr>
              <w:t>向采购代理机构支付。</w:t>
            </w:r>
          </w:p>
          <w:p w14:paraId="1303ACCC">
            <w:pPr>
              <w:pStyle w:val="12"/>
              <w:snapToGrid w:val="0"/>
              <w:spacing w:line="312" w:lineRule="auto"/>
              <w:ind w:firstLine="210" w:firstLineChars="100"/>
              <w:rPr>
                <w:rFonts w:hint="eastAsia" w:hAnsi="宋体" w:cs="宋体"/>
                <w:color w:val="auto"/>
                <w:sz w:val="21"/>
                <w:highlight w:val="none"/>
                <w:lang w:val="en-US" w:eastAsia="zh-CN"/>
              </w:rPr>
            </w:pPr>
            <w:r>
              <w:rPr>
                <w:rFonts w:hint="eastAsia" w:hAnsi="宋体" w:cs="宋体"/>
                <w:color w:val="auto"/>
                <w:sz w:val="21"/>
                <w:highlight w:val="none"/>
                <w:lang w:val="en-US" w:eastAsia="zh-CN"/>
              </w:rPr>
              <w:t>□采购人支付。</w:t>
            </w:r>
          </w:p>
          <w:p w14:paraId="2DAD3D49">
            <w:pPr>
              <w:pStyle w:val="12"/>
              <w:snapToGrid w:val="0"/>
              <w:spacing w:line="312"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2.采购代理费收取标准：</w:t>
            </w:r>
          </w:p>
          <w:p w14:paraId="2184BF59">
            <w:pPr>
              <w:pStyle w:val="12"/>
              <w:snapToGrid w:val="0"/>
              <w:spacing w:line="312" w:lineRule="auto"/>
              <w:ind w:firstLine="315" w:firstLineChars="150"/>
              <w:rPr>
                <w:rFonts w:hint="eastAsia" w:hAnsi="宋体" w:cs="宋体"/>
                <w:color w:val="auto"/>
                <w:sz w:val="21"/>
                <w:highlight w:val="none"/>
                <w:lang w:val="en-US" w:eastAsia="zh-CN"/>
              </w:rPr>
            </w:pPr>
            <w:r>
              <w:rPr>
                <w:rFonts w:hint="eastAsia" w:hAnsi="宋体" w:cs="宋体"/>
                <w:color w:val="auto"/>
                <w:sz w:val="21"/>
                <w:highlight w:val="none"/>
                <w:lang w:val="en-US" w:eastAsia="zh-CN"/>
              </w:rPr>
              <w:t>☑</w:t>
            </w:r>
            <w:r>
              <w:rPr>
                <w:rFonts w:hint="eastAsia" w:hAnsi="宋体" w:cs="宋体"/>
                <w:color w:val="auto"/>
                <w:sz w:val="21"/>
                <w:highlight w:val="none"/>
                <w:u w:val="single"/>
                <w:lang w:val="en-US" w:eastAsia="zh-CN"/>
              </w:rPr>
              <w:t>根据发改价格〔2015〕299号文，网上中介服务超市选取结果确认单服务费为人民币柒仟捌佰元整（¥7800.00）</w:t>
            </w:r>
            <w:r>
              <w:rPr>
                <w:rFonts w:hint="eastAsia" w:hAnsi="宋体" w:cs="宋体"/>
                <w:color w:val="auto"/>
                <w:sz w:val="21"/>
                <w:highlight w:val="none"/>
                <w:lang w:val="en-US" w:eastAsia="zh-CN"/>
              </w:rPr>
              <w:t>。</w:t>
            </w:r>
          </w:p>
          <w:p w14:paraId="35652358">
            <w:pPr>
              <w:pStyle w:val="12"/>
              <w:snapToGrid w:val="0"/>
              <w:spacing w:line="312"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3. 采购代理费收取银行账户</w:t>
            </w:r>
          </w:p>
          <w:p w14:paraId="4BBA5131">
            <w:pPr>
              <w:pStyle w:val="12"/>
              <w:snapToGrid w:val="0"/>
              <w:spacing w:line="312"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单位名称：广西科联招标中心有限公司贵港分公司</w:t>
            </w:r>
          </w:p>
          <w:p w14:paraId="5837CBD4">
            <w:pPr>
              <w:pStyle w:val="12"/>
              <w:snapToGrid w:val="0"/>
              <w:spacing w:line="312"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开户银行：</w:t>
            </w:r>
            <w:r>
              <w:rPr>
                <w:rFonts w:hint="eastAsia" w:ascii="宋体" w:hAnsi="宋体" w:eastAsia="宋体" w:cs="宋体"/>
                <w:lang w:eastAsia="zh-CN"/>
              </w:rPr>
              <w:t>中国建设银行股份有限公司贵港分行科技支行</w:t>
            </w:r>
            <w:r>
              <w:rPr>
                <w:rFonts w:hint="eastAsia" w:hAnsi="宋体" w:cs="宋体"/>
                <w:color w:val="auto"/>
                <w:sz w:val="21"/>
                <w:highlight w:val="none"/>
                <w:lang w:val="en-US" w:eastAsia="zh-CN"/>
              </w:rPr>
              <w:t xml:space="preserve"> </w:t>
            </w:r>
          </w:p>
          <w:p w14:paraId="2211635F">
            <w:pPr>
              <w:pStyle w:val="12"/>
              <w:snapToGrid w:val="0"/>
              <w:spacing w:line="312"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银行账号：45050175009000000651</w:t>
            </w:r>
          </w:p>
        </w:tc>
      </w:tr>
      <w:tr w14:paraId="41992A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noWrap w:val="0"/>
            <w:vAlign w:val="center"/>
          </w:tcPr>
          <w:p w14:paraId="365639B0">
            <w:pPr>
              <w:spacing w:line="312" w:lineRule="auto"/>
              <w:jc w:val="center"/>
              <w:rPr>
                <w:rFonts w:hint="eastAsia" w:ascii="宋体" w:hAnsi="宋体" w:cs="宋体"/>
                <w:color w:val="auto"/>
                <w:szCs w:val="21"/>
                <w:highlight w:val="none"/>
              </w:rPr>
            </w:pPr>
            <w:r>
              <w:rPr>
                <w:rFonts w:hint="eastAsia" w:ascii="宋体" w:hAnsi="宋体" w:cs="宋体"/>
                <w:color w:val="auto"/>
                <w:szCs w:val="21"/>
                <w:highlight w:val="none"/>
              </w:rPr>
              <w:t>33.1</w:t>
            </w:r>
          </w:p>
        </w:tc>
        <w:tc>
          <w:tcPr>
            <w:tcW w:w="8385" w:type="dxa"/>
            <w:noWrap w:val="0"/>
            <w:vAlign w:val="center"/>
          </w:tcPr>
          <w:p w14:paraId="1231511E">
            <w:pPr>
              <w:pStyle w:val="12"/>
              <w:snapToGrid w:val="0"/>
              <w:spacing w:line="312" w:lineRule="auto"/>
              <w:rPr>
                <w:rFonts w:hint="eastAsia" w:hAnsi="宋体" w:cs="宋体"/>
                <w:color w:val="auto"/>
                <w:kern w:val="2"/>
                <w:sz w:val="21"/>
                <w:highlight w:val="none"/>
                <w:lang w:val="en-US" w:eastAsia="zh-CN"/>
              </w:rPr>
            </w:pPr>
            <w:r>
              <w:rPr>
                <w:rFonts w:hint="eastAsia" w:hAnsi="宋体" w:cs="宋体"/>
                <w:color w:val="auto"/>
                <w:kern w:val="2"/>
                <w:sz w:val="21"/>
                <w:highlight w:val="none"/>
                <w:lang w:val="en-US" w:eastAsia="zh-CN"/>
              </w:rPr>
              <w:t>解释：构成本磋商文件的各个组成文件应互为解释，互为说明；除磋商文件中有特别规定外，仅适用于竞标阶段的规定，按更正公告（澄清公告）、竞争性磋商公告或者竞标邀请函、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218AB9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871" w:type="dxa"/>
            <w:noWrap w:val="0"/>
            <w:vAlign w:val="center"/>
          </w:tcPr>
          <w:p w14:paraId="559AF201">
            <w:pPr>
              <w:spacing w:line="312" w:lineRule="auto"/>
              <w:jc w:val="center"/>
              <w:rPr>
                <w:rFonts w:hint="eastAsia" w:ascii="宋体" w:hAnsi="宋体" w:cs="宋体"/>
                <w:color w:val="auto"/>
                <w:szCs w:val="21"/>
                <w:highlight w:val="none"/>
              </w:rPr>
            </w:pPr>
            <w:r>
              <w:rPr>
                <w:rFonts w:hint="eastAsia" w:ascii="宋体" w:hAnsi="宋体" w:cs="宋体"/>
                <w:color w:val="auto"/>
                <w:szCs w:val="21"/>
                <w:highlight w:val="none"/>
              </w:rPr>
              <w:t>33.2</w:t>
            </w:r>
          </w:p>
        </w:tc>
        <w:tc>
          <w:tcPr>
            <w:tcW w:w="8385" w:type="dxa"/>
            <w:noWrap w:val="0"/>
            <w:vAlign w:val="center"/>
          </w:tcPr>
          <w:p w14:paraId="20577ED5">
            <w:pPr>
              <w:pStyle w:val="12"/>
              <w:snapToGrid w:val="0"/>
              <w:spacing w:line="312"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0DCA753C">
            <w:pPr>
              <w:pStyle w:val="12"/>
              <w:snapToGrid w:val="0"/>
              <w:spacing w:line="312" w:lineRule="auto"/>
              <w:rPr>
                <w:rFonts w:hint="eastAsia" w:hAnsi="宋体" w:cs="宋体"/>
                <w:color w:val="auto"/>
                <w:sz w:val="21"/>
                <w:highlight w:val="none"/>
                <w:lang w:val="en-US" w:eastAsia="zh-CN"/>
              </w:rPr>
            </w:pPr>
            <w:r>
              <w:rPr>
                <w:rFonts w:hint="eastAsia" w:hAnsi="宋体" w:cs="宋体"/>
                <w:bCs/>
                <w:color w:val="auto"/>
                <w:sz w:val="21"/>
                <w:highlight w:val="none"/>
                <w:lang w:val="en-US" w:eastAsia="zh-CN"/>
              </w:rPr>
              <w:t>2.本磋商文件所称的“</w:t>
            </w:r>
            <w:r>
              <w:rPr>
                <w:rFonts w:hint="eastAsia" w:hAnsi="宋体" w:cs="宋体"/>
                <w:color w:val="auto"/>
                <w:sz w:val="21"/>
                <w:highlight w:val="none"/>
                <w:lang w:val="en-US" w:eastAsia="zh-CN"/>
              </w:rPr>
              <w:t>电子签章</w:t>
            </w:r>
            <w:r>
              <w:rPr>
                <w:rFonts w:hint="eastAsia" w:hAnsi="宋体" w:cs="宋体"/>
                <w:bCs/>
                <w:color w:val="auto"/>
                <w:sz w:val="21"/>
                <w:highlight w:val="none"/>
                <w:lang w:val="en-US" w:eastAsia="zh-CN"/>
              </w:rPr>
              <w:t>”“电子签名”</w:t>
            </w:r>
            <w:r>
              <w:rPr>
                <w:rFonts w:hint="eastAsia" w:hAnsi="宋体" w:cs="宋体"/>
                <w:color w:val="auto"/>
                <w:sz w:val="21"/>
                <w:highlight w:val="none"/>
                <w:lang w:val="en-US" w:eastAsia="zh-CN"/>
              </w:rPr>
              <w:t>，是指经广西政府采购云平台认可的CA认证的电子签名数据为表现形式的印章，可用于签署电子响应文件，电子印章与实物印章具有同等法律效力，不因其采用电子化表现形式而否定其法律效力。</w:t>
            </w:r>
          </w:p>
          <w:p w14:paraId="344428BE">
            <w:pPr>
              <w:pStyle w:val="12"/>
              <w:snapToGrid w:val="0"/>
              <w:spacing w:line="312" w:lineRule="auto"/>
              <w:rPr>
                <w:rFonts w:hint="eastAsia" w:hAnsi="宋体" w:cs="宋体"/>
                <w:bCs/>
                <w:color w:val="auto"/>
                <w:sz w:val="21"/>
                <w:highlight w:val="none"/>
                <w:lang w:val="en-US" w:eastAsia="zh-CN"/>
              </w:rPr>
            </w:pPr>
            <w:r>
              <w:rPr>
                <w:rFonts w:hint="eastAsia" w:hAnsi="宋体" w:cs="宋体"/>
                <w:color w:val="auto"/>
                <w:sz w:val="21"/>
                <w:highlight w:val="none"/>
                <w:lang w:val="en-US" w:eastAsia="zh-CN"/>
              </w:rPr>
              <w:t>3.供应商为其他组织或者自然人时，本磋商文件规定的法定代表人指负责人或者自然人。本磋商文件所称负责人是指参加竞标的其他组织</w:t>
            </w:r>
            <w:r>
              <w:rPr>
                <w:rFonts w:hint="eastAsia" w:hAnsi="宋体" w:cs="宋体"/>
                <w:bCs/>
                <w:color w:val="auto"/>
                <w:sz w:val="21"/>
                <w:highlight w:val="none"/>
                <w:lang w:val="en-US" w:eastAsia="zh-CN"/>
              </w:rPr>
              <w:t>营业执照或者执业许可证等证照上的</w:t>
            </w:r>
            <w:r>
              <w:rPr>
                <w:rFonts w:hint="eastAsia" w:hAnsi="宋体" w:cs="宋体"/>
                <w:color w:val="auto"/>
                <w:sz w:val="21"/>
                <w:highlight w:val="none"/>
                <w:lang w:val="en-US" w:eastAsia="zh-CN"/>
              </w:rPr>
              <w:t>负责人，本磋商文件所称自然人指参与竞标的自然人本人，</w:t>
            </w:r>
            <w:r>
              <w:rPr>
                <w:rFonts w:hint="eastAsia" w:hAnsi="宋体" w:cs="宋体"/>
                <w:bCs/>
                <w:color w:val="auto"/>
                <w:sz w:val="21"/>
                <w:highlight w:val="none"/>
                <w:lang w:val="en-US" w:eastAsia="zh-CN"/>
              </w:rPr>
              <w:t>且应具备独立承担民事责任能力，自然人应当为年满18岁以上成年人（十六周岁以上的未成年人，以自己的劳动收入为主要生活来源的，视为完全民事行为能力人）。</w:t>
            </w:r>
          </w:p>
          <w:p w14:paraId="6E49D8AA">
            <w:pPr>
              <w:pStyle w:val="12"/>
              <w:snapToGrid w:val="0"/>
              <w:spacing w:line="312"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4.本磋商文件中描述供应商的“签字”是指供应商的法定代表人或者委托代理人亲自在文件规定签署处亲笔写上个人的名字的行为，私章、签字章、印鉴、影印等其他形式均不能代替亲笔签字。</w:t>
            </w:r>
          </w:p>
          <w:p w14:paraId="114209B1">
            <w:pPr>
              <w:pStyle w:val="12"/>
              <w:snapToGrid w:val="0"/>
              <w:spacing w:line="312"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5.本磋商文件所称的“以上”“以下”“以内”“届满”，包括本数；所称的“不满”“超过”“以外”，不包括本数。</w:t>
            </w:r>
          </w:p>
        </w:tc>
      </w:tr>
      <w:tr w14:paraId="565A97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871" w:type="dxa"/>
            <w:noWrap w:val="0"/>
            <w:vAlign w:val="center"/>
          </w:tcPr>
          <w:p w14:paraId="71402277">
            <w:pPr>
              <w:pStyle w:val="12"/>
              <w:snapToGrid w:val="0"/>
              <w:spacing w:line="312"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其他</w:t>
            </w:r>
          </w:p>
          <w:p w14:paraId="433CB012">
            <w:pPr>
              <w:pStyle w:val="12"/>
              <w:snapToGrid w:val="0"/>
              <w:spacing w:line="312"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事项1</w:t>
            </w:r>
          </w:p>
        </w:tc>
        <w:tc>
          <w:tcPr>
            <w:tcW w:w="8385" w:type="dxa"/>
            <w:noWrap w:val="0"/>
            <w:vAlign w:val="center"/>
          </w:tcPr>
          <w:p w14:paraId="5F5D14E3">
            <w:pPr>
              <w:pStyle w:val="12"/>
              <w:snapToGrid w:val="0"/>
              <w:spacing w:line="312"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电子响应文件中所须加盖公章部分均采用CA签章。若竞争性磋商文件中有专门标注的某关联点，并要求供应商在电子投标系统中作出磋商响应的，如供应商未对关联点进行响应或者在电子响应文件其它内容进行描述，造成电子评审不能查询的责任由供应商自行承担。</w:t>
            </w:r>
          </w:p>
        </w:tc>
      </w:tr>
    </w:tbl>
    <w:p w14:paraId="2600CE9B">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供应商须知正文</w:t>
      </w:r>
    </w:p>
    <w:p w14:paraId="11C9CD95">
      <w:pPr>
        <w:spacing w:line="400" w:lineRule="exact"/>
        <w:jc w:val="center"/>
        <w:rPr>
          <w:rFonts w:hint="eastAsia" w:ascii="宋体" w:hAnsi="宋体" w:cs="宋体"/>
          <w:b/>
          <w:color w:val="auto"/>
          <w:sz w:val="32"/>
          <w:szCs w:val="32"/>
          <w:highlight w:val="none"/>
        </w:rPr>
      </w:pPr>
    </w:p>
    <w:p w14:paraId="2611BFA0">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一、总则</w:t>
      </w:r>
    </w:p>
    <w:p w14:paraId="14988262">
      <w:pPr>
        <w:spacing w:line="400" w:lineRule="exact"/>
        <w:rPr>
          <w:rFonts w:hint="eastAsia" w:ascii="宋体" w:hAnsi="宋体" w:cs="宋体"/>
          <w:color w:val="auto"/>
          <w:szCs w:val="21"/>
          <w:highlight w:val="none"/>
        </w:rPr>
      </w:pPr>
    </w:p>
    <w:p w14:paraId="12AE2C4E">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1.适用范围</w:t>
      </w:r>
    </w:p>
    <w:p w14:paraId="0A4CAA7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rPr>
        <w:t>及本项目本级和上级财政部门政府采购有关规定的约束和保护。</w:t>
      </w:r>
    </w:p>
    <w:p w14:paraId="6ED4F61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66926AC7">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2.定义</w:t>
      </w:r>
    </w:p>
    <w:p w14:paraId="27F41F4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3946D70E">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3273FD8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7B207D02">
      <w:pPr>
        <w:spacing w:line="360" w:lineRule="auto"/>
        <w:ind w:firstLine="420" w:firstLineChars="200"/>
        <w:rPr>
          <w:rFonts w:hint="eastAsia" w:ascii="宋体" w:hAnsi="宋体" w:cs="宋体"/>
          <w:color w:val="auto"/>
          <w:szCs w:val="21"/>
          <w:highlight w:val="none"/>
        </w:rPr>
      </w:pPr>
      <w:r>
        <w:rPr>
          <w:rFonts w:hint="eastAsia" w:ascii="宋体" w:hAnsi="宋体"/>
          <w:color w:val="auto"/>
          <w:szCs w:val="21"/>
          <w:highlight w:val="none"/>
        </w:rPr>
        <w:t>2.4“服务”是指除货物和工程以外的其他政府采购对象。</w:t>
      </w:r>
    </w:p>
    <w:p w14:paraId="6DE7C8B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r>
        <w:rPr>
          <w:rFonts w:hint="eastAsia" w:ascii="宋体" w:hAnsi="宋体" w:cs="宋体"/>
          <w:color w:val="auto"/>
          <w:szCs w:val="21"/>
          <w:highlight w:val="none"/>
        </w:rPr>
        <w:t>“竞标”是指供应商按照本项目竞争性磋商公告或者邀请函规定的方式获取磋商文件、提交响应文件并希望获得标的的行为。</w:t>
      </w:r>
    </w:p>
    <w:p w14:paraId="793E96FA">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02A8589F">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2.7“响应文件”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095BECF1">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2.8“实质性要求”是指磋商文件中已经指明不满足则响应文件按无效响应处理的条款，或者不能负偏离的条款，或者采购需求中带“▲”的条款。</w:t>
      </w:r>
    </w:p>
    <w:p w14:paraId="68D1B448">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2.9“正偏离”，是指响应文件对磋商文件“采购需求”中有关条款作出的响应优于条款要求并有利于采购人的情形。</w:t>
      </w:r>
    </w:p>
    <w:p w14:paraId="331FBBEF">
      <w:pPr>
        <w:spacing w:line="360" w:lineRule="auto"/>
        <w:ind w:firstLine="420" w:firstLineChars="200"/>
        <w:contextualSpacing/>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10“负偏离”，是指响应文件对磋商文件“采购需求”中有关条款作出的响应不满足条款要求，导致采购人要求不能得到满足的情形。</w:t>
      </w:r>
    </w:p>
    <w:p w14:paraId="0B75402B">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p>
    <w:p w14:paraId="665C0431">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2“首次报价”是指供应商提交的首次响应文件中的报价。</w:t>
      </w:r>
    </w:p>
    <w:p w14:paraId="2EBF577F">
      <w:pPr>
        <w:spacing w:line="360" w:lineRule="auto"/>
        <w:ind w:firstLine="420" w:firstLineChars="200"/>
        <w:contextualSpacing/>
        <w:rPr>
          <w:rFonts w:hint="eastAsia" w:ascii="宋体" w:hAnsi="宋体" w:cs="宋体"/>
          <w:color w:val="auto"/>
          <w:szCs w:val="21"/>
          <w:highlight w:val="none"/>
        </w:rPr>
      </w:pPr>
    </w:p>
    <w:p w14:paraId="2EC4A506">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3.供应商的资格条件</w:t>
      </w:r>
    </w:p>
    <w:p w14:paraId="128E1A5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4D26AEE3">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4.竞标费用</w:t>
      </w:r>
    </w:p>
    <w:p w14:paraId="07A74C2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供应商应承担参与本次采购活动有关的所有费用，包括但不限于获取磋商文件、勘查现场、编制和提交响应文件、参加磋商与应答、签订合同等，不论竞标结果如何，均应自行承担。</w:t>
      </w:r>
    </w:p>
    <w:p w14:paraId="063BFFC8">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5.联合体竞标</w:t>
      </w:r>
    </w:p>
    <w:p w14:paraId="55C92F6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5.1本项目不接受联合体竞标。</w:t>
      </w:r>
    </w:p>
    <w:p w14:paraId="51F010B3">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 xml:space="preserve">6.转包与分包             </w:t>
      </w:r>
    </w:p>
    <w:p w14:paraId="24C8389C">
      <w:pPr>
        <w:spacing w:line="360" w:lineRule="auto"/>
        <w:ind w:firstLine="420" w:firstLineChars="200"/>
        <w:rPr>
          <w:rFonts w:hint="eastAsia" w:ascii="宋体" w:hAnsi="宋体" w:cs="宋体"/>
          <w:color w:val="auto"/>
          <w:szCs w:val="21"/>
          <w:highlight w:val="none"/>
        </w:rPr>
      </w:pPr>
      <w:bookmarkStart w:id="22" w:name="_Toc254970532"/>
      <w:bookmarkStart w:id="23" w:name="_Toc254970673"/>
      <w:r>
        <w:rPr>
          <w:rFonts w:hint="eastAsia" w:ascii="宋体" w:hAnsi="宋体" w:cs="宋体"/>
          <w:color w:val="auto"/>
          <w:szCs w:val="21"/>
          <w:highlight w:val="none"/>
        </w:rPr>
        <w:t>6.1本项目不允许转包和分包。</w:t>
      </w:r>
    </w:p>
    <w:p w14:paraId="7C03C15D">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7.特别说明</w:t>
      </w:r>
      <w:bookmarkEnd w:id="22"/>
      <w:bookmarkEnd w:id="23"/>
    </w:p>
    <w:p w14:paraId="3297B6D7">
      <w:pPr>
        <w:spacing w:line="360" w:lineRule="auto"/>
        <w:ind w:firstLine="420" w:firstLineChars="200"/>
        <w:rPr>
          <w:rFonts w:hint="eastAsia" w:ascii="宋体" w:hAnsi="宋体" w:cs="宋体"/>
          <w:color w:val="auto"/>
          <w:szCs w:val="21"/>
          <w:highlight w:val="none"/>
        </w:rPr>
      </w:pPr>
      <w:bookmarkStart w:id="24" w:name="_8.1提供相同品牌产品且通过资格审查、符合性审查的不同投标人参加同一合"/>
      <w:bookmarkEnd w:id="24"/>
      <w:r>
        <w:rPr>
          <w:rFonts w:hint="eastAsia" w:ascii="宋体" w:hAnsi="宋体" w:cs="宋体"/>
          <w:color w:val="auto"/>
          <w:szCs w:val="21"/>
          <w:highlight w:val="none"/>
        </w:rPr>
        <w:t>7.1</w:t>
      </w:r>
      <w:bookmarkStart w:id="25" w:name="_Hlk65832145"/>
      <w:r>
        <w:rPr>
          <w:rFonts w:hint="eastAsia" w:ascii="宋体" w:hAnsi="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 。</w:t>
      </w:r>
    </w:p>
    <w:bookmarkEnd w:id="25"/>
    <w:p w14:paraId="72CFE52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7.2供应商应仔细阅读磋商文件的所有内容，按照磋商文件的要求提交响应文件，并对所提供的全部资料的真实性承担法律责任。</w:t>
      </w:r>
    </w:p>
    <w:p w14:paraId="555E767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6A7E2A7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0C7DD73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708974D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731188A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06F938C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4650D93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269555C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01ECF44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7.5有下列情形之一的视为供应商相互串通竞标，</w:t>
      </w:r>
      <w:r>
        <w:rPr>
          <w:rFonts w:hint="eastAsia" w:ascii="宋体" w:hAnsi="宋体" w:cs="宋体"/>
          <w:b/>
          <w:bCs/>
          <w:color w:val="auto"/>
          <w:szCs w:val="21"/>
          <w:highlight w:val="none"/>
        </w:rPr>
        <w:t>响应文件将被视为无效：</w:t>
      </w:r>
    </w:p>
    <w:p w14:paraId="44B5952F">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 xml:space="preserve">（1）不同供应商的响应文件由同一单位或者个人编制； </w:t>
      </w:r>
    </w:p>
    <w:p w14:paraId="0BC87D7B">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（2）不同供应商委托同一单位或者个人办理竞标事宜；</w:t>
      </w:r>
    </w:p>
    <w:p w14:paraId="74BC1CFB">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（3）不同的供应商的响应文件载明的项目管理员为同一个人；</w:t>
      </w:r>
    </w:p>
    <w:p w14:paraId="4AE74587">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（4）不同供应商的响应文件异常一致或者报价呈规律性差异；</w:t>
      </w:r>
    </w:p>
    <w:p w14:paraId="32F20CE2">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（5）不同供应商的响应文件相互混装；</w:t>
      </w:r>
    </w:p>
    <w:p w14:paraId="12568D43">
      <w:pPr>
        <w:tabs>
          <w:tab w:val="left" w:pos="6931"/>
        </w:tabs>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（6）不同供应商的磋商保证金从同一单位或者个人账户转出。</w:t>
      </w:r>
      <w:r>
        <w:rPr>
          <w:rFonts w:hint="eastAsia" w:ascii="宋体" w:hAnsi="宋体" w:cs="宋体"/>
          <w:b/>
          <w:bCs/>
          <w:color w:val="auto"/>
          <w:szCs w:val="21"/>
          <w:highlight w:val="none"/>
        </w:rPr>
        <w:tab/>
      </w:r>
    </w:p>
    <w:p w14:paraId="078FA34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7.6供应商有下列情形之一的，属于恶意串通行为，将报同级监督管理部门：</w:t>
      </w:r>
    </w:p>
    <w:p w14:paraId="7AB66CB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372FE1D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40811BE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5AFBF48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62F137E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54DC72F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6FCCB95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17CB17C8">
      <w:pPr>
        <w:spacing w:line="360" w:lineRule="auto"/>
        <w:ind w:firstLine="420" w:firstLineChars="200"/>
        <w:rPr>
          <w:rFonts w:hint="eastAsia" w:ascii="宋体" w:hAnsi="宋体" w:cs="宋体"/>
          <w:color w:val="auto"/>
          <w:szCs w:val="21"/>
          <w:highlight w:val="none"/>
        </w:rPr>
      </w:pPr>
    </w:p>
    <w:p w14:paraId="5351EF63">
      <w:pPr>
        <w:spacing w:line="360" w:lineRule="auto"/>
        <w:ind w:left="1" w:firstLine="417" w:firstLineChars="199"/>
        <w:jc w:val="center"/>
        <w:rPr>
          <w:rFonts w:hint="eastAsia" w:ascii="宋体" w:hAnsi="宋体" w:cs="宋体"/>
          <w:color w:val="auto"/>
          <w:highlight w:val="none"/>
        </w:rPr>
      </w:pPr>
      <w:bookmarkStart w:id="26" w:name="_Toc254970675"/>
      <w:bookmarkStart w:id="27" w:name="_Toc254970534"/>
    </w:p>
    <w:p w14:paraId="4EDA9F20">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二、磋商文件</w:t>
      </w:r>
      <w:bookmarkEnd w:id="26"/>
      <w:bookmarkEnd w:id="27"/>
    </w:p>
    <w:p w14:paraId="25AFDB38">
      <w:pPr>
        <w:spacing w:line="360" w:lineRule="auto"/>
        <w:rPr>
          <w:rFonts w:hint="eastAsia" w:ascii="宋体" w:hAnsi="宋体" w:cs="宋体"/>
          <w:color w:val="auto"/>
          <w:szCs w:val="21"/>
          <w:highlight w:val="none"/>
        </w:rPr>
      </w:pPr>
    </w:p>
    <w:p w14:paraId="39703DEB">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8.磋商文件的构成</w:t>
      </w:r>
    </w:p>
    <w:p w14:paraId="73DBBD08">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（1）竞争性磋商公告；</w:t>
      </w:r>
    </w:p>
    <w:p w14:paraId="360359BC">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（2）供应商须知； </w:t>
      </w:r>
    </w:p>
    <w:p w14:paraId="2200027C">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（3）采购需求；</w:t>
      </w:r>
    </w:p>
    <w:p w14:paraId="177CC288">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（4）评审程序、评审方法和评审标准；</w:t>
      </w:r>
    </w:p>
    <w:p w14:paraId="292E51ED">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（5）响应文件格式；</w:t>
      </w:r>
    </w:p>
    <w:p w14:paraId="3DC152FF">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（6）合同文本。</w:t>
      </w:r>
    </w:p>
    <w:p w14:paraId="4BB638AE">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9.供应商的询问</w:t>
      </w:r>
    </w:p>
    <w:p w14:paraId="1F6C340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供应商应认真阅读磋商文件的采购需求，如供应商对磋商文件有疑问的，如要求采购人作出澄清或者修改的，供应商</w:t>
      </w:r>
      <w:r>
        <w:rPr>
          <w:rFonts w:hint="eastAsia" w:ascii="宋体" w:hAnsi="宋体"/>
          <w:color w:val="auto"/>
          <w:szCs w:val="21"/>
          <w:highlight w:val="none"/>
        </w:rPr>
        <w:t>应在</w:t>
      </w:r>
      <w:r>
        <w:rPr>
          <w:rFonts w:hint="eastAsia" w:ascii="宋体" w:hAnsi="宋体" w:cs="宋体"/>
          <w:color w:val="auto"/>
          <w:szCs w:val="21"/>
          <w:highlight w:val="none"/>
        </w:rPr>
        <w:t>提交首次响应文件截止之日前，以书面形式向采购人、采购代理机构提出。</w:t>
      </w:r>
    </w:p>
    <w:p w14:paraId="458D5B9D">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10.磋商文件的澄清和修改</w:t>
      </w:r>
    </w:p>
    <w:p w14:paraId="5463D67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w:t>
      </w:r>
      <w:r>
        <w:rPr>
          <w:rFonts w:hint="eastAsia" w:ascii="宋体" w:hAnsi="宋体" w:cs="宋体"/>
          <w:b/>
          <w:bCs/>
          <w:color w:val="auto"/>
          <w:szCs w:val="21"/>
          <w:highlight w:val="none"/>
          <w:lang w:val="en-US" w:eastAsia="zh-CN"/>
        </w:rPr>
        <w:t>5</w:t>
      </w:r>
      <w:r>
        <w:rPr>
          <w:rFonts w:hint="eastAsia" w:ascii="宋体" w:hAnsi="宋体" w:cs="宋体"/>
          <w:b/>
          <w:bCs/>
          <w:color w:val="auto"/>
          <w:szCs w:val="21"/>
          <w:highlight w:val="none"/>
        </w:rPr>
        <w:t>日</w:t>
      </w:r>
      <w:r>
        <w:rPr>
          <w:rFonts w:hint="eastAsia" w:ascii="宋体" w:hAnsi="宋体" w:cs="宋体"/>
          <w:color w:val="auto"/>
          <w:szCs w:val="21"/>
          <w:highlight w:val="none"/>
        </w:rPr>
        <w:t>前，以书面形式通知所有获取磋商文件的供应商，</w:t>
      </w:r>
      <w:r>
        <w:rPr>
          <w:rFonts w:hint="eastAsia" w:ascii="宋体" w:hAnsi="宋体" w:cs="宋体"/>
          <w:b/>
          <w:bCs/>
          <w:color w:val="auto"/>
          <w:szCs w:val="21"/>
          <w:highlight w:val="none"/>
        </w:rPr>
        <w:t>不足</w:t>
      </w:r>
      <w:r>
        <w:rPr>
          <w:rFonts w:hint="eastAsia" w:ascii="宋体" w:hAnsi="宋体" w:cs="宋体"/>
          <w:b/>
          <w:bCs/>
          <w:color w:val="auto"/>
          <w:szCs w:val="21"/>
          <w:highlight w:val="none"/>
          <w:lang w:val="en-US" w:eastAsia="zh-CN"/>
        </w:rPr>
        <w:t>5</w:t>
      </w:r>
      <w:r>
        <w:rPr>
          <w:rFonts w:hint="eastAsia" w:ascii="宋体" w:hAnsi="宋体" w:cs="宋体"/>
          <w:b/>
          <w:bCs/>
          <w:color w:val="auto"/>
          <w:szCs w:val="21"/>
          <w:highlight w:val="none"/>
        </w:rPr>
        <w:t>日</w:t>
      </w:r>
      <w:r>
        <w:rPr>
          <w:rFonts w:hint="eastAsia" w:ascii="宋体" w:hAnsi="宋体" w:cs="宋体"/>
          <w:color w:val="auto"/>
          <w:szCs w:val="21"/>
          <w:highlight w:val="none"/>
        </w:rPr>
        <w:t>的，应当顺延提交首次响应文件截止之日。</w:t>
      </w:r>
    </w:p>
    <w:p w14:paraId="0D954B81">
      <w:pPr>
        <w:spacing w:line="360" w:lineRule="auto"/>
        <w:rPr>
          <w:rFonts w:hint="eastAsia" w:ascii="宋体" w:hAnsi="宋体" w:cs="宋体"/>
          <w:color w:val="auto"/>
          <w:szCs w:val="21"/>
          <w:highlight w:val="none"/>
        </w:rPr>
      </w:pPr>
    </w:p>
    <w:p w14:paraId="7F5D9F0C">
      <w:pPr>
        <w:spacing w:line="360" w:lineRule="auto"/>
        <w:jc w:val="center"/>
        <w:rPr>
          <w:rFonts w:hint="eastAsia" w:ascii="宋体" w:hAnsi="宋体" w:cs="宋体"/>
          <w:b/>
          <w:bCs/>
          <w:color w:val="auto"/>
          <w:szCs w:val="21"/>
          <w:highlight w:val="none"/>
        </w:rPr>
      </w:pPr>
      <w:r>
        <w:rPr>
          <w:rFonts w:hint="eastAsia" w:ascii="宋体" w:hAnsi="宋体" w:cs="宋体"/>
          <w:b/>
          <w:bCs/>
          <w:color w:val="auto"/>
          <w:sz w:val="32"/>
          <w:szCs w:val="32"/>
          <w:highlight w:val="none"/>
        </w:rPr>
        <w:t>三、响应文件的编制</w:t>
      </w:r>
    </w:p>
    <w:p w14:paraId="646230EC">
      <w:pPr>
        <w:spacing w:line="360" w:lineRule="auto"/>
        <w:rPr>
          <w:rFonts w:hint="eastAsia" w:ascii="宋体" w:hAnsi="宋体" w:cs="宋体"/>
          <w:color w:val="auto"/>
          <w:szCs w:val="21"/>
          <w:highlight w:val="none"/>
        </w:rPr>
      </w:pPr>
    </w:p>
    <w:p w14:paraId="75B57200">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11.响应文件的编制原则</w:t>
      </w:r>
    </w:p>
    <w:p w14:paraId="443D2C9F">
      <w:pPr>
        <w:spacing w:line="360" w:lineRule="auto"/>
        <w:ind w:firstLine="420" w:firstLineChars="200"/>
        <w:rPr>
          <w:rFonts w:hint="eastAsia" w:ascii="宋体" w:hAnsi="宋体" w:cs="宋体"/>
          <w:b/>
          <w:bCs/>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w:t>
      </w:r>
      <w:r>
        <w:rPr>
          <w:rFonts w:hint="eastAsia" w:ascii="宋体" w:hAnsi="宋体" w:cs="宋体"/>
          <w:b/>
          <w:bCs/>
          <w:color w:val="auto"/>
          <w:szCs w:val="21"/>
          <w:highlight w:val="none"/>
        </w:rPr>
        <w:t>响应文件必须对磋商文件提出的要求和条件作出明确响应。</w:t>
      </w:r>
    </w:p>
    <w:p w14:paraId="5A4061AA">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12.响应文件的组成</w:t>
      </w:r>
    </w:p>
    <w:p w14:paraId="53478CB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12.1响应文件由资格证明文件、报价文件、商务技术文件三部分组成。</w:t>
      </w:r>
    </w:p>
    <w:p w14:paraId="05D9B84B">
      <w:pPr>
        <w:spacing w:line="360" w:lineRule="auto"/>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12.1.1资格证明文件：详见“供应商须知前附表”</w:t>
      </w:r>
    </w:p>
    <w:p w14:paraId="0C5B17DB">
      <w:pPr>
        <w:spacing w:line="360" w:lineRule="auto"/>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12.1.2报价文件：详见“供应商须知前附表”</w:t>
      </w:r>
    </w:p>
    <w:p w14:paraId="1A37664F">
      <w:pPr>
        <w:spacing w:line="360" w:lineRule="auto"/>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12.1.3商务技术文件：详见“供应商须知前附表”</w:t>
      </w:r>
    </w:p>
    <w:p w14:paraId="1862154F">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13.计量单位</w:t>
      </w:r>
    </w:p>
    <w:p w14:paraId="5048A99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5FCC5AED">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14.竞标的风险</w:t>
      </w:r>
    </w:p>
    <w:p w14:paraId="130EBA6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04789A52">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15.竞标报价</w:t>
      </w:r>
    </w:p>
    <w:p w14:paraId="066C09CB">
      <w:pPr>
        <w:tabs>
          <w:tab w:val="left" w:pos="2492"/>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15.1竞标报价应按磋商文件中“竞标报价表”格式填写。</w:t>
      </w:r>
    </w:p>
    <w:p w14:paraId="71D6BF2E">
      <w:pPr>
        <w:tabs>
          <w:tab w:val="left" w:pos="2492"/>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15.2竞标报价的内容见“供应商须知前附表”。</w:t>
      </w:r>
    </w:p>
    <w:p w14:paraId="7107AD96">
      <w:pPr>
        <w:spacing w:line="360" w:lineRule="auto"/>
        <w:ind w:left="426" w:leftChars="203"/>
        <w:rPr>
          <w:rFonts w:hint="eastAsia" w:ascii="宋体" w:hAnsi="宋体" w:cs="宋体"/>
          <w:color w:val="auto"/>
          <w:szCs w:val="21"/>
          <w:highlight w:val="none"/>
        </w:rPr>
      </w:pPr>
      <w:r>
        <w:rPr>
          <w:rFonts w:hint="eastAsia" w:ascii="宋体" w:hAnsi="宋体" w:cs="宋体"/>
          <w:color w:val="auto"/>
          <w:szCs w:val="21"/>
          <w:highlight w:val="none"/>
        </w:rPr>
        <w:t>15.3竞标报价要求</w:t>
      </w:r>
    </w:p>
    <w:p w14:paraId="6521392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15.3.1供应商的竞标报价应符合以下要求，否则响应文件按无效响应处理：</w:t>
      </w:r>
    </w:p>
    <w:p w14:paraId="182A231F">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（1）供应商必须就“采购需求”中所竞标的全部内容分别作完整唯一总价报价，不得存在漏项报价；</w:t>
      </w:r>
    </w:p>
    <w:p w14:paraId="01C714A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（2）供应商必须就所竞标的单项内容作唯一报价。</w:t>
      </w:r>
    </w:p>
    <w:p w14:paraId="6694A25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15.3.2竞标报价（包含首次报价、最后报价）超过所竞标规定的采购预算金额或者最高限价的，其响应文件将按无效处理。</w:t>
      </w:r>
    </w:p>
    <w:p w14:paraId="7E82698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15.3.3</w:t>
      </w:r>
      <w:bookmarkStart w:id="28" w:name="_Hlk42592874"/>
      <w:r>
        <w:rPr>
          <w:rFonts w:hint="eastAsia" w:ascii="宋体" w:hAnsi="宋体" w:cs="宋体"/>
          <w:color w:val="auto"/>
          <w:szCs w:val="21"/>
          <w:highlight w:val="none"/>
        </w:rPr>
        <w:t>竞标报价（包含首次报价、最后报价）超过分项采购预算金额或者最高限价的，其响应文件将按无效处理。</w:t>
      </w:r>
    </w:p>
    <w:bookmarkEnd w:id="28"/>
    <w:p w14:paraId="550B94D9">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16.竞标有效期</w:t>
      </w:r>
    </w:p>
    <w:p w14:paraId="431581B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5750955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竞标有效期应由供应商按“供应商须知前附表”规定的期限作出响应。承诺的竞标有效期低于采购文件规定期限的，供应商的响应文件作无效处理。</w:t>
      </w:r>
    </w:p>
    <w:p w14:paraId="526F553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2547F2F5">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17.磋商保证金</w:t>
      </w:r>
    </w:p>
    <w:p w14:paraId="78065037">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详见采购文件中供应商须知前附表。</w:t>
      </w:r>
    </w:p>
    <w:p w14:paraId="1511D70E">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18.响应文件编制的要求</w:t>
      </w:r>
    </w:p>
    <w:p w14:paraId="53AFE06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18.1供应商应按照本项目磋商文件规定的格式和顺序和广西政府采购云平台的要求编制响应文件并加密。响应文件内容不完整、编排混乱导致响应文件被误读、漏读或者查找不到相关内容的，由此引发的后果由供应商承担。</w:t>
      </w:r>
    </w:p>
    <w:p w14:paraId="3627698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18.2为确保网上操作合法、有效和安全，供应商应当在提交响应文件截止时间前完成在广西政府采购云平台的身份认证，确保在电子竞标过程中能够对相关数据电文进行加密和使用电子签章。</w:t>
      </w:r>
    </w:p>
    <w:p w14:paraId="101B2F1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18.3响应文件须由供应商在规定位置签字、盖章（具体以供应商须知前附表或响应文件格式规定为准），否则按无效响应处理。</w:t>
      </w:r>
    </w:p>
    <w:p w14:paraId="53CA450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18.4响应文件中标注的供应商名称应与主体资格证明（如营业执照或者事业单位法人证书或者执业许可证或者登记证书等）及公章一致，</w:t>
      </w:r>
      <w:r>
        <w:rPr>
          <w:rFonts w:hint="eastAsia" w:ascii="宋体" w:hAnsi="宋体"/>
          <w:b/>
          <w:color w:val="auto"/>
          <w:szCs w:val="21"/>
          <w:highlight w:val="none"/>
        </w:rPr>
        <w:t>并与广西政府采购云平台中获取采购文件的供应商名称一致，</w:t>
      </w:r>
      <w:r>
        <w:rPr>
          <w:rFonts w:hint="eastAsia" w:ascii="宋体" w:hAnsi="宋体" w:cs="宋体"/>
          <w:color w:val="auto"/>
          <w:szCs w:val="21"/>
          <w:highlight w:val="none"/>
        </w:rPr>
        <w:t>供应商为自然人的，标注的供应商名称应与身份证姓名及签名一致，否则其响应文件按无效响应处理。</w:t>
      </w:r>
    </w:p>
    <w:p w14:paraId="2B6A262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0AC4599A">
      <w:pPr>
        <w:spacing w:line="360" w:lineRule="auto"/>
        <w:ind w:firstLine="482" w:firstLineChars="200"/>
        <w:rPr>
          <w:rFonts w:hint="eastAsia" w:ascii="宋体" w:hAnsi="宋体" w:cs="宋体"/>
          <w:color w:val="auto"/>
          <w:sz w:val="24"/>
          <w:highlight w:val="none"/>
        </w:rPr>
      </w:pPr>
      <w:r>
        <w:rPr>
          <w:rFonts w:hint="eastAsia" w:ascii="宋体" w:hAnsi="宋体" w:cs="宋体"/>
          <w:b/>
          <w:bCs/>
          <w:color w:val="auto"/>
          <w:sz w:val="24"/>
          <w:highlight w:val="none"/>
        </w:rPr>
        <w:t>19.电子</w:t>
      </w:r>
      <w:r>
        <w:rPr>
          <w:rFonts w:hint="eastAsia" w:ascii="宋体" w:hAnsi="宋体" w:cs="宋体"/>
          <w:b/>
          <w:color w:val="auto"/>
          <w:sz w:val="24"/>
          <w:highlight w:val="none"/>
        </w:rPr>
        <w:t>备份响应文件</w:t>
      </w:r>
    </w:p>
    <w:p w14:paraId="5194A31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 xml:space="preserve">电子备份响应文件是指通过在线编制生成且后缀名为“bfbs”的文件，是 </w:t>
      </w:r>
    </w:p>
    <w:p w14:paraId="4D8CDEFA">
      <w:pPr>
        <w:spacing w:line="360" w:lineRule="auto"/>
        <w:ind w:firstLine="420" w:firstLineChars="200"/>
        <w:rPr>
          <w:rFonts w:hint="eastAsia" w:ascii="宋体" w:hAnsi="宋体" w:cs="宋体"/>
          <w:color w:val="auto"/>
          <w:szCs w:val="21"/>
          <w:highlight w:val="none"/>
        </w:rPr>
      </w:pPr>
      <w:r>
        <w:rPr>
          <w:rFonts w:hint="eastAsia" w:ascii="宋体" w:hAnsi="宋体" w:cs="宋体"/>
          <w:bCs/>
          <w:color w:val="auto"/>
          <w:szCs w:val="21"/>
          <w:highlight w:val="none"/>
        </w:rPr>
        <w:t>否接受电子备份响应文件详见“供应商须知前附表”。</w:t>
      </w:r>
    </w:p>
    <w:p w14:paraId="3327D945">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20.响应文件的提交</w:t>
      </w:r>
    </w:p>
    <w:p w14:paraId="19F73229">
      <w:pPr>
        <w:spacing w:line="360" w:lineRule="auto"/>
        <w:ind w:firstLine="420" w:firstLineChars="200"/>
        <w:rPr>
          <w:rFonts w:hint="eastAsia" w:ascii="宋体" w:hAnsi="宋体" w:cs="宋体"/>
          <w:b/>
          <w:color w:val="auto"/>
          <w:highlight w:val="none"/>
        </w:rPr>
      </w:pPr>
      <w:r>
        <w:rPr>
          <w:rFonts w:hint="eastAsia" w:ascii="宋体" w:hAnsi="宋体" w:cs="宋体"/>
          <w:bCs/>
          <w:color w:val="auto"/>
          <w:szCs w:val="21"/>
          <w:highlight w:val="none"/>
        </w:rPr>
        <w:t>20.1供应商必须按“供应商须知前附表”规定的</w:t>
      </w:r>
      <w:r>
        <w:rPr>
          <w:rFonts w:hint="eastAsia" w:ascii="宋体" w:hAnsi="宋体" w:cs="宋体"/>
          <w:color w:val="auto"/>
          <w:szCs w:val="21"/>
          <w:highlight w:val="none"/>
        </w:rPr>
        <w:t>时间及</w:t>
      </w:r>
      <w:r>
        <w:rPr>
          <w:rFonts w:hint="eastAsia" w:ascii="宋体" w:hAnsi="宋体" w:cs="宋体"/>
          <w:bCs/>
          <w:color w:val="auto"/>
          <w:szCs w:val="21"/>
          <w:highlight w:val="none"/>
        </w:rPr>
        <w:t>地点提交响应文件。电子响应文件应在制作完成后，在提交响应文件截止时间前通过有效数字证书（CA认证锁）进行电子签章、加密，然后通过网络将加密的电子响应文件提交至</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 xml:space="preserve">。 </w:t>
      </w:r>
      <w:r>
        <w:rPr>
          <w:rFonts w:hint="eastAsia" w:ascii="宋体" w:hAnsi="宋体" w:cs="宋体"/>
          <w:b/>
          <w:color w:val="auto"/>
          <w:highlight w:val="none"/>
        </w:rPr>
        <w:t xml:space="preserve"> </w:t>
      </w:r>
    </w:p>
    <w:p w14:paraId="57A0EB2B">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20.2未在规定时间内提交或者未按照磋商文件要求加密的电子响应文件，广西政府采购云平台将拒收。</w:t>
      </w:r>
    </w:p>
    <w:p w14:paraId="3F6F816F">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21.首次响应文件的补充、修改与撤回</w:t>
      </w:r>
    </w:p>
    <w:p w14:paraId="04E894DD">
      <w:pPr>
        <w:snapToGrid w:val="0"/>
        <w:spacing w:line="360" w:lineRule="auto"/>
        <w:ind w:firstLine="420"/>
        <w:jc w:val="left"/>
        <w:rPr>
          <w:rFonts w:hint="eastAsia" w:ascii="宋体" w:hAnsi="宋体" w:cs="宋体"/>
          <w:color w:val="auto"/>
          <w:szCs w:val="21"/>
          <w:highlight w:val="none"/>
        </w:rPr>
      </w:pPr>
      <w:bookmarkStart w:id="29" w:name="_Toc254970684"/>
      <w:bookmarkStart w:id="30" w:name="_Toc254970543"/>
      <w:r>
        <w:rPr>
          <w:rFonts w:hint="eastAsia" w:ascii="宋体" w:hAnsi="宋体" w:cs="宋体"/>
          <w:color w:val="auto"/>
          <w:szCs w:val="21"/>
          <w:highlight w:val="none"/>
        </w:rPr>
        <w:t>21.1</w:t>
      </w:r>
      <w:r>
        <w:rPr>
          <w:rFonts w:hint="eastAsia" w:ascii="宋体" w:hAnsi="宋体" w:cs="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将予以拒收。</w:t>
      </w:r>
      <w:r>
        <w:rPr>
          <w:rFonts w:hint="eastAsia" w:ascii="宋体" w:hAnsi="宋体" w:cs="宋体"/>
          <w:color w:val="auto"/>
          <w:szCs w:val="21"/>
          <w:highlight w:val="none"/>
        </w:rPr>
        <w:t>（补充、修改或者撤回方式可登录广西政府采购云平台</w:t>
      </w:r>
      <w:r>
        <w:rPr>
          <w:rFonts w:hint="eastAsia" w:ascii="宋体" w:hAnsi="宋体" w:cs="宋体"/>
          <w:color w:val="auto"/>
          <w:kern w:val="0"/>
          <w:szCs w:val="21"/>
          <w:highlight w:val="none"/>
        </w:rPr>
        <w:t>，</w:t>
      </w:r>
      <w:r>
        <w:rPr>
          <w:rFonts w:hint="eastAsia" w:ascii="宋体" w:hAnsi="宋体" w:cs="宋体"/>
          <w:color w:val="auto"/>
          <w:szCs w:val="21"/>
          <w:highlight w:val="none"/>
        </w:rPr>
        <w:t>进入“服务中心”中查看 “电子投标文件制作与投送教程”）</w:t>
      </w:r>
    </w:p>
    <w:bookmarkEnd w:id="29"/>
    <w:bookmarkEnd w:id="30"/>
    <w:p w14:paraId="326B0C3D">
      <w:pPr>
        <w:pStyle w:val="19"/>
        <w:spacing w:before="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21.2在提交响应文件截止时间前，除供应商补充、修改或者撤回响应文件外，任何单位和个人不得解密或提取响应文件。</w:t>
      </w:r>
    </w:p>
    <w:p w14:paraId="417C029A">
      <w:pPr>
        <w:spacing w:line="360" w:lineRule="auto"/>
        <w:ind w:firstLine="482" w:firstLineChars="200"/>
        <w:rPr>
          <w:rFonts w:hint="eastAsia" w:ascii="宋体" w:hAnsi="宋体" w:cs="宋体"/>
          <w:b/>
          <w:bCs/>
          <w:color w:val="auto"/>
          <w:sz w:val="24"/>
          <w:highlight w:val="none"/>
        </w:rPr>
      </w:pPr>
      <w:bookmarkStart w:id="31" w:name="_Hlk45702405"/>
      <w:r>
        <w:rPr>
          <w:rFonts w:hint="eastAsia" w:ascii="宋体" w:hAnsi="宋体" w:cs="宋体"/>
          <w:b/>
          <w:bCs/>
          <w:color w:val="auto"/>
          <w:sz w:val="24"/>
          <w:highlight w:val="none"/>
        </w:rPr>
        <w:t>22.响应文件的退回</w:t>
      </w:r>
    </w:p>
    <w:p w14:paraId="6C91993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14:paraId="41728FE5">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23.截止时间后的撤回</w:t>
      </w:r>
    </w:p>
    <w:p w14:paraId="5EE3A6F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highlight w:val="none"/>
        </w:rPr>
        <w:t>供应商在首次电子响应文件提交截止时间后向采购人、采购代理机构书面申请撤回电子响应文件的，除此之外采购人和采购代理机构对已开启的电子响应文件概不退回</w:t>
      </w:r>
      <w:r>
        <w:rPr>
          <w:rFonts w:hint="eastAsia" w:ascii="宋体" w:hAnsi="宋体" w:cs="宋体"/>
          <w:color w:val="auto"/>
          <w:szCs w:val="21"/>
          <w:highlight w:val="none"/>
        </w:rPr>
        <w:t>。</w:t>
      </w:r>
    </w:p>
    <w:bookmarkEnd w:id="31"/>
    <w:p w14:paraId="0862CC6C">
      <w:pPr>
        <w:spacing w:line="360" w:lineRule="auto"/>
        <w:rPr>
          <w:rFonts w:hint="eastAsia" w:ascii="宋体" w:hAnsi="宋体" w:cs="宋体"/>
          <w:color w:val="auto"/>
          <w:szCs w:val="21"/>
          <w:highlight w:val="none"/>
        </w:rPr>
      </w:pPr>
    </w:p>
    <w:p w14:paraId="62DCE2F8">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四、评审及磋商</w:t>
      </w:r>
    </w:p>
    <w:p w14:paraId="23F7A232">
      <w:pPr>
        <w:spacing w:line="360" w:lineRule="auto"/>
        <w:ind w:left="420" w:firstLine="420"/>
        <w:rPr>
          <w:rFonts w:hint="eastAsia" w:ascii="宋体" w:hAnsi="宋体" w:cs="宋体"/>
          <w:color w:val="auto"/>
          <w:szCs w:val="21"/>
          <w:highlight w:val="none"/>
        </w:rPr>
      </w:pPr>
    </w:p>
    <w:p w14:paraId="00CAB5EA">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24.磋商小组成立</w:t>
      </w:r>
    </w:p>
    <w:p w14:paraId="3F4E897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及以上单数组成。</w:t>
      </w:r>
    </w:p>
    <w:p w14:paraId="5DC4D77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1E6AC05A">
      <w:pPr>
        <w:spacing w:line="360" w:lineRule="auto"/>
        <w:ind w:firstLine="420" w:firstLineChars="200"/>
        <w:rPr>
          <w:rFonts w:hint="eastAsia" w:hAnsi="宋体"/>
          <w:bCs/>
          <w:color w:val="auto"/>
          <w:szCs w:val="21"/>
          <w:highlight w:val="none"/>
        </w:rPr>
      </w:pPr>
      <w:r>
        <w:rPr>
          <w:rFonts w:hint="eastAsia" w:ascii="宋体" w:hAnsi="宋体" w:cs="宋体"/>
          <w:color w:val="auto"/>
          <w:szCs w:val="21"/>
          <w:highlight w:val="none"/>
        </w:rPr>
        <w:t>24.3</w:t>
      </w:r>
      <w:r>
        <w:rPr>
          <w:rFonts w:hint="eastAsia" w:hAnsi="宋体"/>
          <w:bCs/>
          <w:color w:val="auto"/>
          <w:szCs w:val="21"/>
          <w:highlight w:val="none"/>
        </w:rPr>
        <w:t>采购代理机构</w:t>
      </w:r>
      <w:r>
        <w:rPr>
          <w:rFonts w:hint="eastAsia" w:hAnsi="宋体"/>
          <w:bCs/>
          <w:color w:val="auto"/>
          <w:highlight w:val="none"/>
        </w:rPr>
        <w:t>应当</w:t>
      </w:r>
      <w:r>
        <w:rPr>
          <w:rFonts w:hint="eastAsia" w:hAnsi="宋体"/>
          <w:bCs/>
          <w:color w:val="auto"/>
          <w:szCs w:val="21"/>
          <w:highlight w:val="none"/>
        </w:rPr>
        <w:t>基于广西政府采购云平台</w:t>
      </w:r>
      <w:r>
        <w:rPr>
          <w:rFonts w:hint="eastAsia" w:hAnsi="宋体"/>
          <w:bCs/>
          <w:color w:val="auto"/>
          <w:highlight w:val="none"/>
        </w:rPr>
        <w:t>抽（选）取</w:t>
      </w:r>
      <w:r>
        <w:rPr>
          <w:rFonts w:hint="eastAsia" w:hAnsi="宋体"/>
          <w:bCs/>
          <w:color w:val="auto"/>
          <w:szCs w:val="21"/>
          <w:highlight w:val="none"/>
        </w:rPr>
        <w:t>评审专家。</w:t>
      </w:r>
    </w:p>
    <w:p w14:paraId="381573C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24.4参加过采购项目前期咨询论证的专家，不得参加该采购项目的评审活动。</w:t>
      </w:r>
    </w:p>
    <w:p w14:paraId="145DCA9D">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25.首次响应文件的开启和解密</w:t>
      </w:r>
    </w:p>
    <w:p w14:paraId="23F4CE9E">
      <w:pPr>
        <w:spacing w:line="360" w:lineRule="auto"/>
        <w:ind w:firstLine="420" w:firstLineChars="200"/>
        <w:rPr>
          <w:rFonts w:hint="eastAsia" w:ascii="宋体" w:hAnsi="宋体" w:cs="宋体"/>
          <w:color w:val="auto"/>
          <w:szCs w:val="21"/>
          <w:highlight w:val="none"/>
        </w:rPr>
      </w:pPr>
      <w:r>
        <w:rPr>
          <w:rFonts w:hint="eastAsia" w:hAnsi="宋体"/>
          <w:bCs/>
          <w:color w:val="auto"/>
          <w:highlight w:val="none"/>
        </w:rPr>
        <w:t>采购代理机构将在“供应商须知前附表”规定的时</w:t>
      </w:r>
      <w:r>
        <w:rPr>
          <w:rFonts w:hint="eastAsia" w:hAnsi="宋体"/>
          <w:color w:val="auto"/>
          <w:highlight w:val="none"/>
        </w:rPr>
        <w:t>间通过电子交易平台组织响应文件开启，供应商的法定代表人或其委托代理人须携带加密时所用的CA锁，按平台提示和磋商文件的规定登录到广西政府采购云平台电子开标大厅签到，</w:t>
      </w:r>
      <w:r>
        <w:rPr>
          <w:rFonts w:hint="eastAsia"/>
          <w:color w:val="auto"/>
          <w:highlight w:val="none"/>
        </w:rPr>
        <w:t>采购代理机构依托广西政府采购云平台向各供应商发出电子加密响应文件【开始解密】通知，由供应商按</w:t>
      </w:r>
      <w:r>
        <w:rPr>
          <w:rFonts w:hint="eastAsia" w:hAnsi="宋体"/>
          <w:bCs/>
          <w:color w:val="auto"/>
          <w:szCs w:val="21"/>
          <w:highlight w:val="none"/>
        </w:rPr>
        <w:t>“供应商须知前附表”</w:t>
      </w:r>
      <w:r>
        <w:rPr>
          <w:rFonts w:hint="eastAsia"/>
          <w:color w:val="auto"/>
          <w:highlight w:val="none"/>
        </w:rPr>
        <w:t>规定的时间内自行进行响应文件解密</w:t>
      </w:r>
      <w:r>
        <w:rPr>
          <w:rFonts w:hint="eastAsia" w:hAnsi="宋体"/>
          <w:color w:val="auto"/>
          <w:highlight w:val="none"/>
        </w:rPr>
        <w:t>。</w:t>
      </w:r>
      <w:r>
        <w:rPr>
          <w:rFonts w:hint="eastAsia"/>
          <w:b/>
          <w:color w:val="auto"/>
          <w:highlight w:val="none"/>
        </w:rPr>
        <w:t>供应商未在</w:t>
      </w:r>
      <w:r>
        <w:rPr>
          <w:b/>
          <w:color w:val="auto"/>
          <w:highlight w:val="none"/>
        </w:rPr>
        <w:t>规定的时间内解密</w:t>
      </w:r>
      <w:r>
        <w:rPr>
          <w:rFonts w:hint="eastAsia"/>
          <w:b/>
          <w:color w:val="auto"/>
          <w:highlight w:val="none"/>
        </w:rPr>
        <w:t>响应文件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，供应商</w:t>
      </w:r>
      <w:r>
        <w:rPr>
          <w:rFonts w:hint="eastAsia" w:ascii="宋体" w:hAnsi="宋体"/>
          <w:b/>
          <w:color w:val="auto"/>
          <w:szCs w:val="21"/>
          <w:highlight w:val="none"/>
        </w:rPr>
        <w:t>的响应文件作无效处理</w:t>
      </w:r>
      <w:r>
        <w:rPr>
          <w:rFonts w:hint="eastAsia" w:ascii="宋体" w:hAnsi="宋体" w:cs="宋体"/>
          <w:b/>
          <w:color w:val="auto"/>
          <w:highlight w:val="none"/>
        </w:rPr>
        <w:t>。</w:t>
      </w:r>
    </w:p>
    <w:p w14:paraId="3BEB9BBB">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26.评审程序、评审方法和评审标准</w:t>
      </w:r>
    </w:p>
    <w:p w14:paraId="577BAB3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26.1本项目的评审方法为综合评分法。</w:t>
      </w:r>
    </w:p>
    <w:p w14:paraId="43B80CC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26.2磋商小组按照“第四章 评审程序、评审方法和评审标准”规定的方法、评审因素、标准和程序对响应文件进行评审。</w:t>
      </w:r>
    </w:p>
    <w:p w14:paraId="51CA605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26.3 商务/技术要求允许负偏离的条款数详见“供应商须知前附表”。</w:t>
      </w:r>
    </w:p>
    <w:p w14:paraId="5BF66AA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highlight w:val="none"/>
        </w:rPr>
        <w:t>26.4磋商小组成员要依法独立评审，并对评审意见承担个人责任。磋商小组成员对需要共同认定的事项存在争议的，按照少数服从多数的原则作出结论。持不同意见的磋商小组成员应当在评审报告上签署不同意见并说明理由，否则视为同意。</w:t>
      </w:r>
    </w:p>
    <w:p w14:paraId="6A27DA6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26.5电子交易活动的中止。采购过程中出现以下情形，导致电子交易平台无法正常运行，或者无法保证电子交易的公平、公正和安全时，采购机构可中止电子交易活动：</w:t>
      </w:r>
    </w:p>
    <w:p w14:paraId="3BA0E5B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 xml:space="preserve">（1）电子交易平台发生故障而无法登录访问的； </w:t>
      </w:r>
    </w:p>
    <w:p w14:paraId="6CA055F4">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（2）电子交易平台应用或数据库出现错误，不能进行正常操作的；</w:t>
      </w:r>
    </w:p>
    <w:p w14:paraId="39DBC8B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（3）电子交易平台发现严重安全漏洞，有潜在泄密危险的；</w:t>
      </w:r>
    </w:p>
    <w:p w14:paraId="3B5715F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 xml:space="preserve">（4）病毒发作导致不能进行正常操作的； </w:t>
      </w:r>
    </w:p>
    <w:p w14:paraId="0F39CFBB">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（5）其他无法保证电子交易的公平、公正和安全的情况。</w:t>
      </w:r>
    </w:p>
    <w:p w14:paraId="18F2E49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highlight w:val="none"/>
        </w:rPr>
        <w:t>26.6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做出妥善保密处理，并报财政部门备案。</w:t>
      </w:r>
    </w:p>
    <w:p w14:paraId="6099754D">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27.确定成交供应商及结果公告</w:t>
      </w:r>
    </w:p>
    <w:p w14:paraId="36B39C7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27.1</w:t>
      </w:r>
      <w:r>
        <w:rPr>
          <w:rFonts w:hint="eastAsia" w:ascii="宋体" w:hAnsi="宋体" w:cs="宋体"/>
          <w:color w:val="auto"/>
          <w:kern w:val="0"/>
          <w:szCs w:val="21"/>
          <w:highlight w:val="none"/>
        </w:rPr>
        <w:t xml:space="preserve"> </w:t>
      </w:r>
      <w:r>
        <w:rPr>
          <w:rFonts w:hint="eastAsia" w:ascii="宋体" w:hAnsi="宋体" w:cs="宋体"/>
          <w:color w:val="auto"/>
          <w:szCs w:val="21"/>
          <w:highlight w:val="none"/>
        </w:rPr>
        <w:t>采购代理机构应当在评审结束后2个工作日内将评审报告送采购人确认。采购人应当在收到评审报告后</w:t>
      </w:r>
      <w:r>
        <w:rPr>
          <w:rFonts w:hint="eastAsia" w:ascii="宋体" w:hAnsi="宋体" w:cs="宋体"/>
          <w:b/>
          <w:bCs/>
          <w:color w:val="auto"/>
          <w:szCs w:val="21"/>
          <w:highlight w:val="none"/>
        </w:rPr>
        <w:t>5个工作日</w:t>
      </w:r>
      <w:r>
        <w:rPr>
          <w:rFonts w:hint="eastAsia" w:ascii="宋体" w:hAnsi="宋体" w:cs="宋体"/>
          <w:color w:val="auto"/>
          <w:szCs w:val="21"/>
          <w:highlight w:val="none"/>
        </w:rPr>
        <w:t>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3DF0634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27.2采购代理机构应当在</w:t>
      </w:r>
      <w:r>
        <w:rPr>
          <w:rFonts w:hint="eastAsia" w:ascii="宋体" w:hAnsi="宋体" w:cs="宋体"/>
          <w:color w:val="auto"/>
          <w:kern w:val="0"/>
          <w:szCs w:val="21"/>
          <w:highlight w:val="none"/>
        </w:rPr>
        <w:t>成交</w:t>
      </w:r>
      <w:r>
        <w:rPr>
          <w:rFonts w:hint="eastAsia" w:ascii="宋体" w:hAnsi="宋体" w:cs="宋体"/>
          <w:color w:val="auto"/>
          <w:szCs w:val="21"/>
          <w:highlight w:val="none"/>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32" w:name="_Hlk66782294"/>
      <w:r>
        <w:rPr>
          <w:rFonts w:hint="eastAsia" w:ascii="宋体" w:hAnsi="宋体" w:cs="宋体"/>
          <w:color w:val="auto"/>
          <w:szCs w:val="21"/>
          <w:highlight w:val="none"/>
        </w:rPr>
        <w:t>成交供应商享受《政府采购促进中小企业发展管理办法》（财库〔2020〕46号）规定的中小企业扶持政策的，采购人、采购代理机构应当随成交结果公开成交供应商的《中小企业声明函》。</w:t>
      </w:r>
      <w:bookmarkEnd w:id="32"/>
    </w:p>
    <w:p w14:paraId="7806EE1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27.3出现下列情形之一的，采购人或者采购代理机构应当终止竞争性磋商采购活动，发布项目终止公告并说明原因，重新开展采购活动：</w:t>
      </w:r>
    </w:p>
    <w:p w14:paraId="240CD37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（1）因情况变化，不再符合规定的竞争性磋商采购方式适用情形的；</w:t>
      </w:r>
    </w:p>
    <w:p w14:paraId="39DCFC3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（2）出现影响采购公正的违法、违规行为的；</w:t>
      </w:r>
    </w:p>
    <w:p w14:paraId="3B535D6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（3）除“第四章 评审程序、评审方法和评审标准”第4.3条规定的情形外，在采购过程中符合要求的供应商或者报价未超过采购预算的供应商不足3家的。</w:t>
      </w:r>
    </w:p>
    <w:p w14:paraId="2305754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27.4 在采购活动中因重大变故，采购任务取消的，采购人或者采购代理机构应当终止采购活动，通知所有参加采购活动的供应商，并将项目实施情况和采购任务取消原因报送本级财政部门。</w:t>
      </w:r>
    </w:p>
    <w:p w14:paraId="7AAB4AF0">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28.履约保证金</w:t>
      </w:r>
    </w:p>
    <w:p w14:paraId="294EE452">
      <w:pPr>
        <w:spacing w:line="360" w:lineRule="auto"/>
        <w:ind w:firstLine="426" w:firstLineChars="202"/>
        <w:rPr>
          <w:rFonts w:hint="eastAsia" w:ascii="宋体" w:hAnsi="宋体" w:cs="宋体"/>
          <w:color w:val="auto"/>
          <w:szCs w:val="21"/>
          <w:highlight w:val="none"/>
        </w:rPr>
      </w:pPr>
      <w:r>
        <w:rPr>
          <w:rFonts w:hint="eastAsia" w:ascii="宋体" w:hAnsi="宋体" w:cs="宋体"/>
          <w:b/>
          <w:bCs/>
          <w:color w:val="auto"/>
          <w:szCs w:val="21"/>
          <w:highlight w:val="none"/>
        </w:rPr>
        <w:t>本项目</w:t>
      </w:r>
      <w:r>
        <w:rPr>
          <w:rFonts w:hint="eastAsia" w:ascii="宋体" w:hAnsi="宋体" w:cs="宋体"/>
          <w:b/>
          <w:bCs/>
          <w:color w:val="auto"/>
          <w:szCs w:val="21"/>
          <w:highlight w:val="none"/>
          <w:lang w:val="en-US" w:eastAsia="zh-CN"/>
        </w:rPr>
        <w:t>不</w:t>
      </w:r>
      <w:r>
        <w:rPr>
          <w:rFonts w:hint="eastAsia" w:ascii="宋体" w:hAnsi="宋体" w:cs="宋体"/>
          <w:b/>
          <w:bCs/>
          <w:color w:val="auto"/>
          <w:szCs w:val="21"/>
          <w:highlight w:val="none"/>
        </w:rPr>
        <w:t>收取履约保证金</w:t>
      </w:r>
      <w:r>
        <w:rPr>
          <w:rFonts w:hint="eastAsia" w:ascii="宋体" w:hAnsi="宋体" w:cs="宋体"/>
          <w:color w:val="auto"/>
          <w:szCs w:val="21"/>
          <w:highlight w:val="none"/>
        </w:rPr>
        <w:t>。</w:t>
      </w:r>
    </w:p>
    <w:p w14:paraId="5FE46F22">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履约保证金金额：采购预算金额的</w:t>
      </w:r>
      <w:r>
        <w:rPr>
          <w:rFonts w:hint="eastAsia" w:ascii="宋体" w:hAnsi="宋体" w:cs="宋体"/>
          <w:color w:val="auto"/>
          <w:szCs w:val="21"/>
          <w:highlight w:val="none"/>
          <w:lang w:val="en-US" w:eastAsia="zh-CN"/>
        </w:rPr>
        <w:t xml:space="preserve"> 0</w:t>
      </w:r>
      <w:r>
        <w:rPr>
          <w:rFonts w:hint="eastAsia" w:ascii="宋体" w:hAnsi="宋体" w:cs="宋体"/>
          <w:color w:val="auto"/>
          <w:szCs w:val="21"/>
          <w:highlight w:val="none"/>
        </w:rPr>
        <w:t>%。</w:t>
      </w:r>
    </w:p>
    <w:p w14:paraId="2FFE5E83">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履约保证金递交方式：银行转账、支票、汇票、本票等非现金方式。</w:t>
      </w:r>
    </w:p>
    <w:p w14:paraId="2B51F68C">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履约保证金退付方式、时间及条件：</w:t>
      </w:r>
    </w:p>
    <w:p w14:paraId="7D094B46">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合同签订前，成交供应商按采购预算金额的</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%向采购人指定账户交纳履约保证金。成交供应商按照合同要求完成供货工作，合同期满，经采购人验收合格后，履约保证金全额退回（不计利息）。</w:t>
      </w:r>
    </w:p>
    <w:p w14:paraId="0FFDCAD9">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29.签订合同</w:t>
      </w:r>
    </w:p>
    <w:p w14:paraId="00450CEA">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44D885FD">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线下签订纸质合同：供应商领取成交通知书后，按“供应商须知前附表”规定向采购人出示相关证明材料，经采购人核验合格后方可签订合同。</w:t>
      </w:r>
    </w:p>
    <w:p w14:paraId="090C91B8">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14:paraId="4052C97C">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59A4F4A6">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07F81555">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26C3DDD2">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7B0E5096">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31AF5233">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30.政府采购合同公告</w:t>
      </w:r>
    </w:p>
    <w:p w14:paraId="4684E90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5FC9AD1C">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31. 询问、质疑和投诉</w:t>
      </w:r>
    </w:p>
    <w:p w14:paraId="0CE0691F">
      <w:pPr>
        <w:pStyle w:val="6"/>
        <w:spacing w:line="360" w:lineRule="auto"/>
        <w:rPr>
          <w:rFonts w:hint="eastAsia" w:ascii="宋体" w:hAnsi="宋体" w:cs="宋体"/>
          <w:color w:val="auto"/>
          <w:szCs w:val="21"/>
          <w:highlight w:val="none"/>
        </w:rPr>
      </w:pPr>
      <w:r>
        <w:rPr>
          <w:rFonts w:hint="eastAsia" w:ascii="宋体" w:hAnsi="宋体" w:cs="宋体"/>
          <w:color w:val="auto"/>
          <w:highlight w:val="none"/>
        </w:rPr>
        <w:t>31.1供应商对政府采购活动事项有疑问的，可以向采购人、采购代理机构提出询问，采购人或者采购代理机构应当在3个工作日内对供应商依法提出的询问作出答复，</w:t>
      </w:r>
      <w:r>
        <w:rPr>
          <w:rFonts w:hint="eastAsia" w:ascii="宋体" w:hAnsi="宋体" w:cs="宋体"/>
          <w:color w:val="auto"/>
          <w:szCs w:val="21"/>
          <w:highlight w:val="none"/>
        </w:rPr>
        <w:t>但答复的内容不得涉及商业秘密</w:t>
      </w:r>
      <w:r>
        <w:rPr>
          <w:rFonts w:hint="eastAsia" w:ascii="宋体" w:hAnsi="宋体" w:cs="宋体"/>
          <w:color w:val="auto"/>
          <w:highlight w:val="none"/>
        </w:rPr>
        <w:t>。</w:t>
      </w:r>
    </w:p>
    <w:p w14:paraId="3909E76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color w:val="auto"/>
          <w:highlight w:val="none"/>
          <w:shd w:val="clear" w:color="auto" w:fill="FFFFFF"/>
        </w:rPr>
        <w:t>接收质疑函的方式、联系部门、联系电话和通讯地址等信息详见</w:t>
      </w:r>
      <w:r>
        <w:rPr>
          <w:rFonts w:hint="eastAsia" w:ascii="宋体" w:hAnsi="宋体" w:cs="宋体"/>
          <w:color w:val="auto"/>
          <w:szCs w:val="21"/>
          <w:highlight w:val="none"/>
        </w:rPr>
        <w:t>“供应商须知前附表”</w:t>
      </w:r>
      <w:r>
        <w:rPr>
          <w:rFonts w:hint="eastAsia" w:ascii="宋体" w:hAnsi="宋体" w:cs="宋体"/>
          <w:color w:val="auto"/>
          <w:highlight w:val="none"/>
        </w:rPr>
        <w:t>。具体质疑起算时间如下：</w:t>
      </w:r>
    </w:p>
    <w:p w14:paraId="01F1A60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（1）对可以质疑的磋商文件提出质疑的，为收到磋商文件之日或者竞争性磋商公告期限届满之日；</w:t>
      </w:r>
    </w:p>
    <w:p w14:paraId="3371917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3E99C548">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1B2989D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098C9A3B">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ascii="宋体" w:hAnsi="宋体" w:cs="宋体"/>
          <w:bCs/>
          <w:color w:val="auto"/>
          <w:highlight w:val="none"/>
        </w:rPr>
        <w:t>（质疑函格式后附）</w:t>
      </w:r>
      <w:r>
        <w:rPr>
          <w:rFonts w:hint="eastAsia" w:ascii="宋体" w:hAnsi="宋体" w:cs="宋体"/>
          <w:color w:val="auto"/>
          <w:highlight w:val="none"/>
        </w:rPr>
        <w:t>：</w:t>
      </w:r>
    </w:p>
    <w:p w14:paraId="7C579C6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39A9BDB1">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（2）质疑项目的名称、编号；</w:t>
      </w:r>
    </w:p>
    <w:p w14:paraId="593E86E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（3）具体、明确的质疑事项和与质疑事项相关的请求；</w:t>
      </w:r>
    </w:p>
    <w:p w14:paraId="40030DB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（4）事实依据；</w:t>
      </w:r>
    </w:p>
    <w:p w14:paraId="24A26FD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（5）必要的法律依据；</w:t>
      </w:r>
    </w:p>
    <w:p w14:paraId="40F368CD">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（6）提出质疑的日期。</w:t>
      </w:r>
    </w:p>
    <w:p w14:paraId="3A3D804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058D24A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34F654ED">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0C8A6F7D">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12BD06B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1ECD36F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highlight w:val="none"/>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78A1F5E4">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32.其他内容</w:t>
      </w:r>
    </w:p>
    <w:p w14:paraId="61028B99">
      <w:pPr>
        <w:tabs>
          <w:tab w:val="left" w:pos="2835"/>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代理服务收取标准及缴费账户详见“供应商须知前附表”，供应商为联合体的，可以由联合体中的一方或者多方共同交纳代理服务费。</w:t>
      </w:r>
    </w:p>
    <w:p w14:paraId="4D7263F0">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33.需要补充的其他内容</w:t>
      </w:r>
    </w:p>
    <w:p w14:paraId="75D0D528">
      <w:pPr>
        <w:pStyle w:val="12"/>
        <w:spacing w:line="360" w:lineRule="auto"/>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3</w:t>
      </w:r>
      <w:r>
        <w:rPr>
          <w:rFonts w:hAnsi="宋体" w:cs="宋体"/>
          <w:color w:val="auto"/>
          <w:kern w:val="2"/>
          <w:sz w:val="21"/>
          <w:highlight w:val="none"/>
        </w:rPr>
        <w:t>3.1</w:t>
      </w:r>
      <w:r>
        <w:rPr>
          <w:rFonts w:hint="eastAsia" w:hAnsi="宋体" w:cs="宋体"/>
          <w:color w:val="auto"/>
          <w:kern w:val="2"/>
          <w:sz w:val="21"/>
          <w:highlight w:val="none"/>
        </w:rPr>
        <w:t>本磋商文件解释规则详见“供应商须知前附表”。</w:t>
      </w:r>
    </w:p>
    <w:p w14:paraId="5510CED2">
      <w:pPr>
        <w:pStyle w:val="12"/>
        <w:spacing w:line="360" w:lineRule="auto"/>
        <w:ind w:firstLine="420" w:firstLineChars="200"/>
        <w:textAlignment w:val="center"/>
        <w:rPr>
          <w:rFonts w:hAnsi="宋体" w:cs="宋体"/>
          <w:color w:val="auto"/>
          <w:kern w:val="2"/>
          <w:sz w:val="21"/>
          <w:highlight w:val="none"/>
        </w:rPr>
      </w:pPr>
      <w:r>
        <w:rPr>
          <w:rFonts w:hAnsi="宋体" w:cs="宋体"/>
          <w:color w:val="auto"/>
          <w:kern w:val="2"/>
          <w:sz w:val="21"/>
          <w:highlight w:val="none"/>
        </w:rPr>
        <w:t>33.2</w:t>
      </w:r>
      <w:r>
        <w:rPr>
          <w:rFonts w:hint="eastAsia" w:hAnsi="宋体" w:cs="宋体"/>
          <w:color w:val="auto"/>
          <w:kern w:val="2"/>
          <w:sz w:val="21"/>
          <w:highlight w:val="none"/>
        </w:rPr>
        <w:t xml:space="preserve"> 其他事项详见“供应商须知前附表”。</w:t>
      </w:r>
    </w:p>
    <w:p w14:paraId="596C237A">
      <w:pPr>
        <w:pStyle w:val="12"/>
        <w:spacing w:line="360" w:lineRule="auto"/>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3</w:t>
      </w:r>
      <w:r>
        <w:rPr>
          <w:rFonts w:hAnsi="宋体" w:cs="宋体"/>
          <w:color w:val="auto"/>
          <w:kern w:val="2"/>
          <w:sz w:val="21"/>
          <w:highlight w:val="none"/>
        </w:rPr>
        <w:t>3.3</w:t>
      </w:r>
      <w:r>
        <w:rPr>
          <w:rFonts w:hint="eastAsia" w:hAnsi="宋体" w:cs="宋体"/>
          <w:color w:val="auto"/>
          <w:kern w:val="2"/>
          <w:sz w:val="21"/>
          <w:highlight w:val="none"/>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5F509D8D">
      <w:pPr>
        <w:pStyle w:val="12"/>
        <w:spacing w:line="360" w:lineRule="auto"/>
        <w:ind w:firstLine="420" w:firstLineChars="200"/>
        <w:contextualSpacing/>
        <w:rPr>
          <w:rFonts w:hint="eastAsia" w:hAnsi="宋体"/>
          <w:color w:val="auto"/>
          <w:sz w:val="21"/>
          <w:highlight w:val="none"/>
        </w:rPr>
      </w:pPr>
      <w:r>
        <w:rPr>
          <w:rFonts w:hint="eastAsia" w:hAnsi="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5911EE43">
      <w:pPr>
        <w:pStyle w:val="12"/>
        <w:spacing w:line="360" w:lineRule="auto"/>
        <w:ind w:firstLine="420" w:firstLineChars="200"/>
        <w:contextualSpacing/>
        <w:rPr>
          <w:rFonts w:hint="eastAsia" w:hAnsi="宋体"/>
          <w:color w:val="auto"/>
          <w:sz w:val="21"/>
          <w:highlight w:val="none"/>
        </w:rPr>
      </w:pPr>
      <w:r>
        <w:rPr>
          <w:rFonts w:hint="eastAsia" w:hAnsi="宋体"/>
          <w:color w:val="auto"/>
          <w:sz w:val="21"/>
          <w:highlight w:val="none"/>
        </w:rPr>
        <w:t>（2）在工程采购项目中，工程由中小企业承建，即工程施工单位为中小企业，不对其中涉及的货物的制造商和服务的承接商作出要求；</w:t>
      </w:r>
    </w:p>
    <w:p w14:paraId="7B22BF78">
      <w:pPr>
        <w:pStyle w:val="12"/>
        <w:spacing w:line="360" w:lineRule="auto"/>
        <w:ind w:firstLine="420" w:firstLineChars="200"/>
        <w:contextualSpacing/>
        <w:rPr>
          <w:rFonts w:hint="eastAsia" w:hAnsi="宋体"/>
          <w:color w:val="auto"/>
          <w:sz w:val="21"/>
          <w:highlight w:val="none"/>
        </w:rPr>
      </w:pPr>
      <w:r>
        <w:rPr>
          <w:rFonts w:hint="eastAsia" w:hAnsi="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3858AA5E">
      <w:pPr>
        <w:pStyle w:val="12"/>
        <w:spacing w:line="360" w:lineRule="auto"/>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0B767DFA">
      <w:pPr>
        <w:spacing w:line="312" w:lineRule="auto"/>
        <w:ind w:firstLine="420" w:firstLineChars="200"/>
        <w:rPr>
          <w:rFonts w:hint="eastAsia" w:ascii="宋体" w:hAnsi="宋体" w:cs="宋体"/>
          <w:color w:val="auto"/>
          <w:highlight w:val="none"/>
        </w:rPr>
      </w:pPr>
      <w:r>
        <w:rPr>
          <w:rFonts w:hint="eastAsia" w:hAnsi="宋体" w:cs="宋体"/>
          <w:color w:val="auto"/>
          <w:highlight w:val="none"/>
        </w:rPr>
        <w:t>依据本磋商文件规定享受扶持政策获得政府采购合同的，小微企业不得将合同分包给大中型企业，中型企业不得将合同分包给大型企业。</w:t>
      </w:r>
      <w:r>
        <w:rPr>
          <w:rFonts w:hint="eastAsia" w:ascii="宋体" w:hAnsi="宋体" w:cs="宋体"/>
          <w:b/>
          <w:color w:val="auto"/>
          <w:highlight w:val="none"/>
        </w:rPr>
        <w:br w:type="page"/>
      </w:r>
      <w:r>
        <w:rPr>
          <w:rFonts w:hint="eastAsia" w:ascii="宋体" w:hAnsi="宋体" w:cs="宋体"/>
          <w:bCs/>
          <w:color w:val="auto"/>
          <w:sz w:val="32"/>
          <w:szCs w:val="32"/>
          <w:highlight w:val="none"/>
        </w:rPr>
        <w:t>附件1：</w:t>
      </w:r>
    </w:p>
    <w:p w14:paraId="10AA3283">
      <w:pPr>
        <w:widowControl/>
        <w:shd w:val="clear" w:color="auto" w:fill="FFFFFF"/>
        <w:spacing w:line="480" w:lineRule="atLeast"/>
        <w:jc w:val="center"/>
        <w:rPr>
          <w:rFonts w:hint="eastAsia" w:ascii="宋体" w:hAnsi="宋体" w:cs="宋体"/>
          <w:color w:val="auto"/>
          <w:kern w:val="0"/>
          <w:sz w:val="32"/>
          <w:szCs w:val="32"/>
          <w:highlight w:val="none"/>
        </w:rPr>
      </w:pPr>
      <w:r>
        <w:rPr>
          <w:rFonts w:hint="eastAsia" w:ascii="宋体" w:hAnsi="宋体" w:cs="宋体"/>
          <w:b/>
          <w:bCs/>
          <w:color w:val="auto"/>
          <w:kern w:val="0"/>
          <w:sz w:val="32"/>
          <w:szCs w:val="32"/>
          <w:highlight w:val="none"/>
        </w:rPr>
        <w:t>广西壮族自治区政府采购项目合同验收书（格式）</w:t>
      </w:r>
    </w:p>
    <w:p w14:paraId="57BECDD7">
      <w:pPr>
        <w:widowControl/>
        <w:shd w:val="clear" w:color="auto" w:fill="FFFFFF"/>
        <w:spacing w:line="480" w:lineRule="atLeast"/>
        <w:jc w:val="center"/>
        <w:rPr>
          <w:rFonts w:hint="eastAsia" w:ascii="宋体" w:hAnsi="宋体" w:cs="宋体"/>
          <w:color w:val="auto"/>
          <w:kern w:val="0"/>
          <w:sz w:val="32"/>
          <w:szCs w:val="32"/>
          <w:highlight w:val="none"/>
        </w:rPr>
      </w:pPr>
    </w:p>
    <w:p w14:paraId="3E3799A3">
      <w:pPr>
        <w:widowControl/>
        <w:shd w:val="clear" w:color="auto" w:fill="FFFFFF"/>
        <w:snapToGrid w:val="0"/>
        <w:spacing w:line="320" w:lineRule="atLeast"/>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根据政府采购项目（</w:t>
      </w:r>
      <w:r>
        <w:rPr>
          <w:rFonts w:hint="eastAsia" w:ascii="宋体" w:hAnsi="宋体" w:cs="宋体"/>
          <w:color w:val="auto"/>
          <w:kern w:val="0"/>
          <w:szCs w:val="21"/>
          <w:highlight w:val="none"/>
          <w:u w:val="single"/>
        </w:rPr>
        <w:t>采购合同编号：</w:t>
      </w:r>
      <w:r>
        <w:rPr>
          <w:rFonts w:hint="eastAsia" w:ascii="宋体" w:hAnsi="宋体" w:cs="宋体"/>
          <w:color w:val="auto"/>
          <w:kern w:val="0"/>
          <w:szCs w:val="21"/>
          <w:highlight w:val="none"/>
          <w:u w:val="single"/>
        </w:rPr>
        <w:softHyphen/>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）的约定，我单位对（</w:t>
      </w:r>
      <w:r>
        <w:rPr>
          <w:rFonts w:hint="eastAsia" w:ascii="宋体" w:hAnsi="宋体" w:cs="宋体"/>
          <w:color w:val="auto"/>
          <w:kern w:val="0"/>
          <w:szCs w:val="21"/>
          <w:highlight w:val="none"/>
          <w:u w:val="single"/>
        </w:rPr>
        <w:t xml:space="preserve"> 项目名称 </w:t>
      </w:r>
      <w:r>
        <w:rPr>
          <w:rFonts w:hint="eastAsia" w:ascii="宋体" w:hAnsi="宋体" w:cs="宋体"/>
          <w:color w:val="auto"/>
          <w:kern w:val="0"/>
          <w:szCs w:val="21"/>
          <w:highlight w:val="none"/>
        </w:rPr>
        <w:t>） 政府采购项目成交供应商（</w:t>
      </w:r>
      <w:r>
        <w:rPr>
          <w:rFonts w:hint="eastAsia" w:ascii="宋体" w:hAnsi="宋体" w:cs="宋体"/>
          <w:color w:val="auto"/>
          <w:kern w:val="0"/>
          <w:szCs w:val="21"/>
          <w:highlight w:val="none"/>
          <w:u w:val="single"/>
        </w:rPr>
        <w:t xml:space="preserve"> 公司名称 </w:t>
      </w:r>
      <w:r>
        <w:rPr>
          <w:rFonts w:hint="eastAsia" w:ascii="宋体" w:hAnsi="宋体" w:cs="宋体"/>
          <w:color w:val="auto"/>
          <w:kern w:val="0"/>
          <w:szCs w:val="21"/>
          <w:highlight w:val="none"/>
        </w:rPr>
        <w:t>） 提供的货物（或工程、服务）进行了验收，验收情况如下：</w:t>
      </w:r>
    </w:p>
    <w:tbl>
      <w:tblPr>
        <w:tblStyle w:val="16"/>
        <w:tblW w:w="0" w:type="auto"/>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6EBDFC02">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noWrap w:val="0"/>
            <w:vAlign w:val="center"/>
          </w:tcPr>
          <w:p w14:paraId="1284503D">
            <w:pPr>
              <w:widowControl/>
              <w:snapToGrid w:val="0"/>
              <w:spacing w:before="100" w:beforeAutospacing="1" w:after="100" w:afterAutospacing="1" w:line="320" w:lineRule="atLeast"/>
              <w:ind w:firstLine="5"/>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验收方式：</w:t>
            </w:r>
          </w:p>
        </w:tc>
        <w:tc>
          <w:tcPr>
            <w:tcW w:w="5193" w:type="dxa"/>
            <w:gridSpan w:val="6"/>
            <w:tcBorders>
              <w:top w:val="single" w:color="auto" w:sz="8" w:space="0"/>
              <w:left w:val="nil"/>
              <w:bottom w:val="single" w:color="auto" w:sz="8" w:space="0"/>
              <w:right w:val="single" w:color="auto" w:sz="8" w:space="0"/>
            </w:tcBorders>
            <w:noWrap w:val="0"/>
            <w:vAlign w:val="center"/>
          </w:tcPr>
          <w:p w14:paraId="23E08BAB">
            <w:pPr>
              <w:widowControl/>
              <w:snapToGrid w:val="0"/>
              <w:spacing w:before="100" w:beforeAutospacing="1" w:after="100" w:afterAutospacing="1" w:line="320"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sym w:font="Wingdings 2" w:char="00A3"/>
            </w:r>
            <w:r>
              <w:rPr>
                <w:rFonts w:hint="eastAsia" w:ascii="宋体" w:hAnsi="宋体" w:cs="宋体"/>
                <w:color w:val="auto"/>
                <w:kern w:val="0"/>
                <w:szCs w:val="21"/>
                <w:highlight w:val="none"/>
              </w:rPr>
              <w:t xml:space="preserve">自行验收 </w:t>
            </w:r>
            <w:r>
              <w:rPr>
                <w:rFonts w:hint="eastAsia" w:ascii="宋体" w:hAnsi="宋体" w:cs="宋体"/>
                <w:color w:val="auto"/>
                <w:kern w:val="0"/>
                <w:szCs w:val="21"/>
                <w:highlight w:val="none"/>
              </w:rPr>
              <w:sym w:font="Wingdings 2" w:char="00A3"/>
            </w:r>
            <w:r>
              <w:rPr>
                <w:rFonts w:hint="eastAsia" w:ascii="宋体" w:hAnsi="宋体" w:cs="宋体"/>
                <w:color w:val="auto"/>
                <w:kern w:val="0"/>
                <w:szCs w:val="21"/>
                <w:highlight w:val="none"/>
              </w:rPr>
              <w:t>委托验收</w:t>
            </w:r>
          </w:p>
        </w:tc>
      </w:tr>
      <w:tr w14:paraId="29EEB488">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noWrap w:val="0"/>
            <w:vAlign w:val="center"/>
          </w:tcPr>
          <w:p w14:paraId="241B084D">
            <w:pPr>
              <w:widowControl/>
              <w:snapToGrid w:val="0"/>
              <w:spacing w:before="100" w:beforeAutospacing="1" w:after="100" w:afterAutospacing="1" w:line="320" w:lineRule="atLeast"/>
              <w:ind w:firstLine="2"/>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序号</w:t>
            </w:r>
          </w:p>
        </w:tc>
        <w:tc>
          <w:tcPr>
            <w:tcW w:w="2448" w:type="dxa"/>
            <w:gridSpan w:val="2"/>
            <w:tcBorders>
              <w:top w:val="nil"/>
              <w:left w:val="nil"/>
              <w:bottom w:val="single" w:color="auto" w:sz="8" w:space="0"/>
              <w:right w:val="single" w:color="auto" w:sz="8" w:space="0"/>
            </w:tcBorders>
            <w:noWrap w:val="0"/>
            <w:vAlign w:val="center"/>
          </w:tcPr>
          <w:p w14:paraId="5B17F05C">
            <w:pPr>
              <w:widowControl/>
              <w:snapToGrid w:val="0"/>
              <w:spacing w:before="100" w:beforeAutospacing="1" w:after="100" w:afterAutospacing="1" w:line="320" w:lineRule="atLeast"/>
              <w:ind w:firstLine="2"/>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名称</w:t>
            </w:r>
          </w:p>
        </w:tc>
        <w:tc>
          <w:tcPr>
            <w:tcW w:w="2902" w:type="dxa"/>
            <w:gridSpan w:val="3"/>
            <w:tcBorders>
              <w:top w:val="nil"/>
              <w:left w:val="nil"/>
              <w:bottom w:val="single" w:color="auto" w:sz="8" w:space="0"/>
              <w:right w:val="single" w:color="auto" w:sz="8" w:space="0"/>
            </w:tcBorders>
            <w:noWrap w:val="0"/>
            <w:vAlign w:val="center"/>
          </w:tcPr>
          <w:p w14:paraId="52D3E01F">
            <w:pPr>
              <w:widowControl/>
              <w:snapToGrid w:val="0"/>
              <w:spacing w:before="100" w:beforeAutospacing="1" w:after="100" w:afterAutospacing="1" w:line="320" w:lineRule="atLeast"/>
              <w:ind w:firstLine="2"/>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货物型号规格、标准及配置等（或技术要求、标准）</w:t>
            </w:r>
          </w:p>
        </w:tc>
        <w:tc>
          <w:tcPr>
            <w:tcW w:w="863" w:type="dxa"/>
            <w:gridSpan w:val="2"/>
            <w:tcBorders>
              <w:top w:val="nil"/>
              <w:left w:val="nil"/>
              <w:bottom w:val="single" w:color="auto" w:sz="8" w:space="0"/>
              <w:right w:val="single" w:color="auto" w:sz="8" w:space="0"/>
            </w:tcBorders>
            <w:noWrap w:val="0"/>
            <w:vAlign w:val="center"/>
          </w:tcPr>
          <w:p w14:paraId="2BE76135">
            <w:pPr>
              <w:widowControl/>
              <w:snapToGrid w:val="0"/>
              <w:spacing w:before="100" w:beforeAutospacing="1" w:after="100" w:afterAutospacing="1" w:line="320"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数量</w:t>
            </w:r>
          </w:p>
        </w:tc>
        <w:tc>
          <w:tcPr>
            <w:tcW w:w="1428" w:type="dxa"/>
            <w:tcBorders>
              <w:top w:val="nil"/>
              <w:left w:val="nil"/>
              <w:bottom w:val="single" w:color="auto" w:sz="8" w:space="0"/>
              <w:right w:val="single" w:color="auto" w:sz="8" w:space="0"/>
            </w:tcBorders>
            <w:noWrap w:val="0"/>
            <w:vAlign w:val="center"/>
          </w:tcPr>
          <w:p w14:paraId="0A3FFA58">
            <w:pPr>
              <w:widowControl/>
              <w:snapToGrid w:val="0"/>
              <w:spacing w:before="100" w:beforeAutospacing="1" w:after="100" w:afterAutospacing="1" w:line="320" w:lineRule="atLeast"/>
              <w:ind w:firstLine="2"/>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金额</w:t>
            </w:r>
          </w:p>
        </w:tc>
      </w:tr>
      <w:tr w14:paraId="0A8FCF45">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0E31428A">
            <w:pPr>
              <w:widowControl/>
              <w:spacing w:before="100" w:beforeAutospacing="1" w:after="100" w:afterAutospacing="1" w:line="240" w:lineRule="atLeast"/>
              <w:jc w:val="center"/>
              <w:rPr>
                <w:rFonts w:hint="eastAsia" w:ascii="宋体" w:hAnsi="宋体" w:cs="宋体"/>
                <w:color w:val="auto"/>
                <w:kern w:val="0"/>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522555D1">
            <w:pPr>
              <w:widowControl/>
              <w:spacing w:before="100" w:beforeAutospacing="1" w:after="100" w:afterAutospacing="1" w:line="240" w:lineRule="atLeast"/>
              <w:jc w:val="center"/>
              <w:rPr>
                <w:rFonts w:hint="eastAsia" w:ascii="宋体" w:hAnsi="宋体"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168F8BE1">
            <w:pPr>
              <w:widowControl/>
              <w:spacing w:before="100" w:beforeAutospacing="1" w:after="100" w:afterAutospacing="1" w:line="240" w:lineRule="atLeast"/>
              <w:jc w:val="center"/>
              <w:rPr>
                <w:rFonts w:hint="eastAsia" w:ascii="宋体" w:hAnsi="宋体"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21DA26FB">
            <w:pPr>
              <w:widowControl/>
              <w:spacing w:before="100" w:beforeAutospacing="1" w:after="100" w:afterAutospacing="1" w:line="240" w:lineRule="atLeast"/>
              <w:jc w:val="center"/>
              <w:rPr>
                <w:rFonts w:hint="eastAsia" w:ascii="宋体" w:hAnsi="宋体"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4A863E68">
            <w:pPr>
              <w:widowControl/>
              <w:spacing w:before="100" w:beforeAutospacing="1" w:after="100" w:afterAutospacing="1" w:line="240" w:lineRule="atLeast"/>
              <w:jc w:val="center"/>
              <w:rPr>
                <w:rFonts w:hint="eastAsia" w:ascii="宋体" w:hAnsi="宋体" w:cs="宋体"/>
                <w:color w:val="auto"/>
                <w:kern w:val="0"/>
                <w:szCs w:val="21"/>
                <w:highlight w:val="none"/>
              </w:rPr>
            </w:pPr>
          </w:p>
        </w:tc>
      </w:tr>
      <w:tr w14:paraId="4799F5B2">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11B0620B">
            <w:pPr>
              <w:widowControl/>
              <w:spacing w:before="100" w:beforeAutospacing="1" w:after="100" w:afterAutospacing="1" w:line="240" w:lineRule="atLeast"/>
              <w:jc w:val="center"/>
              <w:rPr>
                <w:rFonts w:hint="eastAsia" w:ascii="宋体" w:hAnsi="宋体" w:cs="宋体"/>
                <w:color w:val="auto"/>
                <w:kern w:val="0"/>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616FAF6B">
            <w:pPr>
              <w:widowControl/>
              <w:spacing w:before="100" w:beforeAutospacing="1" w:after="100" w:afterAutospacing="1" w:line="240" w:lineRule="atLeast"/>
              <w:jc w:val="center"/>
              <w:rPr>
                <w:rFonts w:hint="eastAsia" w:ascii="宋体" w:hAnsi="宋体"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78602F70">
            <w:pPr>
              <w:widowControl/>
              <w:spacing w:before="100" w:beforeAutospacing="1" w:after="100" w:afterAutospacing="1" w:line="240" w:lineRule="atLeast"/>
              <w:jc w:val="center"/>
              <w:rPr>
                <w:rFonts w:hint="eastAsia" w:ascii="宋体" w:hAnsi="宋体"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3642DFBF">
            <w:pPr>
              <w:widowControl/>
              <w:spacing w:before="100" w:beforeAutospacing="1" w:after="100" w:afterAutospacing="1" w:line="240" w:lineRule="atLeast"/>
              <w:jc w:val="center"/>
              <w:rPr>
                <w:rFonts w:hint="eastAsia" w:ascii="宋体" w:hAnsi="宋体"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7A3F1F6D">
            <w:pPr>
              <w:widowControl/>
              <w:spacing w:before="100" w:beforeAutospacing="1" w:after="100" w:afterAutospacing="1" w:line="240" w:lineRule="atLeast"/>
              <w:jc w:val="center"/>
              <w:rPr>
                <w:rFonts w:hint="eastAsia" w:ascii="宋体" w:hAnsi="宋体" w:cs="宋体"/>
                <w:color w:val="auto"/>
                <w:kern w:val="0"/>
                <w:szCs w:val="21"/>
                <w:highlight w:val="none"/>
              </w:rPr>
            </w:pPr>
          </w:p>
        </w:tc>
      </w:tr>
      <w:tr w14:paraId="6C8370EC">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4E75CD03">
            <w:pPr>
              <w:widowControl/>
              <w:spacing w:before="100" w:beforeAutospacing="1" w:after="100" w:afterAutospacing="1" w:line="240" w:lineRule="atLeast"/>
              <w:jc w:val="center"/>
              <w:rPr>
                <w:rFonts w:hint="eastAsia" w:ascii="宋体" w:hAnsi="宋体" w:cs="宋体"/>
                <w:color w:val="auto"/>
                <w:kern w:val="0"/>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577FA824">
            <w:pPr>
              <w:widowControl/>
              <w:spacing w:before="100" w:beforeAutospacing="1" w:after="100" w:afterAutospacing="1" w:line="240" w:lineRule="atLeast"/>
              <w:jc w:val="center"/>
              <w:rPr>
                <w:rFonts w:hint="eastAsia" w:ascii="宋体" w:hAnsi="宋体"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74417CAC">
            <w:pPr>
              <w:widowControl/>
              <w:spacing w:before="100" w:beforeAutospacing="1" w:after="100" w:afterAutospacing="1" w:line="240" w:lineRule="atLeast"/>
              <w:jc w:val="center"/>
              <w:rPr>
                <w:rFonts w:hint="eastAsia" w:ascii="宋体" w:hAnsi="宋体"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1A5DF1EB">
            <w:pPr>
              <w:widowControl/>
              <w:spacing w:before="100" w:beforeAutospacing="1" w:after="100" w:afterAutospacing="1" w:line="240" w:lineRule="atLeast"/>
              <w:jc w:val="center"/>
              <w:rPr>
                <w:rFonts w:hint="eastAsia" w:ascii="宋体" w:hAnsi="宋体"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7E890C0D">
            <w:pPr>
              <w:widowControl/>
              <w:spacing w:before="100" w:beforeAutospacing="1" w:after="100" w:afterAutospacing="1" w:line="240" w:lineRule="atLeast"/>
              <w:jc w:val="center"/>
              <w:rPr>
                <w:rFonts w:hint="eastAsia" w:ascii="宋体" w:hAnsi="宋体" w:cs="宋体"/>
                <w:color w:val="auto"/>
                <w:kern w:val="0"/>
                <w:szCs w:val="21"/>
                <w:highlight w:val="none"/>
              </w:rPr>
            </w:pPr>
          </w:p>
        </w:tc>
      </w:tr>
      <w:tr w14:paraId="75B0176C">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noWrap w:val="0"/>
            <w:vAlign w:val="center"/>
          </w:tcPr>
          <w:p w14:paraId="5589E987">
            <w:pPr>
              <w:widowControl/>
              <w:snapToGrid w:val="0"/>
              <w:spacing w:before="100" w:beforeAutospacing="1" w:after="100" w:afterAutospacing="1" w:line="320" w:lineRule="atLeast"/>
              <w:ind w:firstLine="5"/>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 计</w:t>
            </w:r>
          </w:p>
        </w:tc>
        <w:tc>
          <w:tcPr>
            <w:tcW w:w="863" w:type="dxa"/>
            <w:gridSpan w:val="2"/>
            <w:tcBorders>
              <w:top w:val="nil"/>
              <w:left w:val="nil"/>
              <w:bottom w:val="single" w:color="auto" w:sz="8" w:space="0"/>
              <w:right w:val="single" w:color="auto" w:sz="8" w:space="0"/>
            </w:tcBorders>
            <w:noWrap w:val="0"/>
            <w:vAlign w:val="center"/>
          </w:tcPr>
          <w:p w14:paraId="49E1C776">
            <w:pPr>
              <w:widowControl/>
              <w:spacing w:before="100" w:beforeAutospacing="1" w:after="100" w:afterAutospacing="1" w:line="240" w:lineRule="atLeast"/>
              <w:jc w:val="center"/>
              <w:rPr>
                <w:rFonts w:hint="eastAsia" w:ascii="宋体" w:hAnsi="宋体"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3D8FE73E">
            <w:pPr>
              <w:widowControl/>
              <w:spacing w:before="100" w:beforeAutospacing="1" w:after="100" w:afterAutospacing="1" w:line="240" w:lineRule="atLeast"/>
              <w:jc w:val="center"/>
              <w:rPr>
                <w:rFonts w:hint="eastAsia" w:ascii="宋体" w:hAnsi="宋体" w:cs="宋体"/>
                <w:color w:val="auto"/>
                <w:kern w:val="0"/>
                <w:szCs w:val="21"/>
                <w:highlight w:val="none"/>
              </w:rPr>
            </w:pPr>
          </w:p>
        </w:tc>
      </w:tr>
      <w:tr w14:paraId="1617B993">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noWrap w:val="0"/>
            <w:vAlign w:val="center"/>
          </w:tcPr>
          <w:p w14:paraId="64811F4D">
            <w:pPr>
              <w:widowControl/>
              <w:snapToGrid w:val="0"/>
              <w:spacing w:before="100" w:beforeAutospacing="1" w:after="100" w:afterAutospacing="1" w:line="320" w:lineRule="atLeast"/>
              <w:ind w:firstLine="210" w:firstLineChars="1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合计大写金额：  仟  佰  拾  万  仟  佰  拾  元</w:t>
            </w:r>
          </w:p>
        </w:tc>
      </w:tr>
      <w:tr w14:paraId="72BB73B9">
        <w:tblPrEx>
          <w:tblCellMar>
            <w:top w:w="0" w:type="dxa"/>
            <w:left w:w="0" w:type="dxa"/>
            <w:bottom w:w="0" w:type="dxa"/>
            <w:right w:w="0" w:type="dxa"/>
          </w:tblCellMar>
        </w:tblPrEx>
        <w:trPr>
          <w:trHeight w:val="521" w:hRule="atLeast"/>
          <w:jc w:val="center"/>
        </w:trPr>
        <w:tc>
          <w:tcPr>
            <w:tcW w:w="1629" w:type="dxa"/>
            <w:gridSpan w:val="2"/>
            <w:tcBorders>
              <w:top w:val="nil"/>
              <w:left w:val="single" w:color="auto" w:sz="8" w:space="0"/>
              <w:bottom w:val="single" w:color="auto" w:sz="8" w:space="0"/>
              <w:right w:val="single" w:color="auto" w:sz="8" w:space="0"/>
            </w:tcBorders>
            <w:noWrap w:val="0"/>
            <w:vAlign w:val="center"/>
          </w:tcPr>
          <w:p w14:paraId="53D44640">
            <w:pPr>
              <w:widowControl/>
              <w:snapToGrid w:val="0"/>
              <w:spacing w:before="100" w:beforeAutospacing="1" w:after="100" w:afterAutospacing="1" w:line="320" w:lineRule="atLeast"/>
              <w:ind w:firstLine="2"/>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实际供货日期</w:t>
            </w:r>
          </w:p>
        </w:tc>
        <w:tc>
          <w:tcPr>
            <w:tcW w:w="2421" w:type="dxa"/>
            <w:gridSpan w:val="2"/>
            <w:tcBorders>
              <w:top w:val="nil"/>
              <w:left w:val="nil"/>
              <w:bottom w:val="single" w:color="auto" w:sz="8" w:space="0"/>
              <w:right w:val="single" w:color="auto" w:sz="8" w:space="0"/>
            </w:tcBorders>
            <w:noWrap w:val="0"/>
            <w:vAlign w:val="center"/>
          </w:tcPr>
          <w:p w14:paraId="7E7EC596">
            <w:pPr>
              <w:widowControl/>
              <w:spacing w:before="100" w:beforeAutospacing="1" w:after="100" w:afterAutospacing="1" w:line="240" w:lineRule="atLeast"/>
              <w:jc w:val="center"/>
              <w:rPr>
                <w:rFonts w:hint="eastAsia" w:ascii="宋体" w:hAnsi="宋体"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06BFE72C">
            <w:pPr>
              <w:widowControl/>
              <w:snapToGrid w:val="0"/>
              <w:spacing w:before="100" w:beforeAutospacing="1" w:after="100" w:afterAutospacing="1" w:line="320" w:lineRule="atLeast"/>
              <w:ind w:firstLine="46"/>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合同交货验收日期</w:t>
            </w:r>
          </w:p>
        </w:tc>
        <w:tc>
          <w:tcPr>
            <w:tcW w:w="2113" w:type="dxa"/>
            <w:gridSpan w:val="2"/>
            <w:tcBorders>
              <w:top w:val="nil"/>
              <w:left w:val="nil"/>
              <w:bottom w:val="single" w:color="auto" w:sz="8" w:space="0"/>
              <w:right w:val="single" w:color="auto" w:sz="8" w:space="0"/>
            </w:tcBorders>
            <w:noWrap w:val="0"/>
            <w:vAlign w:val="center"/>
          </w:tcPr>
          <w:p w14:paraId="377FC904">
            <w:pPr>
              <w:widowControl/>
              <w:spacing w:before="100" w:beforeAutospacing="1" w:after="100" w:afterAutospacing="1" w:line="240" w:lineRule="atLeast"/>
              <w:jc w:val="center"/>
              <w:rPr>
                <w:rFonts w:hint="eastAsia" w:ascii="宋体" w:hAnsi="宋体" w:cs="宋体"/>
                <w:color w:val="auto"/>
                <w:kern w:val="0"/>
                <w:szCs w:val="21"/>
                <w:highlight w:val="none"/>
              </w:rPr>
            </w:pPr>
          </w:p>
        </w:tc>
      </w:tr>
      <w:tr w14:paraId="3114EB3A">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4CA297B">
            <w:pPr>
              <w:widowControl/>
              <w:snapToGrid w:val="0"/>
              <w:spacing w:before="100" w:beforeAutospacing="1" w:after="100" w:afterAutospacing="1" w:line="320" w:lineRule="atLeas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验收具体内容</w:t>
            </w:r>
          </w:p>
        </w:tc>
        <w:tc>
          <w:tcPr>
            <w:tcW w:w="6816"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2A6D2C5">
            <w:pPr>
              <w:widowControl/>
              <w:snapToGrid w:val="0"/>
              <w:spacing w:before="100" w:beforeAutospacing="1" w:after="100" w:afterAutospacing="1" w:line="320" w:lineRule="atLeas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应按采购合同、竞争性磋商文件、竞标响应文件及验收方案等进行验收；并核对成交供应商在安装调试等方面是否违反合同约定或服务规范要求、提供的质量保证证明材料是否齐全、应有的配件及附件是否达到合同约定等。可附件)</w:t>
            </w:r>
          </w:p>
        </w:tc>
      </w:tr>
      <w:tr w14:paraId="5DA36F59">
        <w:tblPrEx>
          <w:tblCellMar>
            <w:top w:w="0" w:type="dxa"/>
            <w:left w:w="0" w:type="dxa"/>
            <w:bottom w:w="0" w:type="dxa"/>
            <w:right w:w="0" w:type="dxa"/>
          </w:tblCellMar>
        </w:tblPrEx>
        <w:trPr>
          <w:trHeight w:val="1011" w:hRule="atLeast"/>
          <w:jc w:val="center"/>
        </w:trPr>
        <w:tc>
          <w:tcPr>
            <w:tcW w:w="1629" w:type="dxa"/>
            <w:gridSpan w:val="2"/>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214CE1A">
            <w:pPr>
              <w:widowControl/>
              <w:spacing w:before="100" w:beforeAutospacing="1" w:after="100" w:afterAutospacing="1" w:line="320" w:lineRule="atLeas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验收小组意见</w:t>
            </w:r>
          </w:p>
        </w:tc>
        <w:tc>
          <w:tcPr>
            <w:tcW w:w="6816" w:type="dxa"/>
            <w:gridSpan w:val="7"/>
            <w:tcBorders>
              <w:top w:val="nil"/>
              <w:left w:val="nil"/>
              <w:bottom w:val="single" w:color="auto" w:sz="8" w:space="0"/>
              <w:right w:val="single" w:color="auto" w:sz="8" w:space="0"/>
            </w:tcBorders>
            <w:noWrap w:val="0"/>
            <w:vAlign w:val="center"/>
          </w:tcPr>
          <w:p w14:paraId="31C4E264">
            <w:pPr>
              <w:widowControl/>
              <w:spacing w:before="100" w:beforeAutospacing="1" w:after="100" w:afterAutospacing="1" w:line="320" w:lineRule="atLeast"/>
              <w:ind w:firstLine="210" w:firstLineChars="1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验收结论性意见：</w:t>
            </w:r>
          </w:p>
        </w:tc>
      </w:tr>
      <w:tr w14:paraId="7DD452E3">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noWrap w:val="0"/>
            <w:vAlign w:val="center"/>
          </w:tcPr>
          <w:p w14:paraId="4398946C">
            <w:pPr>
              <w:widowControl/>
              <w:jc w:val="left"/>
              <w:rPr>
                <w:rFonts w:hint="eastAsia" w:ascii="宋体" w:hAnsi="宋体" w:cs="宋体"/>
                <w:color w:val="auto"/>
                <w:kern w:val="0"/>
                <w:szCs w:val="21"/>
                <w:highlight w:val="none"/>
              </w:rPr>
            </w:pPr>
          </w:p>
        </w:tc>
        <w:tc>
          <w:tcPr>
            <w:tcW w:w="6816" w:type="dxa"/>
            <w:gridSpan w:val="7"/>
            <w:tcBorders>
              <w:top w:val="nil"/>
              <w:left w:val="nil"/>
              <w:bottom w:val="single" w:color="auto" w:sz="8" w:space="0"/>
              <w:right w:val="single" w:color="auto" w:sz="8" w:space="0"/>
            </w:tcBorders>
            <w:noWrap w:val="0"/>
            <w:vAlign w:val="center"/>
          </w:tcPr>
          <w:p w14:paraId="5E4B3F8E">
            <w:pPr>
              <w:widowControl/>
              <w:spacing w:before="100" w:beforeAutospacing="1" w:after="100" w:afterAutospacing="1" w:line="320" w:lineRule="atLeast"/>
              <w:ind w:firstLine="210" w:firstLineChars="1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有异议的意见和说明理由：</w:t>
            </w:r>
          </w:p>
          <w:p w14:paraId="25057319">
            <w:pPr>
              <w:widowControl/>
              <w:spacing w:before="100" w:beforeAutospacing="1" w:after="100" w:afterAutospacing="1" w:line="320" w:lineRule="atLeast"/>
              <w:ind w:firstLine="210" w:firstLineChars="1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签字：</w:t>
            </w:r>
          </w:p>
        </w:tc>
      </w:tr>
      <w:tr w14:paraId="269689E4">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B1695FA">
            <w:pPr>
              <w:widowControl/>
              <w:spacing w:before="100" w:beforeAutospacing="1" w:after="100" w:afterAutospacing="1" w:line="320" w:lineRule="atLeas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验收小组成员签字：</w:t>
            </w:r>
          </w:p>
        </w:tc>
      </w:tr>
      <w:tr w14:paraId="7A71D53A">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4" w:space="0"/>
              <w:right w:val="single" w:color="auto" w:sz="8" w:space="0"/>
            </w:tcBorders>
            <w:noWrap w:val="0"/>
            <w:tcMar>
              <w:top w:w="0" w:type="dxa"/>
              <w:left w:w="108" w:type="dxa"/>
              <w:bottom w:w="0" w:type="dxa"/>
              <w:right w:w="108" w:type="dxa"/>
            </w:tcMar>
            <w:vAlign w:val="center"/>
          </w:tcPr>
          <w:p w14:paraId="47F7E0DD">
            <w:pPr>
              <w:widowControl/>
              <w:spacing w:before="100" w:beforeAutospacing="1" w:after="100" w:afterAutospacing="1" w:line="320" w:lineRule="atLeas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监督人员或其他相关人员签字：</w:t>
            </w:r>
          </w:p>
          <w:p w14:paraId="45F451EF">
            <w:pPr>
              <w:widowControl/>
              <w:spacing w:before="100" w:beforeAutospacing="1" w:after="100" w:afterAutospacing="1" w:line="320" w:lineRule="atLeast"/>
              <w:ind w:firstLine="74"/>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或受邀机构的意见（盖章）：</w:t>
            </w:r>
          </w:p>
        </w:tc>
      </w:tr>
      <w:tr w14:paraId="2FB8BCAE">
        <w:tblPrEx>
          <w:tblCellMar>
            <w:top w:w="0" w:type="dxa"/>
            <w:left w:w="0" w:type="dxa"/>
            <w:bottom w:w="0" w:type="dxa"/>
            <w:right w:w="0" w:type="dxa"/>
          </w:tblCellMar>
        </w:tblPrEx>
        <w:trPr>
          <w:trHeight w:val="90" w:hRule="atLeast"/>
          <w:jc w:val="center"/>
        </w:trPr>
        <w:tc>
          <w:tcPr>
            <w:tcW w:w="4152" w:type="dxa"/>
            <w:gridSpan w:val="5"/>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022DC7D">
            <w:pPr>
              <w:widowControl/>
              <w:spacing w:before="100" w:beforeAutospacing="1" w:after="100" w:afterAutospacing="1" w:line="320" w:lineRule="atLeas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成交供应商负责人签字或盖章：</w:t>
            </w:r>
          </w:p>
          <w:p w14:paraId="0134ECEC">
            <w:pPr>
              <w:widowControl/>
              <w:spacing w:before="100" w:beforeAutospacing="1" w:after="100" w:afterAutospacing="1" w:line="320" w:lineRule="atLeast"/>
              <w:jc w:val="left"/>
              <w:rPr>
                <w:rFonts w:hint="eastAsia" w:ascii="宋体" w:hAnsi="宋体" w:cs="宋体"/>
                <w:color w:val="auto"/>
                <w:kern w:val="0"/>
                <w:szCs w:val="21"/>
                <w:highlight w:val="none"/>
              </w:rPr>
            </w:pPr>
          </w:p>
          <w:p w14:paraId="04B98734">
            <w:pPr>
              <w:widowControl/>
              <w:spacing w:before="100" w:beforeAutospacing="1" w:after="100" w:afterAutospacing="1" w:line="320" w:lineRule="atLeas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联系电话：                年  月  日</w:t>
            </w:r>
          </w:p>
        </w:tc>
        <w:tc>
          <w:tcPr>
            <w:tcW w:w="4293" w:type="dxa"/>
            <w:gridSpan w:val="4"/>
            <w:tcBorders>
              <w:top w:val="single" w:color="auto" w:sz="4" w:space="0"/>
              <w:left w:val="single" w:color="auto" w:sz="4" w:space="0"/>
              <w:bottom w:val="single" w:color="auto" w:sz="4" w:space="0"/>
              <w:right w:val="single" w:color="auto" w:sz="4" w:space="0"/>
            </w:tcBorders>
            <w:noWrap w:val="0"/>
            <w:vAlign w:val="center"/>
          </w:tcPr>
          <w:p w14:paraId="5FB96CFC">
            <w:pPr>
              <w:widowControl/>
              <w:spacing w:before="100" w:beforeAutospacing="1" w:after="100" w:afterAutospacing="1" w:line="320" w:lineRule="atLeast"/>
              <w:ind w:firstLine="210" w:firstLineChars="1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采购人或受托机构的意见（盖章）：</w:t>
            </w:r>
          </w:p>
          <w:p w14:paraId="6F44E766">
            <w:pPr>
              <w:widowControl/>
              <w:spacing w:before="100" w:beforeAutospacing="1" w:after="100" w:afterAutospacing="1" w:line="320" w:lineRule="atLeast"/>
              <w:ind w:firstLine="210" w:firstLineChars="100"/>
              <w:jc w:val="left"/>
              <w:rPr>
                <w:rFonts w:hint="eastAsia" w:ascii="宋体" w:hAnsi="宋体" w:cs="宋体"/>
                <w:color w:val="auto"/>
                <w:kern w:val="0"/>
                <w:szCs w:val="21"/>
                <w:highlight w:val="none"/>
              </w:rPr>
            </w:pPr>
          </w:p>
          <w:p w14:paraId="4680FF8E">
            <w:pPr>
              <w:widowControl/>
              <w:spacing w:before="100" w:beforeAutospacing="1" w:after="100" w:afterAutospacing="1" w:line="320" w:lineRule="atLeast"/>
              <w:ind w:firstLine="210" w:firstLineChars="1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联系电话：                  年  月  日</w:t>
            </w:r>
          </w:p>
        </w:tc>
      </w:tr>
    </w:tbl>
    <w:p w14:paraId="0205CFEF">
      <w:pPr>
        <w:pStyle w:val="2"/>
        <w:numPr>
          <w:ilvl w:val="0"/>
          <w:numId w:val="3"/>
        </w:numPr>
        <w:jc w:val="center"/>
        <w:rPr>
          <w:rFonts w:hint="eastAsia" w:ascii="宋体" w:hAnsi="宋体" w:cs="宋体"/>
          <w:color w:val="auto"/>
          <w:highlight w:val="none"/>
        </w:rPr>
      </w:pPr>
      <w:bookmarkStart w:id="33" w:name="_Toc22008"/>
      <w:r>
        <w:rPr>
          <w:rFonts w:hint="eastAsia" w:ascii="宋体" w:hAnsi="宋体" w:cs="宋体"/>
          <w:color w:val="auto"/>
          <w:highlight w:val="none"/>
          <w:lang w:eastAsia="zh-CN"/>
        </w:rPr>
        <w:br w:type="page"/>
      </w:r>
      <w:r>
        <w:rPr>
          <w:rFonts w:hint="eastAsia" w:ascii="宋体" w:hAnsi="宋体" w:cs="宋体"/>
          <w:color w:val="auto"/>
          <w:highlight w:val="none"/>
          <w:lang w:eastAsia="zh-CN"/>
        </w:rPr>
        <w:t>采购</w:t>
      </w:r>
      <w:r>
        <w:rPr>
          <w:rFonts w:hint="eastAsia" w:ascii="宋体" w:hAnsi="宋体" w:cs="宋体"/>
          <w:color w:val="auto"/>
          <w:highlight w:val="none"/>
        </w:rPr>
        <w:t>需求</w:t>
      </w:r>
      <w:bookmarkEnd w:id="33"/>
    </w:p>
    <w:p w14:paraId="2975B307">
      <w:pPr>
        <w:pStyle w:val="9"/>
        <w:spacing w:before="177" w:line="240" w:lineRule="auto"/>
        <w:ind w:left="122"/>
        <w:rPr>
          <w:sz w:val="20"/>
          <w:szCs w:val="20"/>
        </w:rPr>
      </w:pPr>
      <w:r>
        <w:rPr>
          <w:b/>
          <w:bCs/>
          <w:spacing w:val="1"/>
          <w:sz w:val="20"/>
          <w:szCs w:val="20"/>
        </w:rPr>
        <w:t>说明：</w:t>
      </w:r>
    </w:p>
    <w:p w14:paraId="7DDE105F">
      <w:pPr>
        <w:pStyle w:val="9"/>
        <w:spacing w:before="163" w:line="240" w:lineRule="auto"/>
        <w:ind w:left="121" w:right="196" w:firstLine="433"/>
        <w:rPr>
          <w:rFonts w:hint="eastAsia" w:ascii="宋体" w:hAnsi="宋体" w:eastAsia="宋体" w:cs="宋体"/>
          <w:sz w:val="21"/>
          <w:szCs w:val="21"/>
        </w:rPr>
      </w:pPr>
      <w:r>
        <w:rPr>
          <w:rFonts w:hint="eastAsia" w:ascii="宋体" w:hAnsi="宋体" w:eastAsia="宋体" w:cs="宋体"/>
          <w:spacing w:val="9"/>
          <w:sz w:val="21"/>
          <w:szCs w:val="21"/>
        </w:rPr>
        <w:t>1、“实质性要求</w:t>
      </w:r>
      <w:r>
        <w:rPr>
          <w:rFonts w:hint="eastAsia" w:ascii="宋体" w:hAnsi="宋体" w:eastAsia="宋体" w:cs="宋体"/>
          <w:spacing w:val="-70"/>
          <w:sz w:val="21"/>
          <w:szCs w:val="21"/>
        </w:rPr>
        <w:t xml:space="preserve"> </w:t>
      </w:r>
      <w:r>
        <w:rPr>
          <w:rFonts w:hint="eastAsia" w:ascii="宋体" w:hAnsi="宋体" w:eastAsia="宋体" w:cs="宋体"/>
          <w:spacing w:val="9"/>
          <w:sz w:val="21"/>
          <w:szCs w:val="21"/>
        </w:rPr>
        <w:t>”是指招标文件中已经指明不满足则投标无</w:t>
      </w:r>
      <w:r>
        <w:rPr>
          <w:rFonts w:hint="eastAsia" w:ascii="宋体" w:hAnsi="宋体" w:eastAsia="宋体" w:cs="宋体"/>
          <w:spacing w:val="8"/>
          <w:sz w:val="21"/>
          <w:szCs w:val="21"/>
        </w:rPr>
        <w:t>效的条款，或者不能负偏离的条款，或</w:t>
      </w:r>
      <w:r>
        <w:rPr>
          <w:rFonts w:hint="eastAsia" w:ascii="宋体" w:hAnsi="宋体" w:eastAsia="宋体" w:cs="宋体"/>
          <w:spacing w:val="9"/>
          <w:sz w:val="21"/>
          <w:szCs w:val="21"/>
        </w:rPr>
        <w:t>者采购需求中带“▲</w:t>
      </w:r>
      <w:r>
        <w:rPr>
          <w:rFonts w:hint="eastAsia" w:ascii="宋体" w:hAnsi="宋体" w:eastAsia="宋体" w:cs="宋体"/>
          <w:spacing w:val="-70"/>
          <w:sz w:val="21"/>
          <w:szCs w:val="21"/>
        </w:rPr>
        <w:t xml:space="preserve"> </w:t>
      </w:r>
      <w:r>
        <w:rPr>
          <w:rFonts w:hint="eastAsia" w:ascii="宋体" w:hAnsi="宋体" w:eastAsia="宋体" w:cs="宋体"/>
          <w:spacing w:val="9"/>
          <w:sz w:val="21"/>
          <w:szCs w:val="21"/>
        </w:rPr>
        <w:t>”的条款。本招标文件</w:t>
      </w:r>
      <w:r>
        <w:rPr>
          <w:rFonts w:hint="eastAsia" w:ascii="宋体" w:hAnsi="宋体" w:eastAsia="宋体" w:cs="宋体"/>
          <w:spacing w:val="8"/>
          <w:sz w:val="21"/>
          <w:szCs w:val="21"/>
        </w:rPr>
        <w:t>注▲号的部分为实质性要求和条件。</w:t>
      </w:r>
    </w:p>
    <w:p w14:paraId="0EA97F59">
      <w:pPr>
        <w:pStyle w:val="9"/>
        <w:spacing w:before="1" w:line="240" w:lineRule="auto"/>
        <w:ind w:left="132" w:right="196" w:firstLine="410"/>
        <w:rPr>
          <w:rFonts w:hint="eastAsia" w:ascii="宋体" w:hAnsi="宋体" w:eastAsia="宋体" w:cs="宋体"/>
          <w:sz w:val="21"/>
          <w:szCs w:val="21"/>
        </w:rPr>
      </w:pPr>
      <w:r>
        <w:rPr>
          <w:rFonts w:hint="eastAsia" w:ascii="宋体" w:hAnsi="宋体" w:eastAsia="宋体" w:cs="宋体"/>
          <w:spacing w:val="10"/>
          <w:sz w:val="21"/>
          <w:szCs w:val="21"/>
        </w:rPr>
        <w:t>2、投标人必须对投标文件中提供的证明材料和资质文件真</w:t>
      </w:r>
      <w:r>
        <w:rPr>
          <w:rFonts w:hint="eastAsia" w:ascii="宋体" w:hAnsi="宋体" w:eastAsia="宋体" w:cs="宋体"/>
          <w:spacing w:val="9"/>
          <w:sz w:val="21"/>
          <w:szCs w:val="21"/>
        </w:rPr>
        <w:t>实性负责，如出现虚假应标情况，投标人除了应接受有关部门的处罚外，还应依据《中华人民共和国民法典》的相关条款来进行赔偿。</w:t>
      </w:r>
    </w:p>
    <w:p w14:paraId="5950C6AB">
      <w:pPr>
        <w:pStyle w:val="9"/>
        <w:spacing w:before="2" w:line="240" w:lineRule="auto"/>
        <w:ind w:left="145" w:right="196" w:firstLine="398"/>
        <w:rPr>
          <w:rFonts w:hint="eastAsia" w:ascii="宋体" w:hAnsi="宋体" w:eastAsia="宋体" w:cs="宋体"/>
          <w:sz w:val="21"/>
          <w:szCs w:val="21"/>
        </w:rPr>
      </w:pPr>
      <w:r>
        <w:rPr>
          <w:rFonts w:hint="eastAsia" w:ascii="宋体" w:hAnsi="宋体" w:eastAsia="宋体" w:cs="宋体"/>
          <w:spacing w:val="10"/>
          <w:sz w:val="21"/>
          <w:szCs w:val="21"/>
        </w:rPr>
        <w:t>3、投标人应对投标内容所涉及的专利承担法律责任，</w:t>
      </w:r>
      <w:r>
        <w:rPr>
          <w:rFonts w:hint="eastAsia" w:ascii="宋体" w:hAnsi="宋体" w:eastAsia="宋体" w:cs="宋体"/>
          <w:spacing w:val="9"/>
          <w:sz w:val="21"/>
          <w:szCs w:val="21"/>
        </w:rPr>
        <w:t>并负责保护采购人的利益不受任何损害。一切由于文字、商标、技术和软件专利授权引起的法律裁决、诉讼和赔偿费用均由</w:t>
      </w:r>
      <w:r>
        <w:rPr>
          <w:rFonts w:hint="eastAsia" w:ascii="宋体" w:hAnsi="宋体" w:eastAsia="宋体" w:cs="宋体"/>
          <w:spacing w:val="8"/>
          <w:sz w:val="21"/>
          <w:szCs w:val="21"/>
        </w:rPr>
        <w:t>中标人负责。</w:t>
      </w:r>
    </w:p>
    <w:p w14:paraId="3F753980">
      <w:pPr>
        <w:pStyle w:val="9"/>
        <w:spacing w:before="1" w:line="240" w:lineRule="auto"/>
        <w:ind w:left="538"/>
        <w:rPr>
          <w:rFonts w:hint="eastAsia" w:ascii="宋体" w:hAnsi="宋体" w:eastAsia="宋体" w:cs="宋体"/>
          <w:sz w:val="21"/>
          <w:szCs w:val="21"/>
        </w:rPr>
      </w:pPr>
      <w:r>
        <w:rPr>
          <w:rFonts w:hint="eastAsia" w:ascii="宋体" w:hAnsi="宋体" w:eastAsia="宋体" w:cs="宋体"/>
          <w:spacing w:val="9"/>
          <w:sz w:val="21"/>
          <w:szCs w:val="21"/>
        </w:rPr>
        <w:t>4、本服务需求书中内容如与第六章“合同条款及格式</w:t>
      </w:r>
      <w:r>
        <w:rPr>
          <w:rFonts w:hint="eastAsia" w:ascii="宋体" w:hAnsi="宋体" w:eastAsia="宋体" w:cs="宋体"/>
          <w:spacing w:val="-70"/>
          <w:sz w:val="21"/>
          <w:szCs w:val="21"/>
        </w:rPr>
        <w:t xml:space="preserve"> </w:t>
      </w:r>
      <w:r>
        <w:rPr>
          <w:rFonts w:hint="eastAsia" w:ascii="宋体" w:hAnsi="宋体" w:eastAsia="宋体" w:cs="宋体"/>
          <w:spacing w:val="9"/>
          <w:sz w:val="21"/>
          <w:szCs w:val="21"/>
        </w:rPr>
        <w:t>”相关条</w:t>
      </w:r>
      <w:r>
        <w:rPr>
          <w:rFonts w:hint="eastAsia" w:ascii="宋体" w:hAnsi="宋体" w:eastAsia="宋体" w:cs="宋体"/>
          <w:spacing w:val="8"/>
          <w:sz w:val="21"/>
          <w:szCs w:val="21"/>
        </w:rPr>
        <w:t>款不一致的，以本需求书为准。</w:t>
      </w:r>
    </w:p>
    <w:p w14:paraId="0BE9EA0F">
      <w:pPr>
        <w:pStyle w:val="9"/>
        <w:spacing w:before="155" w:line="240" w:lineRule="auto"/>
        <w:ind w:left="543"/>
        <w:rPr>
          <w:rFonts w:hint="eastAsia" w:ascii="宋体" w:hAnsi="宋体" w:eastAsia="宋体" w:cs="宋体"/>
          <w:sz w:val="21"/>
          <w:szCs w:val="21"/>
        </w:rPr>
      </w:pPr>
      <w:r>
        <w:rPr>
          <w:rFonts w:hint="eastAsia" w:ascii="宋体" w:hAnsi="宋体" w:eastAsia="宋体" w:cs="宋体"/>
          <w:spacing w:val="7"/>
          <w:sz w:val="21"/>
          <w:szCs w:val="21"/>
        </w:rPr>
        <w:t>5、采购内容所属行业：</w:t>
      </w:r>
      <w:r>
        <w:rPr>
          <w:rFonts w:hint="eastAsia" w:ascii="宋体" w:hAnsi="宋体" w:eastAsia="宋体" w:cs="宋体"/>
          <w:b/>
          <w:bCs/>
          <w:spacing w:val="7"/>
          <w:sz w:val="21"/>
          <w:szCs w:val="21"/>
          <w:u w:val="single" w:color="auto"/>
        </w:rPr>
        <w:t>批发业</w:t>
      </w:r>
      <w:r>
        <w:rPr>
          <w:rFonts w:hint="eastAsia" w:ascii="宋体" w:hAnsi="宋体" w:eastAsia="宋体" w:cs="宋体"/>
          <w:spacing w:val="7"/>
          <w:sz w:val="21"/>
          <w:szCs w:val="21"/>
        </w:rPr>
        <w:t>。</w:t>
      </w:r>
    </w:p>
    <w:p w14:paraId="47AB6316">
      <w:pPr>
        <w:spacing w:before="313" w:line="240" w:lineRule="auto"/>
        <w:ind w:left="127"/>
        <w:outlineLvl w:val="1"/>
        <w:rPr>
          <w:rFonts w:ascii="黑体" w:hAnsi="黑体" w:eastAsia="黑体" w:cs="黑体"/>
          <w:sz w:val="28"/>
          <w:szCs w:val="28"/>
        </w:rPr>
      </w:pPr>
      <w:r>
        <w:rPr>
          <w:rFonts w:ascii="黑体" w:hAnsi="黑体" w:eastAsia="黑体" w:cs="黑体"/>
          <w:b/>
          <w:bCs/>
          <w:spacing w:val="-5"/>
          <w:sz w:val="28"/>
          <w:szCs w:val="28"/>
        </w:rPr>
        <w:t>一、项目概述</w:t>
      </w:r>
    </w:p>
    <w:p w14:paraId="3668D016">
      <w:pPr>
        <w:spacing w:line="240" w:lineRule="auto"/>
        <w:rPr>
          <w:rFonts w:ascii="Arial"/>
          <w:sz w:val="21"/>
        </w:rPr>
      </w:pPr>
    </w:p>
    <w:p w14:paraId="2C99AE01">
      <w:pPr>
        <w:pStyle w:val="9"/>
        <w:spacing w:before="66" w:line="240" w:lineRule="auto"/>
        <w:ind w:left="547"/>
        <w:rPr>
          <w:rFonts w:hint="eastAsia" w:ascii="宋体" w:hAnsi="宋体" w:eastAsia="宋体" w:cs="宋体"/>
          <w:sz w:val="21"/>
          <w:szCs w:val="21"/>
        </w:rPr>
      </w:pPr>
      <w:r>
        <w:rPr>
          <w:spacing w:val="7"/>
          <w:sz w:val="20"/>
          <w:szCs w:val="20"/>
        </w:rPr>
        <w:t>项</w:t>
      </w:r>
      <w:r>
        <w:rPr>
          <w:rFonts w:hint="eastAsia" w:ascii="宋体" w:hAnsi="宋体" w:eastAsia="宋体" w:cs="宋体"/>
          <w:spacing w:val="7"/>
          <w:sz w:val="21"/>
          <w:szCs w:val="21"/>
        </w:rPr>
        <w:t>目编号：GGZC2026-C3-990226-GXKL</w:t>
      </w:r>
    </w:p>
    <w:p w14:paraId="55CD84A4">
      <w:pPr>
        <w:pStyle w:val="9"/>
        <w:spacing w:before="196" w:line="240" w:lineRule="auto"/>
        <w:ind w:left="121" w:right="228" w:firstLine="426"/>
        <w:rPr>
          <w:rFonts w:hint="eastAsia" w:ascii="宋体" w:hAnsi="宋体" w:eastAsia="宋体" w:cs="宋体"/>
          <w:sz w:val="21"/>
          <w:szCs w:val="21"/>
        </w:rPr>
      </w:pPr>
      <w:r>
        <w:rPr>
          <w:rFonts w:hint="eastAsia" w:ascii="宋体" w:hAnsi="宋体" w:eastAsia="宋体" w:cs="宋体"/>
          <w:spacing w:val="4"/>
          <w:sz w:val="21"/>
          <w:szCs w:val="21"/>
        </w:rPr>
        <w:t>项目名称：2026年6月至2027年7月生活超市副食品配送服务、学校食堂框架协议外物品配送服务</w:t>
      </w:r>
    </w:p>
    <w:p w14:paraId="26C767F0">
      <w:pPr>
        <w:pStyle w:val="9"/>
        <w:spacing w:before="1" w:line="240" w:lineRule="auto"/>
        <w:ind w:left="546"/>
        <w:rPr>
          <w:rFonts w:hint="eastAsia" w:ascii="宋体" w:hAnsi="宋体" w:eastAsia="宋体" w:cs="宋体"/>
          <w:sz w:val="21"/>
          <w:szCs w:val="21"/>
        </w:rPr>
      </w:pPr>
      <w:r>
        <w:rPr>
          <w:rFonts w:hint="eastAsia" w:ascii="宋体" w:hAnsi="宋体" w:eastAsia="宋体" w:cs="宋体"/>
          <w:spacing w:val="8"/>
          <w:sz w:val="21"/>
          <w:szCs w:val="21"/>
        </w:rPr>
        <w:t>预算金额：人民币</w:t>
      </w:r>
      <w:r>
        <w:rPr>
          <w:rFonts w:hint="eastAsia" w:ascii="宋体" w:hAnsi="宋体" w:eastAsia="宋体" w:cs="宋体"/>
          <w:spacing w:val="8"/>
          <w:sz w:val="21"/>
          <w:szCs w:val="21"/>
          <w:lang w:val="en-US" w:eastAsia="zh-CN"/>
        </w:rPr>
        <w:t>陆拾万元</w:t>
      </w:r>
      <w:r>
        <w:rPr>
          <w:rFonts w:hint="eastAsia" w:ascii="宋体" w:hAnsi="宋体" w:eastAsia="宋体" w:cs="宋体"/>
          <w:spacing w:val="8"/>
          <w:sz w:val="21"/>
          <w:szCs w:val="21"/>
        </w:rPr>
        <w:t>(￥</w:t>
      </w:r>
      <w:r>
        <w:rPr>
          <w:rFonts w:hint="eastAsia" w:ascii="宋体" w:hAnsi="宋体" w:eastAsia="宋体" w:cs="宋体"/>
          <w:spacing w:val="8"/>
          <w:sz w:val="21"/>
          <w:szCs w:val="21"/>
          <w:lang w:val="en-US" w:eastAsia="zh-CN"/>
        </w:rPr>
        <w:t>600000.00</w:t>
      </w:r>
      <w:r>
        <w:rPr>
          <w:rFonts w:hint="eastAsia" w:ascii="宋体" w:hAnsi="宋体" w:eastAsia="宋体" w:cs="宋体"/>
          <w:spacing w:val="8"/>
          <w:sz w:val="21"/>
          <w:szCs w:val="21"/>
        </w:rPr>
        <w:t>元</w:t>
      </w:r>
      <w:r>
        <w:rPr>
          <w:rFonts w:hint="eastAsia" w:ascii="宋体" w:hAnsi="宋体" w:eastAsia="宋体" w:cs="宋体"/>
          <w:spacing w:val="14"/>
          <w:sz w:val="21"/>
          <w:szCs w:val="21"/>
        </w:rPr>
        <w:t>），</w:t>
      </w:r>
      <w:r>
        <w:rPr>
          <w:rFonts w:hint="eastAsia" w:ascii="宋体" w:hAnsi="宋体" w:eastAsia="宋体" w:cs="宋体"/>
          <w:spacing w:val="8"/>
          <w:sz w:val="21"/>
          <w:szCs w:val="21"/>
        </w:rPr>
        <w:t>本项目预算金额仅供参考，以实际结算</w:t>
      </w:r>
      <w:r>
        <w:rPr>
          <w:rFonts w:hint="eastAsia" w:ascii="宋体" w:hAnsi="宋体" w:eastAsia="宋体" w:cs="宋体"/>
          <w:spacing w:val="7"/>
          <w:sz w:val="21"/>
          <w:szCs w:val="21"/>
        </w:rPr>
        <w:t>额为准。</w:t>
      </w:r>
    </w:p>
    <w:p w14:paraId="47D4134D">
      <w:pPr>
        <w:pStyle w:val="9"/>
        <w:spacing w:before="196" w:line="240" w:lineRule="auto"/>
        <w:ind w:left="136" w:right="60" w:firstLine="403"/>
        <w:rPr>
          <w:rFonts w:hint="eastAsia" w:ascii="宋体" w:hAnsi="宋体" w:eastAsia="宋体" w:cs="宋体"/>
          <w:sz w:val="21"/>
          <w:szCs w:val="21"/>
        </w:rPr>
      </w:pPr>
      <w:r>
        <w:rPr>
          <w:rFonts w:hint="eastAsia" w:ascii="宋体" w:hAnsi="宋体" w:eastAsia="宋体" w:cs="宋体"/>
          <w:spacing w:val="6"/>
          <w:sz w:val="21"/>
          <w:szCs w:val="21"/>
        </w:rPr>
        <w:t>特别说明：学校能自主采购的商品种类及数量，由学校的实际需要决定，同时受上</w:t>
      </w:r>
      <w:r>
        <w:rPr>
          <w:rFonts w:hint="eastAsia" w:ascii="宋体" w:hAnsi="宋体" w:eastAsia="宋体" w:cs="宋体"/>
          <w:spacing w:val="5"/>
          <w:sz w:val="21"/>
          <w:szCs w:val="21"/>
        </w:rPr>
        <w:t>级的有关政策影响，</w:t>
      </w:r>
      <w:r>
        <w:rPr>
          <w:rFonts w:hint="eastAsia" w:ascii="宋体" w:hAnsi="宋体" w:eastAsia="宋体" w:cs="宋体"/>
          <w:spacing w:val="9"/>
          <w:sz w:val="21"/>
          <w:szCs w:val="21"/>
        </w:rPr>
        <w:t>因此采购金额是预估值，仅供参考，不能作为学校承诺的最低采购数量</w:t>
      </w:r>
      <w:r>
        <w:rPr>
          <w:rFonts w:hint="eastAsia" w:ascii="宋体" w:hAnsi="宋体" w:eastAsia="宋体" w:cs="宋体"/>
          <w:spacing w:val="8"/>
          <w:sz w:val="21"/>
          <w:szCs w:val="21"/>
        </w:rPr>
        <w:t>看待。</w:t>
      </w:r>
    </w:p>
    <w:p w14:paraId="5FE7A5BC">
      <w:pPr>
        <w:spacing w:before="129" w:line="240" w:lineRule="auto"/>
        <w:ind w:left="132"/>
        <w:outlineLvl w:val="1"/>
        <w:rPr>
          <w:rFonts w:ascii="黑体" w:hAnsi="黑体" w:eastAsia="黑体" w:cs="黑体"/>
          <w:sz w:val="28"/>
          <w:szCs w:val="28"/>
        </w:rPr>
      </w:pPr>
      <w:r>
        <w:rPr>
          <w:rFonts w:ascii="黑体" w:hAnsi="黑体" w:eastAsia="黑体" w:cs="黑体"/>
          <w:b/>
          <w:bCs/>
          <w:spacing w:val="-3"/>
          <w:sz w:val="28"/>
          <w:szCs w:val="28"/>
        </w:rPr>
        <w:t>▲二、采购需求、质量要求</w:t>
      </w:r>
    </w:p>
    <w:p w14:paraId="4587F547">
      <w:pPr>
        <w:spacing w:line="240" w:lineRule="auto"/>
        <w:rPr>
          <w:rFonts w:ascii="Arial"/>
          <w:sz w:val="21"/>
        </w:rPr>
      </w:pPr>
    </w:p>
    <w:p w14:paraId="771F6251">
      <w:pPr>
        <w:pStyle w:val="9"/>
        <w:spacing w:before="65" w:line="240" w:lineRule="auto"/>
        <w:ind w:left="119" w:right="114" w:firstLine="434"/>
        <w:rPr>
          <w:rFonts w:hint="eastAsia" w:ascii="宋体" w:hAnsi="宋体" w:eastAsia="宋体" w:cs="宋体"/>
          <w:sz w:val="21"/>
          <w:szCs w:val="21"/>
        </w:rPr>
      </w:pPr>
      <w:r>
        <w:rPr>
          <w:rFonts w:hint="eastAsia" w:ascii="宋体" w:hAnsi="宋体" w:eastAsia="宋体" w:cs="宋体"/>
          <w:b/>
          <w:bCs/>
          <w:spacing w:val="7"/>
          <w:sz w:val="21"/>
          <w:szCs w:val="21"/>
        </w:rPr>
        <w:t>（一）采购内容（包括但不限于以下品种</w:t>
      </w:r>
      <w:r>
        <w:rPr>
          <w:rFonts w:hint="eastAsia" w:ascii="宋体" w:hAnsi="宋体" w:eastAsia="宋体" w:cs="宋体"/>
          <w:b/>
          <w:bCs/>
          <w:spacing w:val="5"/>
          <w:sz w:val="21"/>
          <w:szCs w:val="21"/>
        </w:rPr>
        <w:t>）：</w:t>
      </w:r>
      <w:r>
        <w:rPr>
          <w:rFonts w:hint="eastAsia" w:ascii="宋体" w:hAnsi="宋体" w:eastAsia="宋体" w:cs="宋体"/>
          <w:spacing w:val="7"/>
          <w:sz w:val="21"/>
          <w:szCs w:val="21"/>
        </w:rPr>
        <w:t>框架协议外的生活超市副食品</w:t>
      </w:r>
      <w:r>
        <w:rPr>
          <w:rFonts w:hint="eastAsia" w:ascii="宋体" w:hAnsi="宋体" w:eastAsia="宋体" w:cs="宋体"/>
          <w:spacing w:val="7"/>
          <w:sz w:val="21"/>
          <w:szCs w:val="21"/>
          <w:lang w:eastAsia="zh-CN"/>
        </w:rPr>
        <w:t>（</w:t>
      </w:r>
      <w:r>
        <w:rPr>
          <w:rFonts w:hint="eastAsia" w:ascii="宋体" w:hAnsi="宋体" w:eastAsia="宋体" w:cs="宋体"/>
          <w:spacing w:val="7"/>
          <w:sz w:val="21"/>
          <w:szCs w:val="21"/>
          <w:lang w:val="en-US" w:eastAsia="zh-CN"/>
        </w:rPr>
        <w:t>面包、牛奶、矿泉水</w:t>
      </w:r>
      <w:r>
        <w:rPr>
          <w:rFonts w:hint="eastAsia" w:ascii="宋体" w:hAnsi="宋体" w:eastAsia="宋体" w:cs="宋体"/>
          <w:spacing w:val="7"/>
          <w:sz w:val="21"/>
          <w:szCs w:val="21"/>
          <w:lang w:eastAsia="zh-CN"/>
        </w:rPr>
        <w:t>、</w:t>
      </w:r>
      <w:r>
        <w:rPr>
          <w:rFonts w:hint="eastAsia" w:ascii="宋体" w:hAnsi="宋体" w:eastAsia="宋体" w:cs="宋体"/>
          <w:spacing w:val="7"/>
          <w:sz w:val="21"/>
          <w:szCs w:val="21"/>
          <w:lang w:val="en-US" w:eastAsia="zh-CN"/>
        </w:rPr>
        <w:t>纯净水等上级主管部门批准售卖的</w:t>
      </w:r>
      <w:r>
        <w:rPr>
          <w:rFonts w:hint="eastAsia" w:ascii="宋体" w:hAnsi="宋体" w:eastAsia="宋体" w:cs="宋体"/>
          <w:spacing w:val="7"/>
          <w:sz w:val="21"/>
          <w:szCs w:val="21"/>
        </w:rPr>
        <w:t>副食品</w:t>
      </w:r>
      <w:r>
        <w:rPr>
          <w:rFonts w:hint="eastAsia" w:ascii="宋体" w:hAnsi="宋体" w:eastAsia="宋体" w:cs="宋体"/>
          <w:spacing w:val="7"/>
          <w:sz w:val="21"/>
          <w:szCs w:val="21"/>
          <w:lang w:eastAsia="zh-CN"/>
        </w:rPr>
        <w:t>）、</w:t>
      </w:r>
      <w:r>
        <w:rPr>
          <w:rFonts w:hint="eastAsia" w:ascii="宋体" w:hAnsi="宋体" w:eastAsia="宋体" w:cs="宋体"/>
          <w:spacing w:val="7"/>
          <w:sz w:val="21"/>
          <w:szCs w:val="21"/>
          <w:lang w:val="en-US" w:eastAsia="zh-CN"/>
        </w:rPr>
        <w:t>生活用品</w:t>
      </w:r>
      <w:r>
        <w:rPr>
          <w:rFonts w:hint="eastAsia" w:ascii="宋体" w:hAnsi="宋体" w:eastAsia="宋体" w:cs="宋体"/>
          <w:spacing w:val="9"/>
          <w:sz w:val="21"/>
          <w:szCs w:val="21"/>
        </w:rPr>
        <w:t>。</w:t>
      </w:r>
    </w:p>
    <w:p w14:paraId="2E0543FC">
      <w:pPr>
        <w:pStyle w:val="9"/>
        <w:spacing w:before="67" w:line="240" w:lineRule="auto"/>
        <w:ind w:left="119" w:right="114" w:firstLine="430"/>
        <w:jc w:val="both"/>
        <w:rPr>
          <w:rFonts w:hint="eastAsia" w:ascii="宋体" w:hAnsi="宋体" w:eastAsia="宋体" w:cs="宋体"/>
          <w:sz w:val="21"/>
          <w:szCs w:val="21"/>
        </w:rPr>
      </w:pPr>
      <w:r>
        <w:rPr>
          <w:rFonts w:hint="eastAsia" w:ascii="宋体" w:hAnsi="宋体" w:eastAsia="宋体" w:cs="宋体"/>
          <w:b/>
          <w:bCs/>
          <w:spacing w:val="8"/>
          <w:sz w:val="21"/>
          <w:szCs w:val="21"/>
        </w:rPr>
        <w:t>（2）执行标准：</w:t>
      </w:r>
      <w:r>
        <w:rPr>
          <w:rFonts w:hint="eastAsia" w:ascii="宋体" w:hAnsi="宋体" w:eastAsia="宋体" w:cs="宋体"/>
          <w:spacing w:val="8"/>
          <w:sz w:val="21"/>
          <w:szCs w:val="21"/>
        </w:rPr>
        <w:t xml:space="preserve">食品中污染物限量应符合 </w:t>
      </w:r>
      <w:r>
        <w:rPr>
          <w:rFonts w:hint="eastAsia" w:ascii="宋体" w:hAnsi="宋体" w:eastAsia="宋体" w:cs="宋体"/>
          <w:sz w:val="21"/>
          <w:szCs w:val="21"/>
        </w:rPr>
        <w:t>GB</w:t>
      </w:r>
      <w:r>
        <w:rPr>
          <w:rFonts w:hint="eastAsia" w:ascii="宋体" w:hAnsi="宋体" w:eastAsia="宋体" w:cs="宋体"/>
          <w:spacing w:val="8"/>
          <w:sz w:val="21"/>
          <w:szCs w:val="21"/>
        </w:rPr>
        <w:t>2762-2022 标准；不得采</w:t>
      </w:r>
      <w:r>
        <w:rPr>
          <w:rFonts w:hint="eastAsia" w:ascii="宋体" w:hAnsi="宋体" w:eastAsia="宋体" w:cs="宋体"/>
          <w:spacing w:val="7"/>
          <w:sz w:val="21"/>
          <w:szCs w:val="21"/>
        </w:rPr>
        <w:t>购转基因食品或利用转基因食</w:t>
      </w:r>
      <w:r>
        <w:rPr>
          <w:rFonts w:hint="eastAsia" w:ascii="宋体" w:hAnsi="宋体" w:eastAsia="宋体" w:cs="宋体"/>
          <w:spacing w:val="9"/>
          <w:sz w:val="21"/>
          <w:szCs w:val="21"/>
        </w:rPr>
        <w:t>品原料加工的成品；食品原料新鲜、清洁卫生，同时对每批次食品原料进行检测，具有质量技术监督部门</w:t>
      </w:r>
      <w:r>
        <w:rPr>
          <w:rFonts w:hint="eastAsia" w:ascii="宋体" w:hAnsi="宋体" w:eastAsia="宋体" w:cs="宋体"/>
          <w:spacing w:val="8"/>
          <w:sz w:val="21"/>
          <w:szCs w:val="21"/>
        </w:rPr>
        <w:t>颁发的质量检验报告（同批次）。</w:t>
      </w:r>
    </w:p>
    <w:p w14:paraId="3A1DED7F">
      <w:pPr>
        <w:pStyle w:val="9"/>
        <w:spacing w:before="1" w:line="227" w:lineRule="auto"/>
        <w:ind w:left="3993"/>
        <w:rPr>
          <w:rFonts w:hint="eastAsia" w:ascii="宋体" w:hAnsi="宋体" w:eastAsia="宋体" w:cs="宋体"/>
          <w:sz w:val="21"/>
          <w:szCs w:val="21"/>
        </w:rPr>
      </w:pPr>
      <w:r>
        <w:rPr>
          <w:rFonts w:hint="eastAsia" w:ascii="宋体" w:hAnsi="宋体" w:eastAsia="宋体" w:cs="宋体"/>
          <w:b/>
          <w:bCs/>
          <w:spacing w:val="6"/>
          <w:sz w:val="21"/>
          <w:szCs w:val="21"/>
        </w:rPr>
        <w:t>说明：严禁配送预制菜。</w:t>
      </w:r>
    </w:p>
    <w:p w14:paraId="49CD3B0E">
      <w:pPr>
        <w:spacing w:line="14" w:lineRule="exact"/>
      </w:pPr>
    </w:p>
    <w:tbl>
      <w:tblPr>
        <w:tblStyle w:val="21"/>
        <w:tblW w:w="98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12"/>
        <w:gridCol w:w="7445"/>
      </w:tblGrid>
      <w:tr w14:paraId="2D3580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2412" w:type="dxa"/>
            <w:noWrap w:val="0"/>
            <w:vAlign w:val="top"/>
          </w:tcPr>
          <w:p w14:paraId="2B0AD97B">
            <w:pPr>
              <w:pStyle w:val="20"/>
              <w:spacing w:before="144" w:line="230" w:lineRule="auto"/>
              <w:ind w:left="1002"/>
            </w:pPr>
            <w:r>
              <w:rPr>
                <w:b/>
                <w:bCs/>
                <w:spacing w:val="2"/>
              </w:rPr>
              <w:t>名称</w:t>
            </w:r>
          </w:p>
        </w:tc>
        <w:tc>
          <w:tcPr>
            <w:tcW w:w="7445" w:type="dxa"/>
            <w:noWrap w:val="0"/>
            <w:vAlign w:val="top"/>
          </w:tcPr>
          <w:p w14:paraId="2D58E122">
            <w:pPr>
              <w:pStyle w:val="20"/>
              <w:spacing w:before="144" w:line="228" w:lineRule="auto"/>
              <w:ind w:left="3304"/>
            </w:pPr>
            <w:r>
              <w:rPr>
                <w:b/>
                <w:bCs/>
                <w:spacing w:val="6"/>
              </w:rPr>
              <w:t>执行标准</w:t>
            </w:r>
          </w:p>
        </w:tc>
      </w:tr>
      <w:tr w14:paraId="2292F6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3" w:hRule="atLeast"/>
        </w:trPr>
        <w:tc>
          <w:tcPr>
            <w:tcW w:w="2412" w:type="dxa"/>
            <w:noWrap w:val="0"/>
            <w:vAlign w:val="top"/>
          </w:tcPr>
          <w:p w14:paraId="769BE9D4">
            <w:pPr>
              <w:spacing w:line="289" w:lineRule="auto"/>
              <w:rPr>
                <w:rFonts w:ascii="Arial"/>
                <w:sz w:val="21"/>
              </w:rPr>
            </w:pPr>
          </w:p>
          <w:p w14:paraId="2E79E392">
            <w:pPr>
              <w:spacing w:line="290" w:lineRule="auto"/>
              <w:rPr>
                <w:rFonts w:ascii="Arial"/>
                <w:sz w:val="21"/>
              </w:rPr>
            </w:pPr>
          </w:p>
          <w:p w14:paraId="50C693F2">
            <w:pPr>
              <w:spacing w:line="290" w:lineRule="auto"/>
              <w:rPr>
                <w:rFonts w:ascii="Arial"/>
                <w:sz w:val="21"/>
              </w:rPr>
            </w:pPr>
          </w:p>
          <w:p w14:paraId="3FE4AB87">
            <w:pPr>
              <w:pStyle w:val="20"/>
              <w:spacing w:before="65" w:line="371" w:lineRule="auto"/>
              <w:ind w:left="113" w:right="38"/>
              <w:jc w:val="both"/>
            </w:pPr>
            <w:r>
              <w:rPr>
                <w:spacing w:val="7"/>
                <w:sz w:val="20"/>
                <w:szCs w:val="20"/>
              </w:rPr>
              <w:t>框架协议外的生活超市副食品</w:t>
            </w:r>
            <w:r>
              <w:rPr>
                <w:rFonts w:hint="eastAsia"/>
                <w:spacing w:val="7"/>
                <w:sz w:val="20"/>
                <w:szCs w:val="20"/>
                <w:lang w:eastAsia="zh-CN"/>
              </w:rPr>
              <w:t>、</w:t>
            </w:r>
            <w:r>
              <w:rPr>
                <w:rFonts w:hint="eastAsia"/>
                <w:spacing w:val="7"/>
                <w:sz w:val="20"/>
                <w:szCs w:val="20"/>
                <w:lang w:val="en-US" w:eastAsia="zh-CN"/>
              </w:rPr>
              <w:t>生活用品等</w:t>
            </w:r>
            <w:r>
              <w:rPr>
                <w:spacing w:val="9"/>
                <w:sz w:val="20"/>
                <w:szCs w:val="20"/>
              </w:rPr>
              <w:t>的配送服务。</w:t>
            </w:r>
          </w:p>
        </w:tc>
        <w:tc>
          <w:tcPr>
            <w:tcW w:w="7445" w:type="dxa"/>
            <w:noWrap w:val="0"/>
            <w:vAlign w:val="top"/>
          </w:tcPr>
          <w:p w14:paraId="6CD8E949">
            <w:pPr>
              <w:pStyle w:val="20"/>
              <w:spacing w:before="140" w:line="227" w:lineRule="auto"/>
              <w:ind w:left="547"/>
            </w:pPr>
            <w:r>
              <w:rPr>
                <w:b/>
                <w:bCs/>
                <w:spacing w:val="3"/>
              </w:rPr>
              <w:t>1、采购需求</w:t>
            </w:r>
          </w:p>
          <w:p w14:paraId="26F33E62">
            <w:pPr>
              <w:pStyle w:val="20"/>
              <w:spacing w:before="154" w:line="227" w:lineRule="auto"/>
              <w:ind w:right="14"/>
              <w:jc w:val="right"/>
            </w:pPr>
            <w:r>
              <w:rPr>
                <w:spacing w:val="5"/>
              </w:rPr>
              <w:t>（1）实行每批次采购，供应商应按采购单位的计划表提供相应数量的货物。</w:t>
            </w:r>
          </w:p>
          <w:p w14:paraId="42CF3390">
            <w:pPr>
              <w:pStyle w:val="20"/>
              <w:spacing w:before="152" w:line="227" w:lineRule="auto"/>
              <w:ind w:left="542"/>
            </w:pPr>
            <w:r>
              <w:rPr>
                <w:spacing w:val="7"/>
              </w:rPr>
              <w:t>（2）结算时按实际采购数量结算。</w:t>
            </w:r>
          </w:p>
          <w:p w14:paraId="331C3C41">
            <w:pPr>
              <w:pStyle w:val="20"/>
              <w:spacing w:before="155" w:line="228" w:lineRule="auto"/>
              <w:ind w:left="534"/>
            </w:pPr>
            <w:r>
              <w:rPr>
                <w:b/>
                <w:bCs/>
                <w:spacing w:val="5"/>
              </w:rPr>
              <w:t>2、质量要求</w:t>
            </w:r>
          </w:p>
          <w:p w14:paraId="5C87A0DD">
            <w:pPr>
              <w:pStyle w:val="20"/>
              <w:spacing w:before="154" w:line="228" w:lineRule="auto"/>
              <w:ind w:left="542"/>
            </w:pPr>
            <w:r>
              <w:rPr>
                <w:spacing w:val="5"/>
              </w:rPr>
              <w:t>（1）预包装食品：</w:t>
            </w:r>
          </w:p>
          <w:p w14:paraId="4592EEC5">
            <w:pPr>
              <w:pStyle w:val="20"/>
              <w:spacing w:before="151" w:line="228" w:lineRule="auto"/>
              <w:ind w:left="759"/>
            </w:pPr>
            <w:r>
              <w:rPr>
                <w:spacing w:val="8"/>
              </w:rPr>
              <w:t>1.1</w:t>
            </w:r>
            <w:r>
              <w:rPr>
                <w:spacing w:val="-40"/>
              </w:rPr>
              <w:t xml:space="preserve"> </w:t>
            </w:r>
            <w:r>
              <w:rPr>
                <w:spacing w:val="8"/>
              </w:rPr>
              <w:t>食品必须符合卫生规定，没有污染物质，不含有</w:t>
            </w:r>
            <w:r>
              <w:rPr>
                <w:spacing w:val="7"/>
              </w:rPr>
              <w:t>害物质。</w:t>
            </w:r>
          </w:p>
          <w:p w14:paraId="21838E4E">
            <w:pPr>
              <w:pStyle w:val="20"/>
              <w:spacing w:before="153" w:line="228" w:lineRule="auto"/>
              <w:ind w:left="759"/>
            </w:pPr>
            <w:r>
              <w:rPr>
                <w:spacing w:val="7"/>
              </w:rPr>
              <w:t>1.2</w:t>
            </w:r>
            <w:r>
              <w:rPr>
                <w:spacing w:val="-24"/>
              </w:rPr>
              <w:t xml:space="preserve"> </w:t>
            </w:r>
            <w:r>
              <w:rPr>
                <w:spacing w:val="7"/>
              </w:rPr>
              <w:t>外包装完好无损，并包括必要的标签和使用说明。</w:t>
            </w:r>
          </w:p>
        </w:tc>
      </w:tr>
    </w:tbl>
    <w:p w14:paraId="5BBE325F">
      <w:pPr>
        <w:spacing w:line="195" w:lineRule="exact"/>
        <w:rPr>
          <w:rFonts w:ascii="Arial"/>
          <w:sz w:val="17"/>
        </w:rPr>
      </w:pPr>
    </w:p>
    <w:p w14:paraId="3A95C0E9">
      <w:pPr>
        <w:spacing w:line="195" w:lineRule="exact"/>
        <w:rPr>
          <w:rFonts w:ascii="Arial" w:hAnsi="Arial" w:eastAsia="Arial" w:cs="Arial"/>
          <w:sz w:val="17"/>
          <w:szCs w:val="17"/>
        </w:rPr>
        <w:sectPr>
          <w:footerReference r:id="rId5" w:type="default"/>
          <w:pgSz w:w="11905" w:h="16839"/>
          <w:pgMar w:top="1115" w:right="1021" w:bottom="1007" w:left="1021" w:header="0" w:footer="845" w:gutter="0"/>
          <w:pgNumType w:fmt="decimal"/>
          <w:cols w:space="720" w:num="1"/>
        </w:sectPr>
      </w:pPr>
    </w:p>
    <w:tbl>
      <w:tblPr>
        <w:tblStyle w:val="21"/>
        <w:tblW w:w="98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12"/>
        <w:gridCol w:w="7445"/>
      </w:tblGrid>
      <w:tr w14:paraId="02E1C8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09" w:hRule="atLeast"/>
        </w:trPr>
        <w:tc>
          <w:tcPr>
            <w:tcW w:w="2412" w:type="dxa"/>
            <w:noWrap w:val="0"/>
            <w:vAlign w:val="top"/>
          </w:tcPr>
          <w:p w14:paraId="11807AB0">
            <w:pPr>
              <w:rPr>
                <w:rFonts w:ascii="Arial"/>
                <w:sz w:val="21"/>
              </w:rPr>
            </w:pPr>
          </w:p>
        </w:tc>
        <w:tc>
          <w:tcPr>
            <w:tcW w:w="7445" w:type="dxa"/>
            <w:noWrap w:val="0"/>
            <w:vAlign w:val="top"/>
          </w:tcPr>
          <w:p w14:paraId="507A9E97">
            <w:pPr>
              <w:pStyle w:val="20"/>
              <w:spacing w:before="146" w:line="228" w:lineRule="auto"/>
              <w:ind w:left="759"/>
            </w:pPr>
            <w:r>
              <w:rPr>
                <w:spacing w:val="7"/>
              </w:rPr>
              <w:t>1.3</w:t>
            </w:r>
            <w:r>
              <w:rPr>
                <w:spacing w:val="-24"/>
              </w:rPr>
              <w:t xml:space="preserve"> </w:t>
            </w:r>
            <w:r>
              <w:rPr>
                <w:spacing w:val="7"/>
              </w:rPr>
              <w:t>食品包装必须标识生产日期、保质期和储藏条件。</w:t>
            </w:r>
          </w:p>
          <w:p w14:paraId="2F14911B">
            <w:pPr>
              <w:pStyle w:val="20"/>
              <w:spacing w:before="151" w:line="370" w:lineRule="auto"/>
              <w:ind w:left="114" w:right="109" w:firstLine="644"/>
            </w:pPr>
            <w:r>
              <w:rPr>
                <w:spacing w:val="6"/>
              </w:rPr>
              <w:t>1.4</w:t>
            </w:r>
            <w:r>
              <w:rPr>
                <w:spacing w:val="-28"/>
              </w:rPr>
              <w:t xml:space="preserve"> </w:t>
            </w:r>
            <w:r>
              <w:rPr>
                <w:spacing w:val="6"/>
              </w:rPr>
              <w:t>保质期：达到国家规定要求，供货时的剩余保存期时间不得少于保质期的四分之三。</w:t>
            </w:r>
          </w:p>
          <w:p w14:paraId="1957C833">
            <w:pPr>
              <w:pStyle w:val="20"/>
              <w:spacing w:line="228" w:lineRule="auto"/>
              <w:ind w:left="542"/>
            </w:pPr>
            <w:r>
              <w:rPr>
                <w:spacing w:val="5"/>
              </w:rPr>
              <w:t>（2）生活用品：</w:t>
            </w:r>
          </w:p>
          <w:p w14:paraId="18D5C9C9">
            <w:pPr>
              <w:pStyle w:val="20"/>
              <w:spacing w:before="150" w:line="227" w:lineRule="auto"/>
              <w:ind w:left="746"/>
            </w:pPr>
            <w:r>
              <w:rPr>
                <w:spacing w:val="7"/>
              </w:rPr>
              <w:t>2.1</w:t>
            </w:r>
            <w:r>
              <w:rPr>
                <w:spacing w:val="-28"/>
              </w:rPr>
              <w:t xml:space="preserve"> </w:t>
            </w:r>
            <w:r>
              <w:rPr>
                <w:spacing w:val="7"/>
              </w:rPr>
              <w:t>有产品质量检验合格证明，例如合格证、</w:t>
            </w:r>
            <w:r>
              <w:t>QC</w:t>
            </w:r>
            <w:r>
              <w:rPr>
                <w:spacing w:val="-33"/>
              </w:rPr>
              <w:t xml:space="preserve"> </w:t>
            </w:r>
            <w:r>
              <w:rPr>
                <w:spacing w:val="7"/>
              </w:rPr>
              <w:t>章、“合格</w:t>
            </w:r>
            <w:r>
              <w:rPr>
                <w:spacing w:val="-70"/>
              </w:rPr>
              <w:t xml:space="preserve"> </w:t>
            </w:r>
            <w:r>
              <w:rPr>
                <w:spacing w:val="7"/>
              </w:rPr>
              <w:t>”字样等。</w:t>
            </w:r>
          </w:p>
          <w:p w14:paraId="5EA91A82">
            <w:pPr>
              <w:pStyle w:val="20"/>
              <w:spacing w:before="154" w:line="369" w:lineRule="auto"/>
              <w:ind w:left="113" w:right="109" w:firstLine="632"/>
            </w:pPr>
            <w:r>
              <w:rPr>
                <w:spacing w:val="7"/>
              </w:rPr>
              <w:t>2.2</w:t>
            </w:r>
            <w:r>
              <w:rPr>
                <w:spacing w:val="-40"/>
              </w:rPr>
              <w:t xml:space="preserve"> </w:t>
            </w:r>
            <w:r>
              <w:rPr>
                <w:spacing w:val="7"/>
              </w:rPr>
              <w:t>有中文标明的产品名称、生产厂厂名和厂址；进口</w:t>
            </w:r>
            <w:r>
              <w:rPr>
                <w:spacing w:val="6"/>
              </w:rPr>
              <w:t>产品，应当用中文</w:t>
            </w:r>
            <w:r>
              <w:rPr>
                <w:spacing w:val="9"/>
              </w:rPr>
              <w:t>标明产品名称、产地以及进口商或者总经销者名称、地址。</w:t>
            </w:r>
          </w:p>
          <w:p w14:paraId="153094EC">
            <w:pPr>
              <w:pStyle w:val="20"/>
              <w:spacing w:before="2" w:line="369" w:lineRule="auto"/>
              <w:ind w:left="117" w:right="109" w:firstLine="628"/>
            </w:pPr>
            <w:r>
              <w:rPr>
                <w:spacing w:val="6"/>
              </w:rPr>
              <w:t>2.3</w:t>
            </w:r>
            <w:r>
              <w:rPr>
                <w:spacing w:val="-15"/>
              </w:rPr>
              <w:t xml:space="preserve"> </w:t>
            </w:r>
            <w:r>
              <w:rPr>
                <w:spacing w:val="6"/>
              </w:rPr>
              <w:t>限期使用的产品，在显著位置清晰地标明生产日期、安全使用期或者</w:t>
            </w:r>
            <w:r>
              <w:rPr>
                <w:spacing w:val="4"/>
              </w:rPr>
              <w:t>失效日期。</w:t>
            </w:r>
          </w:p>
          <w:p w14:paraId="092A1D21">
            <w:pPr>
              <w:pStyle w:val="20"/>
              <w:spacing w:before="2" w:line="368" w:lineRule="auto"/>
              <w:ind w:left="129" w:right="109" w:firstLine="616"/>
            </w:pPr>
            <w:r>
              <w:rPr>
                <w:spacing w:val="7"/>
              </w:rPr>
              <w:t>2.4</w:t>
            </w:r>
            <w:r>
              <w:rPr>
                <w:spacing w:val="-41"/>
              </w:rPr>
              <w:t xml:space="preserve"> </w:t>
            </w:r>
            <w:r>
              <w:rPr>
                <w:spacing w:val="7"/>
              </w:rPr>
              <w:t>根据产品特点和使用要求，需要标明产品规格、等级</w:t>
            </w:r>
            <w:r>
              <w:rPr>
                <w:spacing w:val="6"/>
              </w:rPr>
              <w:t>、所含主要成份</w:t>
            </w:r>
            <w:r>
              <w:rPr>
                <w:spacing w:val="7"/>
              </w:rPr>
              <w:t>的名称和含量的，用中文相应予以标明。</w:t>
            </w:r>
          </w:p>
          <w:p w14:paraId="055F6290">
            <w:pPr>
              <w:pStyle w:val="20"/>
              <w:spacing w:before="2" w:line="368" w:lineRule="auto"/>
              <w:ind w:left="129" w:right="109" w:firstLine="616"/>
            </w:pPr>
            <w:r>
              <w:rPr>
                <w:spacing w:val="7"/>
              </w:rPr>
              <w:t>2.5</w:t>
            </w:r>
            <w:r>
              <w:rPr>
                <w:spacing w:val="-40"/>
              </w:rPr>
              <w:t xml:space="preserve"> </w:t>
            </w:r>
            <w:r>
              <w:rPr>
                <w:spacing w:val="7"/>
              </w:rPr>
              <w:t>使用不当，容易造成产品本身损坏或者可能危及人</w:t>
            </w:r>
            <w:r>
              <w:rPr>
                <w:spacing w:val="6"/>
              </w:rPr>
              <w:t>身、财产安全的产</w:t>
            </w:r>
            <w:r>
              <w:rPr>
                <w:spacing w:val="7"/>
              </w:rPr>
              <w:t>品，应当有警示标志或者中文警示说明。</w:t>
            </w:r>
          </w:p>
          <w:p w14:paraId="3643AE3F">
            <w:pPr>
              <w:pStyle w:val="20"/>
              <w:spacing w:before="1" w:line="226" w:lineRule="auto"/>
              <w:ind w:left="534"/>
            </w:pPr>
            <w:r>
              <w:rPr>
                <w:spacing w:val="8"/>
              </w:rPr>
              <w:t>2.6</w:t>
            </w:r>
            <w:r>
              <w:rPr>
                <w:spacing w:val="-23"/>
              </w:rPr>
              <w:t xml:space="preserve"> </w:t>
            </w:r>
            <w:r>
              <w:rPr>
                <w:spacing w:val="8"/>
              </w:rPr>
              <w:t>餐具、果蔬洗涤剂等食品相关产品，有工业产品生产许可证编号。</w:t>
            </w:r>
          </w:p>
          <w:p w14:paraId="427FA06E">
            <w:pPr>
              <w:pStyle w:val="20"/>
              <w:spacing w:before="155" w:line="228" w:lineRule="auto"/>
              <w:ind w:left="542"/>
            </w:pPr>
            <w:r>
              <w:rPr>
                <w:spacing w:val="4"/>
              </w:rPr>
              <w:t>（3）调味品：</w:t>
            </w:r>
          </w:p>
          <w:p w14:paraId="24F02472">
            <w:pPr>
              <w:pStyle w:val="20"/>
              <w:spacing w:before="154" w:line="369" w:lineRule="auto"/>
              <w:ind w:left="114" w:right="109" w:firstLine="632"/>
              <w:rPr>
                <w:spacing w:val="8"/>
              </w:rPr>
            </w:pPr>
            <w:r>
              <w:rPr>
                <w:spacing w:val="5"/>
              </w:rPr>
              <w:t>3.1</w:t>
            </w:r>
            <w:r>
              <w:rPr>
                <w:spacing w:val="-31"/>
              </w:rPr>
              <w:t xml:space="preserve"> </w:t>
            </w:r>
            <w:r>
              <w:rPr>
                <w:spacing w:val="5"/>
              </w:rPr>
              <w:t>产品符合国家及行业相关标准，有“</w:t>
            </w:r>
            <w:r>
              <w:t>SC</w:t>
            </w:r>
            <w:r>
              <w:rPr>
                <w:spacing w:val="-71"/>
              </w:rPr>
              <w:t xml:space="preserve"> </w:t>
            </w:r>
            <w:r>
              <w:rPr>
                <w:spacing w:val="5"/>
              </w:rPr>
              <w:t>”标志或“</w:t>
            </w:r>
            <w:r>
              <w:t>QS</w:t>
            </w:r>
            <w:r>
              <w:rPr>
                <w:spacing w:val="-71"/>
              </w:rPr>
              <w:t xml:space="preserve"> </w:t>
            </w:r>
            <w:r>
              <w:rPr>
                <w:spacing w:val="5"/>
              </w:rPr>
              <w:t>”认证，标明加</w:t>
            </w:r>
            <w:r>
              <w:rPr>
                <w:spacing w:val="8"/>
              </w:rPr>
              <w:t>工厂名称、品名、生产日期、保质期或保存期。</w:t>
            </w:r>
          </w:p>
          <w:p w14:paraId="60D473ED">
            <w:pPr>
              <w:pStyle w:val="20"/>
              <w:spacing w:before="1" w:line="226" w:lineRule="auto"/>
              <w:jc w:val="right"/>
            </w:pPr>
          </w:p>
        </w:tc>
      </w:tr>
    </w:tbl>
    <w:p w14:paraId="66D297EE">
      <w:pPr>
        <w:spacing w:before="300" w:line="222" w:lineRule="auto"/>
        <w:ind w:left="132"/>
        <w:outlineLvl w:val="1"/>
        <w:rPr>
          <w:rFonts w:ascii="黑体" w:hAnsi="黑体" w:eastAsia="黑体" w:cs="黑体"/>
          <w:sz w:val="28"/>
          <w:szCs w:val="28"/>
        </w:rPr>
      </w:pPr>
      <w:r>
        <w:rPr>
          <w:rFonts w:ascii="黑体" w:hAnsi="黑体" w:eastAsia="黑体" w:cs="黑体"/>
          <w:b/>
          <w:bCs/>
          <w:spacing w:val="-4"/>
          <w:sz w:val="28"/>
          <w:szCs w:val="28"/>
        </w:rPr>
        <w:t>▲三、服务采购要求</w:t>
      </w:r>
    </w:p>
    <w:p w14:paraId="303B1B9B">
      <w:pPr>
        <w:spacing w:line="318" w:lineRule="auto"/>
        <w:rPr>
          <w:rFonts w:ascii="Arial"/>
          <w:sz w:val="21"/>
        </w:rPr>
      </w:pPr>
    </w:p>
    <w:p w14:paraId="7C3AA08B">
      <w:pPr>
        <w:pStyle w:val="9"/>
        <w:spacing w:before="65" w:line="227" w:lineRule="auto"/>
        <w:ind w:left="122"/>
        <w:rPr>
          <w:sz w:val="20"/>
          <w:szCs w:val="20"/>
        </w:rPr>
      </w:pPr>
      <w:r>
        <w:rPr>
          <w:spacing w:val="9"/>
          <w:sz w:val="20"/>
          <w:szCs w:val="20"/>
        </w:rPr>
        <w:t>说明：投标人须对本服务采购要求的服务进行逐条响应，否则视为无效投标。</w:t>
      </w:r>
    </w:p>
    <w:p w14:paraId="1E5B5728">
      <w:pPr>
        <w:pStyle w:val="9"/>
        <w:spacing w:before="253" w:line="220" w:lineRule="auto"/>
        <w:ind w:left="130"/>
        <w:outlineLvl w:val="2"/>
      </w:pPr>
      <w:r>
        <w:rPr>
          <w:b/>
          <w:bCs/>
          <w:spacing w:val="-4"/>
        </w:rPr>
        <w:t>（一）服务总体要求</w:t>
      </w:r>
    </w:p>
    <w:p w14:paraId="548578FA">
      <w:pPr>
        <w:pStyle w:val="9"/>
        <w:spacing w:before="59" w:line="227" w:lineRule="auto"/>
        <w:ind w:left="555"/>
        <w:rPr>
          <w:sz w:val="20"/>
          <w:szCs w:val="20"/>
        </w:rPr>
      </w:pPr>
      <w:r>
        <w:rPr>
          <w:spacing w:val="7"/>
          <w:sz w:val="20"/>
          <w:szCs w:val="20"/>
        </w:rPr>
        <w:t>1、供货服务对象：贵港市第八高级中学。</w:t>
      </w:r>
    </w:p>
    <w:p w14:paraId="3A632339">
      <w:pPr>
        <w:pStyle w:val="9"/>
        <w:spacing w:before="162" w:line="360" w:lineRule="auto"/>
        <w:ind w:left="544"/>
        <w:rPr>
          <w:sz w:val="20"/>
          <w:szCs w:val="20"/>
        </w:rPr>
      </w:pPr>
      <w:r>
        <w:rPr>
          <w:b/>
          <w:bCs/>
          <w:sz w:val="20"/>
          <w:szCs w:val="20"/>
        </w:rPr>
        <w:t>中标企业建设统一配送中心和全链条可溯源信息</w:t>
      </w:r>
      <w:r>
        <w:rPr>
          <w:b/>
          <w:bCs/>
          <w:spacing w:val="-1"/>
          <w:sz w:val="20"/>
          <w:szCs w:val="20"/>
        </w:rPr>
        <w:t>化监管系统。</w:t>
      </w:r>
    </w:p>
    <w:p w14:paraId="50BF2E3E">
      <w:pPr>
        <w:pStyle w:val="9"/>
        <w:spacing w:before="3" w:line="368" w:lineRule="auto"/>
        <w:ind w:left="1" w:right="70" w:firstLine="419"/>
        <w:rPr>
          <w:spacing w:val="10"/>
          <w:sz w:val="20"/>
          <w:szCs w:val="20"/>
        </w:rPr>
      </w:pPr>
      <w:r>
        <w:rPr>
          <w:spacing w:val="10"/>
          <w:sz w:val="20"/>
          <w:szCs w:val="20"/>
        </w:rPr>
        <w:t>2、采购量：实际数量以采购单位根据实际需要为准，结算时按实际采购数量结算。中标供应商不得因实际供应量与中标数量不一致提出异议。</w:t>
      </w:r>
    </w:p>
    <w:p w14:paraId="70726568">
      <w:pPr>
        <w:pStyle w:val="9"/>
        <w:spacing w:before="270" w:line="370" w:lineRule="auto"/>
        <w:ind w:right="152" w:firstLine="425"/>
        <w:rPr>
          <w:sz w:val="20"/>
          <w:szCs w:val="20"/>
        </w:rPr>
      </w:pPr>
      <w:r>
        <w:rPr>
          <w:spacing w:val="10"/>
          <w:sz w:val="20"/>
          <w:szCs w:val="20"/>
        </w:rPr>
        <w:t>3、中标人不得将中标货物转包或分包给第三方，采购</w:t>
      </w:r>
      <w:r>
        <w:rPr>
          <w:spacing w:val="9"/>
          <w:sz w:val="20"/>
          <w:szCs w:val="20"/>
        </w:rPr>
        <w:t>单位发现的有权单方终止合同。由此产生的一</w:t>
      </w:r>
      <w:r>
        <w:rPr>
          <w:spacing w:val="8"/>
          <w:sz w:val="20"/>
          <w:szCs w:val="20"/>
        </w:rPr>
        <w:t>切经济损失由中标人自行承担。</w:t>
      </w:r>
    </w:p>
    <w:p w14:paraId="0223898A">
      <w:pPr>
        <w:pStyle w:val="9"/>
        <w:spacing w:before="3" w:line="368" w:lineRule="auto"/>
        <w:ind w:left="1" w:right="70" w:firstLine="419"/>
        <w:rPr>
          <w:sz w:val="20"/>
          <w:szCs w:val="20"/>
        </w:rPr>
      </w:pPr>
      <w:r>
        <w:rPr>
          <w:spacing w:val="10"/>
          <w:sz w:val="20"/>
          <w:szCs w:val="20"/>
        </w:rPr>
        <w:t>4、中标人在合同履行期间保证对采购单位的货物供应，中标后不</w:t>
      </w:r>
      <w:r>
        <w:rPr>
          <w:spacing w:val="9"/>
          <w:sz w:val="20"/>
          <w:szCs w:val="20"/>
        </w:rPr>
        <w:t>得拒绝采购单位分配的任务。中标</w:t>
      </w:r>
      <w:r>
        <w:rPr>
          <w:spacing w:val="10"/>
          <w:sz w:val="20"/>
          <w:szCs w:val="20"/>
        </w:rPr>
        <w:t>人在服务期内没能达到投标文件承诺的服务要求的，中标人未按要求履</w:t>
      </w:r>
      <w:r>
        <w:rPr>
          <w:spacing w:val="9"/>
          <w:sz w:val="20"/>
          <w:szCs w:val="20"/>
        </w:rPr>
        <w:t>行协议 义务的或中标人的资质在服务期内发生变化不再符合要求的，采购单位均有权单方终止合同，由此产生的一切经济损失由中标人自</w:t>
      </w:r>
      <w:r>
        <w:rPr>
          <w:spacing w:val="5"/>
          <w:sz w:val="20"/>
          <w:szCs w:val="20"/>
        </w:rPr>
        <w:t>行承担。</w:t>
      </w:r>
    </w:p>
    <w:p w14:paraId="4988866F">
      <w:pPr>
        <w:pStyle w:val="9"/>
        <w:spacing w:line="369" w:lineRule="auto"/>
        <w:ind w:left="3" w:right="97" w:firstLine="422"/>
        <w:rPr>
          <w:sz w:val="20"/>
          <w:szCs w:val="20"/>
        </w:rPr>
      </w:pPr>
      <w:r>
        <w:rPr>
          <w:spacing w:val="10"/>
          <w:sz w:val="20"/>
          <w:szCs w:val="20"/>
        </w:rPr>
        <w:t>5、中标人必须遵守国家的法律法规及采购单位的规章</w:t>
      </w:r>
      <w:r>
        <w:rPr>
          <w:spacing w:val="9"/>
          <w:sz w:val="20"/>
          <w:szCs w:val="20"/>
        </w:rPr>
        <w:t>制度。中标人（包括送货人员）必须服从采购单位的监督、管理。进入校园出现与学生私自接触、捎带物品和利益</w:t>
      </w:r>
      <w:r>
        <w:rPr>
          <w:spacing w:val="8"/>
          <w:sz w:val="20"/>
          <w:szCs w:val="20"/>
        </w:rPr>
        <w:t>交易等违规行为的，直接终止合同，</w:t>
      </w:r>
      <w:r>
        <w:rPr>
          <w:spacing w:val="7"/>
          <w:sz w:val="20"/>
          <w:szCs w:val="20"/>
        </w:rPr>
        <w:t>并追究供应商相关责任。</w:t>
      </w:r>
    </w:p>
    <w:p w14:paraId="4F2036A3">
      <w:pPr>
        <w:pStyle w:val="9"/>
        <w:spacing w:before="2" w:line="369" w:lineRule="auto"/>
        <w:ind w:left="5" w:right="152" w:firstLine="418"/>
        <w:rPr>
          <w:sz w:val="20"/>
          <w:szCs w:val="20"/>
        </w:rPr>
      </w:pPr>
      <w:r>
        <w:rPr>
          <w:spacing w:val="10"/>
          <w:sz w:val="20"/>
          <w:szCs w:val="20"/>
        </w:rPr>
        <w:t>6、中标人应保证所提供的产品必须是合格安全的产品，供应</w:t>
      </w:r>
      <w:r>
        <w:rPr>
          <w:spacing w:val="9"/>
          <w:sz w:val="20"/>
          <w:szCs w:val="20"/>
        </w:rPr>
        <w:t>的货物因产品质量问题造成食品安全事</w:t>
      </w:r>
      <w:r>
        <w:rPr>
          <w:spacing w:val="8"/>
          <w:sz w:val="20"/>
          <w:szCs w:val="20"/>
        </w:rPr>
        <w:t>故的，直接取消供应商的供货资格，</w:t>
      </w:r>
      <w:r>
        <w:rPr>
          <w:spacing w:val="-48"/>
          <w:sz w:val="20"/>
          <w:szCs w:val="20"/>
        </w:rPr>
        <w:t xml:space="preserve"> </w:t>
      </w:r>
      <w:r>
        <w:rPr>
          <w:spacing w:val="8"/>
          <w:sz w:val="20"/>
          <w:szCs w:val="20"/>
        </w:rPr>
        <w:t>由供应商承担全部经济赔偿责任及其他法律责任。</w:t>
      </w:r>
    </w:p>
    <w:p w14:paraId="31B47901">
      <w:pPr>
        <w:pStyle w:val="9"/>
        <w:spacing w:before="2" w:line="368" w:lineRule="auto"/>
        <w:ind w:left="18" w:right="152" w:firstLine="407"/>
        <w:rPr>
          <w:sz w:val="20"/>
          <w:szCs w:val="20"/>
        </w:rPr>
      </w:pPr>
      <w:r>
        <w:rPr>
          <w:spacing w:val="10"/>
          <w:sz w:val="20"/>
          <w:szCs w:val="20"/>
        </w:rPr>
        <w:t>7、投标人应能提供和配合采购单位及时更新所提供的</w:t>
      </w:r>
      <w:r>
        <w:rPr>
          <w:spacing w:val="9"/>
          <w:sz w:val="20"/>
          <w:szCs w:val="20"/>
        </w:rPr>
        <w:t>符合工商食卫等部门的有效证明材料。如有效</w:t>
      </w:r>
      <w:r>
        <w:rPr>
          <w:spacing w:val="8"/>
          <w:sz w:val="20"/>
          <w:szCs w:val="20"/>
        </w:rPr>
        <w:t>的营业执照（已‘三证合一</w:t>
      </w:r>
      <w:r>
        <w:rPr>
          <w:spacing w:val="37"/>
          <w:sz w:val="20"/>
          <w:szCs w:val="20"/>
        </w:rPr>
        <w:t xml:space="preserve"> </w:t>
      </w:r>
      <w:r>
        <w:rPr>
          <w:spacing w:val="8"/>
          <w:sz w:val="20"/>
          <w:szCs w:val="20"/>
        </w:rPr>
        <w:t>’的不须另提供税务登记证）、产品合格证</w:t>
      </w:r>
      <w:r>
        <w:rPr>
          <w:spacing w:val="7"/>
          <w:sz w:val="20"/>
          <w:szCs w:val="20"/>
        </w:rPr>
        <w:t>等。</w:t>
      </w:r>
    </w:p>
    <w:p w14:paraId="4D9D14B9">
      <w:pPr>
        <w:pStyle w:val="9"/>
        <w:spacing w:before="98" w:line="219" w:lineRule="auto"/>
        <w:ind w:left="12"/>
        <w:outlineLvl w:val="2"/>
      </w:pPr>
      <w:r>
        <w:rPr>
          <w:b/>
          <w:bCs/>
          <w:spacing w:val="-4"/>
        </w:rPr>
        <w:t>（二）供应价格要求</w:t>
      </w:r>
    </w:p>
    <w:p w14:paraId="6CE1404E">
      <w:pPr>
        <w:pStyle w:val="9"/>
        <w:spacing w:before="169" w:line="369" w:lineRule="auto"/>
        <w:ind w:left="2" w:firstLine="434"/>
        <w:rPr>
          <w:sz w:val="20"/>
          <w:szCs w:val="20"/>
        </w:rPr>
      </w:pPr>
      <w:r>
        <w:rPr>
          <w:spacing w:val="8"/>
          <w:sz w:val="20"/>
          <w:szCs w:val="20"/>
        </w:rPr>
        <w:t>1、供货价格须包含品种的成本、运输、装卸、搬运、保险、利润、税金、质保期售后服务、雇员费、</w:t>
      </w:r>
      <w:r>
        <w:rPr>
          <w:spacing w:val="9"/>
          <w:sz w:val="20"/>
          <w:szCs w:val="20"/>
        </w:rPr>
        <w:t>合同实施过程中的应预见和或不可预见等费用总和。所产生的费用由中标人负责。</w:t>
      </w:r>
    </w:p>
    <w:p w14:paraId="226BFD63">
      <w:pPr>
        <w:pStyle w:val="9"/>
        <w:spacing w:before="4" w:line="369" w:lineRule="auto"/>
        <w:ind w:left="5" w:right="70" w:firstLine="419"/>
        <w:rPr>
          <w:spacing w:val="9"/>
          <w:sz w:val="20"/>
          <w:szCs w:val="20"/>
        </w:rPr>
      </w:pPr>
      <w:r>
        <w:rPr>
          <w:spacing w:val="10"/>
          <w:sz w:val="20"/>
          <w:szCs w:val="20"/>
        </w:rPr>
        <w:t>2、供应价格确定标准：</w:t>
      </w:r>
      <w:r>
        <w:rPr>
          <w:rFonts w:hint="eastAsia"/>
          <w:spacing w:val="10"/>
          <w:sz w:val="20"/>
          <w:szCs w:val="20"/>
          <w:lang w:val="en-US" w:eastAsia="zh-CN"/>
        </w:rPr>
        <w:t>本项目报价方式为折扣率报价，</w:t>
      </w:r>
      <w:r>
        <w:rPr>
          <w:spacing w:val="10"/>
          <w:sz w:val="20"/>
          <w:szCs w:val="20"/>
        </w:rPr>
        <w:t>采购人及学校采购代表根据原料市</w:t>
      </w:r>
      <w:r>
        <w:rPr>
          <w:spacing w:val="9"/>
          <w:sz w:val="20"/>
          <w:szCs w:val="20"/>
        </w:rPr>
        <w:t>场价格情况在贵港市区如华隆、永盛等大</w:t>
      </w:r>
      <w:r>
        <w:rPr>
          <w:spacing w:val="6"/>
          <w:sz w:val="20"/>
          <w:szCs w:val="20"/>
        </w:rPr>
        <w:t>型超市经过调查得出的市场批发均价设定为</w:t>
      </w:r>
      <w:r>
        <w:rPr>
          <w:spacing w:val="-39"/>
          <w:sz w:val="20"/>
          <w:szCs w:val="20"/>
        </w:rPr>
        <w:t xml:space="preserve"> </w:t>
      </w:r>
      <w:r>
        <w:rPr>
          <w:spacing w:val="6"/>
          <w:sz w:val="20"/>
          <w:szCs w:val="20"/>
        </w:rPr>
        <w:t>X，签订的合同折扣率设定为Y%，则原料供货单价为</w:t>
      </w:r>
      <w:r>
        <w:rPr>
          <w:spacing w:val="-39"/>
          <w:sz w:val="20"/>
          <w:szCs w:val="20"/>
        </w:rPr>
        <w:t xml:space="preserve"> </w:t>
      </w:r>
      <w:r>
        <w:rPr>
          <w:b/>
          <w:bCs/>
          <w:spacing w:val="6"/>
          <w:sz w:val="20"/>
          <w:szCs w:val="20"/>
        </w:rPr>
        <w:t>X</w:t>
      </w:r>
      <w:r>
        <w:rPr>
          <w:b/>
          <w:bCs/>
          <w:spacing w:val="5"/>
          <w:sz w:val="20"/>
          <w:szCs w:val="20"/>
        </w:rPr>
        <w:t>×Y%（例如：市场批发均价</w:t>
      </w:r>
      <w:r>
        <w:rPr>
          <w:spacing w:val="-40"/>
          <w:sz w:val="20"/>
          <w:szCs w:val="20"/>
        </w:rPr>
        <w:t xml:space="preserve"> </w:t>
      </w:r>
      <w:r>
        <w:rPr>
          <w:b/>
          <w:bCs/>
          <w:spacing w:val="5"/>
          <w:sz w:val="20"/>
          <w:szCs w:val="20"/>
        </w:rPr>
        <w:t>X＝100</w:t>
      </w:r>
      <w:r>
        <w:rPr>
          <w:spacing w:val="-36"/>
          <w:sz w:val="20"/>
          <w:szCs w:val="20"/>
        </w:rPr>
        <w:t xml:space="preserve"> </w:t>
      </w:r>
      <w:r>
        <w:rPr>
          <w:b/>
          <w:bCs/>
          <w:spacing w:val="5"/>
          <w:sz w:val="20"/>
          <w:szCs w:val="20"/>
        </w:rPr>
        <w:t>元，合同折扣率</w:t>
      </w:r>
      <w:r>
        <w:rPr>
          <w:spacing w:val="-38"/>
          <w:sz w:val="20"/>
          <w:szCs w:val="20"/>
        </w:rPr>
        <w:t xml:space="preserve"> </w:t>
      </w:r>
      <w:r>
        <w:rPr>
          <w:b/>
          <w:bCs/>
          <w:spacing w:val="5"/>
          <w:sz w:val="20"/>
          <w:szCs w:val="20"/>
        </w:rPr>
        <w:t>Y%=97%，原料供货单价=100×0.97＝97</w:t>
      </w:r>
      <w:r>
        <w:rPr>
          <w:spacing w:val="-38"/>
          <w:sz w:val="20"/>
          <w:szCs w:val="20"/>
        </w:rPr>
        <w:t xml:space="preserve"> </w:t>
      </w:r>
      <w:r>
        <w:rPr>
          <w:b/>
          <w:bCs/>
          <w:spacing w:val="5"/>
          <w:sz w:val="20"/>
          <w:szCs w:val="20"/>
        </w:rPr>
        <w:t>元</w:t>
      </w:r>
      <w:r>
        <w:rPr>
          <w:spacing w:val="7"/>
          <w:sz w:val="20"/>
          <w:szCs w:val="20"/>
        </w:rPr>
        <w:t>），</w:t>
      </w:r>
      <w:r>
        <w:rPr>
          <w:spacing w:val="5"/>
          <w:sz w:val="20"/>
          <w:szCs w:val="20"/>
        </w:rPr>
        <w:t>不认可该供货价</w:t>
      </w:r>
      <w:r>
        <w:rPr>
          <w:spacing w:val="9"/>
          <w:sz w:val="20"/>
          <w:szCs w:val="20"/>
        </w:rPr>
        <w:t>的投标人视为自动放弃中标权利，由下一中标候选人递补。</w:t>
      </w:r>
    </w:p>
    <w:p w14:paraId="5B8011BF">
      <w:pPr>
        <w:pStyle w:val="9"/>
        <w:spacing w:before="4" w:line="369" w:lineRule="auto"/>
        <w:ind w:left="5" w:right="70" w:firstLine="419"/>
        <w:rPr>
          <w:spacing w:val="9"/>
          <w:sz w:val="20"/>
          <w:szCs w:val="20"/>
        </w:rPr>
      </w:pPr>
      <w:r>
        <w:rPr>
          <w:rFonts w:hint="eastAsia"/>
          <w:spacing w:val="9"/>
          <w:sz w:val="20"/>
          <w:szCs w:val="20"/>
        </w:rPr>
        <w:t>学校能自主采购的商品种类及数量，由学校的实际需要决定，同时受上级的有关政策影响，因此采购金额是预估值，仅供参考，不能作为学校承诺的最低采购数量看待。</w:t>
      </w:r>
    </w:p>
    <w:p w14:paraId="0629DA9A">
      <w:pPr>
        <w:pStyle w:val="9"/>
        <w:spacing w:before="97" w:line="219" w:lineRule="auto"/>
        <w:ind w:left="12"/>
        <w:outlineLvl w:val="2"/>
      </w:pPr>
      <w:r>
        <w:rPr>
          <w:b/>
          <w:bCs/>
          <w:spacing w:val="-4"/>
        </w:rPr>
        <w:t>（三）货款结算及付款方式</w:t>
      </w:r>
    </w:p>
    <w:p w14:paraId="6D594C47">
      <w:pPr>
        <w:pStyle w:val="9"/>
        <w:spacing w:before="169" w:line="369" w:lineRule="auto"/>
        <w:ind w:left="3" w:right="70" w:firstLine="421"/>
        <w:rPr>
          <w:sz w:val="20"/>
          <w:szCs w:val="20"/>
        </w:rPr>
      </w:pPr>
      <w:r>
        <w:rPr>
          <w:spacing w:val="9"/>
          <w:sz w:val="20"/>
          <w:szCs w:val="20"/>
        </w:rPr>
        <w:t>一般情况下采购人按月进行结算，采购资金由采购学校食堂财务对公账户转入中标人账户。根据采购</w:t>
      </w:r>
      <w:r>
        <w:rPr>
          <w:spacing w:val="10"/>
          <w:sz w:val="20"/>
          <w:szCs w:val="20"/>
        </w:rPr>
        <w:t>人惯例，在每月完成全部货物供货后，下一个</w:t>
      </w:r>
      <w:r>
        <w:rPr>
          <w:spacing w:val="9"/>
          <w:sz w:val="20"/>
          <w:szCs w:val="20"/>
        </w:rPr>
        <w:t>月结算上一个月的货款，采购单位财务一次性</w:t>
      </w:r>
      <w:r>
        <w:rPr>
          <w:rFonts w:hint="eastAsia"/>
          <w:spacing w:val="9"/>
          <w:sz w:val="20"/>
          <w:szCs w:val="20"/>
          <w:lang w:val="en-US" w:eastAsia="zh-CN"/>
        </w:rPr>
        <w:t>完成结算</w:t>
      </w:r>
      <w:r>
        <w:rPr>
          <w:spacing w:val="9"/>
          <w:sz w:val="20"/>
          <w:szCs w:val="20"/>
        </w:rPr>
        <w:t>支付。特殊情况，需临时改变结算方式，双方可通过协调解决。</w:t>
      </w:r>
    </w:p>
    <w:p w14:paraId="73D439EC">
      <w:pPr>
        <w:pStyle w:val="9"/>
        <w:spacing w:before="254" w:line="219" w:lineRule="auto"/>
        <w:ind w:left="12"/>
        <w:outlineLvl w:val="2"/>
      </w:pPr>
      <w:r>
        <w:rPr>
          <w:b/>
          <w:bCs/>
          <w:spacing w:val="-5"/>
        </w:rPr>
        <w:t>（四）交货地点</w:t>
      </w:r>
    </w:p>
    <w:p w14:paraId="0B718B7D">
      <w:pPr>
        <w:pStyle w:val="9"/>
        <w:spacing w:before="168" w:line="228" w:lineRule="auto"/>
        <w:ind w:left="424"/>
        <w:rPr>
          <w:sz w:val="20"/>
          <w:szCs w:val="20"/>
        </w:rPr>
      </w:pPr>
      <w:r>
        <w:rPr>
          <w:spacing w:val="7"/>
          <w:sz w:val="20"/>
          <w:szCs w:val="20"/>
        </w:rPr>
        <w:t>贵港市第八高级中学。</w:t>
      </w:r>
    </w:p>
    <w:p w14:paraId="5F81DF4C">
      <w:pPr>
        <w:pStyle w:val="9"/>
        <w:spacing w:before="253" w:line="220" w:lineRule="auto"/>
        <w:ind w:left="12"/>
        <w:outlineLvl w:val="2"/>
      </w:pPr>
      <w:r>
        <w:rPr>
          <w:b/>
          <w:bCs/>
          <w:spacing w:val="-4"/>
        </w:rPr>
        <w:t>（五）配送服务要求</w:t>
      </w:r>
    </w:p>
    <w:p w14:paraId="52C5AB4B">
      <w:pPr>
        <w:pStyle w:val="9"/>
        <w:spacing w:before="167" w:line="369" w:lineRule="auto"/>
        <w:ind w:left="2" w:right="152" w:firstLine="434"/>
        <w:rPr>
          <w:sz w:val="20"/>
          <w:szCs w:val="20"/>
        </w:rPr>
      </w:pPr>
      <w:r>
        <w:rPr>
          <w:spacing w:val="9"/>
          <w:sz w:val="20"/>
          <w:szCs w:val="20"/>
        </w:rPr>
        <w:t>1、中标人应当根据采购单位实际情况，按照与采购单位的约定，在规定的时间内将预定的货物保质</w:t>
      </w:r>
      <w:r>
        <w:rPr>
          <w:spacing w:val="7"/>
          <w:sz w:val="20"/>
          <w:szCs w:val="20"/>
        </w:rPr>
        <w:t>保量送到指定地点。</w:t>
      </w:r>
    </w:p>
    <w:p w14:paraId="36387E68">
      <w:pPr>
        <w:pStyle w:val="9"/>
        <w:spacing w:before="1" w:line="369" w:lineRule="auto"/>
        <w:ind w:right="70" w:firstLine="424"/>
        <w:rPr>
          <w:sz w:val="20"/>
          <w:szCs w:val="20"/>
        </w:rPr>
      </w:pPr>
      <w:r>
        <w:rPr>
          <w:spacing w:val="10"/>
          <w:sz w:val="20"/>
          <w:szCs w:val="20"/>
        </w:rPr>
        <w:t>2、一般供货要求：采购方根据实际需要，列出一份第二天</w:t>
      </w:r>
      <w:r>
        <w:rPr>
          <w:spacing w:val="9"/>
          <w:sz w:val="20"/>
          <w:szCs w:val="20"/>
        </w:rPr>
        <w:t>需要补充采购的货物请购清单，在收到采购方发出供货通知后，供方最迟在次日上午9：00 前提供当次现场供货。紧急供货要求：在收到</w:t>
      </w:r>
      <w:r>
        <w:rPr>
          <w:spacing w:val="8"/>
          <w:sz w:val="20"/>
          <w:szCs w:val="20"/>
        </w:rPr>
        <w:t>采购方发出紧急供货通知后，供方最迟</w:t>
      </w:r>
      <w:r>
        <w:rPr>
          <w:spacing w:val="-32"/>
          <w:sz w:val="20"/>
          <w:szCs w:val="20"/>
        </w:rPr>
        <w:t xml:space="preserve"> </w:t>
      </w:r>
      <w:r>
        <w:rPr>
          <w:spacing w:val="8"/>
          <w:sz w:val="20"/>
          <w:szCs w:val="20"/>
        </w:rPr>
        <w:t>2</w:t>
      </w:r>
      <w:r>
        <w:rPr>
          <w:spacing w:val="-35"/>
          <w:sz w:val="20"/>
          <w:szCs w:val="20"/>
        </w:rPr>
        <w:t xml:space="preserve"> </w:t>
      </w:r>
      <w:r>
        <w:rPr>
          <w:spacing w:val="8"/>
          <w:sz w:val="20"/>
          <w:szCs w:val="20"/>
        </w:rPr>
        <w:t>小时内完成当次现场供货。</w:t>
      </w:r>
    </w:p>
    <w:p w14:paraId="40C8F2FC">
      <w:pPr>
        <w:pStyle w:val="9"/>
        <w:spacing w:before="1" w:line="369" w:lineRule="auto"/>
        <w:ind w:right="70" w:firstLine="424"/>
        <w:rPr>
          <w:spacing w:val="10"/>
          <w:sz w:val="20"/>
          <w:szCs w:val="20"/>
        </w:rPr>
      </w:pPr>
      <w:r>
        <w:rPr>
          <w:spacing w:val="10"/>
          <w:sz w:val="20"/>
          <w:szCs w:val="20"/>
        </w:rPr>
        <w:t>3、中标人必须按照采购方通知的时间、数量、品种、品质要求及协定的价格准时送货，经验收合格后签字确认，不能以任何理由推托，一旦影响到采购方食堂的正常运转，中标人应承担相应的经济赔偿。</w:t>
      </w:r>
    </w:p>
    <w:p w14:paraId="54F4BB4F">
      <w:pPr>
        <w:pStyle w:val="9"/>
        <w:spacing w:before="1" w:line="369" w:lineRule="auto"/>
        <w:ind w:right="70" w:firstLine="424"/>
        <w:rPr>
          <w:spacing w:val="10"/>
          <w:sz w:val="20"/>
          <w:szCs w:val="20"/>
        </w:rPr>
      </w:pPr>
      <w:r>
        <w:rPr>
          <w:spacing w:val="10"/>
          <w:sz w:val="20"/>
          <w:szCs w:val="20"/>
        </w:rPr>
        <w:t>4、中标人不能满足供货要求时，应提前 1 个月通知采购方，采购方同意后方可中止合同。</w:t>
      </w:r>
    </w:p>
    <w:p w14:paraId="446563C4">
      <w:pPr>
        <w:pStyle w:val="9"/>
        <w:spacing w:before="1" w:line="369" w:lineRule="auto"/>
        <w:ind w:right="70" w:firstLine="424"/>
        <w:rPr>
          <w:spacing w:val="10"/>
          <w:sz w:val="20"/>
          <w:szCs w:val="20"/>
        </w:rPr>
      </w:pPr>
      <w:r>
        <w:rPr>
          <w:spacing w:val="10"/>
          <w:sz w:val="20"/>
          <w:szCs w:val="20"/>
        </w:rPr>
        <w:t>5、送货地点：贵港市第八高级中学。交货地点变动，采购单位不另行支付配送交通费用。</w:t>
      </w:r>
    </w:p>
    <w:p w14:paraId="45FC856F">
      <w:pPr>
        <w:pStyle w:val="9"/>
        <w:spacing w:before="152" w:line="370" w:lineRule="auto"/>
        <w:ind w:left="3" w:right="152" w:firstLine="420"/>
        <w:rPr>
          <w:sz w:val="20"/>
          <w:szCs w:val="20"/>
        </w:rPr>
      </w:pPr>
      <w:r>
        <w:rPr>
          <w:spacing w:val="10"/>
          <w:sz w:val="20"/>
          <w:szCs w:val="20"/>
        </w:rPr>
        <w:t>6、在采购单位签收之前，货物的所有权和风险属于中标人，</w:t>
      </w:r>
      <w:r>
        <w:rPr>
          <w:spacing w:val="9"/>
          <w:sz w:val="20"/>
          <w:szCs w:val="20"/>
        </w:rPr>
        <w:t>货物的数量、质量、遗失、损坏由中标</w:t>
      </w:r>
      <w:r>
        <w:rPr>
          <w:spacing w:val="4"/>
          <w:sz w:val="20"/>
          <w:szCs w:val="20"/>
        </w:rPr>
        <w:t>人负责。</w:t>
      </w:r>
    </w:p>
    <w:p w14:paraId="04C2E029">
      <w:pPr>
        <w:pStyle w:val="9"/>
        <w:spacing w:before="1" w:line="369" w:lineRule="auto"/>
        <w:ind w:right="70" w:firstLine="424"/>
        <w:rPr>
          <w:spacing w:val="10"/>
          <w:sz w:val="20"/>
          <w:szCs w:val="20"/>
        </w:rPr>
      </w:pPr>
      <w:r>
        <w:rPr>
          <w:spacing w:val="10"/>
          <w:sz w:val="20"/>
          <w:szCs w:val="20"/>
        </w:rPr>
        <w:t>7、中标人必须严格按照采购单位的指令配送货物的数量，不得随意增减，否则，采购 单位有权拒收。</w:t>
      </w:r>
    </w:p>
    <w:p w14:paraId="45B75075">
      <w:pPr>
        <w:pStyle w:val="9"/>
        <w:spacing w:before="154" w:line="369" w:lineRule="auto"/>
        <w:ind w:left="2" w:right="70" w:firstLine="420"/>
        <w:rPr>
          <w:sz w:val="20"/>
          <w:szCs w:val="20"/>
        </w:rPr>
      </w:pPr>
      <w:r>
        <w:rPr>
          <w:spacing w:val="10"/>
          <w:sz w:val="20"/>
          <w:szCs w:val="20"/>
        </w:rPr>
        <w:t>8、除客观不可抗力外，中标人不得更改送货内容。如因市场流</w:t>
      </w:r>
      <w:r>
        <w:rPr>
          <w:spacing w:val="9"/>
          <w:sz w:val="20"/>
          <w:szCs w:val="20"/>
        </w:rPr>
        <w:t>通问题确实需要变更供货内容的，中标人应书面告知采购单位，并经采购单位同意后方可改变。经发现中标人有私自更改菜单中货品时以违约论处，由此产生的一切损失和费用由中标人承担。</w:t>
      </w:r>
    </w:p>
    <w:p w14:paraId="48B43A5A">
      <w:pPr>
        <w:pStyle w:val="9"/>
        <w:spacing w:before="1" w:line="369" w:lineRule="auto"/>
        <w:ind w:left="5" w:right="70" w:firstLine="416"/>
        <w:rPr>
          <w:sz w:val="20"/>
          <w:szCs w:val="20"/>
        </w:rPr>
      </w:pPr>
      <w:r>
        <w:rPr>
          <w:spacing w:val="10"/>
          <w:sz w:val="20"/>
          <w:szCs w:val="20"/>
        </w:rPr>
        <w:t>9、采购单位发现采购货物不能正常食用的，中标人必须无条件</w:t>
      </w:r>
      <w:r>
        <w:rPr>
          <w:spacing w:val="9"/>
          <w:sz w:val="20"/>
          <w:szCs w:val="20"/>
        </w:rPr>
        <w:t>退货。中标人未能履行招标文件和合同所定事项，或供应不合格的、假冒虚伪、以次充好的货物，采购单位退货后记录在案，并对中标人予以处罚，除要承担因此产生的一切损失和费用外，情节严重的可取消供应资格。</w:t>
      </w:r>
    </w:p>
    <w:p w14:paraId="66409BF0">
      <w:pPr>
        <w:pStyle w:val="9"/>
        <w:spacing w:before="2" w:line="369" w:lineRule="auto"/>
        <w:ind w:left="2" w:right="70" w:firstLine="434"/>
        <w:rPr>
          <w:sz w:val="20"/>
          <w:szCs w:val="20"/>
        </w:rPr>
      </w:pPr>
      <w:r>
        <w:rPr>
          <w:spacing w:val="9"/>
          <w:sz w:val="20"/>
          <w:szCs w:val="20"/>
        </w:rPr>
        <w:t>10、中标人不能按核定的供货价交付的某些货物、不能提供与其承诺</w:t>
      </w:r>
      <w:r>
        <w:rPr>
          <w:spacing w:val="8"/>
          <w:sz w:val="20"/>
          <w:szCs w:val="20"/>
        </w:rPr>
        <w:t>相符的服务或中标人存在违反招</w:t>
      </w:r>
      <w:r>
        <w:rPr>
          <w:spacing w:val="10"/>
          <w:sz w:val="20"/>
          <w:szCs w:val="20"/>
        </w:rPr>
        <w:t>标文件和合同的行为，并且不予纠正的，将取消其</w:t>
      </w:r>
      <w:r>
        <w:rPr>
          <w:spacing w:val="9"/>
          <w:sz w:val="20"/>
          <w:szCs w:val="20"/>
        </w:rPr>
        <w:t>中标资格。此项违约责任包括但不限于下列各项：</w:t>
      </w:r>
    </w:p>
    <w:p w14:paraId="18D0ABEC">
      <w:pPr>
        <w:pStyle w:val="9"/>
        <w:spacing w:before="1" w:line="226" w:lineRule="auto"/>
        <w:ind w:left="421"/>
        <w:rPr>
          <w:sz w:val="20"/>
          <w:szCs w:val="20"/>
        </w:rPr>
      </w:pPr>
      <w:r>
        <w:rPr>
          <w:spacing w:val="9"/>
          <w:sz w:val="20"/>
          <w:szCs w:val="20"/>
        </w:rPr>
        <w:t>⑴中标人在收到采购单位订货要求后，在承诺的供货时间内不能供货的。</w:t>
      </w:r>
    </w:p>
    <w:p w14:paraId="01C80E3B">
      <w:pPr>
        <w:pStyle w:val="9"/>
        <w:spacing w:before="152" w:line="227" w:lineRule="auto"/>
        <w:ind w:left="421"/>
        <w:rPr>
          <w:sz w:val="20"/>
          <w:szCs w:val="20"/>
        </w:rPr>
      </w:pPr>
      <w:r>
        <w:rPr>
          <w:spacing w:val="8"/>
          <w:sz w:val="20"/>
          <w:szCs w:val="20"/>
        </w:rPr>
        <w:t>⑵中标人未能提供承诺的服务的。</w:t>
      </w:r>
    </w:p>
    <w:p w14:paraId="0B247689">
      <w:pPr>
        <w:pStyle w:val="9"/>
        <w:spacing w:before="154" w:line="369" w:lineRule="auto"/>
        <w:ind w:right="70" w:firstLine="421"/>
        <w:rPr>
          <w:spacing w:val="9"/>
          <w:sz w:val="20"/>
          <w:szCs w:val="20"/>
        </w:rPr>
      </w:pPr>
      <w:r>
        <w:rPr>
          <w:spacing w:val="9"/>
          <w:sz w:val="20"/>
          <w:szCs w:val="20"/>
        </w:rPr>
        <w:t>⑶中标货物在保质期出现损坏的，中标人应承诺替换服务，因替换货物产生的费用由中标人负责。</w:t>
      </w:r>
    </w:p>
    <w:p w14:paraId="7D7592FF">
      <w:pPr>
        <w:pStyle w:val="9"/>
        <w:spacing w:before="154" w:line="369" w:lineRule="auto"/>
        <w:ind w:right="70" w:firstLine="421"/>
        <w:rPr>
          <w:sz w:val="20"/>
          <w:szCs w:val="20"/>
        </w:rPr>
      </w:pPr>
      <w:r>
        <w:rPr>
          <w:spacing w:val="9"/>
          <w:sz w:val="20"/>
          <w:szCs w:val="20"/>
        </w:rPr>
        <w:t>⑷中标人的送货单必须详细注明货物的名称、品种、单价、数量，不得涂改。标记不清的，采购单位将拒绝签字。结算期未中标人还应提供送货单供采购单位结算。</w:t>
      </w:r>
    </w:p>
    <w:p w14:paraId="2AFF163E">
      <w:pPr>
        <w:pStyle w:val="9"/>
        <w:spacing w:before="3" w:line="368" w:lineRule="auto"/>
        <w:ind w:left="2" w:right="70" w:firstLine="419"/>
        <w:rPr>
          <w:sz w:val="20"/>
          <w:szCs w:val="20"/>
        </w:rPr>
      </w:pPr>
      <w:r>
        <w:rPr>
          <w:spacing w:val="9"/>
          <w:sz w:val="20"/>
          <w:szCs w:val="20"/>
        </w:rPr>
        <w:t>⑸中标人必须指定专人送货，并经健康体检合格。送货专员在采购单位活动必须穿着便于辨认的工衣和佩戴出入证。并严格遵守采购单位的各项规章制度，否则采购单位有权终止合同。</w:t>
      </w:r>
    </w:p>
    <w:p w14:paraId="080B162B">
      <w:pPr>
        <w:pStyle w:val="9"/>
        <w:spacing w:before="2" w:line="369" w:lineRule="auto"/>
        <w:ind w:left="2" w:right="70" w:firstLine="419"/>
        <w:rPr>
          <w:sz w:val="20"/>
          <w:szCs w:val="20"/>
        </w:rPr>
      </w:pPr>
      <w:r>
        <w:rPr>
          <w:spacing w:val="9"/>
          <w:sz w:val="20"/>
          <w:szCs w:val="20"/>
        </w:rPr>
        <w:t>⑹中标人不得泄露采购单位的秘密。泄密造成采购单位损失的，中标人将承担由此产生的一切损失和</w:t>
      </w:r>
      <w:r>
        <w:rPr>
          <w:spacing w:val="5"/>
          <w:sz w:val="20"/>
          <w:szCs w:val="20"/>
        </w:rPr>
        <w:t>法律责任。</w:t>
      </w:r>
    </w:p>
    <w:p w14:paraId="59883379">
      <w:pPr>
        <w:pStyle w:val="9"/>
        <w:spacing w:line="369" w:lineRule="auto"/>
        <w:ind w:right="70" w:firstLine="436"/>
        <w:rPr>
          <w:sz w:val="20"/>
          <w:szCs w:val="20"/>
        </w:rPr>
      </w:pPr>
      <w:r>
        <w:rPr>
          <w:spacing w:val="9"/>
          <w:sz w:val="20"/>
          <w:szCs w:val="20"/>
        </w:rPr>
        <w:t>11、在合同有效期内，因自然灾害或不可抗力事件无法履行合同的行</w:t>
      </w:r>
      <w:r>
        <w:rPr>
          <w:spacing w:val="8"/>
          <w:sz w:val="20"/>
          <w:szCs w:val="20"/>
        </w:rPr>
        <w:t>为不作为违约情形，双方均无责</w:t>
      </w:r>
      <w:r>
        <w:rPr>
          <w:sz w:val="20"/>
          <w:szCs w:val="20"/>
        </w:rPr>
        <w:t>任。</w:t>
      </w:r>
    </w:p>
    <w:p w14:paraId="6F30623A">
      <w:pPr>
        <w:pStyle w:val="9"/>
        <w:spacing w:before="98" w:line="221" w:lineRule="auto"/>
        <w:ind w:left="12"/>
        <w:outlineLvl w:val="2"/>
      </w:pPr>
      <w:r>
        <w:rPr>
          <w:b/>
          <w:bCs/>
          <w:spacing w:val="-4"/>
        </w:rPr>
        <w:t>（六）安全质量要求</w:t>
      </w:r>
    </w:p>
    <w:p w14:paraId="3543EF54">
      <w:pPr>
        <w:pStyle w:val="9"/>
        <w:spacing w:before="166" w:line="369" w:lineRule="auto"/>
        <w:ind w:left="2" w:right="152" w:firstLine="434"/>
        <w:rPr>
          <w:sz w:val="20"/>
          <w:szCs w:val="20"/>
        </w:rPr>
      </w:pPr>
      <w:r>
        <w:rPr>
          <w:spacing w:val="9"/>
          <w:sz w:val="20"/>
          <w:szCs w:val="20"/>
        </w:rPr>
        <w:t>1、中标人应充分理解并认真遵循本招标文件的要求。所提供的货物必须满足招标文件要求，并可追溯，检验合格、无毒、无害、无辐射、无侵权，符合国家有关卫生、质量、包装和保质标准。</w:t>
      </w:r>
    </w:p>
    <w:p w14:paraId="02E36410">
      <w:pPr>
        <w:pStyle w:val="9"/>
        <w:spacing w:before="2" w:line="369" w:lineRule="auto"/>
        <w:ind w:left="1" w:right="70" w:firstLine="422"/>
        <w:rPr>
          <w:sz w:val="20"/>
          <w:szCs w:val="20"/>
        </w:rPr>
      </w:pPr>
      <w:r>
        <w:rPr>
          <w:spacing w:val="9"/>
          <w:sz w:val="20"/>
          <w:szCs w:val="20"/>
        </w:rPr>
        <w:t>2 、依据产品质量监督检验所提供的质量标准，供应商提供的产品每批次货物应交存货物质量产品质</w:t>
      </w:r>
      <w:r>
        <w:rPr>
          <w:spacing w:val="8"/>
          <w:sz w:val="20"/>
          <w:szCs w:val="20"/>
        </w:rPr>
        <w:t>量检测合格报告复印件。</w:t>
      </w:r>
    </w:p>
    <w:p w14:paraId="5482FF70">
      <w:pPr>
        <w:pStyle w:val="9"/>
        <w:spacing w:before="1" w:line="369" w:lineRule="auto"/>
        <w:ind w:right="70" w:firstLine="425"/>
        <w:rPr>
          <w:sz w:val="20"/>
          <w:szCs w:val="20"/>
        </w:rPr>
      </w:pPr>
      <w:r>
        <w:rPr>
          <w:spacing w:val="10"/>
          <w:sz w:val="20"/>
          <w:szCs w:val="20"/>
        </w:rPr>
        <w:t>3、中标人应严格遵守《食品安全法》等相关规定，所</w:t>
      </w:r>
      <w:r>
        <w:rPr>
          <w:spacing w:val="9"/>
          <w:sz w:val="20"/>
          <w:szCs w:val="20"/>
        </w:rPr>
        <w:t>提供的产品是合格安全的产品，一经发现供应以下食品，采购方除全部退货外，将取消中标人的供货资格，中标人并承担由此造成的经济责任和法律责</w:t>
      </w:r>
      <w:r>
        <w:rPr>
          <w:sz w:val="20"/>
          <w:szCs w:val="20"/>
        </w:rPr>
        <w:t>任。</w:t>
      </w:r>
    </w:p>
    <w:p w14:paraId="59D1B427">
      <w:pPr>
        <w:pStyle w:val="9"/>
        <w:spacing w:before="1" w:line="369" w:lineRule="auto"/>
        <w:ind w:left="5" w:right="152" w:firstLine="452"/>
        <w:rPr>
          <w:sz w:val="20"/>
          <w:szCs w:val="20"/>
        </w:rPr>
      </w:pPr>
      <w:r>
        <w:rPr>
          <w:spacing w:val="9"/>
          <w:sz w:val="20"/>
          <w:szCs w:val="20"/>
        </w:rPr>
        <w:t>(1)腐败变质、油脂酸败、霉变、生虫、污秽不洁、混有异物</w:t>
      </w:r>
      <w:r>
        <w:rPr>
          <w:spacing w:val="8"/>
          <w:sz w:val="20"/>
          <w:szCs w:val="20"/>
        </w:rPr>
        <w:t>或者其他感官性状异常，对人体健康有</w:t>
      </w:r>
      <w:r>
        <w:rPr>
          <w:spacing w:val="1"/>
          <w:sz w:val="20"/>
          <w:szCs w:val="20"/>
        </w:rPr>
        <w:t>害的；</w:t>
      </w:r>
    </w:p>
    <w:p w14:paraId="7A9933B1">
      <w:pPr>
        <w:pStyle w:val="9"/>
        <w:spacing w:before="41" w:line="228" w:lineRule="auto"/>
        <w:ind w:left="457"/>
        <w:rPr>
          <w:sz w:val="20"/>
          <w:szCs w:val="20"/>
        </w:rPr>
      </w:pPr>
      <w:r>
        <w:rPr>
          <w:spacing w:val="7"/>
          <w:sz w:val="20"/>
          <w:szCs w:val="20"/>
        </w:rPr>
        <w:t>(2)含有毒、有害物质或者被有害物质污染，对人体健康有害的；</w:t>
      </w:r>
    </w:p>
    <w:p w14:paraId="5974A86A">
      <w:pPr>
        <w:pStyle w:val="9"/>
        <w:spacing w:before="153" w:line="228" w:lineRule="auto"/>
        <w:ind w:left="457"/>
        <w:rPr>
          <w:sz w:val="20"/>
          <w:szCs w:val="20"/>
        </w:rPr>
      </w:pPr>
      <w:r>
        <w:rPr>
          <w:spacing w:val="8"/>
          <w:sz w:val="20"/>
          <w:szCs w:val="20"/>
        </w:rPr>
        <w:t>(3)含有致病性寄生虫、微生物或者微生物含量超过</w:t>
      </w:r>
      <w:r>
        <w:rPr>
          <w:spacing w:val="7"/>
          <w:sz w:val="20"/>
          <w:szCs w:val="20"/>
        </w:rPr>
        <w:t>国家限定标准的；</w:t>
      </w:r>
    </w:p>
    <w:p w14:paraId="374828B6">
      <w:pPr>
        <w:pStyle w:val="9"/>
        <w:spacing w:before="154" w:line="227" w:lineRule="auto"/>
        <w:ind w:left="457"/>
        <w:rPr>
          <w:sz w:val="20"/>
          <w:szCs w:val="20"/>
        </w:rPr>
      </w:pPr>
      <w:r>
        <w:rPr>
          <w:spacing w:val="6"/>
          <w:sz w:val="20"/>
          <w:szCs w:val="20"/>
        </w:rPr>
        <w:t>(4)掺假、掺杂、伪造，影响营养、卫生的；</w:t>
      </w:r>
    </w:p>
    <w:p w14:paraId="4D020038">
      <w:pPr>
        <w:pStyle w:val="9"/>
        <w:spacing w:before="152" w:line="228" w:lineRule="auto"/>
        <w:ind w:left="457"/>
        <w:rPr>
          <w:sz w:val="20"/>
          <w:szCs w:val="20"/>
        </w:rPr>
      </w:pPr>
      <w:r>
        <w:rPr>
          <w:spacing w:val="8"/>
          <w:sz w:val="20"/>
          <w:szCs w:val="20"/>
        </w:rPr>
        <w:t>(5)用非食品原料加工的，加入非食品用化学物质或者将非食品当作食品的；</w:t>
      </w:r>
    </w:p>
    <w:p w14:paraId="1B6FEA70">
      <w:pPr>
        <w:pStyle w:val="9"/>
        <w:spacing w:before="154" w:line="228" w:lineRule="auto"/>
        <w:ind w:left="457"/>
        <w:rPr>
          <w:sz w:val="20"/>
          <w:szCs w:val="20"/>
        </w:rPr>
      </w:pPr>
      <w:r>
        <w:rPr>
          <w:spacing w:val="3"/>
          <w:sz w:val="20"/>
          <w:szCs w:val="20"/>
        </w:rPr>
        <w:t>(6)超过保质期限的。</w:t>
      </w:r>
    </w:p>
    <w:p w14:paraId="63293170">
      <w:pPr>
        <w:pStyle w:val="9"/>
        <w:spacing w:before="152" w:line="369" w:lineRule="auto"/>
        <w:ind w:left="3" w:right="203" w:firstLine="416"/>
        <w:rPr>
          <w:sz w:val="20"/>
          <w:szCs w:val="20"/>
        </w:rPr>
      </w:pPr>
      <w:r>
        <w:rPr>
          <w:spacing w:val="9"/>
          <w:sz w:val="20"/>
          <w:szCs w:val="20"/>
        </w:rPr>
        <w:t>4、中标人在签订合同后一个月内必须到自治区食</w:t>
      </w:r>
      <w:r>
        <w:rPr>
          <w:spacing w:val="8"/>
          <w:sz w:val="20"/>
          <w:szCs w:val="20"/>
        </w:rPr>
        <w:t>品药品监督管理局指定中标的保险公司进行投保，</w:t>
      </w:r>
      <w:r>
        <w:rPr>
          <w:spacing w:val="9"/>
          <w:sz w:val="20"/>
          <w:szCs w:val="20"/>
        </w:rPr>
        <w:t>投保险种为食品安全责任保险，否则采购单位有权终止合同。</w:t>
      </w:r>
    </w:p>
    <w:p w14:paraId="59A2A17C">
      <w:pPr>
        <w:pStyle w:val="9"/>
        <w:spacing w:before="100" w:line="220" w:lineRule="auto"/>
        <w:ind w:left="11"/>
        <w:outlineLvl w:val="2"/>
      </w:pPr>
      <w:r>
        <w:rPr>
          <w:b/>
          <w:bCs/>
          <w:spacing w:val="-5"/>
        </w:rPr>
        <w:t>（七）物料的验收</w:t>
      </w:r>
    </w:p>
    <w:p w14:paraId="225EBC9E">
      <w:pPr>
        <w:pStyle w:val="9"/>
        <w:spacing w:before="168" w:line="369" w:lineRule="auto"/>
        <w:ind w:right="70" w:firstLine="420"/>
        <w:jc w:val="both"/>
        <w:rPr>
          <w:sz w:val="20"/>
          <w:szCs w:val="20"/>
        </w:rPr>
      </w:pPr>
      <w:r>
        <w:rPr>
          <w:spacing w:val="9"/>
          <w:sz w:val="20"/>
          <w:szCs w:val="20"/>
        </w:rPr>
        <w:t>物料的验收工作由采购方和供应商共同进行。供应商提供的产品须经过验收人员的感官检验、外观检验和试用检验，若产品外观、包装、形式不符合要求、感官检验不能达到食品卫生要求，当即拒收；供应商不能满足食品的质量及售后服务要求时，采购方有权进行处罚或终止合同。</w:t>
      </w:r>
    </w:p>
    <w:p w14:paraId="0B38E2AD">
      <w:pPr>
        <w:pStyle w:val="9"/>
        <w:spacing w:before="2" w:line="369" w:lineRule="auto"/>
        <w:ind w:left="4" w:right="70" w:firstLine="415"/>
        <w:jc w:val="both"/>
        <w:rPr>
          <w:sz w:val="20"/>
          <w:szCs w:val="20"/>
        </w:rPr>
      </w:pPr>
      <w:r>
        <w:rPr>
          <w:spacing w:val="9"/>
          <w:sz w:val="20"/>
          <w:szCs w:val="20"/>
        </w:rPr>
        <w:t>验收工作的一般程序为：根据货物请购清单的具体要求，对所购物料进行清点、外观检查以及对物料的各项指标和性能进行实测，并逐项记录。检验结束后，验收人员在验收单上签字。对未能通过验收的，</w:t>
      </w:r>
      <w:r>
        <w:rPr>
          <w:spacing w:val="8"/>
          <w:sz w:val="20"/>
          <w:szCs w:val="20"/>
        </w:rPr>
        <w:t>一律退货、更换直至验收合格。</w:t>
      </w:r>
    </w:p>
    <w:p w14:paraId="43C75FA5">
      <w:pPr>
        <w:pStyle w:val="9"/>
        <w:spacing w:before="98" w:line="219" w:lineRule="auto"/>
        <w:ind w:left="11"/>
        <w:outlineLvl w:val="2"/>
      </w:pPr>
      <w:r>
        <w:rPr>
          <w:b/>
          <w:bCs/>
          <w:spacing w:val="-4"/>
        </w:rPr>
        <w:t>（八）供应商人员要求</w:t>
      </w:r>
    </w:p>
    <w:p w14:paraId="1F6C9770">
      <w:pPr>
        <w:pStyle w:val="9"/>
        <w:spacing w:before="168" w:line="227" w:lineRule="auto"/>
        <w:ind w:left="425"/>
        <w:rPr>
          <w:sz w:val="20"/>
          <w:szCs w:val="20"/>
        </w:rPr>
      </w:pPr>
      <w:r>
        <w:rPr>
          <w:spacing w:val="8"/>
          <w:sz w:val="20"/>
          <w:szCs w:val="20"/>
        </w:rPr>
        <w:t>具体详见采购需求中的供应商的准入条件。</w:t>
      </w:r>
    </w:p>
    <w:p w14:paraId="700A1E5B">
      <w:pPr>
        <w:pStyle w:val="9"/>
        <w:spacing w:before="255" w:line="219" w:lineRule="auto"/>
        <w:ind w:left="11"/>
        <w:outlineLvl w:val="2"/>
      </w:pPr>
      <w:r>
        <w:rPr>
          <w:b/>
          <w:bCs/>
          <w:spacing w:val="-5"/>
        </w:rPr>
        <w:t>（九）供货周期</w:t>
      </w:r>
    </w:p>
    <w:p w14:paraId="15D5C45F">
      <w:pPr>
        <w:pStyle w:val="9"/>
        <w:spacing w:before="168" w:line="228" w:lineRule="auto"/>
        <w:ind w:left="455"/>
        <w:rPr>
          <w:sz w:val="20"/>
          <w:szCs w:val="20"/>
        </w:rPr>
      </w:pPr>
      <w:r>
        <w:rPr>
          <w:spacing w:val="7"/>
          <w:sz w:val="20"/>
          <w:szCs w:val="20"/>
        </w:rPr>
        <w:t>自签订合同之日起</w:t>
      </w:r>
      <w:r>
        <w:rPr>
          <w:rFonts w:hint="eastAsia"/>
          <w:spacing w:val="7"/>
          <w:sz w:val="20"/>
          <w:szCs w:val="20"/>
          <w:highlight w:val="none"/>
          <w:lang w:val="en-US" w:eastAsia="zh-CN"/>
        </w:rPr>
        <w:t>壹年</w:t>
      </w:r>
      <w:r>
        <w:rPr>
          <w:spacing w:val="7"/>
          <w:sz w:val="20"/>
          <w:szCs w:val="20"/>
        </w:rPr>
        <w:t>（具体起止时间以签订合同为准）。</w:t>
      </w:r>
    </w:p>
    <w:p w14:paraId="79DAD7A0">
      <w:pPr>
        <w:pStyle w:val="9"/>
        <w:spacing w:before="251" w:line="219" w:lineRule="auto"/>
        <w:ind w:left="11"/>
        <w:outlineLvl w:val="2"/>
      </w:pPr>
      <w:r>
        <w:rPr>
          <w:b/>
          <w:bCs/>
          <w:spacing w:val="-4"/>
        </w:rPr>
        <w:t>（十）考察、监督办法与退出机制：</w:t>
      </w:r>
    </w:p>
    <w:p w14:paraId="7491D990">
      <w:pPr>
        <w:pStyle w:val="9"/>
        <w:spacing w:before="59" w:line="377" w:lineRule="auto"/>
        <w:ind w:left="2" w:right="70" w:firstLine="433"/>
        <w:rPr>
          <w:sz w:val="20"/>
          <w:szCs w:val="20"/>
        </w:rPr>
      </w:pPr>
      <w:r>
        <w:rPr>
          <w:spacing w:val="9"/>
          <w:sz w:val="20"/>
          <w:szCs w:val="20"/>
        </w:rPr>
        <w:t>1、考察：为保证项目质量，签订合同前，预中标供应商须随时接受学校代表到其经营或相关场所及准入条件等相关招标采购文件要求进行现场考察。若该供应商在投标文件中提供的上述材料与实际情况不符的，采购人有权认为该供应商虚假应标，取消其中标决定，由下一中标候选人递补。</w:t>
      </w:r>
    </w:p>
    <w:p w14:paraId="62EAEE33">
      <w:pPr>
        <w:pStyle w:val="9"/>
        <w:spacing w:before="1" w:line="377" w:lineRule="auto"/>
        <w:ind w:firstLine="422"/>
        <w:rPr>
          <w:sz w:val="20"/>
          <w:szCs w:val="20"/>
        </w:rPr>
      </w:pPr>
      <w:r>
        <w:rPr>
          <w:spacing w:val="8"/>
          <w:sz w:val="20"/>
          <w:szCs w:val="20"/>
        </w:rPr>
        <w:t>2、监督办法：定期进行供应商供货测评，每月由教育后勤服务中心和学校代表对供应商的食材质量、</w:t>
      </w:r>
      <w:r>
        <w:rPr>
          <w:spacing w:val="9"/>
          <w:sz w:val="20"/>
          <w:szCs w:val="20"/>
        </w:rPr>
        <w:t>服务态度及价格等因素进行测评，对合格率低于</w:t>
      </w:r>
      <w:r>
        <w:rPr>
          <w:spacing w:val="-35"/>
          <w:sz w:val="20"/>
          <w:szCs w:val="20"/>
        </w:rPr>
        <w:t xml:space="preserve"> </w:t>
      </w:r>
      <w:r>
        <w:rPr>
          <w:spacing w:val="9"/>
          <w:sz w:val="20"/>
          <w:szCs w:val="20"/>
        </w:rPr>
        <w:t>90%的供应商</w:t>
      </w:r>
      <w:r>
        <w:rPr>
          <w:spacing w:val="8"/>
          <w:sz w:val="20"/>
          <w:szCs w:val="20"/>
        </w:rPr>
        <w:t>进行约谈整改，合格率低于</w:t>
      </w:r>
      <w:r>
        <w:rPr>
          <w:spacing w:val="-32"/>
          <w:sz w:val="20"/>
          <w:szCs w:val="20"/>
        </w:rPr>
        <w:t xml:space="preserve"> </w:t>
      </w:r>
      <w:r>
        <w:rPr>
          <w:spacing w:val="8"/>
          <w:sz w:val="20"/>
          <w:szCs w:val="20"/>
        </w:rPr>
        <w:t>70%的供应商暂停供货一个月，合格率低于</w:t>
      </w:r>
      <w:r>
        <w:rPr>
          <w:spacing w:val="-30"/>
          <w:sz w:val="20"/>
          <w:szCs w:val="20"/>
        </w:rPr>
        <w:t xml:space="preserve"> </w:t>
      </w:r>
      <w:r>
        <w:rPr>
          <w:spacing w:val="8"/>
          <w:sz w:val="20"/>
          <w:szCs w:val="20"/>
        </w:rPr>
        <w:t>60%的供应商终止其供货合同。</w:t>
      </w:r>
    </w:p>
    <w:p w14:paraId="30712A2D">
      <w:pPr>
        <w:pStyle w:val="9"/>
        <w:spacing w:before="2" w:line="377" w:lineRule="auto"/>
        <w:ind w:right="18" w:firstLine="424"/>
      </w:pPr>
      <w:r>
        <w:rPr>
          <w:spacing w:val="9"/>
          <w:sz w:val="20"/>
          <w:szCs w:val="20"/>
        </w:rPr>
        <w:t>3、退出机制：供应商在国务院互联网</w:t>
      </w:r>
      <w:r>
        <w:rPr>
          <w:rFonts w:ascii="Times New Roman" w:hAnsi="Times New Roman" w:eastAsia="Times New Roman" w:cs="Times New Roman"/>
          <w:spacing w:val="9"/>
          <w:sz w:val="20"/>
          <w:szCs w:val="20"/>
        </w:rPr>
        <w:t>+</w:t>
      </w:r>
      <w:r>
        <w:rPr>
          <w:spacing w:val="9"/>
          <w:sz w:val="20"/>
          <w:szCs w:val="20"/>
        </w:rPr>
        <w:t>督查平台被投诉举报（核查属实）</w:t>
      </w:r>
      <w:r>
        <w:rPr>
          <w:rFonts w:ascii="Times New Roman" w:hAnsi="Times New Roman" w:eastAsia="Times New Roman" w:cs="Times New Roman"/>
          <w:spacing w:val="9"/>
          <w:sz w:val="20"/>
          <w:szCs w:val="20"/>
        </w:rPr>
        <w:t xml:space="preserve">1 </w:t>
      </w:r>
      <w:r>
        <w:rPr>
          <w:spacing w:val="9"/>
          <w:sz w:val="20"/>
          <w:szCs w:val="20"/>
        </w:rPr>
        <w:t>次的终止其供货合同；供</w:t>
      </w:r>
      <w:r>
        <w:rPr>
          <w:spacing w:val="6"/>
          <w:sz w:val="20"/>
          <w:szCs w:val="20"/>
        </w:rPr>
        <w:t>应商在</w:t>
      </w:r>
      <w:r>
        <w:rPr>
          <w:spacing w:val="-7"/>
          <w:sz w:val="20"/>
          <w:szCs w:val="20"/>
        </w:rPr>
        <w:t xml:space="preserve"> </w:t>
      </w:r>
      <w:r>
        <w:rPr>
          <w:rFonts w:ascii="Times New Roman" w:hAnsi="Times New Roman" w:eastAsia="Times New Roman" w:cs="Times New Roman"/>
          <w:spacing w:val="6"/>
          <w:sz w:val="20"/>
          <w:szCs w:val="20"/>
        </w:rPr>
        <w:t xml:space="preserve">12345 </w:t>
      </w:r>
      <w:r>
        <w:rPr>
          <w:spacing w:val="6"/>
          <w:sz w:val="20"/>
          <w:szCs w:val="20"/>
        </w:rPr>
        <w:t>政务服务便民热线平台被投诉举报（核查属实）</w:t>
      </w:r>
      <w:r>
        <w:rPr>
          <w:rFonts w:ascii="Times New Roman" w:hAnsi="Times New Roman" w:eastAsia="Times New Roman" w:cs="Times New Roman"/>
          <w:spacing w:val="6"/>
          <w:sz w:val="20"/>
          <w:szCs w:val="20"/>
        </w:rPr>
        <w:t>1</w:t>
      </w:r>
      <w:r>
        <w:rPr>
          <w:rFonts w:ascii="Times New Roman" w:hAnsi="Times New Roman" w:eastAsia="Times New Roman" w:cs="Times New Roman"/>
          <w:spacing w:val="18"/>
          <w:w w:val="101"/>
          <w:sz w:val="20"/>
          <w:szCs w:val="20"/>
        </w:rPr>
        <w:t xml:space="preserve"> </w:t>
      </w:r>
      <w:r>
        <w:rPr>
          <w:spacing w:val="6"/>
          <w:sz w:val="20"/>
          <w:szCs w:val="20"/>
        </w:rPr>
        <w:t>次的进行约谈整改，</w:t>
      </w:r>
      <w:r>
        <w:rPr>
          <w:rFonts w:ascii="Times New Roman" w:hAnsi="Times New Roman" w:eastAsia="Times New Roman" w:cs="Times New Roman"/>
          <w:spacing w:val="6"/>
          <w:sz w:val="20"/>
          <w:szCs w:val="20"/>
        </w:rPr>
        <w:t>2</w:t>
      </w:r>
      <w:r>
        <w:rPr>
          <w:rFonts w:ascii="Times New Roman" w:hAnsi="Times New Roman" w:eastAsia="Times New Roman" w:cs="Times New Roman"/>
          <w:spacing w:val="17"/>
          <w:w w:val="101"/>
          <w:sz w:val="20"/>
          <w:szCs w:val="20"/>
        </w:rPr>
        <w:t xml:space="preserve"> </w:t>
      </w:r>
      <w:r>
        <w:rPr>
          <w:spacing w:val="6"/>
          <w:sz w:val="20"/>
          <w:szCs w:val="20"/>
        </w:rPr>
        <w:t>次停止供货一个月；</w:t>
      </w:r>
      <w:r>
        <w:rPr>
          <w:rFonts w:ascii="Times New Roman" w:hAnsi="Times New Roman" w:eastAsia="Times New Roman" w:cs="Times New Roman"/>
          <w:spacing w:val="8"/>
          <w:sz w:val="20"/>
          <w:szCs w:val="20"/>
        </w:rPr>
        <w:t>3</w:t>
      </w:r>
      <w:r>
        <w:rPr>
          <w:rFonts w:ascii="Times New Roman" w:hAnsi="Times New Roman" w:eastAsia="Times New Roman" w:cs="Times New Roman"/>
          <w:spacing w:val="17"/>
          <w:w w:val="101"/>
          <w:sz w:val="20"/>
          <w:szCs w:val="20"/>
        </w:rPr>
        <w:t xml:space="preserve"> </w:t>
      </w:r>
      <w:r>
        <w:rPr>
          <w:spacing w:val="8"/>
          <w:sz w:val="20"/>
          <w:szCs w:val="20"/>
        </w:rPr>
        <w:t>次的终止其供货合同；供应商被学校师生投</w:t>
      </w:r>
      <w:r>
        <w:rPr>
          <w:spacing w:val="7"/>
          <w:sz w:val="20"/>
          <w:szCs w:val="20"/>
        </w:rPr>
        <w:t>诉举报（核查属实）</w:t>
      </w:r>
      <w:r>
        <w:rPr>
          <w:rFonts w:ascii="Times New Roman" w:hAnsi="Times New Roman" w:eastAsia="Times New Roman" w:cs="Times New Roman"/>
          <w:spacing w:val="7"/>
          <w:sz w:val="20"/>
          <w:szCs w:val="20"/>
        </w:rPr>
        <w:t>1</w:t>
      </w:r>
      <w:r>
        <w:rPr>
          <w:rFonts w:ascii="Times New Roman" w:hAnsi="Times New Roman" w:eastAsia="Times New Roman" w:cs="Times New Roman"/>
          <w:spacing w:val="18"/>
          <w:sz w:val="20"/>
          <w:szCs w:val="20"/>
        </w:rPr>
        <w:t xml:space="preserve"> </w:t>
      </w:r>
      <w:r>
        <w:rPr>
          <w:spacing w:val="7"/>
          <w:sz w:val="20"/>
          <w:szCs w:val="20"/>
        </w:rPr>
        <w:t>次的进行提醒教育，</w:t>
      </w:r>
      <w:r>
        <w:rPr>
          <w:rFonts w:ascii="Times New Roman" w:hAnsi="Times New Roman" w:eastAsia="Times New Roman" w:cs="Times New Roman"/>
          <w:spacing w:val="7"/>
          <w:sz w:val="20"/>
          <w:szCs w:val="20"/>
        </w:rPr>
        <w:t>2</w:t>
      </w:r>
      <w:r>
        <w:rPr>
          <w:rFonts w:ascii="Times New Roman" w:hAnsi="Times New Roman" w:eastAsia="Times New Roman" w:cs="Times New Roman"/>
          <w:spacing w:val="17"/>
          <w:w w:val="101"/>
          <w:sz w:val="20"/>
          <w:szCs w:val="20"/>
        </w:rPr>
        <w:t xml:space="preserve"> </w:t>
      </w:r>
      <w:r>
        <w:rPr>
          <w:spacing w:val="7"/>
          <w:sz w:val="20"/>
          <w:szCs w:val="20"/>
        </w:rPr>
        <w:t>次的进行约谈，</w:t>
      </w:r>
      <w:r>
        <w:rPr>
          <w:sz w:val="20"/>
          <w:szCs w:val="20"/>
        </w:rPr>
        <w:t xml:space="preserve"> </w:t>
      </w:r>
      <w:r>
        <w:rPr>
          <w:rFonts w:ascii="Times New Roman" w:hAnsi="Times New Roman" w:eastAsia="Times New Roman" w:cs="Times New Roman"/>
          <w:spacing w:val="7"/>
          <w:sz w:val="20"/>
          <w:szCs w:val="20"/>
        </w:rPr>
        <w:t>3</w:t>
      </w:r>
      <w:r>
        <w:rPr>
          <w:rFonts w:ascii="Times New Roman" w:hAnsi="Times New Roman" w:eastAsia="Times New Roman" w:cs="Times New Roman"/>
          <w:spacing w:val="20"/>
          <w:sz w:val="20"/>
          <w:szCs w:val="20"/>
        </w:rPr>
        <w:t xml:space="preserve"> </w:t>
      </w:r>
      <w:r>
        <w:rPr>
          <w:spacing w:val="7"/>
          <w:sz w:val="20"/>
          <w:szCs w:val="20"/>
        </w:rPr>
        <w:t>次的停止供货一个月，</w:t>
      </w:r>
      <w:r>
        <w:rPr>
          <w:rFonts w:ascii="Times New Roman" w:hAnsi="Times New Roman" w:eastAsia="Times New Roman" w:cs="Times New Roman"/>
          <w:spacing w:val="7"/>
          <w:sz w:val="20"/>
          <w:szCs w:val="20"/>
        </w:rPr>
        <w:t>4</w:t>
      </w:r>
      <w:r>
        <w:rPr>
          <w:rFonts w:ascii="Times New Roman" w:hAnsi="Times New Roman" w:eastAsia="Times New Roman" w:cs="Times New Roman"/>
          <w:spacing w:val="17"/>
          <w:w w:val="101"/>
          <w:sz w:val="20"/>
          <w:szCs w:val="20"/>
        </w:rPr>
        <w:t xml:space="preserve"> </w:t>
      </w:r>
      <w:r>
        <w:rPr>
          <w:spacing w:val="7"/>
          <w:sz w:val="20"/>
          <w:szCs w:val="20"/>
        </w:rPr>
        <w:t>次的终止供货合同。</w:t>
      </w:r>
    </w:p>
    <w:p w14:paraId="40869E27">
      <w:pPr>
        <w:rPr>
          <w:rFonts w:ascii="黑体" w:hAnsi="黑体" w:eastAsia="黑体" w:cs="黑体"/>
          <w:color w:val="auto"/>
          <w:sz w:val="32"/>
          <w:szCs w:val="32"/>
          <w:highlight w:val="none"/>
        </w:rPr>
      </w:pPr>
      <w:r>
        <w:rPr>
          <w:rFonts w:hint="eastAsia" w:ascii="宋体" w:hAnsi="宋体" w:cs="宋体"/>
          <w:color w:val="auto"/>
          <w:szCs w:val="21"/>
          <w:highlight w:val="none"/>
        </w:rPr>
        <w:br w:type="page"/>
      </w:r>
      <w:r>
        <w:rPr>
          <w:rFonts w:hint="eastAsia" w:ascii="黑体" w:hAnsi="黑体" w:eastAsia="黑体" w:cs="黑体"/>
          <w:color w:val="auto"/>
          <w:sz w:val="24"/>
          <w:highlight w:val="none"/>
        </w:rPr>
        <w:t>附件3</w:t>
      </w:r>
    </w:p>
    <w:p w14:paraId="226FFF9B">
      <w:pPr>
        <w:pStyle w:val="9"/>
        <w:jc w:val="center"/>
        <w:rPr>
          <w:rFonts w:hint="eastAsia"/>
          <w:b/>
          <w:color w:val="auto"/>
          <w:sz w:val="28"/>
          <w:szCs w:val="28"/>
          <w:highlight w:val="none"/>
        </w:rPr>
      </w:pPr>
      <w:r>
        <w:rPr>
          <w:rFonts w:hint="eastAsia"/>
          <w:b/>
          <w:color w:val="auto"/>
          <w:sz w:val="28"/>
          <w:szCs w:val="28"/>
          <w:highlight w:val="none"/>
        </w:rPr>
        <w:t>中小企业划型标准规定</w:t>
      </w:r>
    </w:p>
    <w:tbl>
      <w:tblPr>
        <w:tblStyle w:val="21"/>
        <w:tblW w:w="992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18"/>
        <w:gridCol w:w="1718"/>
        <w:gridCol w:w="1132"/>
        <w:gridCol w:w="2012"/>
        <w:gridCol w:w="1788"/>
        <w:gridCol w:w="1153"/>
      </w:tblGrid>
      <w:tr w14:paraId="39A75F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2118" w:type="dxa"/>
            <w:noWrap w:val="0"/>
            <w:vAlign w:val="top"/>
          </w:tcPr>
          <w:p w14:paraId="17891B35">
            <w:pPr>
              <w:pStyle w:val="9"/>
              <w:ind w:firstLine="420"/>
              <w:rPr>
                <w:rFonts w:hint="eastAsia" w:ascii="宋体" w:hAnsi="宋体"/>
                <w:color w:val="auto"/>
                <w:szCs w:val="21"/>
                <w:highlight w:val="none"/>
              </w:rPr>
            </w:pPr>
          </w:p>
          <w:p w14:paraId="457D400C">
            <w:pPr>
              <w:pStyle w:val="9"/>
              <w:ind w:firstLine="420"/>
              <w:rPr>
                <w:rFonts w:hint="eastAsia" w:ascii="宋体" w:hAnsi="宋体"/>
                <w:color w:val="auto"/>
                <w:szCs w:val="21"/>
                <w:highlight w:val="none"/>
              </w:rPr>
            </w:pPr>
          </w:p>
          <w:p w14:paraId="191B2AA8">
            <w:pPr>
              <w:pStyle w:val="9"/>
              <w:ind w:firstLine="420"/>
              <w:rPr>
                <w:rFonts w:hint="eastAsia" w:ascii="宋体" w:hAnsi="宋体"/>
                <w:color w:val="auto"/>
                <w:szCs w:val="21"/>
                <w:highlight w:val="none"/>
              </w:rPr>
            </w:pPr>
          </w:p>
          <w:p w14:paraId="01A37503">
            <w:pPr>
              <w:pStyle w:val="9"/>
              <w:ind w:firstLine="420"/>
              <w:rPr>
                <w:rFonts w:hint="eastAsia" w:ascii="宋体" w:hAnsi="宋体"/>
                <w:color w:val="auto"/>
                <w:szCs w:val="21"/>
                <w:highlight w:val="none"/>
              </w:rPr>
            </w:pPr>
            <w:r>
              <w:rPr>
                <w:rFonts w:hint="eastAsia" w:ascii="宋体" w:hAnsi="宋体"/>
                <w:color w:val="auto"/>
                <w:szCs w:val="21"/>
                <w:highlight w:val="none"/>
              </w:rPr>
              <w:t>行业名称</w:t>
            </w:r>
          </w:p>
        </w:tc>
        <w:tc>
          <w:tcPr>
            <w:tcW w:w="1718" w:type="dxa"/>
            <w:noWrap w:val="0"/>
            <w:vAlign w:val="top"/>
          </w:tcPr>
          <w:p w14:paraId="0E007097">
            <w:pPr>
              <w:pStyle w:val="9"/>
              <w:ind w:firstLine="420"/>
              <w:rPr>
                <w:rFonts w:hint="eastAsia" w:ascii="宋体" w:hAnsi="宋体"/>
                <w:color w:val="auto"/>
                <w:szCs w:val="21"/>
                <w:highlight w:val="none"/>
              </w:rPr>
            </w:pPr>
            <w:r>
              <w:rPr>
                <w:rFonts w:hint="eastAsia" w:ascii="宋体" w:hAnsi="宋体"/>
                <w:color w:val="auto"/>
                <w:szCs w:val="21"/>
                <w:highlight w:val="none"/>
              </w:rPr>
              <w:t>指标名称</w:t>
            </w:r>
          </w:p>
        </w:tc>
        <w:tc>
          <w:tcPr>
            <w:tcW w:w="1132" w:type="dxa"/>
            <w:noWrap w:val="0"/>
            <w:vAlign w:val="top"/>
          </w:tcPr>
          <w:p w14:paraId="3E7109C6">
            <w:pPr>
              <w:pStyle w:val="9"/>
              <w:ind w:firstLine="420"/>
              <w:rPr>
                <w:rFonts w:hint="eastAsia" w:ascii="宋体" w:hAnsi="宋体"/>
                <w:color w:val="auto"/>
                <w:szCs w:val="21"/>
                <w:highlight w:val="none"/>
              </w:rPr>
            </w:pPr>
            <w:r>
              <w:rPr>
                <w:rFonts w:hint="eastAsia" w:ascii="宋体" w:hAnsi="宋体"/>
                <w:color w:val="auto"/>
                <w:szCs w:val="21"/>
                <w:highlight w:val="none"/>
              </w:rPr>
              <w:t>计量单位</w:t>
            </w:r>
          </w:p>
        </w:tc>
        <w:tc>
          <w:tcPr>
            <w:tcW w:w="2012" w:type="dxa"/>
            <w:noWrap w:val="0"/>
            <w:vAlign w:val="top"/>
          </w:tcPr>
          <w:p w14:paraId="687E0971">
            <w:pPr>
              <w:pStyle w:val="9"/>
              <w:ind w:firstLine="420"/>
              <w:rPr>
                <w:rFonts w:hint="eastAsia" w:ascii="宋体" w:hAnsi="宋体"/>
                <w:color w:val="auto"/>
                <w:szCs w:val="21"/>
                <w:highlight w:val="none"/>
              </w:rPr>
            </w:pPr>
            <w:r>
              <w:rPr>
                <w:rFonts w:hint="eastAsia" w:ascii="宋体" w:hAnsi="宋体"/>
                <w:color w:val="auto"/>
                <w:szCs w:val="21"/>
                <w:highlight w:val="none"/>
              </w:rPr>
              <w:t>中型</w:t>
            </w:r>
          </w:p>
        </w:tc>
        <w:tc>
          <w:tcPr>
            <w:tcW w:w="1788" w:type="dxa"/>
            <w:noWrap w:val="0"/>
            <w:vAlign w:val="top"/>
          </w:tcPr>
          <w:p w14:paraId="07F69E96">
            <w:pPr>
              <w:pStyle w:val="9"/>
              <w:ind w:firstLine="420"/>
              <w:rPr>
                <w:rFonts w:hint="eastAsia" w:ascii="宋体" w:hAnsi="宋体"/>
                <w:color w:val="auto"/>
                <w:szCs w:val="21"/>
                <w:highlight w:val="none"/>
              </w:rPr>
            </w:pPr>
            <w:r>
              <w:rPr>
                <w:rFonts w:hint="eastAsia" w:ascii="宋体" w:hAnsi="宋体"/>
                <w:color w:val="auto"/>
                <w:szCs w:val="21"/>
                <w:highlight w:val="none"/>
              </w:rPr>
              <w:t>小型</w:t>
            </w:r>
          </w:p>
        </w:tc>
        <w:tc>
          <w:tcPr>
            <w:tcW w:w="1153" w:type="dxa"/>
            <w:noWrap w:val="0"/>
            <w:vAlign w:val="top"/>
          </w:tcPr>
          <w:p w14:paraId="1F523BB7">
            <w:pPr>
              <w:pStyle w:val="9"/>
              <w:ind w:firstLine="420"/>
              <w:rPr>
                <w:rFonts w:hint="eastAsia" w:ascii="宋体" w:hAnsi="宋体"/>
                <w:color w:val="auto"/>
                <w:szCs w:val="21"/>
                <w:highlight w:val="none"/>
              </w:rPr>
            </w:pPr>
            <w:r>
              <w:rPr>
                <w:rFonts w:hint="eastAsia" w:ascii="宋体" w:hAnsi="宋体"/>
                <w:color w:val="auto"/>
                <w:szCs w:val="21"/>
                <w:highlight w:val="none"/>
              </w:rPr>
              <w:t>微型</w:t>
            </w:r>
          </w:p>
        </w:tc>
      </w:tr>
      <w:tr w14:paraId="12931D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118" w:type="dxa"/>
            <w:noWrap w:val="0"/>
            <w:vAlign w:val="top"/>
          </w:tcPr>
          <w:p w14:paraId="4C5C8EFC">
            <w:pPr>
              <w:pStyle w:val="9"/>
              <w:ind w:firstLine="420"/>
              <w:rPr>
                <w:rFonts w:hint="eastAsia" w:ascii="宋体" w:hAnsi="宋体"/>
                <w:color w:val="auto"/>
                <w:szCs w:val="21"/>
                <w:highlight w:val="none"/>
              </w:rPr>
            </w:pPr>
            <w:r>
              <w:rPr>
                <w:rFonts w:hint="eastAsia" w:ascii="宋体" w:hAnsi="宋体"/>
                <w:color w:val="auto"/>
                <w:szCs w:val="21"/>
                <w:highlight w:val="none"/>
              </w:rPr>
              <w:t>农、林、牧、渔</w:t>
            </w:r>
          </w:p>
        </w:tc>
        <w:tc>
          <w:tcPr>
            <w:tcW w:w="1718" w:type="dxa"/>
            <w:noWrap w:val="0"/>
            <w:vAlign w:val="top"/>
          </w:tcPr>
          <w:p w14:paraId="5BF7473A">
            <w:pPr>
              <w:pStyle w:val="9"/>
              <w:ind w:firstLine="420"/>
              <w:rPr>
                <w:rFonts w:hint="eastAsia" w:ascii="宋体" w:hAnsi="宋体"/>
                <w:color w:val="auto"/>
                <w:szCs w:val="21"/>
                <w:highlight w:val="none"/>
              </w:rPr>
            </w:pPr>
            <w:r>
              <w:rPr>
                <w:rFonts w:hint="eastAsia" w:ascii="宋体" w:hAnsi="宋体"/>
                <w:color w:val="auto"/>
                <w:szCs w:val="21"/>
                <w:highlight w:val="none"/>
              </w:rPr>
              <w:t>营业收入（Y）</w:t>
            </w:r>
          </w:p>
        </w:tc>
        <w:tc>
          <w:tcPr>
            <w:tcW w:w="1132" w:type="dxa"/>
            <w:noWrap w:val="0"/>
            <w:vAlign w:val="top"/>
          </w:tcPr>
          <w:p w14:paraId="10BE1AD5">
            <w:pPr>
              <w:pStyle w:val="9"/>
              <w:ind w:firstLine="420"/>
              <w:rPr>
                <w:rFonts w:hint="eastAsia" w:ascii="宋体" w:hAnsi="宋体"/>
                <w:color w:val="auto"/>
                <w:szCs w:val="21"/>
                <w:highlight w:val="none"/>
              </w:rPr>
            </w:pPr>
            <w:r>
              <w:rPr>
                <w:rFonts w:hint="eastAsia" w:ascii="宋体" w:hAnsi="宋体"/>
                <w:color w:val="auto"/>
                <w:szCs w:val="21"/>
                <w:highlight w:val="none"/>
              </w:rPr>
              <w:t>万元</w:t>
            </w:r>
          </w:p>
        </w:tc>
        <w:tc>
          <w:tcPr>
            <w:tcW w:w="2012" w:type="dxa"/>
            <w:noWrap w:val="0"/>
            <w:vAlign w:val="top"/>
          </w:tcPr>
          <w:p w14:paraId="1EA54760">
            <w:pPr>
              <w:pStyle w:val="9"/>
              <w:ind w:firstLine="420"/>
              <w:rPr>
                <w:rFonts w:hint="eastAsia" w:ascii="宋体" w:hAnsi="宋体"/>
                <w:color w:val="auto"/>
                <w:szCs w:val="21"/>
                <w:highlight w:val="none"/>
              </w:rPr>
            </w:pPr>
            <w:r>
              <w:rPr>
                <w:rFonts w:hint="eastAsia" w:ascii="宋体" w:hAnsi="宋体"/>
                <w:color w:val="auto"/>
                <w:szCs w:val="21"/>
                <w:highlight w:val="none"/>
              </w:rPr>
              <w:t>500≤Y＜20000</w:t>
            </w:r>
          </w:p>
        </w:tc>
        <w:tc>
          <w:tcPr>
            <w:tcW w:w="1788" w:type="dxa"/>
            <w:noWrap w:val="0"/>
            <w:vAlign w:val="top"/>
          </w:tcPr>
          <w:p w14:paraId="17F24CFD">
            <w:pPr>
              <w:pStyle w:val="9"/>
              <w:ind w:firstLine="420"/>
              <w:rPr>
                <w:rFonts w:hint="eastAsia" w:ascii="宋体" w:hAnsi="宋体"/>
                <w:color w:val="auto"/>
                <w:szCs w:val="21"/>
                <w:highlight w:val="none"/>
              </w:rPr>
            </w:pPr>
            <w:r>
              <w:rPr>
                <w:rFonts w:hint="eastAsia" w:ascii="宋体" w:hAnsi="宋体"/>
                <w:color w:val="auto"/>
                <w:szCs w:val="21"/>
                <w:highlight w:val="none"/>
              </w:rPr>
              <w:t>50≤Y＜500</w:t>
            </w:r>
          </w:p>
        </w:tc>
        <w:tc>
          <w:tcPr>
            <w:tcW w:w="1153" w:type="dxa"/>
            <w:noWrap w:val="0"/>
            <w:vAlign w:val="top"/>
          </w:tcPr>
          <w:p w14:paraId="050B9402">
            <w:pPr>
              <w:pStyle w:val="9"/>
              <w:ind w:firstLine="420"/>
              <w:rPr>
                <w:rFonts w:hint="eastAsia" w:ascii="宋体" w:hAnsi="宋体"/>
                <w:color w:val="auto"/>
                <w:szCs w:val="21"/>
                <w:highlight w:val="none"/>
              </w:rPr>
            </w:pPr>
            <w:r>
              <w:rPr>
                <w:rFonts w:hint="eastAsia" w:ascii="宋体" w:hAnsi="宋体"/>
                <w:color w:val="auto"/>
                <w:szCs w:val="21"/>
                <w:highlight w:val="none"/>
              </w:rPr>
              <w:t>Y＜50</w:t>
            </w:r>
          </w:p>
        </w:tc>
      </w:tr>
      <w:tr w14:paraId="384F3E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118" w:type="dxa"/>
            <w:vMerge w:val="restart"/>
            <w:tcBorders>
              <w:bottom w:val="nil"/>
            </w:tcBorders>
            <w:noWrap w:val="0"/>
            <w:vAlign w:val="top"/>
          </w:tcPr>
          <w:p w14:paraId="7AA73EB7">
            <w:pPr>
              <w:pStyle w:val="9"/>
              <w:ind w:firstLine="420"/>
              <w:rPr>
                <w:rFonts w:hint="eastAsia" w:ascii="宋体" w:hAnsi="宋体"/>
                <w:color w:val="auto"/>
                <w:szCs w:val="21"/>
                <w:highlight w:val="none"/>
              </w:rPr>
            </w:pPr>
            <w:r>
              <w:rPr>
                <w:rFonts w:hint="eastAsia" w:ascii="宋体" w:hAnsi="宋体"/>
                <w:color w:val="auto"/>
                <w:szCs w:val="21"/>
                <w:highlight w:val="none"/>
              </w:rPr>
              <w:t>工业</w:t>
            </w:r>
          </w:p>
        </w:tc>
        <w:tc>
          <w:tcPr>
            <w:tcW w:w="1718" w:type="dxa"/>
            <w:noWrap w:val="0"/>
            <w:vAlign w:val="top"/>
          </w:tcPr>
          <w:p w14:paraId="1ABF05EA">
            <w:pPr>
              <w:pStyle w:val="9"/>
              <w:ind w:firstLine="420"/>
              <w:rPr>
                <w:rFonts w:hint="eastAsia" w:ascii="宋体" w:hAnsi="宋体"/>
                <w:color w:val="auto"/>
                <w:szCs w:val="21"/>
                <w:highlight w:val="none"/>
              </w:rPr>
            </w:pPr>
            <w:r>
              <w:rPr>
                <w:rFonts w:hint="eastAsia" w:ascii="宋体" w:hAnsi="宋体"/>
                <w:color w:val="auto"/>
                <w:szCs w:val="21"/>
                <w:highlight w:val="none"/>
              </w:rPr>
              <w:t>从业人员（X）</w:t>
            </w:r>
          </w:p>
        </w:tc>
        <w:tc>
          <w:tcPr>
            <w:tcW w:w="1132" w:type="dxa"/>
            <w:noWrap w:val="0"/>
            <w:vAlign w:val="top"/>
          </w:tcPr>
          <w:p w14:paraId="6C444748">
            <w:pPr>
              <w:pStyle w:val="9"/>
              <w:ind w:firstLine="420"/>
              <w:rPr>
                <w:rFonts w:hint="eastAsia" w:ascii="宋体" w:hAnsi="宋体"/>
                <w:color w:val="auto"/>
                <w:szCs w:val="21"/>
                <w:highlight w:val="none"/>
              </w:rPr>
            </w:pPr>
            <w:r>
              <w:rPr>
                <w:rFonts w:hint="eastAsia" w:ascii="宋体" w:hAnsi="宋体"/>
                <w:color w:val="auto"/>
                <w:szCs w:val="21"/>
                <w:highlight w:val="none"/>
              </w:rPr>
              <w:t>人</w:t>
            </w:r>
          </w:p>
        </w:tc>
        <w:tc>
          <w:tcPr>
            <w:tcW w:w="2012" w:type="dxa"/>
            <w:noWrap w:val="0"/>
            <w:vAlign w:val="top"/>
          </w:tcPr>
          <w:p w14:paraId="6DF9236E">
            <w:pPr>
              <w:pStyle w:val="9"/>
              <w:ind w:firstLine="420"/>
              <w:rPr>
                <w:rFonts w:hint="eastAsia" w:ascii="宋体" w:hAnsi="宋体"/>
                <w:color w:val="auto"/>
                <w:szCs w:val="21"/>
                <w:highlight w:val="none"/>
              </w:rPr>
            </w:pPr>
            <w:r>
              <w:rPr>
                <w:rFonts w:hint="eastAsia" w:ascii="宋体" w:hAnsi="宋体"/>
                <w:color w:val="auto"/>
                <w:szCs w:val="21"/>
                <w:highlight w:val="none"/>
              </w:rPr>
              <w:t>300≤X＜1000</w:t>
            </w:r>
          </w:p>
        </w:tc>
        <w:tc>
          <w:tcPr>
            <w:tcW w:w="1788" w:type="dxa"/>
            <w:noWrap w:val="0"/>
            <w:vAlign w:val="top"/>
          </w:tcPr>
          <w:p w14:paraId="35E039DB">
            <w:pPr>
              <w:pStyle w:val="9"/>
              <w:ind w:firstLine="420"/>
              <w:rPr>
                <w:rFonts w:hint="eastAsia" w:ascii="宋体" w:hAnsi="宋体"/>
                <w:color w:val="auto"/>
                <w:szCs w:val="21"/>
                <w:highlight w:val="none"/>
              </w:rPr>
            </w:pPr>
            <w:r>
              <w:rPr>
                <w:rFonts w:hint="eastAsia" w:ascii="宋体" w:hAnsi="宋体"/>
                <w:color w:val="auto"/>
                <w:szCs w:val="21"/>
                <w:highlight w:val="none"/>
              </w:rPr>
              <w:t>20≤X＜300</w:t>
            </w:r>
          </w:p>
        </w:tc>
        <w:tc>
          <w:tcPr>
            <w:tcW w:w="1153" w:type="dxa"/>
            <w:noWrap w:val="0"/>
            <w:vAlign w:val="top"/>
          </w:tcPr>
          <w:p w14:paraId="174DBA7C">
            <w:pPr>
              <w:pStyle w:val="9"/>
              <w:ind w:firstLine="420"/>
              <w:rPr>
                <w:rFonts w:hint="eastAsia" w:ascii="宋体" w:hAnsi="宋体"/>
                <w:color w:val="auto"/>
                <w:szCs w:val="21"/>
                <w:highlight w:val="none"/>
              </w:rPr>
            </w:pPr>
            <w:r>
              <w:rPr>
                <w:rFonts w:hint="eastAsia" w:ascii="宋体" w:hAnsi="宋体"/>
                <w:color w:val="auto"/>
                <w:szCs w:val="21"/>
                <w:highlight w:val="none"/>
              </w:rPr>
              <w:t>X＜20</w:t>
            </w:r>
          </w:p>
        </w:tc>
      </w:tr>
      <w:tr w14:paraId="7440BB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118" w:type="dxa"/>
            <w:vMerge w:val="continue"/>
            <w:tcBorders>
              <w:top w:val="nil"/>
            </w:tcBorders>
            <w:noWrap w:val="0"/>
            <w:vAlign w:val="top"/>
          </w:tcPr>
          <w:p w14:paraId="4863121C">
            <w:pPr>
              <w:pStyle w:val="9"/>
              <w:ind w:firstLine="420"/>
              <w:rPr>
                <w:rFonts w:hint="eastAsia" w:ascii="宋体" w:hAnsi="宋体"/>
                <w:color w:val="auto"/>
                <w:szCs w:val="21"/>
                <w:highlight w:val="none"/>
              </w:rPr>
            </w:pPr>
          </w:p>
        </w:tc>
        <w:tc>
          <w:tcPr>
            <w:tcW w:w="1718" w:type="dxa"/>
            <w:noWrap w:val="0"/>
            <w:vAlign w:val="top"/>
          </w:tcPr>
          <w:p w14:paraId="202C28BE">
            <w:pPr>
              <w:pStyle w:val="9"/>
              <w:ind w:firstLine="420"/>
              <w:rPr>
                <w:rFonts w:hint="eastAsia" w:ascii="宋体" w:hAnsi="宋体"/>
                <w:color w:val="auto"/>
                <w:szCs w:val="21"/>
                <w:highlight w:val="none"/>
              </w:rPr>
            </w:pPr>
            <w:r>
              <w:rPr>
                <w:rFonts w:hint="eastAsia" w:ascii="宋体" w:hAnsi="宋体"/>
                <w:color w:val="auto"/>
                <w:szCs w:val="21"/>
                <w:highlight w:val="none"/>
              </w:rPr>
              <w:t>营业收入（Y）</w:t>
            </w:r>
          </w:p>
        </w:tc>
        <w:tc>
          <w:tcPr>
            <w:tcW w:w="1132" w:type="dxa"/>
            <w:noWrap w:val="0"/>
            <w:vAlign w:val="top"/>
          </w:tcPr>
          <w:p w14:paraId="5749F271">
            <w:pPr>
              <w:pStyle w:val="9"/>
              <w:ind w:firstLine="420"/>
              <w:rPr>
                <w:rFonts w:hint="eastAsia" w:ascii="宋体" w:hAnsi="宋体"/>
                <w:color w:val="auto"/>
                <w:szCs w:val="21"/>
                <w:highlight w:val="none"/>
              </w:rPr>
            </w:pPr>
            <w:r>
              <w:rPr>
                <w:rFonts w:hint="eastAsia" w:ascii="宋体" w:hAnsi="宋体"/>
                <w:color w:val="auto"/>
                <w:szCs w:val="21"/>
                <w:highlight w:val="none"/>
              </w:rPr>
              <w:t>万元</w:t>
            </w:r>
          </w:p>
        </w:tc>
        <w:tc>
          <w:tcPr>
            <w:tcW w:w="2012" w:type="dxa"/>
            <w:noWrap w:val="0"/>
            <w:vAlign w:val="top"/>
          </w:tcPr>
          <w:p w14:paraId="2EE957A2">
            <w:pPr>
              <w:pStyle w:val="9"/>
              <w:ind w:firstLine="420"/>
              <w:rPr>
                <w:rFonts w:hint="eastAsia" w:ascii="宋体" w:hAnsi="宋体"/>
                <w:color w:val="auto"/>
                <w:szCs w:val="21"/>
                <w:highlight w:val="none"/>
              </w:rPr>
            </w:pPr>
            <w:r>
              <w:rPr>
                <w:rFonts w:hint="eastAsia" w:ascii="宋体" w:hAnsi="宋体"/>
                <w:color w:val="auto"/>
                <w:szCs w:val="21"/>
                <w:highlight w:val="none"/>
              </w:rPr>
              <w:t>2000≤Y＜40000</w:t>
            </w:r>
          </w:p>
        </w:tc>
        <w:tc>
          <w:tcPr>
            <w:tcW w:w="1788" w:type="dxa"/>
            <w:noWrap w:val="0"/>
            <w:vAlign w:val="top"/>
          </w:tcPr>
          <w:p w14:paraId="35BCF3A0">
            <w:pPr>
              <w:pStyle w:val="9"/>
              <w:ind w:firstLine="420"/>
              <w:rPr>
                <w:rFonts w:hint="eastAsia" w:ascii="宋体" w:hAnsi="宋体"/>
                <w:color w:val="auto"/>
                <w:szCs w:val="21"/>
                <w:highlight w:val="none"/>
              </w:rPr>
            </w:pPr>
            <w:r>
              <w:rPr>
                <w:rFonts w:hint="eastAsia" w:ascii="宋体" w:hAnsi="宋体"/>
                <w:color w:val="auto"/>
                <w:szCs w:val="21"/>
                <w:highlight w:val="none"/>
              </w:rPr>
              <w:t>300≤Y＜2000</w:t>
            </w:r>
          </w:p>
        </w:tc>
        <w:tc>
          <w:tcPr>
            <w:tcW w:w="1153" w:type="dxa"/>
            <w:noWrap w:val="0"/>
            <w:vAlign w:val="top"/>
          </w:tcPr>
          <w:p w14:paraId="3036312A">
            <w:pPr>
              <w:pStyle w:val="9"/>
              <w:ind w:firstLine="420"/>
              <w:rPr>
                <w:rFonts w:hint="eastAsia" w:ascii="宋体" w:hAnsi="宋体"/>
                <w:color w:val="auto"/>
                <w:szCs w:val="21"/>
                <w:highlight w:val="none"/>
              </w:rPr>
            </w:pPr>
            <w:r>
              <w:rPr>
                <w:rFonts w:hint="eastAsia" w:ascii="宋体" w:hAnsi="宋体"/>
                <w:color w:val="auto"/>
                <w:szCs w:val="21"/>
                <w:highlight w:val="none"/>
              </w:rPr>
              <w:t>Y＜300</w:t>
            </w:r>
          </w:p>
        </w:tc>
      </w:tr>
      <w:tr w14:paraId="10EC81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118" w:type="dxa"/>
            <w:vMerge w:val="restart"/>
            <w:tcBorders>
              <w:bottom w:val="nil"/>
            </w:tcBorders>
            <w:noWrap w:val="0"/>
            <w:vAlign w:val="top"/>
          </w:tcPr>
          <w:p w14:paraId="6DBE599E">
            <w:pPr>
              <w:pStyle w:val="9"/>
              <w:ind w:firstLine="420"/>
              <w:rPr>
                <w:rFonts w:hint="eastAsia" w:ascii="宋体" w:hAnsi="宋体"/>
                <w:color w:val="auto"/>
                <w:szCs w:val="21"/>
                <w:highlight w:val="none"/>
              </w:rPr>
            </w:pPr>
            <w:r>
              <w:rPr>
                <w:rFonts w:hint="eastAsia" w:ascii="宋体" w:hAnsi="宋体"/>
                <w:color w:val="auto"/>
                <w:szCs w:val="21"/>
                <w:highlight w:val="none"/>
              </w:rPr>
              <w:t>建筑业</w:t>
            </w:r>
          </w:p>
        </w:tc>
        <w:tc>
          <w:tcPr>
            <w:tcW w:w="1718" w:type="dxa"/>
            <w:noWrap w:val="0"/>
            <w:vAlign w:val="top"/>
          </w:tcPr>
          <w:p w14:paraId="1EE76959">
            <w:pPr>
              <w:pStyle w:val="9"/>
              <w:ind w:firstLine="420"/>
              <w:rPr>
                <w:rFonts w:hint="eastAsia" w:ascii="宋体" w:hAnsi="宋体"/>
                <w:color w:val="auto"/>
                <w:szCs w:val="21"/>
                <w:highlight w:val="none"/>
              </w:rPr>
            </w:pPr>
            <w:r>
              <w:rPr>
                <w:rFonts w:hint="eastAsia" w:ascii="宋体" w:hAnsi="宋体"/>
                <w:color w:val="auto"/>
                <w:szCs w:val="21"/>
                <w:highlight w:val="none"/>
              </w:rPr>
              <w:t>营业收入（Y）</w:t>
            </w:r>
          </w:p>
        </w:tc>
        <w:tc>
          <w:tcPr>
            <w:tcW w:w="1132" w:type="dxa"/>
            <w:noWrap w:val="0"/>
            <w:vAlign w:val="top"/>
          </w:tcPr>
          <w:p w14:paraId="391D9F2E">
            <w:pPr>
              <w:pStyle w:val="9"/>
              <w:ind w:firstLine="420"/>
              <w:rPr>
                <w:rFonts w:hint="eastAsia" w:ascii="宋体" w:hAnsi="宋体"/>
                <w:color w:val="auto"/>
                <w:szCs w:val="21"/>
                <w:highlight w:val="none"/>
              </w:rPr>
            </w:pPr>
            <w:r>
              <w:rPr>
                <w:rFonts w:hint="eastAsia" w:ascii="宋体" w:hAnsi="宋体"/>
                <w:color w:val="auto"/>
                <w:szCs w:val="21"/>
                <w:highlight w:val="none"/>
              </w:rPr>
              <w:t>万元</w:t>
            </w:r>
          </w:p>
        </w:tc>
        <w:tc>
          <w:tcPr>
            <w:tcW w:w="2012" w:type="dxa"/>
            <w:noWrap w:val="0"/>
            <w:vAlign w:val="top"/>
          </w:tcPr>
          <w:p w14:paraId="4C5E429C">
            <w:pPr>
              <w:pStyle w:val="9"/>
              <w:ind w:firstLine="420"/>
              <w:rPr>
                <w:rFonts w:hint="eastAsia" w:ascii="宋体" w:hAnsi="宋体"/>
                <w:color w:val="auto"/>
                <w:szCs w:val="21"/>
                <w:highlight w:val="none"/>
              </w:rPr>
            </w:pPr>
            <w:r>
              <w:rPr>
                <w:rFonts w:hint="eastAsia" w:ascii="宋体" w:hAnsi="宋体"/>
                <w:color w:val="auto"/>
                <w:szCs w:val="21"/>
                <w:highlight w:val="none"/>
              </w:rPr>
              <w:t>6000≤Y＜80000</w:t>
            </w:r>
          </w:p>
        </w:tc>
        <w:tc>
          <w:tcPr>
            <w:tcW w:w="1788" w:type="dxa"/>
            <w:noWrap w:val="0"/>
            <w:vAlign w:val="top"/>
          </w:tcPr>
          <w:p w14:paraId="28928ABD">
            <w:pPr>
              <w:pStyle w:val="9"/>
              <w:ind w:firstLine="420"/>
              <w:rPr>
                <w:rFonts w:hint="eastAsia" w:ascii="宋体" w:hAnsi="宋体"/>
                <w:color w:val="auto"/>
                <w:szCs w:val="21"/>
                <w:highlight w:val="none"/>
              </w:rPr>
            </w:pPr>
            <w:r>
              <w:rPr>
                <w:rFonts w:hint="eastAsia" w:ascii="宋体" w:hAnsi="宋体"/>
                <w:color w:val="auto"/>
                <w:szCs w:val="21"/>
                <w:highlight w:val="none"/>
              </w:rPr>
              <w:t>300≤Y＜6000</w:t>
            </w:r>
          </w:p>
        </w:tc>
        <w:tc>
          <w:tcPr>
            <w:tcW w:w="1153" w:type="dxa"/>
            <w:noWrap w:val="0"/>
            <w:vAlign w:val="top"/>
          </w:tcPr>
          <w:p w14:paraId="6A0D9B2C">
            <w:pPr>
              <w:pStyle w:val="9"/>
              <w:ind w:firstLine="420"/>
              <w:rPr>
                <w:rFonts w:hint="eastAsia" w:ascii="宋体" w:hAnsi="宋体"/>
                <w:color w:val="auto"/>
                <w:szCs w:val="21"/>
                <w:highlight w:val="none"/>
              </w:rPr>
            </w:pPr>
            <w:r>
              <w:rPr>
                <w:rFonts w:hint="eastAsia" w:ascii="宋体" w:hAnsi="宋体"/>
                <w:color w:val="auto"/>
                <w:szCs w:val="21"/>
                <w:highlight w:val="none"/>
              </w:rPr>
              <w:t>Y＜300</w:t>
            </w:r>
          </w:p>
        </w:tc>
      </w:tr>
      <w:tr w14:paraId="2BDFF7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118" w:type="dxa"/>
            <w:vMerge w:val="continue"/>
            <w:tcBorders>
              <w:top w:val="nil"/>
            </w:tcBorders>
            <w:noWrap w:val="0"/>
            <w:vAlign w:val="top"/>
          </w:tcPr>
          <w:p w14:paraId="63AA33F3">
            <w:pPr>
              <w:pStyle w:val="9"/>
              <w:ind w:firstLine="420"/>
              <w:rPr>
                <w:rFonts w:hint="eastAsia" w:ascii="宋体" w:hAnsi="宋体"/>
                <w:color w:val="auto"/>
                <w:szCs w:val="21"/>
                <w:highlight w:val="none"/>
              </w:rPr>
            </w:pPr>
          </w:p>
        </w:tc>
        <w:tc>
          <w:tcPr>
            <w:tcW w:w="1718" w:type="dxa"/>
            <w:noWrap w:val="0"/>
            <w:vAlign w:val="top"/>
          </w:tcPr>
          <w:p w14:paraId="410D0536">
            <w:pPr>
              <w:pStyle w:val="9"/>
              <w:ind w:firstLine="420"/>
              <w:rPr>
                <w:rFonts w:hint="eastAsia" w:ascii="宋体" w:hAnsi="宋体"/>
                <w:color w:val="auto"/>
                <w:szCs w:val="21"/>
                <w:highlight w:val="none"/>
              </w:rPr>
            </w:pPr>
            <w:r>
              <w:rPr>
                <w:rFonts w:hint="eastAsia" w:ascii="宋体" w:hAnsi="宋体"/>
                <w:color w:val="auto"/>
                <w:szCs w:val="21"/>
                <w:highlight w:val="none"/>
              </w:rPr>
              <w:t>资产总额（Z）</w:t>
            </w:r>
          </w:p>
        </w:tc>
        <w:tc>
          <w:tcPr>
            <w:tcW w:w="1132" w:type="dxa"/>
            <w:noWrap w:val="0"/>
            <w:vAlign w:val="top"/>
          </w:tcPr>
          <w:p w14:paraId="46AA824C">
            <w:pPr>
              <w:pStyle w:val="9"/>
              <w:ind w:firstLine="420"/>
              <w:rPr>
                <w:rFonts w:hint="eastAsia" w:ascii="宋体" w:hAnsi="宋体"/>
                <w:color w:val="auto"/>
                <w:szCs w:val="21"/>
                <w:highlight w:val="none"/>
              </w:rPr>
            </w:pPr>
            <w:r>
              <w:rPr>
                <w:rFonts w:hint="eastAsia" w:ascii="宋体" w:hAnsi="宋体"/>
                <w:color w:val="auto"/>
                <w:szCs w:val="21"/>
                <w:highlight w:val="none"/>
              </w:rPr>
              <w:t>万元</w:t>
            </w:r>
          </w:p>
        </w:tc>
        <w:tc>
          <w:tcPr>
            <w:tcW w:w="2012" w:type="dxa"/>
            <w:noWrap w:val="0"/>
            <w:vAlign w:val="top"/>
          </w:tcPr>
          <w:p w14:paraId="0442EB3D">
            <w:pPr>
              <w:pStyle w:val="9"/>
              <w:ind w:firstLine="420"/>
              <w:rPr>
                <w:rFonts w:hint="eastAsia" w:ascii="宋体" w:hAnsi="宋体"/>
                <w:color w:val="auto"/>
                <w:szCs w:val="21"/>
                <w:highlight w:val="none"/>
              </w:rPr>
            </w:pPr>
            <w:r>
              <w:rPr>
                <w:rFonts w:hint="eastAsia" w:ascii="宋体" w:hAnsi="宋体"/>
                <w:color w:val="auto"/>
                <w:szCs w:val="21"/>
                <w:highlight w:val="none"/>
              </w:rPr>
              <w:t>5000≤Z＜80000</w:t>
            </w:r>
          </w:p>
        </w:tc>
        <w:tc>
          <w:tcPr>
            <w:tcW w:w="1788" w:type="dxa"/>
            <w:noWrap w:val="0"/>
            <w:vAlign w:val="top"/>
          </w:tcPr>
          <w:p w14:paraId="7B1FD1FA">
            <w:pPr>
              <w:pStyle w:val="9"/>
              <w:ind w:firstLine="420"/>
              <w:rPr>
                <w:rFonts w:hint="eastAsia" w:ascii="宋体" w:hAnsi="宋体"/>
                <w:color w:val="auto"/>
                <w:szCs w:val="21"/>
                <w:highlight w:val="none"/>
              </w:rPr>
            </w:pPr>
            <w:r>
              <w:rPr>
                <w:rFonts w:hint="eastAsia" w:ascii="宋体" w:hAnsi="宋体"/>
                <w:color w:val="auto"/>
                <w:szCs w:val="21"/>
                <w:highlight w:val="none"/>
              </w:rPr>
              <w:t>300≤Z＜5000</w:t>
            </w:r>
          </w:p>
        </w:tc>
        <w:tc>
          <w:tcPr>
            <w:tcW w:w="1153" w:type="dxa"/>
            <w:noWrap w:val="0"/>
            <w:vAlign w:val="top"/>
          </w:tcPr>
          <w:p w14:paraId="283BAA0B">
            <w:pPr>
              <w:pStyle w:val="9"/>
              <w:ind w:firstLine="420"/>
              <w:rPr>
                <w:rFonts w:hint="eastAsia" w:ascii="宋体" w:hAnsi="宋体"/>
                <w:color w:val="auto"/>
                <w:szCs w:val="21"/>
                <w:highlight w:val="none"/>
              </w:rPr>
            </w:pPr>
            <w:r>
              <w:rPr>
                <w:rFonts w:hint="eastAsia" w:ascii="宋体" w:hAnsi="宋体"/>
                <w:color w:val="auto"/>
                <w:szCs w:val="21"/>
                <w:highlight w:val="none"/>
              </w:rPr>
              <w:t>Z＜300</w:t>
            </w:r>
          </w:p>
        </w:tc>
      </w:tr>
      <w:tr w14:paraId="1D95C2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118" w:type="dxa"/>
            <w:vMerge w:val="restart"/>
            <w:tcBorders>
              <w:bottom w:val="nil"/>
            </w:tcBorders>
            <w:shd w:val="clear" w:color="auto" w:fill="BDD6EE"/>
            <w:noWrap w:val="0"/>
            <w:vAlign w:val="top"/>
          </w:tcPr>
          <w:p w14:paraId="2DB743D2">
            <w:pPr>
              <w:pStyle w:val="9"/>
              <w:ind w:firstLine="420"/>
              <w:rPr>
                <w:rFonts w:hint="eastAsia" w:ascii="宋体" w:hAnsi="宋体"/>
                <w:color w:val="auto"/>
                <w:szCs w:val="21"/>
                <w:highlight w:val="none"/>
              </w:rPr>
            </w:pPr>
            <w:r>
              <w:rPr>
                <w:rFonts w:hint="eastAsia" w:ascii="宋体" w:hAnsi="宋体"/>
                <w:color w:val="auto"/>
                <w:szCs w:val="21"/>
                <w:highlight w:val="none"/>
              </w:rPr>
              <w:t>批发业</w:t>
            </w:r>
          </w:p>
        </w:tc>
        <w:tc>
          <w:tcPr>
            <w:tcW w:w="1718" w:type="dxa"/>
            <w:shd w:val="clear" w:color="auto" w:fill="BDD6EE"/>
            <w:noWrap w:val="0"/>
            <w:vAlign w:val="top"/>
          </w:tcPr>
          <w:p w14:paraId="45C1EF76">
            <w:pPr>
              <w:pStyle w:val="9"/>
              <w:ind w:firstLine="420"/>
              <w:rPr>
                <w:rFonts w:hint="eastAsia" w:ascii="宋体" w:hAnsi="宋体"/>
                <w:color w:val="auto"/>
                <w:szCs w:val="21"/>
                <w:highlight w:val="none"/>
              </w:rPr>
            </w:pPr>
            <w:r>
              <w:rPr>
                <w:rFonts w:hint="eastAsia" w:ascii="宋体" w:hAnsi="宋体"/>
                <w:color w:val="auto"/>
                <w:szCs w:val="21"/>
                <w:highlight w:val="none"/>
              </w:rPr>
              <w:t>从业人员（X）</w:t>
            </w:r>
          </w:p>
        </w:tc>
        <w:tc>
          <w:tcPr>
            <w:tcW w:w="1132" w:type="dxa"/>
            <w:shd w:val="clear" w:color="auto" w:fill="BDD6EE"/>
            <w:noWrap w:val="0"/>
            <w:vAlign w:val="top"/>
          </w:tcPr>
          <w:p w14:paraId="6C587009">
            <w:pPr>
              <w:pStyle w:val="9"/>
              <w:ind w:firstLine="420"/>
              <w:rPr>
                <w:rFonts w:hint="eastAsia" w:ascii="宋体" w:hAnsi="宋体"/>
                <w:color w:val="auto"/>
                <w:szCs w:val="21"/>
                <w:highlight w:val="none"/>
              </w:rPr>
            </w:pPr>
            <w:r>
              <w:rPr>
                <w:rFonts w:hint="eastAsia" w:ascii="宋体" w:hAnsi="宋体"/>
                <w:color w:val="auto"/>
                <w:szCs w:val="21"/>
                <w:highlight w:val="none"/>
              </w:rPr>
              <w:t>人</w:t>
            </w:r>
          </w:p>
        </w:tc>
        <w:tc>
          <w:tcPr>
            <w:tcW w:w="2012" w:type="dxa"/>
            <w:shd w:val="clear" w:color="auto" w:fill="BDD6EE"/>
            <w:noWrap w:val="0"/>
            <w:vAlign w:val="top"/>
          </w:tcPr>
          <w:p w14:paraId="2F768B34">
            <w:pPr>
              <w:pStyle w:val="9"/>
              <w:ind w:firstLine="420"/>
              <w:rPr>
                <w:rFonts w:hint="eastAsia" w:ascii="宋体" w:hAnsi="宋体"/>
                <w:color w:val="auto"/>
                <w:szCs w:val="21"/>
                <w:highlight w:val="none"/>
              </w:rPr>
            </w:pPr>
            <w:r>
              <w:rPr>
                <w:rFonts w:hint="eastAsia" w:ascii="宋体" w:hAnsi="宋体"/>
                <w:color w:val="auto"/>
                <w:szCs w:val="21"/>
                <w:highlight w:val="none"/>
              </w:rPr>
              <w:t>20≤X＜200</w:t>
            </w:r>
          </w:p>
        </w:tc>
        <w:tc>
          <w:tcPr>
            <w:tcW w:w="1788" w:type="dxa"/>
            <w:shd w:val="clear" w:color="auto" w:fill="BDD6EE"/>
            <w:noWrap w:val="0"/>
            <w:vAlign w:val="top"/>
          </w:tcPr>
          <w:p w14:paraId="6F9F0FF2">
            <w:pPr>
              <w:pStyle w:val="9"/>
              <w:ind w:firstLine="420"/>
              <w:rPr>
                <w:rFonts w:hint="eastAsia" w:ascii="宋体" w:hAnsi="宋体"/>
                <w:color w:val="auto"/>
                <w:szCs w:val="21"/>
                <w:highlight w:val="none"/>
              </w:rPr>
            </w:pPr>
            <w:r>
              <w:rPr>
                <w:rFonts w:hint="eastAsia" w:ascii="宋体" w:hAnsi="宋体"/>
                <w:color w:val="auto"/>
                <w:szCs w:val="21"/>
                <w:highlight w:val="none"/>
              </w:rPr>
              <w:t>5≤X＜20</w:t>
            </w:r>
          </w:p>
        </w:tc>
        <w:tc>
          <w:tcPr>
            <w:tcW w:w="1153" w:type="dxa"/>
            <w:shd w:val="clear" w:color="auto" w:fill="BDD6EE"/>
            <w:noWrap w:val="0"/>
            <w:vAlign w:val="top"/>
          </w:tcPr>
          <w:p w14:paraId="3C65E773">
            <w:pPr>
              <w:pStyle w:val="9"/>
              <w:ind w:firstLine="420"/>
              <w:rPr>
                <w:rFonts w:hint="eastAsia" w:ascii="宋体" w:hAnsi="宋体"/>
                <w:color w:val="auto"/>
                <w:szCs w:val="21"/>
                <w:highlight w:val="none"/>
              </w:rPr>
            </w:pPr>
            <w:r>
              <w:rPr>
                <w:rFonts w:hint="eastAsia" w:ascii="宋体" w:hAnsi="宋体"/>
                <w:color w:val="auto"/>
                <w:szCs w:val="21"/>
                <w:highlight w:val="none"/>
              </w:rPr>
              <w:t>X＜5</w:t>
            </w:r>
          </w:p>
        </w:tc>
      </w:tr>
      <w:tr w14:paraId="40E6D9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118" w:type="dxa"/>
            <w:vMerge w:val="continue"/>
            <w:tcBorders>
              <w:top w:val="nil"/>
            </w:tcBorders>
            <w:shd w:val="clear" w:color="auto" w:fill="auto"/>
            <w:noWrap w:val="0"/>
            <w:vAlign w:val="top"/>
          </w:tcPr>
          <w:p w14:paraId="028082D1">
            <w:pPr>
              <w:pStyle w:val="9"/>
              <w:ind w:firstLine="420"/>
              <w:rPr>
                <w:rFonts w:hint="eastAsia" w:ascii="宋体" w:hAnsi="宋体"/>
                <w:color w:val="auto"/>
                <w:szCs w:val="21"/>
                <w:highlight w:val="none"/>
              </w:rPr>
            </w:pPr>
          </w:p>
        </w:tc>
        <w:tc>
          <w:tcPr>
            <w:tcW w:w="1718" w:type="dxa"/>
            <w:shd w:val="clear" w:color="auto" w:fill="BDD6EE"/>
            <w:noWrap w:val="0"/>
            <w:vAlign w:val="top"/>
          </w:tcPr>
          <w:p w14:paraId="239F7223">
            <w:pPr>
              <w:pStyle w:val="9"/>
              <w:ind w:firstLine="420"/>
              <w:rPr>
                <w:rFonts w:hint="eastAsia" w:ascii="宋体" w:hAnsi="宋体"/>
                <w:color w:val="auto"/>
                <w:szCs w:val="21"/>
                <w:highlight w:val="none"/>
              </w:rPr>
            </w:pPr>
            <w:r>
              <w:rPr>
                <w:rFonts w:hint="eastAsia" w:ascii="宋体" w:hAnsi="宋体"/>
                <w:color w:val="auto"/>
                <w:szCs w:val="21"/>
                <w:highlight w:val="none"/>
              </w:rPr>
              <w:t>营业收入（Y）</w:t>
            </w:r>
          </w:p>
        </w:tc>
        <w:tc>
          <w:tcPr>
            <w:tcW w:w="1132" w:type="dxa"/>
            <w:shd w:val="clear" w:color="auto" w:fill="BDD6EE"/>
            <w:noWrap w:val="0"/>
            <w:vAlign w:val="top"/>
          </w:tcPr>
          <w:p w14:paraId="34901BD9">
            <w:pPr>
              <w:pStyle w:val="9"/>
              <w:ind w:firstLine="420"/>
              <w:rPr>
                <w:rFonts w:hint="eastAsia" w:ascii="宋体" w:hAnsi="宋体"/>
                <w:color w:val="auto"/>
                <w:szCs w:val="21"/>
                <w:highlight w:val="none"/>
              </w:rPr>
            </w:pPr>
            <w:r>
              <w:rPr>
                <w:rFonts w:hint="eastAsia" w:ascii="宋体" w:hAnsi="宋体"/>
                <w:color w:val="auto"/>
                <w:szCs w:val="21"/>
                <w:highlight w:val="none"/>
              </w:rPr>
              <w:t>万元</w:t>
            </w:r>
          </w:p>
        </w:tc>
        <w:tc>
          <w:tcPr>
            <w:tcW w:w="2012" w:type="dxa"/>
            <w:shd w:val="clear" w:color="auto" w:fill="BDD6EE"/>
            <w:noWrap w:val="0"/>
            <w:vAlign w:val="top"/>
          </w:tcPr>
          <w:p w14:paraId="38898FF2">
            <w:pPr>
              <w:pStyle w:val="9"/>
              <w:ind w:firstLine="420"/>
              <w:rPr>
                <w:rFonts w:hint="eastAsia" w:ascii="宋体" w:hAnsi="宋体"/>
                <w:color w:val="auto"/>
                <w:szCs w:val="21"/>
                <w:highlight w:val="none"/>
              </w:rPr>
            </w:pPr>
            <w:r>
              <w:rPr>
                <w:rFonts w:hint="eastAsia" w:ascii="宋体" w:hAnsi="宋体"/>
                <w:color w:val="auto"/>
                <w:szCs w:val="21"/>
                <w:highlight w:val="none"/>
              </w:rPr>
              <w:t>5000≤Y＜40000</w:t>
            </w:r>
          </w:p>
        </w:tc>
        <w:tc>
          <w:tcPr>
            <w:tcW w:w="1788" w:type="dxa"/>
            <w:shd w:val="clear" w:color="auto" w:fill="BDD6EE"/>
            <w:noWrap w:val="0"/>
            <w:vAlign w:val="top"/>
          </w:tcPr>
          <w:p w14:paraId="565FA5C0">
            <w:pPr>
              <w:pStyle w:val="9"/>
              <w:ind w:firstLine="420"/>
              <w:rPr>
                <w:rFonts w:hint="eastAsia" w:ascii="宋体" w:hAnsi="宋体"/>
                <w:color w:val="auto"/>
                <w:szCs w:val="21"/>
                <w:highlight w:val="none"/>
              </w:rPr>
            </w:pPr>
            <w:r>
              <w:rPr>
                <w:rFonts w:hint="eastAsia" w:ascii="宋体" w:hAnsi="宋体"/>
                <w:color w:val="auto"/>
                <w:szCs w:val="21"/>
                <w:highlight w:val="none"/>
              </w:rPr>
              <w:t>1000≤Y＜5000</w:t>
            </w:r>
          </w:p>
        </w:tc>
        <w:tc>
          <w:tcPr>
            <w:tcW w:w="1153" w:type="dxa"/>
            <w:shd w:val="clear" w:color="auto" w:fill="BDD6EE"/>
            <w:noWrap w:val="0"/>
            <w:vAlign w:val="top"/>
          </w:tcPr>
          <w:p w14:paraId="454C4699">
            <w:pPr>
              <w:pStyle w:val="9"/>
              <w:ind w:firstLine="420"/>
              <w:rPr>
                <w:rFonts w:hint="eastAsia" w:ascii="宋体" w:hAnsi="宋体"/>
                <w:color w:val="auto"/>
                <w:szCs w:val="21"/>
                <w:highlight w:val="none"/>
              </w:rPr>
            </w:pPr>
            <w:r>
              <w:rPr>
                <w:rFonts w:hint="eastAsia" w:ascii="宋体" w:hAnsi="宋体"/>
                <w:color w:val="auto"/>
                <w:szCs w:val="21"/>
                <w:highlight w:val="none"/>
              </w:rPr>
              <w:t>Y＜1000</w:t>
            </w:r>
          </w:p>
        </w:tc>
      </w:tr>
      <w:tr w14:paraId="069EBE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118" w:type="dxa"/>
            <w:vMerge w:val="restart"/>
            <w:tcBorders>
              <w:bottom w:val="nil"/>
            </w:tcBorders>
            <w:noWrap w:val="0"/>
            <w:vAlign w:val="top"/>
          </w:tcPr>
          <w:p w14:paraId="53E4D186">
            <w:pPr>
              <w:pStyle w:val="9"/>
              <w:ind w:firstLine="420"/>
              <w:rPr>
                <w:rFonts w:hint="eastAsia" w:ascii="宋体" w:hAnsi="宋体"/>
                <w:color w:val="auto"/>
                <w:szCs w:val="21"/>
                <w:highlight w:val="none"/>
              </w:rPr>
            </w:pPr>
            <w:r>
              <w:rPr>
                <w:rFonts w:hint="eastAsia" w:ascii="宋体" w:hAnsi="宋体"/>
                <w:color w:val="auto"/>
                <w:szCs w:val="21"/>
                <w:highlight w:val="none"/>
              </w:rPr>
              <w:t>零售业</w:t>
            </w:r>
          </w:p>
        </w:tc>
        <w:tc>
          <w:tcPr>
            <w:tcW w:w="1718" w:type="dxa"/>
            <w:noWrap w:val="0"/>
            <w:vAlign w:val="top"/>
          </w:tcPr>
          <w:p w14:paraId="4BA50F40">
            <w:pPr>
              <w:pStyle w:val="9"/>
              <w:ind w:firstLine="420"/>
              <w:rPr>
                <w:rFonts w:hint="eastAsia" w:ascii="宋体" w:hAnsi="宋体"/>
                <w:color w:val="auto"/>
                <w:szCs w:val="21"/>
                <w:highlight w:val="none"/>
              </w:rPr>
            </w:pPr>
            <w:r>
              <w:rPr>
                <w:rFonts w:hint="eastAsia" w:ascii="宋体" w:hAnsi="宋体"/>
                <w:color w:val="auto"/>
                <w:szCs w:val="21"/>
                <w:highlight w:val="none"/>
              </w:rPr>
              <w:t>从业人员（X）</w:t>
            </w:r>
          </w:p>
        </w:tc>
        <w:tc>
          <w:tcPr>
            <w:tcW w:w="1132" w:type="dxa"/>
            <w:noWrap w:val="0"/>
            <w:vAlign w:val="top"/>
          </w:tcPr>
          <w:p w14:paraId="1B1C5AEB">
            <w:pPr>
              <w:pStyle w:val="9"/>
              <w:ind w:firstLine="420"/>
              <w:rPr>
                <w:rFonts w:hint="eastAsia" w:ascii="宋体" w:hAnsi="宋体"/>
                <w:color w:val="auto"/>
                <w:szCs w:val="21"/>
                <w:highlight w:val="none"/>
              </w:rPr>
            </w:pPr>
            <w:r>
              <w:rPr>
                <w:rFonts w:hint="eastAsia" w:ascii="宋体" w:hAnsi="宋体"/>
                <w:color w:val="auto"/>
                <w:szCs w:val="21"/>
                <w:highlight w:val="none"/>
              </w:rPr>
              <w:t>人</w:t>
            </w:r>
          </w:p>
        </w:tc>
        <w:tc>
          <w:tcPr>
            <w:tcW w:w="2012" w:type="dxa"/>
            <w:noWrap w:val="0"/>
            <w:vAlign w:val="top"/>
          </w:tcPr>
          <w:p w14:paraId="0A1D3D83">
            <w:pPr>
              <w:pStyle w:val="9"/>
              <w:ind w:firstLine="420"/>
              <w:rPr>
                <w:rFonts w:hint="eastAsia" w:ascii="宋体" w:hAnsi="宋体"/>
                <w:color w:val="auto"/>
                <w:szCs w:val="21"/>
                <w:highlight w:val="none"/>
              </w:rPr>
            </w:pPr>
            <w:r>
              <w:rPr>
                <w:rFonts w:hint="eastAsia" w:ascii="宋体" w:hAnsi="宋体"/>
                <w:color w:val="auto"/>
                <w:szCs w:val="21"/>
                <w:highlight w:val="none"/>
              </w:rPr>
              <w:t>50≤X＜300</w:t>
            </w:r>
          </w:p>
        </w:tc>
        <w:tc>
          <w:tcPr>
            <w:tcW w:w="1788" w:type="dxa"/>
            <w:noWrap w:val="0"/>
            <w:vAlign w:val="top"/>
          </w:tcPr>
          <w:p w14:paraId="2E5791CA">
            <w:pPr>
              <w:pStyle w:val="9"/>
              <w:ind w:firstLine="420"/>
              <w:rPr>
                <w:rFonts w:hint="eastAsia" w:ascii="宋体" w:hAnsi="宋体"/>
                <w:color w:val="auto"/>
                <w:szCs w:val="21"/>
                <w:highlight w:val="none"/>
              </w:rPr>
            </w:pPr>
            <w:r>
              <w:rPr>
                <w:rFonts w:hint="eastAsia" w:ascii="宋体" w:hAnsi="宋体"/>
                <w:color w:val="auto"/>
                <w:szCs w:val="21"/>
                <w:highlight w:val="none"/>
              </w:rPr>
              <w:t>10≤X＜50</w:t>
            </w:r>
          </w:p>
        </w:tc>
        <w:tc>
          <w:tcPr>
            <w:tcW w:w="1153" w:type="dxa"/>
            <w:noWrap w:val="0"/>
            <w:vAlign w:val="top"/>
          </w:tcPr>
          <w:p w14:paraId="1E535F1C">
            <w:pPr>
              <w:pStyle w:val="9"/>
              <w:ind w:firstLine="420"/>
              <w:rPr>
                <w:rFonts w:hint="eastAsia" w:ascii="宋体" w:hAnsi="宋体"/>
                <w:color w:val="auto"/>
                <w:szCs w:val="21"/>
                <w:highlight w:val="none"/>
              </w:rPr>
            </w:pPr>
            <w:r>
              <w:rPr>
                <w:rFonts w:hint="eastAsia" w:ascii="宋体" w:hAnsi="宋体"/>
                <w:color w:val="auto"/>
                <w:szCs w:val="21"/>
                <w:highlight w:val="none"/>
              </w:rPr>
              <w:t>X＜10</w:t>
            </w:r>
          </w:p>
        </w:tc>
      </w:tr>
      <w:tr w14:paraId="0FF144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118" w:type="dxa"/>
            <w:vMerge w:val="continue"/>
            <w:tcBorders>
              <w:top w:val="nil"/>
            </w:tcBorders>
            <w:noWrap w:val="0"/>
            <w:vAlign w:val="top"/>
          </w:tcPr>
          <w:p w14:paraId="3F45B347">
            <w:pPr>
              <w:pStyle w:val="9"/>
              <w:ind w:firstLine="420"/>
              <w:rPr>
                <w:rFonts w:hint="eastAsia" w:ascii="宋体" w:hAnsi="宋体"/>
                <w:color w:val="auto"/>
                <w:szCs w:val="21"/>
                <w:highlight w:val="none"/>
              </w:rPr>
            </w:pPr>
          </w:p>
        </w:tc>
        <w:tc>
          <w:tcPr>
            <w:tcW w:w="1718" w:type="dxa"/>
            <w:noWrap w:val="0"/>
            <w:vAlign w:val="top"/>
          </w:tcPr>
          <w:p w14:paraId="7FEBBC8D">
            <w:pPr>
              <w:pStyle w:val="9"/>
              <w:ind w:firstLine="420"/>
              <w:rPr>
                <w:rFonts w:hint="eastAsia" w:ascii="宋体" w:hAnsi="宋体"/>
                <w:color w:val="auto"/>
                <w:szCs w:val="21"/>
                <w:highlight w:val="none"/>
              </w:rPr>
            </w:pPr>
            <w:r>
              <w:rPr>
                <w:rFonts w:hint="eastAsia" w:ascii="宋体" w:hAnsi="宋体"/>
                <w:color w:val="auto"/>
                <w:szCs w:val="21"/>
                <w:highlight w:val="none"/>
              </w:rPr>
              <w:t>营业收入（Y）</w:t>
            </w:r>
          </w:p>
        </w:tc>
        <w:tc>
          <w:tcPr>
            <w:tcW w:w="1132" w:type="dxa"/>
            <w:noWrap w:val="0"/>
            <w:vAlign w:val="top"/>
          </w:tcPr>
          <w:p w14:paraId="003A9045">
            <w:pPr>
              <w:pStyle w:val="9"/>
              <w:ind w:firstLine="420"/>
              <w:rPr>
                <w:rFonts w:hint="eastAsia" w:ascii="宋体" w:hAnsi="宋体"/>
                <w:color w:val="auto"/>
                <w:szCs w:val="21"/>
                <w:highlight w:val="none"/>
              </w:rPr>
            </w:pPr>
            <w:r>
              <w:rPr>
                <w:rFonts w:hint="eastAsia" w:ascii="宋体" w:hAnsi="宋体"/>
                <w:color w:val="auto"/>
                <w:szCs w:val="21"/>
                <w:highlight w:val="none"/>
              </w:rPr>
              <w:t>万元</w:t>
            </w:r>
          </w:p>
        </w:tc>
        <w:tc>
          <w:tcPr>
            <w:tcW w:w="2012" w:type="dxa"/>
            <w:noWrap w:val="0"/>
            <w:vAlign w:val="top"/>
          </w:tcPr>
          <w:p w14:paraId="2BF05FDE">
            <w:pPr>
              <w:pStyle w:val="9"/>
              <w:ind w:firstLine="420"/>
              <w:rPr>
                <w:rFonts w:hint="eastAsia" w:ascii="宋体" w:hAnsi="宋体"/>
                <w:color w:val="auto"/>
                <w:szCs w:val="21"/>
                <w:highlight w:val="none"/>
              </w:rPr>
            </w:pPr>
            <w:r>
              <w:rPr>
                <w:rFonts w:hint="eastAsia" w:ascii="宋体" w:hAnsi="宋体"/>
                <w:color w:val="auto"/>
                <w:szCs w:val="21"/>
                <w:highlight w:val="none"/>
              </w:rPr>
              <w:t>500≤Y＜20000</w:t>
            </w:r>
          </w:p>
        </w:tc>
        <w:tc>
          <w:tcPr>
            <w:tcW w:w="1788" w:type="dxa"/>
            <w:noWrap w:val="0"/>
            <w:vAlign w:val="top"/>
          </w:tcPr>
          <w:p w14:paraId="10C36BD3">
            <w:pPr>
              <w:pStyle w:val="9"/>
              <w:ind w:firstLine="420"/>
              <w:rPr>
                <w:rFonts w:hint="eastAsia" w:ascii="宋体" w:hAnsi="宋体"/>
                <w:color w:val="auto"/>
                <w:szCs w:val="21"/>
                <w:highlight w:val="none"/>
              </w:rPr>
            </w:pPr>
            <w:r>
              <w:rPr>
                <w:rFonts w:hint="eastAsia" w:ascii="宋体" w:hAnsi="宋体"/>
                <w:color w:val="auto"/>
                <w:szCs w:val="21"/>
                <w:highlight w:val="none"/>
              </w:rPr>
              <w:t>100≤Y＜500</w:t>
            </w:r>
          </w:p>
        </w:tc>
        <w:tc>
          <w:tcPr>
            <w:tcW w:w="1153" w:type="dxa"/>
            <w:noWrap w:val="0"/>
            <w:vAlign w:val="top"/>
          </w:tcPr>
          <w:p w14:paraId="417FD888">
            <w:pPr>
              <w:pStyle w:val="9"/>
              <w:ind w:firstLine="420"/>
              <w:rPr>
                <w:rFonts w:hint="eastAsia" w:ascii="宋体" w:hAnsi="宋体"/>
                <w:color w:val="auto"/>
                <w:szCs w:val="21"/>
                <w:highlight w:val="none"/>
              </w:rPr>
            </w:pPr>
            <w:r>
              <w:rPr>
                <w:rFonts w:hint="eastAsia" w:ascii="宋体" w:hAnsi="宋体"/>
                <w:color w:val="auto"/>
                <w:szCs w:val="21"/>
                <w:highlight w:val="none"/>
              </w:rPr>
              <w:t>Y＜100</w:t>
            </w:r>
          </w:p>
        </w:tc>
      </w:tr>
      <w:tr w14:paraId="3568B1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118" w:type="dxa"/>
            <w:vMerge w:val="restart"/>
            <w:tcBorders>
              <w:bottom w:val="nil"/>
            </w:tcBorders>
            <w:noWrap w:val="0"/>
            <w:vAlign w:val="top"/>
          </w:tcPr>
          <w:p w14:paraId="57C888C6">
            <w:pPr>
              <w:pStyle w:val="9"/>
              <w:ind w:firstLine="420"/>
              <w:rPr>
                <w:rFonts w:hint="eastAsia" w:ascii="宋体" w:hAnsi="宋体"/>
                <w:color w:val="auto"/>
                <w:szCs w:val="21"/>
                <w:highlight w:val="none"/>
              </w:rPr>
            </w:pPr>
            <w:r>
              <w:rPr>
                <w:rFonts w:hint="eastAsia" w:ascii="宋体" w:hAnsi="宋体"/>
                <w:color w:val="auto"/>
                <w:szCs w:val="21"/>
                <w:highlight w:val="none"/>
              </w:rPr>
              <w:t>交通运输业</w:t>
            </w:r>
          </w:p>
        </w:tc>
        <w:tc>
          <w:tcPr>
            <w:tcW w:w="1718" w:type="dxa"/>
            <w:noWrap w:val="0"/>
            <w:vAlign w:val="top"/>
          </w:tcPr>
          <w:p w14:paraId="3A6C00DB">
            <w:pPr>
              <w:pStyle w:val="9"/>
              <w:ind w:firstLine="420"/>
              <w:rPr>
                <w:rFonts w:hint="eastAsia" w:ascii="宋体" w:hAnsi="宋体"/>
                <w:color w:val="auto"/>
                <w:szCs w:val="21"/>
                <w:highlight w:val="none"/>
              </w:rPr>
            </w:pPr>
            <w:r>
              <w:rPr>
                <w:rFonts w:hint="eastAsia" w:ascii="宋体" w:hAnsi="宋体"/>
                <w:color w:val="auto"/>
                <w:szCs w:val="21"/>
                <w:highlight w:val="none"/>
              </w:rPr>
              <w:t>从业人员（X）</w:t>
            </w:r>
          </w:p>
        </w:tc>
        <w:tc>
          <w:tcPr>
            <w:tcW w:w="1132" w:type="dxa"/>
            <w:noWrap w:val="0"/>
            <w:vAlign w:val="top"/>
          </w:tcPr>
          <w:p w14:paraId="60F37806">
            <w:pPr>
              <w:pStyle w:val="9"/>
              <w:ind w:firstLine="420"/>
              <w:rPr>
                <w:rFonts w:hint="eastAsia" w:ascii="宋体" w:hAnsi="宋体"/>
                <w:color w:val="auto"/>
                <w:szCs w:val="21"/>
                <w:highlight w:val="none"/>
              </w:rPr>
            </w:pPr>
            <w:r>
              <w:rPr>
                <w:rFonts w:hint="eastAsia" w:ascii="宋体" w:hAnsi="宋体"/>
                <w:color w:val="auto"/>
                <w:szCs w:val="21"/>
                <w:highlight w:val="none"/>
              </w:rPr>
              <w:t>人</w:t>
            </w:r>
          </w:p>
        </w:tc>
        <w:tc>
          <w:tcPr>
            <w:tcW w:w="2012" w:type="dxa"/>
            <w:noWrap w:val="0"/>
            <w:vAlign w:val="top"/>
          </w:tcPr>
          <w:p w14:paraId="5EB165E8">
            <w:pPr>
              <w:pStyle w:val="9"/>
              <w:ind w:firstLine="420"/>
              <w:rPr>
                <w:rFonts w:hint="eastAsia" w:ascii="宋体" w:hAnsi="宋体"/>
                <w:color w:val="auto"/>
                <w:szCs w:val="21"/>
                <w:highlight w:val="none"/>
              </w:rPr>
            </w:pPr>
            <w:r>
              <w:rPr>
                <w:rFonts w:hint="eastAsia" w:ascii="宋体" w:hAnsi="宋体"/>
                <w:color w:val="auto"/>
                <w:szCs w:val="21"/>
                <w:highlight w:val="none"/>
              </w:rPr>
              <w:t>300≤X＜1000</w:t>
            </w:r>
          </w:p>
        </w:tc>
        <w:tc>
          <w:tcPr>
            <w:tcW w:w="1788" w:type="dxa"/>
            <w:noWrap w:val="0"/>
            <w:vAlign w:val="top"/>
          </w:tcPr>
          <w:p w14:paraId="0855B91B">
            <w:pPr>
              <w:pStyle w:val="9"/>
              <w:ind w:firstLine="420"/>
              <w:rPr>
                <w:rFonts w:hint="eastAsia" w:ascii="宋体" w:hAnsi="宋体"/>
                <w:color w:val="auto"/>
                <w:szCs w:val="21"/>
                <w:highlight w:val="none"/>
              </w:rPr>
            </w:pPr>
            <w:r>
              <w:rPr>
                <w:rFonts w:hint="eastAsia" w:ascii="宋体" w:hAnsi="宋体"/>
                <w:color w:val="auto"/>
                <w:szCs w:val="21"/>
                <w:highlight w:val="none"/>
              </w:rPr>
              <w:t>20≤X＜300</w:t>
            </w:r>
          </w:p>
        </w:tc>
        <w:tc>
          <w:tcPr>
            <w:tcW w:w="1153" w:type="dxa"/>
            <w:noWrap w:val="0"/>
            <w:vAlign w:val="top"/>
          </w:tcPr>
          <w:p w14:paraId="4DBF6F9E">
            <w:pPr>
              <w:pStyle w:val="9"/>
              <w:ind w:firstLine="420"/>
              <w:rPr>
                <w:rFonts w:hint="eastAsia" w:ascii="宋体" w:hAnsi="宋体"/>
                <w:color w:val="auto"/>
                <w:szCs w:val="21"/>
                <w:highlight w:val="none"/>
              </w:rPr>
            </w:pPr>
            <w:r>
              <w:rPr>
                <w:rFonts w:hint="eastAsia" w:ascii="宋体" w:hAnsi="宋体"/>
                <w:color w:val="auto"/>
                <w:szCs w:val="21"/>
                <w:highlight w:val="none"/>
              </w:rPr>
              <w:t>X＜20</w:t>
            </w:r>
          </w:p>
        </w:tc>
      </w:tr>
      <w:tr w14:paraId="544A3B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118" w:type="dxa"/>
            <w:vMerge w:val="continue"/>
            <w:tcBorders>
              <w:top w:val="nil"/>
            </w:tcBorders>
            <w:noWrap w:val="0"/>
            <w:vAlign w:val="top"/>
          </w:tcPr>
          <w:p w14:paraId="2CFDD12B">
            <w:pPr>
              <w:pStyle w:val="9"/>
              <w:ind w:firstLine="420"/>
              <w:rPr>
                <w:rFonts w:hint="eastAsia" w:ascii="宋体" w:hAnsi="宋体"/>
                <w:color w:val="auto"/>
                <w:szCs w:val="21"/>
                <w:highlight w:val="none"/>
              </w:rPr>
            </w:pPr>
          </w:p>
        </w:tc>
        <w:tc>
          <w:tcPr>
            <w:tcW w:w="1718" w:type="dxa"/>
            <w:noWrap w:val="0"/>
            <w:vAlign w:val="top"/>
          </w:tcPr>
          <w:p w14:paraId="14DAD3C7">
            <w:pPr>
              <w:pStyle w:val="9"/>
              <w:ind w:firstLine="420"/>
              <w:rPr>
                <w:rFonts w:hint="eastAsia" w:ascii="宋体" w:hAnsi="宋体"/>
                <w:color w:val="auto"/>
                <w:szCs w:val="21"/>
                <w:highlight w:val="none"/>
              </w:rPr>
            </w:pPr>
            <w:r>
              <w:rPr>
                <w:rFonts w:hint="eastAsia" w:ascii="宋体" w:hAnsi="宋体"/>
                <w:color w:val="auto"/>
                <w:szCs w:val="21"/>
                <w:highlight w:val="none"/>
              </w:rPr>
              <w:t>营业收入（Y）</w:t>
            </w:r>
          </w:p>
        </w:tc>
        <w:tc>
          <w:tcPr>
            <w:tcW w:w="1132" w:type="dxa"/>
            <w:noWrap w:val="0"/>
            <w:vAlign w:val="top"/>
          </w:tcPr>
          <w:p w14:paraId="507A5C23">
            <w:pPr>
              <w:pStyle w:val="9"/>
              <w:ind w:firstLine="420"/>
              <w:rPr>
                <w:rFonts w:hint="eastAsia" w:ascii="宋体" w:hAnsi="宋体"/>
                <w:color w:val="auto"/>
                <w:szCs w:val="21"/>
                <w:highlight w:val="none"/>
              </w:rPr>
            </w:pPr>
            <w:r>
              <w:rPr>
                <w:rFonts w:hint="eastAsia" w:ascii="宋体" w:hAnsi="宋体"/>
                <w:color w:val="auto"/>
                <w:szCs w:val="21"/>
                <w:highlight w:val="none"/>
              </w:rPr>
              <w:t>万元</w:t>
            </w:r>
          </w:p>
        </w:tc>
        <w:tc>
          <w:tcPr>
            <w:tcW w:w="2012" w:type="dxa"/>
            <w:noWrap w:val="0"/>
            <w:vAlign w:val="top"/>
          </w:tcPr>
          <w:p w14:paraId="39CEF5E6">
            <w:pPr>
              <w:pStyle w:val="9"/>
              <w:ind w:firstLine="420"/>
              <w:rPr>
                <w:rFonts w:hint="eastAsia" w:ascii="宋体" w:hAnsi="宋体"/>
                <w:color w:val="auto"/>
                <w:szCs w:val="21"/>
                <w:highlight w:val="none"/>
              </w:rPr>
            </w:pPr>
            <w:r>
              <w:rPr>
                <w:rFonts w:hint="eastAsia" w:ascii="宋体" w:hAnsi="宋体"/>
                <w:color w:val="auto"/>
                <w:szCs w:val="21"/>
                <w:highlight w:val="none"/>
              </w:rPr>
              <w:t>3000≤Y＜30000</w:t>
            </w:r>
          </w:p>
        </w:tc>
        <w:tc>
          <w:tcPr>
            <w:tcW w:w="1788" w:type="dxa"/>
            <w:noWrap w:val="0"/>
            <w:vAlign w:val="top"/>
          </w:tcPr>
          <w:p w14:paraId="2003393C">
            <w:pPr>
              <w:pStyle w:val="9"/>
              <w:ind w:firstLine="420"/>
              <w:rPr>
                <w:rFonts w:hint="eastAsia" w:ascii="宋体" w:hAnsi="宋体"/>
                <w:color w:val="auto"/>
                <w:szCs w:val="21"/>
                <w:highlight w:val="none"/>
              </w:rPr>
            </w:pPr>
            <w:r>
              <w:rPr>
                <w:rFonts w:hint="eastAsia" w:ascii="宋体" w:hAnsi="宋体"/>
                <w:color w:val="auto"/>
                <w:szCs w:val="21"/>
                <w:highlight w:val="none"/>
              </w:rPr>
              <w:t>200≤Y＜3000</w:t>
            </w:r>
          </w:p>
        </w:tc>
        <w:tc>
          <w:tcPr>
            <w:tcW w:w="1153" w:type="dxa"/>
            <w:noWrap w:val="0"/>
            <w:vAlign w:val="top"/>
          </w:tcPr>
          <w:p w14:paraId="3C05DAE4">
            <w:pPr>
              <w:pStyle w:val="9"/>
              <w:ind w:firstLine="420"/>
              <w:rPr>
                <w:rFonts w:hint="eastAsia" w:ascii="宋体" w:hAnsi="宋体"/>
                <w:color w:val="auto"/>
                <w:szCs w:val="21"/>
                <w:highlight w:val="none"/>
              </w:rPr>
            </w:pPr>
            <w:r>
              <w:rPr>
                <w:rFonts w:hint="eastAsia" w:ascii="宋体" w:hAnsi="宋体"/>
                <w:color w:val="auto"/>
                <w:szCs w:val="21"/>
                <w:highlight w:val="none"/>
              </w:rPr>
              <w:t>Y＜200</w:t>
            </w:r>
          </w:p>
        </w:tc>
      </w:tr>
      <w:tr w14:paraId="066825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118" w:type="dxa"/>
            <w:vMerge w:val="restart"/>
            <w:tcBorders>
              <w:bottom w:val="nil"/>
            </w:tcBorders>
            <w:noWrap w:val="0"/>
            <w:vAlign w:val="top"/>
          </w:tcPr>
          <w:p w14:paraId="76D25B4A">
            <w:pPr>
              <w:pStyle w:val="9"/>
              <w:ind w:firstLine="420"/>
              <w:rPr>
                <w:rFonts w:hint="eastAsia" w:ascii="宋体" w:hAnsi="宋体"/>
                <w:color w:val="auto"/>
                <w:szCs w:val="21"/>
                <w:highlight w:val="none"/>
              </w:rPr>
            </w:pPr>
            <w:r>
              <w:rPr>
                <w:rFonts w:hint="eastAsia" w:ascii="宋体" w:hAnsi="宋体"/>
                <w:color w:val="auto"/>
                <w:szCs w:val="21"/>
                <w:highlight w:val="none"/>
              </w:rPr>
              <w:t>仓储业</w:t>
            </w:r>
          </w:p>
        </w:tc>
        <w:tc>
          <w:tcPr>
            <w:tcW w:w="1718" w:type="dxa"/>
            <w:noWrap w:val="0"/>
            <w:vAlign w:val="top"/>
          </w:tcPr>
          <w:p w14:paraId="2F5C5167">
            <w:pPr>
              <w:pStyle w:val="9"/>
              <w:ind w:firstLine="420"/>
              <w:rPr>
                <w:rFonts w:hint="eastAsia" w:ascii="宋体" w:hAnsi="宋体"/>
                <w:color w:val="auto"/>
                <w:szCs w:val="21"/>
                <w:highlight w:val="none"/>
              </w:rPr>
            </w:pPr>
            <w:r>
              <w:rPr>
                <w:rFonts w:hint="eastAsia" w:ascii="宋体" w:hAnsi="宋体"/>
                <w:color w:val="auto"/>
                <w:szCs w:val="21"/>
                <w:highlight w:val="none"/>
              </w:rPr>
              <w:t>从业人员（X）</w:t>
            </w:r>
          </w:p>
        </w:tc>
        <w:tc>
          <w:tcPr>
            <w:tcW w:w="1132" w:type="dxa"/>
            <w:noWrap w:val="0"/>
            <w:vAlign w:val="top"/>
          </w:tcPr>
          <w:p w14:paraId="44D93E85">
            <w:pPr>
              <w:pStyle w:val="9"/>
              <w:ind w:firstLine="420"/>
              <w:rPr>
                <w:rFonts w:hint="eastAsia" w:ascii="宋体" w:hAnsi="宋体"/>
                <w:color w:val="auto"/>
                <w:szCs w:val="21"/>
                <w:highlight w:val="none"/>
              </w:rPr>
            </w:pPr>
            <w:r>
              <w:rPr>
                <w:rFonts w:hint="eastAsia" w:ascii="宋体" w:hAnsi="宋体"/>
                <w:color w:val="auto"/>
                <w:szCs w:val="21"/>
                <w:highlight w:val="none"/>
              </w:rPr>
              <w:t>人</w:t>
            </w:r>
          </w:p>
        </w:tc>
        <w:tc>
          <w:tcPr>
            <w:tcW w:w="2012" w:type="dxa"/>
            <w:noWrap w:val="0"/>
            <w:vAlign w:val="top"/>
          </w:tcPr>
          <w:p w14:paraId="295C8397">
            <w:pPr>
              <w:pStyle w:val="9"/>
              <w:ind w:firstLine="420"/>
              <w:rPr>
                <w:rFonts w:hint="eastAsia" w:ascii="宋体" w:hAnsi="宋体"/>
                <w:color w:val="auto"/>
                <w:szCs w:val="21"/>
                <w:highlight w:val="none"/>
              </w:rPr>
            </w:pPr>
            <w:r>
              <w:rPr>
                <w:rFonts w:hint="eastAsia" w:ascii="宋体" w:hAnsi="宋体"/>
                <w:color w:val="auto"/>
                <w:szCs w:val="21"/>
                <w:highlight w:val="none"/>
              </w:rPr>
              <w:t>100≤X＜200</w:t>
            </w:r>
          </w:p>
        </w:tc>
        <w:tc>
          <w:tcPr>
            <w:tcW w:w="1788" w:type="dxa"/>
            <w:noWrap w:val="0"/>
            <w:vAlign w:val="top"/>
          </w:tcPr>
          <w:p w14:paraId="76541492">
            <w:pPr>
              <w:pStyle w:val="9"/>
              <w:ind w:firstLine="420"/>
              <w:rPr>
                <w:rFonts w:hint="eastAsia" w:ascii="宋体" w:hAnsi="宋体"/>
                <w:color w:val="auto"/>
                <w:szCs w:val="21"/>
                <w:highlight w:val="none"/>
              </w:rPr>
            </w:pPr>
            <w:r>
              <w:rPr>
                <w:rFonts w:hint="eastAsia" w:ascii="宋体" w:hAnsi="宋体"/>
                <w:color w:val="auto"/>
                <w:szCs w:val="21"/>
                <w:highlight w:val="none"/>
              </w:rPr>
              <w:t>20≤X＜100</w:t>
            </w:r>
          </w:p>
        </w:tc>
        <w:tc>
          <w:tcPr>
            <w:tcW w:w="1153" w:type="dxa"/>
            <w:noWrap w:val="0"/>
            <w:vAlign w:val="top"/>
          </w:tcPr>
          <w:p w14:paraId="01102F1E">
            <w:pPr>
              <w:pStyle w:val="9"/>
              <w:ind w:firstLine="420"/>
              <w:rPr>
                <w:rFonts w:hint="eastAsia" w:ascii="宋体" w:hAnsi="宋体"/>
                <w:color w:val="auto"/>
                <w:szCs w:val="21"/>
                <w:highlight w:val="none"/>
              </w:rPr>
            </w:pPr>
            <w:r>
              <w:rPr>
                <w:rFonts w:hint="eastAsia" w:ascii="宋体" w:hAnsi="宋体"/>
                <w:color w:val="auto"/>
                <w:szCs w:val="21"/>
                <w:highlight w:val="none"/>
              </w:rPr>
              <w:t>X＜20</w:t>
            </w:r>
          </w:p>
        </w:tc>
      </w:tr>
      <w:tr w14:paraId="092997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118" w:type="dxa"/>
            <w:vMerge w:val="continue"/>
            <w:tcBorders>
              <w:top w:val="nil"/>
            </w:tcBorders>
            <w:noWrap w:val="0"/>
            <w:vAlign w:val="top"/>
          </w:tcPr>
          <w:p w14:paraId="25A9F104">
            <w:pPr>
              <w:pStyle w:val="9"/>
              <w:ind w:firstLine="420"/>
              <w:rPr>
                <w:rFonts w:hint="eastAsia" w:ascii="宋体" w:hAnsi="宋体"/>
                <w:color w:val="auto"/>
                <w:szCs w:val="21"/>
                <w:highlight w:val="none"/>
              </w:rPr>
            </w:pPr>
          </w:p>
        </w:tc>
        <w:tc>
          <w:tcPr>
            <w:tcW w:w="1718" w:type="dxa"/>
            <w:noWrap w:val="0"/>
            <w:vAlign w:val="top"/>
          </w:tcPr>
          <w:p w14:paraId="0430F1D6">
            <w:pPr>
              <w:pStyle w:val="9"/>
              <w:ind w:firstLine="420"/>
              <w:rPr>
                <w:rFonts w:hint="eastAsia" w:ascii="宋体" w:hAnsi="宋体"/>
                <w:color w:val="auto"/>
                <w:szCs w:val="21"/>
                <w:highlight w:val="none"/>
              </w:rPr>
            </w:pPr>
            <w:r>
              <w:rPr>
                <w:rFonts w:hint="eastAsia" w:ascii="宋体" w:hAnsi="宋体"/>
                <w:color w:val="auto"/>
                <w:szCs w:val="21"/>
                <w:highlight w:val="none"/>
              </w:rPr>
              <w:t>营业收入（Y）</w:t>
            </w:r>
          </w:p>
        </w:tc>
        <w:tc>
          <w:tcPr>
            <w:tcW w:w="1132" w:type="dxa"/>
            <w:noWrap w:val="0"/>
            <w:vAlign w:val="top"/>
          </w:tcPr>
          <w:p w14:paraId="4AF1919F">
            <w:pPr>
              <w:pStyle w:val="9"/>
              <w:ind w:firstLine="420"/>
              <w:rPr>
                <w:rFonts w:hint="eastAsia" w:ascii="宋体" w:hAnsi="宋体"/>
                <w:color w:val="auto"/>
                <w:szCs w:val="21"/>
                <w:highlight w:val="none"/>
              </w:rPr>
            </w:pPr>
            <w:r>
              <w:rPr>
                <w:rFonts w:hint="eastAsia" w:ascii="宋体" w:hAnsi="宋体"/>
                <w:color w:val="auto"/>
                <w:szCs w:val="21"/>
                <w:highlight w:val="none"/>
              </w:rPr>
              <w:t>万元</w:t>
            </w:r>
          </w:p>
        </w:tc>
        <w:tc>
          <w:tcPr>
            <w:tcW w:w="2012" w:type="dxa"/>
            <w:noWrap w:val="0"/>
            <w:vAlign w:val="top"/>
          </w:tcPr>
          <w:p w14:paraId="454EEA15">
            <w:pPr>
              <w:pStyle w:val="9"/>
              <w:ind w:firstLine="420"/>
              <w:rPr>
                <w:rFonts w:hint="eastAsia" w:ascii="宋体" w:hAnsi="宋体"/>
                <w:color w:val="auto"/>
                <w:szCs w:val="21"/>
                <w:highlight w:val="none"/>
              </w:rPr>
            </w:pPr>
            <w:r>
              <w:rPr>
                <w:rFonts w:hint="eastAsia" w:ascii="宋体" w:hAnsi="宋体"/>
                <w:color w:val="auto"/>
                <w:szCs w:val="21"/>
                <w:highlight w:val="none"/>
              </w:rPr>
              <w:t>1000≤Y＜30000</w:t>
            </w:r>
          </w:p>
        </w:tc>
        <w:tc>
          <w:tcPr>
            <w:tcW w:w="1788" w:type="dxa"/>
            <w:noWrap w:val="0"/>
            <w:vAlign w:val="top"/>
          </w:tcPr>
          <w:p w14:paraId="38B2FBB9">
            <w:pPr>
              <w:pStyle w:val="9"/>
              <w:ind w:firstLine="420"/>
              <w:rPr>
                <w:rFonts w:hint="eastAsia" w:ascii="宋体" w:hAnsi="宋体"/>
                <w:color w:val="auto"/>
                <w:szCs w:val="21"/>
                <w:highlight w:val="none"/>
              </w:rPr>
            </w:pPr>
            <w:r>
              <w:rPr>
                <w:rFonts w:hint="eastAsia" w:ascii="宋体" w:hAnsi="宋体"/>
                <w:color w:val="auto"/>
                <w:szCs w:val="21"/>
                <w:highlight w:val="none"/>
              </w:rPr>
              <w:t>100≤Y＜1000</w:t>
            </w:r>
          </w:p>
        </w:tc>
        <w:tc>
          <w:tcPr>
            <w:tcW w:w="1153" w:type="dxa"/>
            <w:noWrap w:val="0"/>
            <w:vAlign w:val="top"/>
          </w:tcPr>
          <w:p w14:paraId="0A128AF5">
            <w:pPr>
              <w:pStyle w:val="9"/>
              <w:ind w:firstLine="420"/>
              <w:rPr>
                <w:rFonts w:hint="eastAsia" w:ascii="宋体" w:hAnsi="宋体"/>
                <w:color w:val="auto"/>
                <w:szCs w:val="21"/>
                <w:highlight w:val="none"/>
              </w:rPr>
            </w:pPr>
            <w:r>
              <w:rPr>
                <w:rFonts w:hint="eastAsia" w:ascii="宋体" w:hAnsi="宋体"/>
                <w:color w:val="auto"/>
                <w:szCs w:val="21"/>
                <w:highlight w:val="none"/>
              </w:rPr>
              <w:t>Y＜100</w:t>
            </w:r>
          </w:p>
        </w:tc>
      </w:tr>
      <w:tr w14:paraId="6574A8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118" w:type="dxa"/>
            <w:vMerge w:val="restart"/>
            <w:tcBorders>
              <w:bottom w:val="nil"/>
            </w:tcBorders>
            <w:noWrap w:val="0"/>
            <w:vAlign w:val="top"/>
          </w:tcPr>
          <w:p w14:paraId="31B21B72">
            <w:pPr>
              <w:pStyle w:val="9"/>
              <w:ind w:firstLine="420"/>
              <w:rPr>
                <w:rFonts w:hint="eastAsia" w:ascii="宋体" w:hAnsi="宋体"/>
                <w:color w:val="auto"/>
                <w:szCs w:val="21"/>
                <w:highlight w:val="none"/>
              </w:rPr>
            </w:pPr>
            <w:r>
              <w:rPr>
                <w:rFonts w:hint="eastAsia" w:ascii="宋体" w:hAnsi="宋体"/>
                <w:color w:val="auto"/>
                <w:szCs w:val="21"/>
                <w:highlight w:val="none"/>
              </w:rPr>
              <w:t>邮政业</w:t>
            </w:r>
          </w:p>
        </w:tc>
        <w:tc>
          <w:tcPr>
            <w:tcW w:w="1718" w:type="dxa"/>
            <w:noWrap w:val="0"/>
            <w:vAlign w:val="top"/>
          </w:tcPr>
          <w:p w14:paraId="2E4C856D">
            <w:pPr>
              <w:pStyle w:val="9"/>
              <w:ind w:firstLine="420"/>
              <w:rPr>
                <w:rFonts w:hint="eastAsia" w:ascii="宋体" w:hAnsi="宋体"/>
                <w:color w:val="auto"/>
                <w:szCs w:val="21"/>
                <w:highlight w:val="none"/>
              </w:rPr>
            </w:pPr>
            <w:r>
              <w:rPr>
                <w:rFonts w:hint="eastAsia" w:ascii="宋体" w:hAnsi="宋体"/>
                <w:color w:val="auto"/>
                <w:szCs w:val="21"/>
                <w:highlight w:val="none"/>
              </w:rPr>
              <w:t>从业人员（X）</w:t>
            </w:r>
          </w:p>
        </w:tc>
        <w:tc>
          <w:tcPr>
            <w:tcW w:w="1132" w:type="dxa"/>
            <w:noWrap w:val="0"/>
            <w:vAlign w:val="top"/>
          </w:tcPr>
          <w:p w14:paraId="1D9CEAC6">
            <w:pPr>
              <w:pStyle w:val="9"/>
              <w:ind w:firstLine="420"/>
              <w:rPr>
                <w:rFonts w:hint="eastAsia" w:ascii="宋体" w:hAnsi="宋体"/>
                <w:color w:val="auto"/>
                <w:szCs w:val="21"/>
                <w:highlight w:val="none"/>
              </w:rPr>
            </w:pPr>
            <w:r>
              <w:rPr>
                <w:rFonts w:hint="eastAsia" w:ascii="宋体" w:hAnsi="宋体"/>
                <w:color w:val="auto"/>
                <w:szCs w:val="21"/>
                <w:highlight w:val="none"/>
              </w:rPr>
              <w:t>人</w:t>
            </w:r>
          </w:p>
        </w:tc>
        <w:tc>
          <w:tcPr>
            <w:tcW w:w="2012" w:type="dxa"/>
            <w:noWrap w:val="0"/>
            <w:vAlign w:val="top"/>
          </w:tcPr>
          <w:p w14:paraId="63D68399">
            <w:pPr>
              <w:pStyle w:val="9"/>
              <w:ind w:firstLine="420"/>
              <w:rPr>
                <w:rFonts w:hint="eastAsia" w:ascii="宋体" w:hAnsi="宋体"/>
                <w:color w:val="auto"/>
                <w:szCs w:val="21"/>
                <w:highlight w:val="none"/>
              </w:rPr>
            </w:pPr>
            <w:r>
              <w:rPr>
                <w:rFonts w:hint="eastAsia" w:ascii="宋体" w:hAnsi="宋体"/>
                <w:color w:val="auto"/>
                <w:szCs w:val="21"/>
                <w:highlight w:val="none"/>
              </w:rPr>
              <w:t>300≤X＜1000</w:t>
            </w:r>
          </w:p>
        </w:tc>
        <w:tc>
          <w:tcPr>
            <w:tcW w:w="1788" w:type="dxa"/>
            <w:noWrap w:val="0"/>
            <w:vAlign w:val="top"/>
          </w:tcPr>
          <w:p w14:paraId="25E0BA3E">
            <w:pPr>
              <w:pStyle w:val="9"/>
              <w:ind w:firstLine="420"/>
              <w:rPr>
                <w:rFonts w:hint="eastAsia" w:ascii="宋体" w:hAnsi="宋体"/>
                <w:color w:val="auto"/>
                <w:szCs w:val="21"/>
                <w:highlight w:val="none"/>
              </w:rPr>
            </w:pPr>
            <w:r>
              <w:rPr>
                <w:rFonts w:hint="eastAsia" w:ascii="宋体" w:hAnsi="宋体"/>
                <w:color w:val="auto"/>
                <w:szCs w:val="21"/>
                <w:highlight w:val="none"/>
              </w:rPr>
              <w:t>20≤X＜300</w:t>
            </w:r>
          </w:p>
        </w:tc>
        <w:tc>
          <w:tcPr>
            <w:tcW w:w="1153" w:type="dxa"/>
            <w:noWrap w:val="0"/>
            <w:vAlign w:val="top"/>
          </w:tcPr>
          <w:p w14:paraId="5F2E4472">
            <w:pPr>
              <w:pStyle w:val="9"/>
              <w:ind w:firstLine="420"/>
              <w:rPr>
                <w:rFonts w:hint="eastAsia" w:ascii="宋体" w:hAnsi="宋体"/>
                <w:color w:val="auto"/>
                <w:szCs w:val="21"/>
                <w:highlight w:val="none"/>
              </w:rPr>
            </w:pPr>
            <w:r>
              <w:rPr>
                <w:rFonts w:hint="eastAsia" w:ascii="宋体" w:hAnsi="宋体"/>
                <w:color w:val="auto"/>
                <w:szCs w:val="21"/>
                <w:highlight w:val="none"/>
              </w:rPr>
              <w:t>X＜20</w:t>
            </w:r>
          </w:p>
        </w:tc>
      </w:tr>
      <w:tr w14:paraId="0F3BA2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118" w:type="dxa"/>
            <w:vMerge w:val="continue"/>
            <w:tcBorders>
              <w:top w:val="nil"/>
            </w:tcBorders>
            <w:noWrap w:val="0"/>
            <w:vAlign w:val="top"/>
          </w:tcPr>
          <w:p w14:paraId="5D7F146C">
            <w:pPr>
              <w:pStyle w:val="9"/>
              <w:ind w:firstLine="420"/>
              <w:rPr>
                <w:rFonts w:hint="eastAsia" w:ascii="宋体" w:hAnsi="宋体"/>
                <w:color w:val="auto"/>
                <w:szCs w:val="21"/>
                <w:highlight w:val="none"/>
              </w:rPr>
            </w:pPr>
          </w:p>
        </w:tc>
        <w:tc>
          <w:tcPr>
            <w:tcW w:w="1718" w:type="dxa"/>
            <w:noWrap w:val="0"/>
            <w:vAlign w:val="top"/>
          </w:tcPr>
          <w:p w14:paraId="4E09D37B">
            <w:pPr>
              <w:pStyle w:val="9"/>
              <w:ind w:firstLine="420"/>
              <w:rPr>
                <w:rFonts w:hint="eastAsia" w:ascii="宋体" w:hAnsi="宋体"/>
                <w:color w:val="auto"/>
                <w:szCs w:val="21"/>
                <w:highlight w:val="none"/>
              </w:rPr>
            </w:pPr>
            <w:r>
              <w:rPr>
                <w:rFonts w:hint="eastAsia" w:ascii="宋体" w:hAnsi="宋体"/>
                <w:color w:val="auto"/>
                <w:szCs w:val="21"/>
                <w:highlight w:val="none"/>
              </w:rPr>
              <w:t>营业收入（Y）</w:t>
            </w:r>
          </w:p>
        </w:tc>
        <w:tc>
          <w:tcPr>
            <w:tcW w:w="1132" w:type="dxa"/>
            <w:noWrap w:val="0"/>
            <w:vAlign w:val="top"/>
          </w:tcPr>
          <w:p w14:paraId="071D44E3">
            <w:pPr>
              <w:pStyle w:val="9"/>
              <w:ind w:firstLine="420"/>
              <w:rPr>
                <w:rFonts w:hint="eastAsia" w:ascii="宋体" w:hAnsi="宋体"/>
                <w:color w:val="auto"/>
                <w:szCs w:val="21"/>
                <w:highlight w:val="none"/>
              </w:rPr>
            </w:pPr>
            <w:r>
              <w:rPr>
                <w:rFonts w:hint="eastAsia" w:ascii="宋体" w:hAnsi="宋体"/>
                <w:color w:val="auto"/>
                <w:szCs w:val="21"/>
                <w:highlight w:val="none"/>
              </w:rPr>
              <w:t>万元</w:t>
            </w:r>
          </w:p>
        </w:tc>
        <w:tc>
          <w:tcPr>
            <w:tcW w:w="2012" w:type="dxa"/>
            <w:noWrap w:val="0"/>
            <w:vAlign w:val="top"/>
          </w:tcPr>
          <w:p w14:paraId="7D877C16">
            <w:pPr>
              <w:pStyle w:val="9"/>
              <w:ind w:firstLine="420"/>
              <w:rPr>
                <w:rFonts w:hint="eastAsia" w:ascii="宋体" w:hAnsi="宋体"/>
                <w:color w:val="auto"/>
                <w:szCs w:val="21"/>
                <w:highlight w:val="none"/>
              </w:rPr>
            </w:pPr>
            <w:r>
              <w:rPr>
                <w:rFonts w:hint="eastAsia" w:ascii="宋体" w:hAnsi="宋体"/>
                <w:color w:val="auto"/>
                <w:szCs w:val="21"/>
                <w:highlight w:val="none"/>
              </w:rPr>
              <w:t>2000≤Y＜30000</w:t>
            </w:r>
          </w:p>
        </w:tc>
        <w:tc>
          <w:tcPr>
            <w:tcW w:w="1788" w:type="dxa"/>
            <w:noWrap w:val="0"/>
            <w:vAlign w:val="top"/>
          </w:tcPr>
          <w:p w14:paraId="5DA1FCC0">
            <w:pPr>
              <w:pStyle w:val="9"/>
              <w:ind w:firstLine="420"/>
              <w:rPr>
                <w:rFonts w:hint="eastAsia" w:ascii="宋体" w:hAnsi="宋体"/>
                <w:color w:val="auto"/>
                <w:szCs w:val="21"/>
                <w:highlight w:val="none"/>
              </w:rPr>
            </w:pPr>
            <w:r>
              <w:rPr>
                <w:rFonts w:hint="eastAsia" w:ascii="宋体" w:hAnsi="宋体"/>
                <w:color w:val="auto"/>
                <w:szCs w:val="21"/>
                <w:highlight w:val="none"/>
              </w:rPr>
              <w:t>100≤Y＜2000</w:t>
            </w:r>
          </w:p>
        </w:tc>
        <w:tc>
          <w:tcPr>
            <w:tcW w:w="1153" w:type="dxa"/>
            <w:noWrap w:val="0"/>
            <w:vAlign w:val="top"/>
          </w:tcPr>
          <w:p w14:paraId="7120BF6A">
            <w:pPr>
              <w:pStyle w:val="9"/>
              <w:ind w:firstLine="420"/>
              <w:rPr>
                <w:rFonts w:hint="eastAsia" w:ascii="宋体" w:hAnsi="宋体"/>
                <w:color w:val="auto"/>
                <w:szCs w:val="21"/>
                <w:highlight w:val="none"/>
              </w:rPr>
            </w:pPr>
            <w:r>
              <w:rPr>
                <w:rFonts w:hint="eastAsia" w:ascii="宋体" w:hAnsi="宋体"/>
                <w:color w:val="auto"/>
                <w:szCs w:val="21"/>
                <w:highlight w:val="none"/>
              </w:rPr>
              <w:t>Y＜100</w:t>
            </w:r>
          </w:p>
        </w:tc>
      </w:tr>
      <w:tr w14:paraId="649D59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118" w:type="dxa"/>
            <w:vMerge w:val="restart"/>
            <w:tcBorders>
              <w:bottom w:val="nil"/>
            </w:tcBorders>
            <w:noWrap w:val="0"/>
            <w:vAlign w:val="top"/>
          </w:tcPr>
          <w:p w14:paraId="5AC9EDE5">
            <w:pPr>
              <w:pStyle w:val="9"/>
              <w:ind w:firstLine="420"/>
              <w:rPr>
                <w:rFonts w:hint="eastAsia" w:ascii="宋体" w:hAnsi="宋体"/>
                <w:color w:val="auto"/>
                <w:szCs w:val="21"/>
                <w:highlight w:val="none"/>
              </w:rPr>
            </w:pPr>
            <w:r>
              <w:rPr>
                <w:rFonts w:hint="eastAsia" w:ascii="宋体" w:hAnsi="宋体"/>
                <w:color w:val="auto"/>
                <w:szCs w:val="21"/>
                <w:highlight w:val="none"/>
              </w:rPr>
              <w:t>住宿业</w:t>
            </w:r>
          </w:p>
        </w:tc>
        <w:tc>
          <w:tcPr>
            <w:tcW w:w="1718" w:type="dxa"/>
            <w:noWrap w:val="0"/>
            <w:vAlign w:val="top"/>
          </w:tcPr>
          <w:p w14:paraId="234B4BD3">
            <w:pPr>
              <w:pStyle w:val="9"/>
              <w:ind w:firstLine="420"/>
              <w:rPr>
                <w:rFonts w:hint="eastAsia" w:ascii="宋体" w:hAnsi="宋体"/>
                <w:color w:val="auto"/>
                <w:szCs w:val="21"/>
                <w:highlight w:val="none"/>
              </w:rPr>
            </w:pPr>
            <w:r>
              <w:rPr>
                <w:rFonts w:hint="eastAsia" w:ascii="宋体" w:hAnsi="宋体"/>
                <w:color w:val="auto"/>
                <w:szCs w:val="21"/>
                <w:highlight w:val="none"/>
              </w:rPr>
              <w:t>从业人员（X）</w:t>
            </w:r>
          </w:p>
        </w:tc>
        <w:tc>
          <w:tcPr>
            <w:tcW w:w="1132" w:type="dxa"/>
            <w:noWrap w:val="0"/>
            <w:vAlign w:val="top"/>
          </w:tcPr>
          <w:p w14:paraId="520A86FA">
            <w:pPr>
              <w:pStyle w:val="9"/>
              <w:ind w:firstLine="420"/>
              <w:rPr>
                <w:rFonts w:hint="eastAsia" w:ascii="宋体" w:hAnsi="宋体"/>
                <w:color w:val="auto"/>
                <w:szCs w:val="21"/>
                <w:highlight w:val="none"/>
              </w:rPr>
            </w:pPr>
            <w:r>
              <w:rPr>
                <w:rFonts w:hint="eastAsia" w:ascii="宋体" w:hAnsi="宋体"/>
                <w:color w:val="auto"/>
                <w:szCs w:val="21"/>
                <w:highlight w:val="none"/>
              </w:rPr>
              <w:t>人</w:t>
            </w:r>
          </w:p>
        </w:tc>
        <w:tc>
          <w:tcPr>
            <w:tcW w:w="2012" w:type="dxa"/>
            <w:noWrap w:val="0"/>
            <w:vAlign w:val="top"/>
          </w:tcPr>
          <w:p w14:paraId="6836F366">
            <w:pPr>
              <w:pStyle w:val="9"/>
              <w:ind w:firstLine="420"/>
              <w:rPr>
                <w:rFonts w:hint="eastAsia" w:ascii="宋体" w:hAnsi="宋体"/>
                <w:color w:val="auto"/>
                <w:szCs w:val="21"/>
                <w:highlight w:val="none"/>
              </w:rPr>
            </w:pPr>
            <w:r>
              <w:rPr>
                <w:rFonts w:hint="eastAsia" w:ascii="宋体" w:hAnsi="宋体"/>
                <w:color w:val="auto"/>
                <w:szCs w:val="21"/>
                <w:highlight w:val="none"/>
              </w:rPr>
              <w:t>100≤X＜300</w:t>
            </w:r>
          </w:p>
        </w:tc>
        <w:tc>
          <w:tcPr>
            <w:tcW w:w="1788" w:type="dxa"/>
            <w:noWrap w:val="0"/>
            <w:vAlign w:val="top"/>
          </w:tcPr>
          <w:p w14:paraId="11E08B9F">
            <w:pPr>
              <w:pStyle w:val="9"/>
              <w:ind w:firstLine="420"/>
              <w:rPr>
                <w:rFonts w:hint="eastAsia" w:ascii="宋体" w:hAnsi="宋体"/>
                <w:color w:val="auto"/>
                <w:szCs w:val="21"/>
                <w:highlight w:val="none"/>
              </w:rPr>
            </w:pPr>
            <w:r>
              <w:rPr>
                <w:rFonts w:hint="eastAsia" w:ascii="宋体" w:hAnsi="宋体"/>
                <w:color w:val="auto"/>
                <w:szCs w:val="21"/>
                <w:highlight w:val="none"/>
              </w:rPr>
              <w:t>10≤X＜100</w:t>
            </w:r>
          </w:p>
        </w:tc>
        <w:tc>
          <w:tcPr>
            <w:tcW w:w="1153" w:type="dxa"/>
            <w:noWrap w:val="0"/>
            <w:vAlign w:val="top"/>
          </w:tcPr>
          <w:p w14:paraId="531DC869">
            <w:pPr>
              <w:pStyle w:val="9"/>
              <w:ind w:firstLine="420"/>
              <w:rPr>
                <w:rFonts w:hint="eastAsia" w:ascii="宋体" w:hAnsi="宋体"/>
                <w:color w:val="auto"/>
                <w:szCs w:val="21"/>
                <w:highlight w:val="none"/>
              </w:rPr>
            </w:pPr>
            <w:r>
              <w:rPr>
                <w:rFonts w:hint="eastAsia" w:ascii="宋体" w:hAnsi="宋体"/>
                <w:color w:val="auto"/>
                <w:szCs w:val="21"/>
                <w:highlight w:val="none"/>
              </w:rPr>
              <w:t>X＜10</w:t>
            </w:r>
          </w:p>
        </w:tc>
      </w:tr>
      <w:tr w14:paraId="687168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118" w:type="dxa"/>
            <w:vMerge w:val="continue"/>
            <w:tcBorders>
              <w:top w:val="nil"/>
            </w:tcBorders>
            <w:noWrap w:val="0"/>
            <w:vAlign w:val="top"/>
          </w:tcPr>
          <w:p w14:paraId="0A5C25BE">
            <w:pPr>
              <w:pStyle w:val="9"/>
              <w:ind w:firstLine="420"/>
              <w:rPr>
                <w:rFonts w:hint="eastAsia" w:ascii="宋体" w:hAnsi="宋体"/>
                <w:color w:val="auto"/>
                <w:szCs w:val="21"/>
                <w:highlight w:val="none"/>
              </w:rPr>
            </w:pPr>
          </w:p>
        </w:tc>
        <w:tc>
          <w:tcPr>
            <w:tcW w:w="1718" w:type="dxa"/>
            <w:noWrap w:val="0"/>
            <w:vAlign w:val="top"/>
          </w:tcPr>
          <w:p w14:paraId="1C4CC124">
            <w:pPr>
              <w:pStyle w:val="9"/>
              <w:ind w:firstLine="420"/>
              <w:rPr>
                <w:rFonts w:hint="eastAsia" w:ascii="宋体" w:hAnsi="宋体"/>
                <w:color w:val="auto"/>
                <w:szCs w:val="21"/>
                <w:highlight w:val="none"/>
              </w:rPr>
            </w:pPr>
            <w:r>
              <w:rPr>
                <w:rFonts w:hint="eastAsia" w:ascii="宋体" w:hAnsi="宋体"/>
                <w:color w:val="auto"/>
                <w:szCs w:val="21"/>
                <w:highlight w:val="none"/>
              </w:rPr>
              <w:t>营业收入（Y）</w:t>
            </w:r>
          </w:p>
        </w:tc>
        <w:tc>
          <w:tcPr>
            <w:tcW w:w="1132" w:type="dxa"/>
            <w:noWrap w:val="0"/>
            <w:vAlign w:val="top"/>
          </w:tcPr>
          <w:p w14:paraId="7274CD6A">
            <w:pPr>
              <w:pStyle w:val="9"/>
              <w:ind w:firstLine="420"/>
              <w:rPr>
                <w:rFonts w:hint="eastAsia" w:ascii="宋体" w:hAnsi="宋体"/>
                <w:color w:val="auto"/>
                <w:szCs w:val="21"/>
                <w:highlight w:val="none"/>
              </w:rPr>
            </w:pPr>
            <w:r>
              <w:rPr>
                <w:rFonts w:hint="eastAsia" w:ascii="宋体" w:hAnsi="宋体"/>
                <w:color w:val="auto"/>
                <w:szCs w:val="21"/>
                <w:highlight w:val="none"/>
              </w:rPr>
              <w:t>万元</w:t>
            </w:r>
          </w:p>
        </w:tc>
        <w:tc>
          <w:tcPr>
            <w:tcW w:w="2012" w:type="dxa"/>
            <w:noWrap w:val="0"/>
            <w:vAlign w:val="top"/>
          </w:tcPr>
          <w:p w14:paraId="09B6FC55">
            <w:pPr>
              <w:pStyle w:val="9"/>
              <w:ind w:firstLine="420"/>
              <w:rPr>
                <w:rFonts w:hint="eastAsia" w:ascii="宋体" w:hAnsi="宋体"/>
                <w:color w:val="auto"/>
                <w:szCs w:val="21"/>
                <w:highlight w:val="none"/>
              </w:rPr>
            </w:pPr>
            <w:r>
              <w:rPr>
                <w:rFonts w:hint="eastAsia" w:ascii="宋体" w:hAnsi="宋体"/>
                <w:color w:val="auto"/>
                <w:szCs w:val="21"/>
                <w:highlight w:val="none"/>
              </w:rPr>
              <w:t>2000≤Y＜10000</w:t>
            </w:r>
          </w:p>
        </w:tc>
        <w:tc>
          <w:tcPr>
            <w:tcW w:w="1788" w:type="dxa"/>
            <w:noWrap w:val="0"/>
            <w:vAlign w:val="top"/>
          </w:tcPr>
          <w:p w14:paraId="3DAB5618">
            <w:pPr>
              <w:pStyle w:val="9"/>
              <w:ind w:firstLine="420"/>
              <w:rPr>
                <w:rFonts w:hint="eastAsia" w:ascii="宋体" w:hAnsi="宋体"/>
                <w:color w:val="auto"/>
                <w:szCs w:val="21"/>
                <w:highlight w:val="none"/>
              </w:rPr>
            </w:pPr>
            <w:r>
              <w:rPr>
                <w:rFonts w:hint="eastAsia" w:ascii="宋体" w:hAnsi="宋体"/>
                <w:color w:val="auto"/>
                <w:szCs w:val="21"/>
                <w:highlight w:val="none"/>
              </w:rPr>
              <w:t>100≤Y＜2000</w:t>
            </w:r>
          </w:p>
        </w:tc>
        <w:tc>
          <w:tcPr>
            <w:tcW w:w="1153" w:type="dxa"/>
            <w:noWrap w:val="0"/>
            <w:vAlign w:val="top"/>
          </w:tcPr>
          <w:p w14:paraId="678B0BFD">
            <w:pPr>
              <w:pStyle w:val="9"/>
              <w:ind w:firstLine="420"/>
              <w:rPr>
                <w:rFonts w:hint="eastAsia" w:ascii="宋体" w:hAnsi="宋体"/>
                <w:color w:val="auto"/>
                <w:szCs w:val="21"/>
                <w:highlight w:val="none"/>
              </w:rPr>
            </w:pPr>
            <w:r>
              <w:rPr>
                <w:rFonts w:hint="eastAsia" w:ascii="宋体" w:hAnsi="宋体"/>
                <w:color w:val="auto"/>
                <w:szCs w:val="21"/>
                <w:highlight w:val="none"/>
              </w:rPr>
              <w:t>Y＜100</w:t>
            </w:r>
          </w:p>
        </w:tc>
      </w:tr>
      <w:tr w14:paraId="201F4D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118" w:type="dxa"/>
            <w:vMerge w:val="restart"/>
            <w:tcBorders>
              <w:bottom w:val="nil"/>
            </w:tcBorders>
            <w:noWrap w:val="0"/>
            <w:vAlign w:val="top"/>
          </w:tcPr>
          <w:p w14:paraId="184FEE80">
            <w:pPr>
              <w:pStyle w:val="9"/>
              <w:ind w:firstLine="420"/>
              <w:rPr>
                <w:rFonts w:hint="eastAsia" w:ascii="宋体" w:hAnsi="宋体"/>
                <w:color w:val="auto"/>
                <w:szCs w:val="21"/>
                <w:highlight w:val="none"/>
              </w:rPr>
            </w:pPr>
            <w:r>
              <w:rPr>
                <w:rFonts w:hint="eastAsia" w:ascii="宋体" w:hAnsi="宋体"/>
                <w:color w:val="auto"/>
                <w:szCs w:val="21"/>
                <w:highlight w:val="none"/>
              </w:rPr>
              <w:t>餐饮业</w:t>
            </w:r>
          </w:p>
        </w:tc>
        <w:tc>
          <w:tcPr>
            <w:tcW w:w="1718" w:type="dxa"/>
            <w:noWrap w:val="0"/>
            <w:vAlign w:val="top"/>
          </w:tcPr>
          <w:p w14:paraId="6790F81A">
            <w:pPr>
              <w:pStyle w:val="9"/>
              <w:ind w:firstLine="420"/>
              <w:rPr>
                <w:rFonts w:hint="eastAsia" w:ascii="宋体" w:hAnsi="宋体"/>
                <w:color w:val="auto"/>
                <w:szCs w:val="21"/>
                <w:highlight w:val="none"/>
              </w:rPr>
            </w:pPr>
            <w:r>
              <w:rPr>
                <w:rFonts w:hint="eastAsia" w:ascii="宋体" w:hAnsi="宋体"/>
                <w:color w:val="auto"/>
                <w:szCs w:val="21"/>
                <w:highlight w:val="none"/>
              </w:rPr>
              <w:t>从业人员（X）</w:t>
            </w:r>
          </w:p>
        </w:tc>
        <w:tc>
          <w:tcPr>
            <w:tcW w:w="1132" w:type="dxa"/>
            <w:noWrap w:val="0"/>
            <w:vAlign w:val="top"/>
          </w:tcPr>
          <w:p w14:paraId="40F8C45E">
            <w:pPr>
              <w:pStyle w:val="9"/>
              <w:ind w:firstLine="420"/>
              <w:rPr>
                <w:rFonts w:hint="eastAsia" w:ascii="宋体" w:hAnsi="宋体"/>
                <w:color w:val="auto"/>
                <w:szCs w:val="21"/>
                <w:highlight w:val="none"/>
              </w:rPr>
            </w:pPr>
            <w:r>
              <w:rPr>
                <w:rFonts w:hint="eastAsia" w:ascii="宋体" w:hAnsi="宋体"/>
                <w:color w:val="auto"/>
                <w:szCs w:val="21"/>
                <w:highlight w:val="none"/>
              </w:rPr>
              <w:t>人</w:t>
            </w:r>
          </w:p>
        </w:tc>
        <w:tc>
          <w:tcPr>
            <w:tcW w:w="2012" w:type="dxa"/>
            <w:noWrap w:val="0"/>
            <w:vAlign w:val="top"/>
          </w:tcPr>
          <w:p w14:paraId="27E3CF55">
            <w:pPr>
              <w:pStyle w:val="9"/>
              <w:ind w:firstLine="420"/>
              <w:rPr>
                <w:rFonts w:hint="eastAsia" w:ascii="宋体" w:hAnsi="宋体"/>
                <w:color w:val="auto"/>
                <w:szCs w:val="21"/>
                <w:highlight w:val="none"/>
              </w:rPr>
            </w:pPr>
            <w:r>
              <w:rPr>
                <w:rFonts w:hint="eastAsia" w:ascii="宋体" w:hAnsi="宋体"/>
                <w:color w:val="auto"/>
                <w:szCs w:val="21"/>
                <w:highlight w:val="none"/>
              </w:rPr>
              <w:t>100≤X＜300</w:t>
            </w:r>
          </w:p>
        </w:tc>
        <w:tc>
          <w:tcPr>
            <w:tcW w:w="1788" w:type="dxa"/>
            <w:noWrap w:val="0"/>
            <w:vAlign w:val="top"/>
          </w:tcPr>
          <w:p w14:paraId="7398810C">
            <w:pPr>
              <w:pStyle w:val="9"/>
              <w:ind w:firstLine="420"/>
              <w:rPr>
                <w:rFonts w:hint="eastAsia" w:ascii="宋体" w:hAnsi="宋体"/>
                <w:color w:val="auto"/>
                <w:szCs w:val="21"/>
                <w:highlight w:val="none"/>
              </w:rPr>
            </w:pPr>
            <w:r>
              <w:rPr>
                <w:rFonts w:hint="eastAsia" w:ascii="宋体" w:hAnsi="宋体"/>
                <w:color w:val="auto"/>
                <w:szCs w:val="21"/>
                <w:highlight w:val="none"/>
              </w:rPr>
              <w:t>10≤X＜100</w:t>
            </w:r>
          </w:p>
        </w:tc>
        <w:tc>
          <w:tcPr>
            <w:tcW w:w="1153" w:type="dxa"/>
            <w:noWrap w:val="0"/>
            <w:vAlign w:val="top"/>
          </w:tcPr>
          <w:p w14:paraId="4577ACE4">
            <w:pPr>
              <w:pStyle w:val="9"/>
              <w:ind w:firstLine="420"/>
              <w:rPr>
                <w:rFonts w:hint="eastAsia" w:ascii="宋体" w:hAnsi="宋体"/>
                <w:color w:val="auto"/>
                <w:szCs w:val="21"/>
                <w:highlight w:val="none"/>
              </w:rPr>
            </w:pPr>
            <w:r>
              <w:rPr>
                <w:rFonts w:hint="eastAsia" w:ascii="宋体" w:hAnsi="宋体"/>
                <w:color w:val="auto"/>
                <w:szCs w:val="21"/>
                <w:highlight w:val="none"/>
              </w:rPr>
              <w:t>X＜10</w:t>
            </w:r>
          </w:p>
        </w:tc>
      </w:tr>
      <w:tr w14:paraId="75DF2B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118" w:type="dxa"/>
            <w:vMerge w:val="continue"/>
            <w:tcBorders>
              <w:top w:val="nil"/>
            </w:tcBorders>
            <w:noWrap w:val="0"/>
            <w:vAlign w:val="top"/>
          </w:tcPr>
          <w:p w14:paraId="5940ED4B">
            <w:pPr>
              <w:pStyle w:val="9"/>
              <w:ind w:firstLine="420"/>
              <w:rPr>
                <w:rFonts w:hint="eastAsia" w:ascii="宋体" w:hAnsi="宋体"/>
                <w:color w:val="auto"/>
                <w:szCs w:val="21"/>
                <w:highlight w:val="none"/>
              </w:rPr>
            </w:pPr>
          </w:p>
        </w:tc>
        <w:tc>
          <w:tcPr>
            <w:tcW w:w="1718" w:type="dxa"/>
            <w:noWrap w:val="0"/>
            <w:vAlign w:val="top"/>
          </w:tcPr>
          <w:p w14:paraId="15A2D5F6">
            <w:pPr>
              <w:pStyle w:val="9"/>
              <w:ind w:firstLine="420"/>
              <w:rPr>
                <w:rFonts w:hint="eastAsia" w:ascii="宋体" w:hAnsi="宋体"/>
                <w:color w:val="auto"/>
                <w:szCs w:val="21"/>
                <w:highlight w:val="none"/>
              </w:rPr>
            </w:pPr>
            <w:r>
              <w:rPr>
                <w:rFonts w:hint="eastAsia" w:ascii="宋体" w:hAnsi="宋体"/>
                <w:color w:val="auto"/>
                <w:szCs w:val="21"/>
                <w:highlight w:val="none"/>
              </w:rPr>
              <w:t>营业收入（Y）</w:t>
            </w:r>
          </w:p>
        </w:tc>
        <w:tc>
          <w:tcPr>
            <w:tcW w:w="1132" w:type="dxa"/>
            <w:noWrap w:val="0"/>
            <w:vAlign w:val="top"/>
          </w:tcPr>
          <w:p w14:paraId="0B9E9E96">
            <w:pPr>
              <w:pStyle w:val="9"/>
              <w:ind w:firstLine="420"/>
              <w:rPr>
                <w:rFonts w:hint="eastAsia" w:ascii="宋体" w:hAnsi="宋体"/>
                <w:color w:val="auto"/>
                <w:szCs w:val="21"/>
                <w:highlight w:val="none"/>
              </w:rPr>
            </w:pPr>
            <w:r>
              <w:rPr>
                <w:rFonts w:hint="eastAsia" w:ascii="宋体" w:hAnsi="宋体"/>
                <w:color w:val="auto"/>
                <w:szCs w:val="21"/>
                <w:highlight w:val="none"/>
              </w:rPr>
              <w:t>万元</w:t>
            </w:r>
          </w:p>
        </w:tc>
        <w:tc>
          <w:tcPr>
            <w:tcW w:w="2012" w:type="dxa"/>
            <w:noWrap w:val="0"/>
            <w:vAlign w:val="top"/>
          </w:tcPr>
          <w:p w14:paraId="3B964A91">
            <w:pPr>
              <w:pStyle w:val="9"/>
              <w:ind w:firstLine="420"/>
              <w:rPr>
                <w:rFonts w:hint="eastAsia" w:ascii="宋体" w:hAnsi="宋体"/>
                <w:color w:val="auto"/>
                <w:szCs w:val="21"/>
                <w:highlight w:val="none"/>
              </w:rPr>
            </w:pPr>
            <w:r>
              <w:rPr>
                <w:rFonts w:hint="eastAsia" w:ascii="宋体" w:hAnsi="宋体"/>
                <w:color w:val="auto"/>
                <w:szCs w:val="21"/>
                <w:highlight w:val="none"/>
              </w:rPr>
              <w:t>2000≤Y＜10000</w:t>
            </w:r>
          </w:p>
        </w:tc>
        <w:tc>
          <w:tcPr>
            <w:tcW w:w="1788" w:type="dxa"/>
            <w:noWrap w:val="0"/>
            <w:vAlign w:val="top"/>
          </w:tcPr>
          <w:p w14:paraId="066E420C">
            <w:pPr>
              <w:pStyle w:val="9"/>
              <w:ind w:firstLine="420"/>
              <w:rPr>
                <w:rFonts w:hint="eastAsia" w:ascii="宋体" w:hAnsi="宋体"/>
                <w:color w:val="auto"/>
                <w:szCs w:val="21"/>
                <w:highlight w:val="none"/>
              </w:rPr>
            </w:pPr>
            <w:r>
              <w:rPr>
                <w:rFonts w:hint="eastAsia" w:ascii="宋体" w:hAnsi="宋体"/>
                <w:color w:val="auto"/>
                <w:szCs w:val="21"/>
                <w:highlight w:val="none"/>
              </w:rPr>
              <w:t>100≤Y＜2000</w:t>
            </w:r>
          </w:p>
        </w:tc>
        <w:tc>
          <w:tcPr>
            <w:tcW w:w="1153" w:type="dxa"/>
            <w:noWrap w:val="0"/>
            <w:vAlign w:val="top"/>
          </w:tcPr>
          <w:p w14:paraId="13276644">
            <w:pPr>
              <w:pStyle w:val="9"/>
              <w:ind w:firstLine="420"/>
              <w:rPr>
                <w:rFonts w:hint="eastAsia" w:ascii="宋体" w:hAnsi="宋体"/>
                <w:color w:val="auto"/>
                <w:szCs w:val="21"/>
                <w:highlight w:val="none"/>
              </w:rPr>
            </w:pPr>
            <w:r>
              <w:rPr>
                <w:rFonts w:hint="eastAsia" w:ascii="宋体" w:hAnsi="宋体"/>
                <w:color w:val="auto"/>
                <w:szCs w:val="21"/>
                <w:highlight w:val="none"/>
              </w:rPr>
              <w:t>Y＜100</w:t>
            </w:r>
          </w:p>
        </w:tc>
      </w:tr>
      <w:tr w14:paraId="1D7B28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118" w:type="dxa"/>
            <w:vMerge w:val="restart"/>
            <w:tcBorders>
              <w:bottom w:val="nil"/>
            </w:tcBorders>
            <w:noWrap w:val="0"/>
            <w:vAlign w:val="top"/>
          </w:tcPr>
          <w:p w14:paraId="75F0CA3F">
            <w:pPr>
              <w:pStyle w:val="9"/>
              <w:ind w:firstLine="420"/>
              <w:rPr>
                <w:rFonts w:hint="eastAsia" w:ascii="宋体" w:hAnsi="宋体"/>
                <w:color w:val="auto"/>
                <w:szCs w:val="21"/>
                <w:highlight w:val="none"/>
              </w:rPr>
            </w:pPr>
            <w:r>
              <w:rPr>
                <w:rFonts w:hint="eastAsia" w:ascii="宋体" w:hAnsi="宋体"/>
                <w:color w:val="auto"/>
                <w:szCs w:val="21"/>
                <w:highlight w:val="none"/>
              </w:rPr>
              <w:t>信息传输业</w:t>
            </w:r>
          </w:p>
        </w:tc>
        <w:tc>
          <w:tcPr>
            <w:tcW w:w="1718" w:type="dxa"/>
            <w:noWrap w:val="0"/>
            <w:vAlign w:val="top"/>
          </w:tcPr>
          <w:p w14:paraId="5F587B4E">
            <w:pPr>
              <w:pStyle w:val="9"/>
              <w:ind w:firstLine="420"/>
              <w:rPr>
                <w:rFonts w:hint="eastAsia" w:ascii="宋体" w:hAnsi="宋体"/>
                <w:color w:val="auto"/>
                <w:szCs w:val="21"/>
                <w:highlight w:val="none"/>
              </w:rPr>
            </w:pPr>
            <w:r>
              <w:rPr>
                <w:rFonts w:hint="eastAsia" w:ascii="宋体" w:hAnsi="宋体"/>
                <w:color w:val="auto"/>
                <w:szCs w:val="21"/>
                <w:highlight w:val="none"/>
              </w:rPr>
              <w:t>从业人员（X）</w:t>
            </w:r>
          </w:p>
        </w:tc>
        <w:tc>
          <w:tcPr>
            <w:tcW w:w="1132" w:type="dxa"/>
            <w:noWrap w:val="0"/>
            <w:vAlign w:val="top"/>
          </w:tcPr>
          <w:p w14:paraId="46A2D329">
            <w:pPr>
              <w:pStyle w:val="9"/>
              <w:ind w:firstLine="420"/>
              <w:rPr>
                <w:rFonts w:hint="eastAsia" w:ascii="宋体" w:hAnsi="宋体"/>
                <w:color w:val="auto"/>
                <w:szCs w:val="21"/>
                <w:highlight w:val="none"/>
              </w:rPr>
            </w:pPr>
            <w:r>
              <w:rPr>
                <w:rFonts w:hint="eastAsia" w:ascii="宋体" w:hAnsi="宋体"/>
                <w:color w:val="auto"/>
                <w:szCs w:val="21"/>
                <w:highlight w:val="none"/>
              </w:rPr>
              <w:t>人</w:t>
            </w:r>
          </w:p>
        </w:tc>
        <w:tc>
          <w:tcPr>
            <w:tcW w:w="2012" w:type="dxa"/>
            <w:noWrap w:val="0"/>
            <w:vAlign w:val="top"/>
          </w:tcPr>
          <w:p w14:paraId="53160788">
            <w:pPr>
              <w:pStyle w:val="9"/>
              <w:ind w:firstLine="420"/>
              <w:rPr>
                <w:rFonts w:hint="eastAsia" w:ascii="宋体" w:hAnsi="宋体"/>
                <w:color w:val="auto"/>
                <w:szCs w:val="21"/>
                <w:highlight w:val="none"/>
              </w:rPr>
            </w:pPr>
            <w:r>
              <w:rPr>
                <w:rFonts w:hint="eastAsia" w:ascii="宋体" w:hAnsi="宋体"/>
                <w:color w:val="auto"/>
                <w:szCs w:val="21"/>
                <w:highlight w:val="none"/>
              </w:rPr>
              <w:t>100≤X＜2000</w:t>
            </w:r>
          </w:p>
        </w:tc>
        <w:tc>
          <w:tcPr>
            <w:tcW w:w="1788" w:type="dxa"/>
            <w:noWrap w:val="0"/>
            <w:vAlign w:val="top"/>
          </w:tcPr>
          <w:p w14:paraId="52C5D571">
            <w:pPr>
              <w:pStyle w:val="9"/>
              <w:ind w:firstLine="420"/>
              <w:rPr>
                <w:rFonts w:hint="eastAsia" w:ascii="宋体" w:hAnsi="宋体"/>
                <w:color w:val="auto"/>
                <w:szCs w:val="21"/>
                <w:highlight w:val="none"/>
              </w:rPr>
            </w:pPr>
            <w:r>
              <w:rPr>
                <w:rFonts w:hint="eastAsia" w:ascii="宋体" w:hAnsi="宋体"/>
                <w:color w:val="auto"/>
                <w:szCs w:val="21"/>
                <w:highlight w:val="none"/>
              </w:rPr>
              <w:t>10≤X＜100</w:t>
            </w:r>
          </w:p>
        </w:tc>
        <w:tc>
          <w:tcPr>
            <w:tcW w:w="1153" w:type="dxa"/>
            <w:noWrap w:val="0"/>
            <w:vAlign w:val="top"/>
          </w:tcPr>
          <w:p w14:paraId="41A18623">
            <w:pPr>
              <w:pStyle w:val="9"/>
              <w:ind w:firstLine="420"/>
              <w:rPr>
                <w:rFonts w:hint="eastAsia" w:ascii="宋体" w:hAnsi="宋体"/>
                <w:color w:val="auto"/>
                <w:szCs w:val="21"/>
                <w:highlight w:val="none"/>
              </w:rPr>
            </w:pPr>
            <w:r>
              <w:rPr>
                <w:rFonts w:hint="eastAsia" w:ascii="宋体" w:hAnsi="宋体"/>
                <w:color w:val="auto"/>
                <w:szCs w:val="21"/>
                <w:highlight w:val="none"/>
              </w:rPr>
              <w:t>X＜10</w:t>
            </w:r>
          </w:p>
        </w:tc>
      </w:tr>
      <w:tr w14:paraId="23BF57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118" w:type="dxa"/>
            <w:vMerge w:val="continue"/>
            <w:tcBorders>
              <w:top w:val="nil"/>
            </w:tcBorders>
            <w:noWrap w:val="0"/>
            <w:vAlign w:val="top"/>
          </w:tcPr>
          <w:p w14:paraId="6F4BD35C">
            <w:pPr>
              <w:pStyle w:val="9"/>
              <w:ind w:firstLine="420"/>
              <w:rPr>
                <w:rFonts w:hint="eastAsia" w:ascii="宋体" w:hAnsi="宋体"/>
                <w:color w:val="auto"/>
                <w:szCs w:val="21"/>
                <w:highlight w:val="none"/>
              </w:rPr>
            </w:pPr>
          </w:p>
        </w:tc>
        <w:tc>
          <w:tcPr>
            <w:tcW w:w="1718" w:type="dxa"/>
            <w:noWrap w:val="0"/>
            <w:vAlign w:val="top"/>
          </w:tcPr>
          <w:p w14:paraId="6391C93B">
            <w:pPr>
              <w:pStyle w:val="9"/>
              <w:ind w:firstLine="420"/>
              <w:rPr>
                <w:rFonts w:hint="eastAsia" w:ascii="宋体" w:hAnsi="宋体"/>
                <w:color w:val="auto"/>
                <w:szCs w:val="21"/>
                <w:highlight w:val="none"/>
              </w:rPr>
            </w:pPr>
            <w:r>
              <w:rPr>
                <w:rFonts w:hint="eastAsia" w:ascii="宋体" w:hAnsi="宋体"/>
                <w:color w:val="auto"/>
                <w:szCs w:val="21"/>
                <w:highlight w:val="none"/>
              </w:rPr>
              <w:t>营业收入（Y）</w:t>
            </w:r>
          </w:p>
        </w:tc>
        <w:tc>
          <w:tcPr>
            <w:tcW w:w="1132" w:type="dxa"/>
            <w:noWrap w:val="0"/>
            <w:vAlign w:val="top"/>
          </w:tcPr>
          <w:p w14:paraId="23C04455">
            <w:pPr>
              <w:pStyle w:val="9"/>
              <w:ind w:firstLine="420"/>
              <w:rPr>
                <w:rFonts w:hint="eastAsia" w:ascii="宋体" w:hAnsi="宋体"/>
                <w:color w:val="auto"/>
                <w:szCs w:val="21"/>
                <w:highlight w:val="none"/>
              </w:rPr>
            </w:pPr>
            <w:r>
              <w:rPr>
                <w:rFonts w:hint="eastAsia" w:ascii="宋体" w:hAnsi="宋体"/>
                <w:color w:val="auto"/>
                <w:szCs w:val="21"/>
                <w:highlight w:val="none"/>
              </w:rPr>
              <w:t>万元</w:t>
            </w:r>
          </w:p>
        </w:tc>
        <w:tc>
          <w:tcPr>
            <w:tcW w:w="2012" w:type="dxa"/>
            <w:noWrap w:val="0"/>
            <w:vAlign w:val="top"/>
          </w:tcPr>
          <w:p w14:paraId="1E96931F">
            <w:pPr>
              <w:pStyle w:val="9"/>
              <w:ind w:firstLine="420"/>
              <w:rPr>
                <w:rFonts w:hint="eastAsia" w:ascii="宋体" w:hAnsi="宋体"/>
                <w:color w:val="auto"/>
                <w:szCs w:val="21"/>
                <w:highlight w:val="none"/>
              </w:rPr>
            </w:pPr>
            <w:r>
              <w:rPr>
                <w:rFonts w:hint="eastAsia" w:ascii="宋体" w:hAnsi="宋体"/>
                <w:color w:val="auto"/>
                <w:szCs w:val="21"/>
                <w:highlight w:val="none"/>
              </w:rPr>
              <w:t>1000≤Y＜100000</w:t>
            </w:r>
          </w:p>
        </w:tc>
        <w:tc>
          <w:tcPr>
            <w:tcW w:w="1788" w:type="dxa"/>
            <w:noWrap w:val="0"/>
            <w:vAlign w:val="top"/>
          </w:tcPr>
          <w:p w14:paraId="61CF7C4B">
            <w:pPr>
              <w:pStyle w:val="9"/>
              <w:ind w:firstLine="420"/>
              <w:rPr>
                <w:rFonts w:hint="eastAsia" w:ascii="宋体" w:hAnsi="宋体"/>
                <w:color w:val="auto"/>
                <w:szCs w:val="21"/>
                <w:highlight w:val="none"/>
              </w:rPr>
            </w:pPr>
            <w:r>
              <w:rPr>
                <w:rFonts w:hint="eastAsia" w:ascii="宋体" w:hAnsi="宋体"/>
                <w:color w:val="auto"/>
                <w:szCs w:val="21"/>
                <w:highlight w:val="none"/>
              </w:rPr>
              <w:t>100≤Y＜1000</w:t>
            </w:r>
          </w:p>
        </w:tc>
        <w:tc>
          <w:tcPr>
            <w:tcW w:w="1153" w:type="dxa"/>
            <w:noWrap w:val="0"/>
            <w:vAlign w:val="top"/>
          </w:tcPr>
          <w:p w14:paraId="0F00A47F">
            <w:pPr>
              <w:pStyle w:val="9"/>
              <w:ind w:firstLine="420"/>
              <w:rPr>
                <w:rFonts w:hint="eastAsia" w:ascii="宋体" w:hAnsi="宋体"/>
                <w:color w:val="auto"/>
                <w:szCs w:val="21"/>
                <w:highlight w:val="none"/>
              </w:rPr>
            </w:pPr>
            <w:r>
              <w:rPr>
                <w:rFonts w:hint="eastAsia" w:ascii="宋体" w:hAnsi="宋体"/>
                <w:color w:val="auto"/>
                <w:szCs w:val="21"/>
                <w:highlight w:val="none"/>
              </w:rPr>
              <w:t>Y＜100</w:t>
            </w:r>
          </w:p>
        </w:tc>
      </w:tr>
      <w:tr w14:paraId="40DE30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118" w:type="dxa"/>
            <w:vMerge w:val="restart"/>
            <w:tcBorders>
              <w:bottom w:val="nil"/>
            </w:tcBorders>
            <w:noWrap w:val="0"/>
            <w:vAlign w:val="top"/>
          </w:tcPr>
          <w:p w14:paraId="76007D24">
            <w:pPr>
              <w:pStyle w:val="9"/>
              <w:ind w:firstLine="420"/>
              <w:rPr>
                <w:rFonts w:hint="eastAsia" w:ascii="宋体" w:hAnsi="宋体"/>
                <w:color w:val="auto"/>
                <w:szCs w:val="21"/>
                <w:highlight w:val="none"/>
              </w:rPr>
            </w:pPr>
            <w:r>
              <w:rPr>
                <w:rFonts w:hint="eastAsia" w:ascii="宋体" w:hAnsi="宋体"/>
                <w:color w:val="auto"/>
                <w:szCs w:val="21"/>
                <w:highlight w:val="none"/>
              </w:rPr>
              <w:t>软件和信息技术服务</w:t>
            </w:r>
          </w:p>
          <w:p w14:paraId="68164056">
            <w:pPr>
              <w:pStyle w:val="9"/>
              <w:ind w:firstLine="420"/>
              <w:rPr>
                <w:rFonts w:hint="eastAsia" w:ascii="宋体" w:hAnsi="宋体"/>
                <w:color w:val="auto"/>
                <w:szCs w:val="21"/>
                <w:highlight w:val="none"/>
              </w:rPr>
            </w:pPr>
            <w:r>
              <w:rPr>
                <w:rFonts w:hint="eastAsia" w:ascii="宋体" w:hAnsi="宋体"/>
                <w:color w:val="auto"/>
                <w:szCs w:val="21"/>
                <w:highlight w:val="none"/>
              </w:rPr>
              <w:t>业</w:t>
            </w:r>
          </w:p>
        </w:tc>
        <w:tc>
          <w:tcPr>
            <w:tcW w:w="1718" w:type="dxa"/>
            <w:noWrap w:val="0"/>
            <w:vAlign w:val="top"/>
          </w:tcPr>
          <w:p w14:paraId="25963EE2">
            <w:pPr>
              <w:pStyle w:val="9"/>
              <w:ind w:firstLine="420"/>
              <w:rPr>
                <w:rFonts w:hint="eastAsia" w:ascii="宋体" w:hAnsi="宋体"/>
                <w:color w:val="auto"/>
                <w:szCs w:val="21"/>
                <w:highlight w:val="none"/>
              </w:rPr>
            </w:pPr>
            <w:r>
              <w:rPr>
                <w:rFonts w:hint="eastAsia" w:ascii="宋体" w:hAnsi="宋体"/>
                <w:color w:val="auto"/>
                <w:szCs w:val="21"/>
                <w:highlight w:val="none"/>
              </w:rPr>
              <w:t>从业人员（X）</w:t>
            </w:r>
          </w:p>
        </w:tc>
        <w:tc>
          <w:tcPr>
            <w:tcW w:w="1132" w:type="dxa"/>
            <w:noWrap w:val="0"/>
            <w:vAlign w:val="top"/>
          </w:tcPr>
          <w:p w14:paraId="7CDC758F">
            <w:pPr>
              <w:pStyle w:val="9"/>
              <w:ind w:firstLine="420"/>
              <w:rPr>
                <w:rFonts w:hint="eastAsia" w:ascii="宋体" w:hAnsi="宋体"/>
                <w:color w:val="auto"/>
                <w:szCs w:val="21"/>
                <w:highlight w:val="none"/>
              </w:rPr>
            </w:pPr>
            <w:r>
              <w:rPr>
                <w:rFonts w:hint="eastAsia" w:ascii="宋体" w:hAnsi="宋体"/>
                <w:color w:val="auto"/>
                <w:szCs w:val="21"/>
                <w:highlight w:val="none"/>
              </w:rPr>
              <w:t>人</w:t>
            </w:r>
          </w:p>
        </w:tc>
        <w:tc>
          <w:tcPr>
            <w:tcW w:w="2012" w:type="dxa"/>
            <w:noWrap w:val="0"/>
            <w:vAlign w:val="top"/>
          </w:tcPr>
          <w:p w14:paraId="48B31600">
            <w:pPr>
              <w:pStyle w:val="9"/>
              <w:ind w:firstLine="420"/>
              <w:rPr>
                <w:rFonts w:hint="eastAsia" w:ascii="宋体" w:hAnsi="宋体"/>
                <w:color w:val="auto"/>
                <w:szCs w:val="21"/>
                <w:highlight w:val="none"/>
              </w:rPr>
            </w:pPr>
            <w:r>
              <w:rPr>
                <w:rFonts w:hint="eastAsia" w:ascii="宋体" w:hAnsi="宋体"/>
                <w:color w:val="auto"/>
                <w:szCs w:val="21"/>
                <w:highlight w:val="none"/>
              </w:rPr>
              <w:t>100≤X＜300</w:t>
            </w:r>
          </w:p>
        </w:tc>
        <w:tc>
          <w:tcPr>
            <w:tcW w:w="1788" w:type="dxa"/>
            <w:noWrap w:val="0"/>
            <w:vAlign w:val="top"/>
          </w:tcPr>
          <w:p w14:paraId="706BC7BA">
            <w:pPr>
              <w:pStyle w:val="9"/>
              <w:ind w:firstLine="420"/>
              <w:rPr>
                <w:rFonts w:hint="eastAsia" w:ascii="宋体" w:hAnsi="宋体"/>
                <w:color w:val="auto"/>
                <w:szCs w:val="21"/>
                <w:highlight w:val="none"/>
              </w:rPr>
            </w:pPr>
            <w:r>
              <w:rPr>
                <w:rFonts w:hint="eastAsia" w:ascii="宋体" w:hAnsi="宋体"/>
                <w:color w:val="auto"/>
                <w:szCs w:val="21"/>
                <w:highlight w:val="none"/>
              </w:rPr>
              <w:t>10≤X＜100</w:t>
            </w:r>
          </w:p>
        </w:tc>
        <w:tc>
          <w:tcPr>
            <w:tcW w:w="1153" w:type="dxa"/>
            <w:noWrap w:val="0"/>
            <w:vAlign w:val="top"/>
          </w:tcPr>
          <w:p w14:paraId="7E14E2B9">
            <w:pPr>
              <w:pStyle w:val="9"/>
              <w:ind w:firstLine="420"/>
              <w:rPr>
                <w:rFonts w:hint="eastAsia" w:ascii="宋体" w:hAnsi="宋体"/>
                <w:color w:val="auto"/>
                <w:szCs w:val="21"/>
                <w:highlight w:val="none"/>
              </w:rPr>
            </w:pPr>
            <w:r>
              <w:rPr>
                <w:rFonts w:hint="eastAsia" w:ascii="宋体" w:hAnsi="宋体"/>
                <w:color w:val="auto"/>
                <w:szCs w:val="21"/>
                <w:highlight w:val="none"/>
              </w:rPr>
              <w:t>X＜10</w:t>
            </w:r>
          </w:p>
        </w:tc>
      </w:tr>
      <w:tr w14:paraId="68689B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118" w:type="dxa"/>
            <w:vMerge w:val="continue"/>
            <w:tcBorders>
              <w:top w:val="nil"/>
            </w:tcBorders>
            <w:noWrap w:val="0"/>
            <w:vAlign w:val="top"/>
          </w:tcPr>
          <w:p w14:paraId="344B40EB">
            <w:pPr>
              <w:pStyle w:val="9"/>
              <w:ind w:firstLine="420"/>
              <w:rPr>
                <w:rFonts w:hint="eastAsia" w:ascii="宋体" w:hAnsi="宋体"/>
                <w:color w:val="auto"/>
                <w:szCs w:val="21"/>
                <w:highlight w:val="none"/>
              </w:rPr>
            </w:pPr>
          </w:p>
        </w:tc>
        <w:tc>
          <w:tcPr>
            <w:tcW w:w="1718" w:type="dxa"/>
            <w:noWrap w:val="0"/>
            <w:vAlign w:val="top"/>
          </w:tcPr>
          <w:p w14:paraId="5B0C2FDC">
            <w:pPr>
              <w:pStyle w:val="9"/>
              <w:ind w:firstLine="420"/>
              <w:rPr>
                <w:rFonts w:hint="eastAsia" w:ascii="宋体" w:hAnsi="宋体"/>
                <w:color w:val="auto"/>
                <w:szCs w:val="21"/>
                <w:highlight w:val="none"/>
              </w:rPr>
            </w:pPr>
            <w:r>
              <w:rPr>
                <w:rFonts w:hint="eastAsia" w:ascii="宋体" w:hAnsi="宋体"/>
                <w:color w:val="auto"/>
                <w:szCs w:val="21"/>
                <w:highlight w:val="none"/>
              </w:rPr>
              <w:t>营业收入（Y）</w:t>
            </w:r>
          </w:p>
        </w:tc>
        <w:tc>
          <w:tcPr>
            <w:tcW w:w="1132" w:type="dxa"/>
            <w:noWrap w:val="0"/>
            <w:vAlign w:val="top"/>
          </w:tcPr>
          <w:p w14:paraId="516C3DE9">
            <w:pPr>
              <w:pStyle w:val="9"/>
              <w:ind w:firstLine="420"/>
              <w:rPr>
                <w:rFonts w:hint="eastAsia" w:ascii="宋体" w:hAnsi="宋体"/>
                <w:color w:val="auto"/>
                <w:szCs w:val="21"/>
                <w:highlight w:val="none"/>
              </w:rPr>
            </w:pPr>
            <w:r>
              <w:rPr>
                <w:rFonts w:hint="eastAsia" w:ascii="宋体" w:hAnsi="宋体"/>
                <w:color w:val="auto"/>
                <w:szCs w:val="21"/>
                <w:highlight w:val="none"/>
              </w:rPr>
              <w:t>万元</w:t>
            </w:r>
          </w:p>
        </w:tc>
        <w:tc>
          <w:tcPr>
            <w:tcW w:w="2012" w:type="dxa"/>
            <w:noWrap w:val="0"/>
            <w:vAlign w:val="top"/>
          </w:tcPr>
          <w:p w14:paraId="6F431115">
            <w:pPr>
              <w:pStyle w:val="9"/>
              <w:ind w:firstLine="420"/>
              <w:rPr>
                <w:rFonts w:hint="eastAsia" w:ascii="宋体" w:hAnsi="宋体"/>
                <w:color w:val="auto"/>
                <w:szCs w:val="21"/>
                <w:highlight w:val="none"/>
              </w:rPr>
            </w:pPr>
            <w:r>
              <w:rPr>
                <w:rFonts w:hint="eastAsia" w:ascii="宋体" w:hAnsi="宋体"/>
                <w:color w:val="auto"/>
                <w:szCs w:val="21"/>
                <w:highlight w:val="none"/>
              </w:rPr>
              <w:t>1000≤Y＜10000</w:t>
            </w:r>
          </w:p>
        </w:tc>
        <w:tc>
          <w:tcPr>
            <w:tcW w:w="1788" w:type="dxa"/>
            <w:noWrap w:val="0"/>
            <w:vAlign w:val="top"/>
          </w:tcPr>
          <w:p w14:paraId="392A63B9">
            <w:pPr>
              <w:pStyle w:val="9"/>
              <w:ind w:firstLine="420"/>
              <w:rPr>
                <w:rFonts w:hint="eastAsia" w:ascii="宋体" w:hAnsi="宋体"/>
                <w:color w:val="auto"/>
                <w:szCs w:val="21"/>
                <w:highlight w:val="none"/>
              </w:rPr>
            </w:pPr>
            <w:r>
              <w:rPr>
                <w:rFonts w:hint="eastAsia" w:ascii="宋体" w:hAnsi="宋体"/>
                <w:color w:val="auto"/>
                <w:szCs w:val="21"/>
                <w:highlight w:val="none"/>
              </w:rPr>
              <w:t>50≤Y＜1000</w:t>
            </w:r>
          </w:p>
        </w:tc>
        <w:tc>
          <w:tcPr>
            <w:tcW w:w="1153" w:type="dxa"/>
            <w:noWrap w:val="0"/>
            <w:vAlign w:val="top"/>
          </w:tcPr>
          <w:p w14:paraId="346F9110">
            <w:pPr>
              <w:pStyle w:val="9"/>
              <w:ind w:firstLine="420"/>
              <w:rPr>
                <w:rFonts w:hint="eastAsia" w:ascii="宋体" w:hAnsi="宋体"/>
                <w:color w:val="auto"/>
                <w:szCs w:val="21"/>
                <w:highlight w:val="none"/>
              </w:rPr>
            </w:pPr>
            <w:r>
              <w:rPr>
                <w:rFonts w:hint="eastAsia" w:ascii="宋体" w:hAnsi="宋体"/>
                <w:color w:val="auto"/>
                <w:szCs w:val="21"/>
                <w:highlight w:val="none"/>
              </w:rPr>
              <w:t>Y＜50</w:t>
            </w:r>
          </w:p>
        </w:tc>
      </w:tr>
      <w:tr w14:paraId="547D70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118" w:type="dxa"/>
            <w:vMerge w:val="restart"/>
            <w:tcBorders>
              <w:bottom w:val="nil"/>
            </w:tcBorders>
            <w:noWrap w:val="0"/>
            <w:vAlign w:val="top"/>
          </w:tcPr>
          <w:p w14:paraId="0BE56F60">
            <w:pPr>
              <w:pStyle w:val="9"/>
              <w:ind w:firstLine="420"/>
              <w:rPr>
                <w:rFonts w:hint="eastAsia" w:ascii="宋体" w:hAnsi="宋体"/>
                <w:color w:val="auto"/>
                <w:szCs w:val="21"/>
                <w:highlight w:val="none"/>
              </w:rPr>
            </w:pPr>
            <w:r>
              <w:rPr>
                <w:rFonts w:hint="eastAsia" w:ascii="宋体" w:hAnsi="宋体"/>
                <w:color w:val="auto"/>
                <w:szCs w:val="21"/>
                <w:highlight w:val="none"/>
              </w:rPr>
              <w:t>房地产开发经营</w:t>
            </w:r>
          </w:p>
        </w:tc>
        <w:tc>
          <w:tcPr>
            <w:tcW w:w="1718" w:type="dxa"/>
            <w:noWrap w:val="0"/>
            <w:vAlign w:val="top"/>
          </w:tcPr>
          <w:p w14:paraId="2BBFC882">
            <w:pPr>
              <w:pStyle w:val="9"/>
              <w:ind w:firstLine="420"/>
              <w:rPr>
                <w:rFonts w:hint="eastAsia" w:ascii="宋体" w:hAnsi="宋体"/>
                <w:color w:val="auto"/>
                <w:szCs w:val="21"/>
                <w:highlight w:val="none"/>
              </w:rPr>
            </w:pPr>
            <w:r>
              <w:rPr>
                <w:rFonts w:hint="eastAsia" w:ascii="宋体" w:hAnsi="宋体"/>
                <w:color w:val="auto"/>
                <w:szCs w:val="21"/>
                <w:highlight w:val="none"/>
              </w:rPr>
              <w:t>营业收入（Y）</w:t>
            </w:r>
          </w:p>
        </w:tc>
        <w:tc>
          <w:tcPr>
            <w:tcW w:w="1132" w:type="dxa"/>
            <w:noWrap w:val="0"/>
            <w:vAlign w:val="top"/>
          </w:tcPr>
          <w:p w14:paraId="69877A22">
            <w:pPr>
              <w:pStyle w:val="9"/>
              <w:ind w:firstLine="420"/>
              <w:rPr>
                <w:rFonts w:hint="eastAsia" w:ascii="宋体" w:hAnsi="宋体"/>
                <w:color w:val="auto"/>
                <w:szCs w:val="21"/>
                <w:highlight w:val="none"/>
              </w:rPr>
            </w:pPr>
            <w:r>
              <w:rPr>
                <w:rFonts w:hint="eastAsia" w:ascii="宋体" w:hAnsi="宋体"/>
                <w:color w:val="auto"/>
                <w:szCs w:val="21"/>
                <w:highlight w:val="none"/>
              </w:rPr>
              <w:t>万元</w:t>
            </w:r>
          </w:p>
        </w:tc>
        <w:tc>
          <w:tcPr>
            <w:tcW w:w="2012" w:type="dxa"/>
            <w:noWrap w:val="0"/>
            <w:vAlign w:val="top"/>
          </w:tcPr>
          <w:p w14:paraId="1577B685">
            <w:pPr>
              <w:pStyle w:val="9"/>
              <w:ind w:firstLine="420"/>
              <w:rPr>
                <w:rFonts w:hint="eastAsia" w:ascii="宋体" w:hAnsi="宋体"/>
                <w:color w:val="auto"/>
                <w:szCs w:val="21"/>
                <w:highlight w:val="none"/>
              </w:rPr>
            </w:pPr>
            <w:r>
              <w:rPr>
                <w:rFonts w:hint="eastAsia" w:ascii="宋体" w:hAnsi="宋体"/>
                <w:color w:val="auto"/>
                <w:szCs w:val="21"/>
                <w:highlight w:val="none"/>
              </w:rPr>
              <w:t>1000≤Y＜200000</w:t>
            </w:r>
          </w:p>
        </w:tc>
        <w:tc>
          <w:tcPr>
            <w:tcW w:w="1788" w:type="dxa"/>
            <w:noWrap w:val="0"/>
            <w:vAlign w:val="top"/>
          </w:tcPr>
          <w:p w14:paraId="6932D08D">
            <w:pPr>
              <w:pStyle w:val="9"/>
              <w:ind w:firstLine="420"/>
              <w:rPr>
                <w:rFonts w:hint="eastAsia" w:ascii="宋体" w:hAnsi="宋体"/>
                <w:color w:val="auto"/>
                <w:szCs w:val="21"/>
                <w:highlight w:val="none"/>
              </w:rPr>
            </w:pPr>
            <w:r>
              <w:rPr>
                <w:rFonts w:hint="eastAsia" w:ascii="宋体" w:hAnsi="宋体"/>
                <w:color w:val="auto"/>
                <w:szCs w:val="21"/>
                <w:highlight w:val="none"/>
              </w:rPr>
              <w:t>100≤X＜1000</w:t>
            </w:r>
          </w:p>
        </w:tc>
        <w:tc>
          <w:tcPr>
            <w:tcW w:w="1153" w:type="dxa"/>
            <w:noWrap w:val="0"/>
            <w:vAlign w:val="top"/>
          </w:tcPr>
          <w:p w14:paraId="14B51D96">
            <w:pPr>
              <w:pStyle w:val="9"/>
              <w:ind w:firstLine="420"/>
              <w:rPr>
                <w:rFonts w:hint="eastAsia" w:ascii="宋体" w:hAnsi="宋体"/>
                <w:color w:val="auto"/>
                <w:szCs w:val="21"/>
                <w:highlight w:val="none"/>
              </w:rPr>
            </w:pPr>
            <w:r>
              <w:rPr>
                <w:rFonts w:hint="eastAsia" w:ascii="宋体" w:hAnsi="宋体"/>
                <w:color w:val="auto"/>
                <w:szCs w:val="21"/>
                <w:highlight w:val="none"/>
              </w:rPr>
              <w:t>X＜100</w:t>
            </w:r>
          </w:p>
        </w:tc>
      </w:tr>
      <w:tr w14:paraId="30905C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118" w:type="dxa"/>
            <w:vMerge w:val="continue"/>
            <w:tcBorders>
              <w:top w:val="nil"/>
            </w:tcBorders>
            <w:noWrap w:val="0"/>
            <w:vAlign w:val="top"/>
          </w:tcPr>
          <w:p w14:paraId="5AAB31D0">
            <w:pPr>
              <w:pStyle w:val="9"/>
              <w:ind w:firstLine="420"/>
              <w:rPr>
                <w:rFonts w:hint="eastAsia" w:ascii="宋体" w:hAnsi="宋体"/>
                <w:color w:val="auto"/>
                <w:szCs w:val="21"/>
                <w:highlight w:val="none"/>
              </w:rPr>
            </w:pPr>
          </w:p>
        </w:tc>
        <w:tc>
          <w:tcPr>
            <w:tcW w:w="1718" w:type="dxa"/>
            <w:noWrap w:val="0"/>
            <w:vAlign w:val="top"/>
          </w:tcPr>
          <w:p w14:paraId="0BB4ABFB">
            <w:pPr>
              <w:pStyle w:val="9"/>
              <w:ind w:firstLine="420"/>
              <w:rPr>
                <w:rFonts w:hint="eastAsia" w:ascii="宋体" w:hAnsi="宋体"/>
                <w:color w:val="auto"/>
                <w:szCs w:val="21"/>
                <w:highlight w:val="none"/>
              </w:rPr>
            </w:pPr>
            <w:r>
              <w:rPr>
                <w:rFonts w:hint="eastAsia" w:ascii="宋体" w:hAnsi="宋体"/>
                <w:color w:val="auto"/>
                <w:szCs w:val="21"/>
                <w:highlight w:val="none"/>
              </w:rPr>
              <w:t>资产总额（Z）</w:t>
            </w:r>
          </w:p>
        </w:tc>
        <w:tc>
          <w:tcPr>
            <w:tcW w:w="1132" w:type="dxa"/>
            <w:noWrap w:val="0"/>
            <w:vAlign w:val="top"/>
          </w:tcPr>
          <w:p w14:paraId="0BA6BB9D">
            <w:pPr>
              <w:pStyle w:val="9"/>
              <w:ind w:firstLine="420"/>
              <w:rPr>
                <w:rFonts w:hint="eastAsia" w:ascii="宋体" w:hAnsi="宋体"/>
                <w:color w:val="auto"/>
                <w:szCs w:val="21"/>
                <w:highlight w:val="none"/>
              </w:rPr>
            </w:pPr>
            <w:r>
              <w:rPr>
                <w:rFonts w:hint="eastAsia" w:ascii="宋体" w:hAnsi="宋体"/>
                <w:color w:val="auto"/>
                <w:szCs w:val="21"/>
                <w:highlight w:val="none"/>
              </w:rPr>
              <w:t>万元</w:t>
            </w:r>
          </w:p>
        </w:tc>
        <w:tc>
          <w:tcPr>
            <w:tcW w:w="2012" w:type="dxa"/>
            <w:noWrap w:val="0"/>
            <w:vAlign w:val="top"/>
          </w:tcPr>
          <w:p w14:paraId="1BDBBEBD">
            <w:pPr>
              <w:pStyle w:val="9"/>
              <w:ind w:firstLine="420"/>
              <w:rPr>
                <w:rFonts w:hint="eastAsia" w:ascii="宋体" w:hAnsi="宋体"/>
                <w:color w:val="auto"/>
                <w:szCs w:val="21"/>
                <w:highlight w:val="none"/>
              </w:rPr>
            </w:pPr>
            <w:r>
              <w:rPr>
                <w:rFonts w:hint="eastAsia" w:ascii="宋体" w:hAnsi="宋体"/>
                <w:color w:val="auto"/>
                <w:szCs w:val="21"/>
                <w:highlight w:val="none"/>
              </w:rPr>
              <w:t>5000≤Z＜10000</w:t>
            </w:r>
          </w:p>
        </w:tc>
        <w:tc>
          <w:tcPr>
            <w:tcW w:w="1788" w:type="dxa"/>
            <w:noWrap w:val="0"/>
            <w:vAlign w:val="top"/>
          </w:tcPr>
          <w:p w14:paraId="5D8B6288">
            <w:pPr>
              <w:pStyle w:val="9"/>
              <w:ind w:firstLine="420"/>
              <w:rPr>
                <w:rFonts w:hint="eastAsia" w:ascii="宋体" w:hAnsi="宋体"/>
                <w:color w:val="auto"/>
                <w:szCs w:val="21"/>
                <w:highlight w:val="none"/>
              </w:rPr>
            </w:pPr>
            <w:r>
              <w:rPr>
                <w:rFonts w:hint="eastAsia" w:ascii="宋体" w:hAnsi="宋体"/>
                <w:color w:val="auto"/>
                <w:szCs w:val="21"/>
                <w:highlight w:val="none"/>
              </w:rPr>
              <w:t>2000≤Y＜5000</w:t>
            </w:r>
          </w:p>
        </w:tc>
        <w:tc>
          <w:tcPr>
            <w:tcW w:w="1153" w:type="dxa"/>
            <w:noWrap w:val="0"/>
            <w:vAlign w:val="top"/>
          </w:tcPr>
          <w:p w14:paraId="044D3892">
            <w:pPr>
              <w:pStyle w:val="9"/>
              <w:ind w:firstLine="420"/>
              <w:rPr>
                <w:rFonts w:hint="eastAsia" w:ascii="宋体" w:hAnsi="宋体"/>
                <w:color w:val="auto"/>
                <w:szCs w:val="21"/>
                <w:highlight w:val="none"/>
              </w:rPr>
            </w:pPr>
            <w:r>
              <w:rPr>
                <w:rFonts w:hint="eastAsia" w:ascii="宋体" w:hAnsi="宋体"/>
                <w:color w:val="auto"/>
                <w:szCs w:val="21"/>
                <w:highlight w:val="none"/>
              </w:rPr>
              <w:t>Y＜2000</w:t>
            </w:r>
          </w:p>
        </w:tc>
      </w:tr>
      <w:tr w14:paraId="179FC4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118" w:type="dxa"/>
            <w:vMerge w:val="restart"/>
            <w:tcBorders>
              <w:bottom w:val="nil"/>
            </w:tcBorders>
            <w:noWrap w:val="0"/>
            <w:vAlign w:val="top"/>
          </w:tcPr>
          <w:p w14:paraId="5ECAF578">
            <w:pPr>
              <w:pStyle w:val="9"/>
              <w:ind w:firstLine="420"/>
              <w:rPr>
                <w:rFonts w:hint="eastAsia" w:ascii="宋体" w:hAnsi="宋体"/>
                <w:color w:val="auto"/>
                <w:szCs w:val="21"/>
                <w:highlight w:val="none"/>
              </w:rPr>
            </w:pPr>
            <w:r>
              <w:rPr>
                <w:rFonts w:hint="eastAsia" w:ascii="宋体" w:hAnsi="宋体"/>
                <w:color w:val="auto"/>
                <w:szCs w:val="21"/>
                <w:highlight w:val="none"/>
              </w:rPr>
              <w:t>物业管理</w:t>
            </w:r>
          </w:p>
        </w:tc>
        <w:tc>
          <w:tcPr>
            <w:tcW w:w="1718" w:type="dxa"/>
            <w:noWrap w:val="0"/>
            <w:vAlign w:val="top"/>
          </w:tcPr>
          <w:p w14:paraId="49190B12">
            <w:pPr>
              <w:pStyle w:val="9"/>
              <w:ind w:firstLine="420"/>
              <w:rPr>
                <w:rFonts w:hint="eastAsia" w:ascii="宋体" w:hAnsi="宋体"/>
                <w:color w:val="auto"/>
                <w:szCs w:val="21"/>
                <w:highlight w:val="none"/>
              </w:rPr>
            </w:pPr>
            <w:r>
              <w:rPr>
                <w:rFonts w:hint="eastAsia" w:ascii="宋体" w:hAnsi="宋体"/>
                <w:color w:val="auto"/>
                <w:szCs w:val="21"/>
                <w:highlight w:val="none"/>
              </w:rPr>
              <w:t>从业人员（X）</w:t>
            </w:r>
          </w:p>
        </w:tc>
        <w:tc>
          <w:tcPr>
            <w:tcW w:w="1132" w:type="dxa"/>
            <w:noWrap w:val="0"/>
            <w:vAlign w:val="top"/>
          </w:tcPr>
          <w:p w14:paraId="1C672FD8">
            <w:pPr>
              <w:pStyle w:val="9"/>
              <w:ind w:firstLine="420"/>
              <w:rPr>
                <w:rFonts w:hint="eastAsia" w:ascii="宋体" w:hAnsi="宋体"/>
                <w:color w:val="auto"/>
                <w:szCs w:val="21"/>
                <w:highlight w:val="none"/>
              </w:rPr>
            </w:pPr>
            <w:r>
              <w:rPr>
                <w:rFonts w:hint="eastAsia" w:ascii="宋体" w:hAnsi="宋体"/>
                <w:color w:val="auto"/>
                <w:szCs w:val="21"/>
                <w:highlight w:val="none"/>
              </w:rPr>
              <w:t>人</w:t>
            </w:r>
          </w:p>
        </w:tc>
        <w:tc>
          <w:tcPr>
            <w:tcW w:w="2012" w:type="dxa"/>
            <w:noWrap w:val="0"/>
            <w:vAlign w:val="top"/>
          </w:tcPr>
          <w:p w14:paraId="0B7CD557">
            <w:pPr>
              <w:pStyle w:val="9"/>
              <w:ind w:firstLine="420"/>
              <w:rPr>
                <w:rFonts w:hint="eastAsia" w:ascii="宋体" w:hAnsi="宋体"/>
                <w:color w:val="auto"/>
                <w:szCs w:val="21"/>
                <w:highlight w:val="none"/>
              </w:rPr>
            </w:pPr>
            <w:r>
              <w:rPr>
                <w:rFonts w:hint="eastAsia" w:ascii="宋体" w:hAnsi="宋体"/>
                <w:color w:val="auto"/>
                <w:szCs w:val="21"/>
                <w:highlight w:val="none"/>
              </w:rPr>
              <w:t>300≤X＜1000</w:t>
            </w:r>
          </w:p>
        </w:tc>
        <w:tc>
          <w:tcPr>
            <w:tcW w:w="1788" w:type="dxa"/>
            <w:noWrap w:val="0"/>
            <w:vAlign w:val="top"/>
          </w:tcPr>
          <w:p w14:paraId="6CEF44D7">
            <w:pPr>
              <w:pStyle w:val="9"/>
              <w:ind w:firstLine="420"/>
              <w:rPr>
                <w:rFonts w:hint="eastAsia" w:ascii="宋体" w:hAnsi="宋体"/>
                <w:color w:val="auto"/>
                <w:szCs w:val="21"/>
                <w:highlight w:val="none"/>
              </w:rPr>
            </w:pPr>
            <w:r>
              <w:rPr>
                <w:rFonts w:hint="eastAsia" w:ascii="宋体" w:hAnsi="宋体"/>
                <w:color w:val="auto"/>
                <w:szCs w:val="21"/>
                <w:highlight w:val="none"/>
              </w:rPr>
              <w:t>100≤X＜300</w:t>
            </w:r>
          </w:p>
        </w:tc>
        <w:tc>
          <w:tcPr>
            <w:tcW w:w="1153" w:type="dxa"/>
            <w:noWrap w:val="0"/>
            <w:vAlign w:val="top"/>
          </w:tcPr>
          <w:p w14:paraId="24C1BE04">
            <w:pPr>
              <w:pStyle w:val="9"/>
              <w:ind w:firstLine="420"/>
              <w:rPr>
                <w:rFonts w:hint="eastAsia" w:ascii="宋体" w:hAnsi="宋体"/>
                <w:color w:val="auto"/>
                <w:szCs w:val="21"/>
                <w:highlight w:val="none"/>
              </w:rPr>
            </w:pPr>
            <w:r>
              <w:rPr>
                <w:rFonts w:hint="eastAsia" w:ascii="宋体" w:hAnsi="宋体"/>
                <w:color w:val="auto"/>
                <w:szCs w:val="21"/>
                <w:highlight w:val="none"/>
              </w:rPr>
              <w:t>X＜100</w:t>
            </w:r>
          </w:p>
        </w:tc>
      </w:tr>
      <w:tr w14:paraId="137499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118" w:type="dxa"/>
            <w:vMerge w:val="continue"/>
            <w:tcBorders>
              <w:top w:val="nil"/>
            </w:tcBorders>
            <w:noWrap w:val="0"/>
            <w:vAlign w:val="top"/>
          </w:tcPr>
          <w:p w14:paraId="71783799">
            <w:pPr>
              <w:pStyle w:val="9"/>
              <w:ind w:firstLine="420"/>
              <w:rPr>
                <w:rFonts w:hint="eastAsia" w:ascii="宋体" w:hAnsi="宋体"/>
                <w:color w:val="auto"/>
                <w:szCs w:val="21"/>
                <w:highlight w:val="none"/>
              </w:rPr>
            </w:pPr>
          </w:p>
        </w:tc>
        <w:tc>
          <w:tcPr>
            <w:tcW w:w="1718" w:type="dxa"/>
            <w:noWrap w:val="0"/>
            <w:vAlign w:val="top"/>
          </w:tcPr>
          <w:p w14:paraId="33A43B26">
            <w:pPr>
              <w:pStyle w:val="9"/>
              <w:ind w:firstLine="420"/>
              <w:rPr>
                <w:rFonts w:hint="eastAsia" w:ascii="宋体" w:hAnsi="宋体"/>
                <w:color w:val="auto"/>
                <w:szCs w:val="21"/>
                <w:highlight w:val="none"/>
              </w:rPr>
            </w:pPr>
            <w:r>
              <w:rPr>
                <w:rFonts w:hint="eastAsia" w:ascii="宋体" w:hAnsi="宋体"/>
                <w:color w:val="auto"/>
                <w:szCs w:val="21"/>
                <w:highlight w:val="none"/>
              </w:rPr>
              <w:t>营业收入（Y）</w:t>
            </w:r>
          </w:p>
        </w:tc>
        <w:tc>
          <w:tcPr>
            <w:tcW w:w="1132" w:type="dxa"/>
            <w:noWrap w:val="0"/>
            <w:vAlign w:val="top"/>
          </w:tcPr>
          <w:p w14:paraId="17FD1EEC">
            <w:pPr>
              <w:pStyle w:val="9"/>
              <w:ind w:firstLine="420"/>
              <w:rPr>
                <w:rFonts w:hint="eastAsia" w:ascii="宋体" w:hAnsi="宋体"/>
                <w:color w:val="auto"/>
                <w:szCs w:val="21"/>
                <w:highlight w:val="none"/>
              </w:rPr>
            </w:pPr>
            <w:r>
              <w:rPr>
                <w:rFonts w:hint="eastAsia" w:ascii="宋体" w:hAnsi="宋体"/>
                <w:color w:val="auto"/>
                <w:szCs w:val="21"/>
                <w:highlight w:val="none"/>
              </w:rPr>
              <w:t>万元</w:t>
            </w:r>
          </w:p>
        </w:tc>
        <w:tc>
          <w:tcPr>
            <w:tcW w:w="2012" w:type="dxa"/>
            <w:noWrap w:val="0"/>
            <w:vAlign w:val="top"/>
          </w:tcPr>
          <w:p w14:paraId="4CDA0F06">
            <w:pPr>
              <w:pStyle w:val="9"/>
              <w:ind w:firstLine="420"/>
              <w:rPr>
                <w:rFonts w:hint="eastAsia" w:ascii="宋体" w:hAnsi="宋体"/>
                <w:color w:val="auto"/>
                <w:szCs w:val="21"/>
                <w:highlight w:val="none"/>
              </w:rPr>
            </w:pPr>
            <w:r>
              <w:rPr>
                <w:rFonts w:hint="eastAsia" w:ascii="宋体" w:hAnsi="宋体"/>
                <w:color w:val="auto"/>
                <w:szCs w:val="21"/>
                <w:highlight w:val="none"/>
              </w:rPr>
              <w:t>1000≤Y＜5000</w:t>
            </w:r>
          </w:p>
        </w:tc>
        <w:tc>
          <w:tcPr>
            <w:tcW w:w="1788" w:type="dxa"/>
            <w:noWrap w:val="0"/>
            <w:vAlign w:val="top"/>
          </w:tcPr>
          <w:p w14:paraId="48B6614D">
            <w:pPr>
              <w:pStyle w:val="9"/>
              <w:ind w:firstLine="420"/>
              <w:rPr>
                <w:rFonts w:hint="eastAsia" w:ascii="宋体" w:hAnsi="宋体"/>
                <w:color w:val="auto"/>
                <w:szCs w:val="21"/>
                <w:highlight w:val="none"/>
              </w:rPr>
            </w:pPr>
            <w:r>
              <w:rPr>
                <w:rFonts w:hint="eastAsia" w:ascii="宋体" w:hAnsi="宋体"/>
                <w:color w:val="auto"/>
                <w:szCs w:val="21"/>
                <w:highlight w:val="none"/>
              </w:rPr>
              <w:t>500≤Y＜1000</w:t>
            </w:r>
          </w:p>
        </w:tc>
        <w:tc>
          <w:tcPr>
            <w:tcW w:w="1153" w:type="dxa"/>
            <w:noWrap w:val="0"/>
            <w:vAlign w:val="top"/>
          </w:tcPr>
          <w:p w14:paraId="37DA165F">
            <w:pPr>
              <w:pStyle w:val="9"/>
              <w:ind w:firstLine="420"/>
              <w:rPr>
                <w:rFonts w:hint="eastAsia" w:ascii="宋体" w:hAnsi="宋体"/>
                <w:color w:val="auto"/>
                <w:szCs w:val="21"/>
                <w:highlight w:val="none"/>
              </w:rPr>
            </w:pPr>
            <w:r>
              <w:rPr>
                <w:rFonts w:hint="eastAsia" w:ascii="宋体" w:hAnsi="宋体"/>
                <w:color w:val="auto"/>
                <w:szCs w:val="21"/>
                <w:highlight w:val="none"/>
              </w:rPr>
              <w:t>Y＜500</w:t>
            </w:r>
          </w:p>
        </w:tc>
      </w:tr>
      <w:tr w14:paraId="6B71B1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118" w:type="dxa"/>
            <w:vMerge w:val="restart"/>
            <w:tcBorders>
              <w:bottom w:val="nil"/>
            </w:tcBorders>
            <w:noWrap w:val="0"/>
            <w:vAlign w:val="top"/>
          </w:tcPr>
          <w:p w14:paraId="661B36D8">
            <w:pPr>
              <w:pStyle w:val="9"/>
              <w:ind w:firstLine="420"/>
              <w:rPr>
                <w:rFonts w:hint="eastAsia" w:ascii="宋体" w:hAnsi="宋体"/>
                <w:color w:val="auto"/>
                <w:szCs w:val="21"/>
                <w:highlight w:val="none"/>
              </w:rPr>
            </w:pPr>
            <w:r>
              <w:rPr>
                <w:rFonts w:hint="eastAsia" w:ascii="宋体" w:hAnsi="宋体"/>
                <w:color w:val="auto"/>
                <w:szCs w:val="21"/>
                <w:highlight w:val="none"/>
              </w:rPr>
              <w:t>租赁和商务服务业</w:t>
            </w:r>
          </w:p>
        </w:tc>
        <w:tc>
          <w:tcPr>
            <w:tcW w:w="1718" w:type="dxa"/>
            <w:noWrap w:val="0"/>
            <w:vAlign w:val="top"/>
          </w:tcPr>
          <w:p w14:paraId="22833B43">
            <w:pPr>
              <w:pStyle w:val="9"/>
              <w:ind w:firstLine="420"/>
              <w:rPr>
                <w:rFonts w:hint="eastAsia" w:ascii="宋体" w:hAnsi="宋体"/>
                <w:color w:val="auto"/>
                <w:szCs w:val="21"/>
                <w:highlight w:val="none"/>
              </w:rPr>
            </w:pPr>
            <w:r>
              <w:rPr>
                <w:rFonts w:hint="eastAsia" w:ascii="宋体" w:hAnsi="宋体"/>
                <w:color w:val="auto"/>
                <w:szCs w:val="21"/>
                <w:highlight w:val="none"/>
              </w:rPr>
              <w:t>从业人员（X）</w:t>
            </w:r>
          </w:p>
        </w:tc>
        <w:tc>
          <w:tcPr>
            <w:tcW w:w="1132" w:type="dxa"/>
            <w:noWrap w:val="0"/>
            <w:vAlign w:val="top"/>
          </w:tcPr>
          <w:p w14:paraId="4162D487">
            <w:pPr>
              <w:pStyle w:val="9"/>
              <w:ind w:firstLine="420"/>
              <w:rPr>
                <w:rFonts w:hint="eastAsia" w:ascii="宋体" w:hAnsi="宋体"/>
                <w:color w:val="auto"/>
                <w:szCs w:val="21"/>
                <w:highlight w:val="none"/>
              </w:rPr>
            </w:pPr>
            <w:r>
              <w:rPr>
                <w:rFonts w:hint="eastAsia" w:ascii="宋体" w:hAnsi="宋体"/>
                <w:color w:val="auto"/>
                <w:szCs w:val="21"/>
                <w:highlight w:val="none"/>
              </w:rPr>
              <w:t>人</w:t>
            </w:r>
          </w:p>
        </w:tc>
        <w:tc>
          <w:tcPr>
            <w:tcW w:w="2012" w:type="dxa"/>
            <w:noWrap w:val="0"/>
            <w:vAlign w:val="top"/>
          </w:tcPr>
          <w:p w14:paraId="34296314">
            <w:pPr>
              <w:pStyle w:val="9"/>
              <w:ind w:firstLine="420"/>
              <w:rPr>
                <w:rFonts w:hint="eastAsia" w:ascii="宋体" w:hAnsi="宋体"/>
                <w:color w:val="auto"/>
                <w:szCs w:val="21"/>
                <w:highlight w:val="none"/>
              </w:rPr>
            </w:pPr>
            <w:r>
              <w:rPr>
                <w:rFonts w:hint="eastAsia" w:ascii="宋体" w:hAnsi="宋体"/>
                <w:color w:val="auto"/>
                <w:szCs w:val="21"/>
                <w:highlight w:val="none"/>
              </w:rPr>
              <w:t>100≤X＜300</w:t>
            </w:r>
          </w:p>
        </w:tc>
        <w:tc>
          <w:tcPr>
            <w:tcW w:w="1788" w:type="dxa"/>
            <w:noWrap w:val="0"/>
            <w:vAlign w:val="top"/>
          </w:tcPr>
          <w:p w14:paraId="62532288">
            <w:pPr>
              <w:pStyle w:val="9"/>
              <w:ind w:firstLine="420"/>
              <w:rPr>
                <w:rFonts w:hint="eastAsia" w:ascii="宋体" w:hAnsi="宋体"/>
                <w:color w:val="auto"/>
                <w:szCs w:val="21"/>
                <w:highlight w:val="none"/>
              </w:rPr>
            </w:pPr>
            <w:r>
              <w:rPr>
                <w:rFonts w:hint="eastAsia" w:ascii="宋体" w:hAnsi="宋体"/>
                <w:color w:val="auto"/>
                <w:szCs w:val="21"/>
                <w:highlight w:val="none"/>
              </w:rPr>
              <w:t>10≤X＜100</w:t>
            </w:r>
          </w:p>
        </w:tc>
        <w:tc>
          <w:tcPr>
            <w:tcW w:w="1153" w:type="dxa"/>
            <w:noWrap w:val="0"/>
            <w:vAlign w:val="top"/>
          </w:tcPr>
          <w:p w14:paraId="7AB2D7C2">
            <w:pPr>
              <w:pStyle w:val="9"/>
              <w:ind w:firstLine="420"/>
              <w:rPr>
                <w:rFonts w:hint="eastAsia" w:ascii="宋体" w:hAnsi="宋体"/>
                <w:color w:val="auto"/>
                <w:szCs w:val="21"/>
                <w:highlight w:val="none"/>
              </w:rPr>
            </w:pPr>
            <w:r>
              <w:rPr>
                <w:rFonts w:hint="eastAsia" w:ascii="宋体" w:hAnsi="宋体"/>
                <w:color w:val="auto"/>
                <w:szCs w:val="21"/>
                <w:highlight w:val="none"/>
              </w:rPr>
              <w:t>X＜10</w:t>
            </w:r>
          </w:p>
        </w:tc>
      </w:tr>
      <w:tr w14:paraId="0FB45A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118" w:type="dxa"/>
            <w:vMerge w:val="continue"/>
            <w:tcBorders>
              <w:top w:val="nil"/>
            </w:tcBorders>
            <w:noWrap w:val="0"/>
            <w:vAlign w:val="top"/>
          </w:tcPr>
          <w:p w14:paraId="566FA272">
            <w:pPr>
              <w:pStyle w:val="9"/>
              <w:ind w:firstLine="420"/>
              <w:rPr>
                <w:rFonts w:hint="eastAsia" w:ascii="宋体" w:hAnsi="宋体"/>
                <w:color w:val="auto"/>
                <w:szCs w:val="21"/>
                <w:highlight w:val="none"/>
              </w:rPr>
            </w:pPr>
          </w:p>
        </w:tc>
        <w:tc>
          <w:tcPr>
            <w:tcW w:w="1718" w:type="dxa"/>
            <w:noWrap w:val="0"/>
            <w:vAlign w:val="top"/>
          </w:tcPr>
          <w:p w14:paraId="2F1B0F4D">
            <w:pPr>
              <w:pStyle w:val="9"/>
              <w:ind w:firstLine="420"/>
              <w:rPr>
                <w:rFonts w:hint="eastAsia" w:ascii="宋体" w:hAnsi="宋体"/>
                <w:color w:val="auto"/>
                <w:szCs w:val="21"/>
                <w:highlight w:val="none"/>
              </w:rPr>
            </w:pPr>
            <w:r>
              <w:rPr>
                <w:rFonts w:hint="eastAsia" w:ascii="宋体" w:hAnsi="宋体"/>
                <w:color w:val="auto"/>
                <w:szCs w:val="21"/>
                <w:highlight w:val="none"/>
              </w:rPr>
              <w:t>资产总额（Z）</w:t>
            </w:r>
          </w:p>
        </w:tc>
        <w:tc>
          <w:tcPr>
            <w:tcW w:w="1132" w:type="dxa"/>
            <w:noWrap w:val="0"/>
            <w:vAlign w:val="top"/>
          </w:tcPr>
          <w:p w14:paraId="262A47F4">
            <w:pPr>
              <w:pStyle w:val="9"/>
              <w:ind w:firstLine="420"/>
              <w:rPr>
                <w:rFonts w:hint="eastAsia" w:ascii="宋体" w:hAnsi="宋体"/>
                <w:color w:val="auto"/>
                <w:szCs w:val="21"/>
                <w:highlight w:val="none"/>
              </w:rPr>
            </w:pPr>
            <w:r>
              <w:rPr>
                <w:rFonts w:hint="eastAsia" w:ascii="宋体" w:hAnsi="宋体"/>
                <w:color w:val="auto"/>
                <w:szCs w:val="21"/>
                <w:highlight w:val="none"/>
              </w:rPr>
              <w:t>万元</w:t>
            </w:r>
          </w:p>
        </w:tc>
        <w:tc>
          <w:tcPr>
            <w:tcW w:w="2012" w:type="dxa"/>
            <w:noWrap w:val="0"/>
            <w:vAlign w:val="top"/>
          </w:tcPr>
          <w:p w14:paraId="0DD8D563">
            <w:pPr>
              <w:pStyle w:val="9"/>
              <w:ind w:firstLine="420"/>
              <w:rPr>
                <w:rFonts w:hint="eastAsia" w:ascii="宋体" w:hAnsi="宋体"/>
                <w:color w:val="auto"/>
                <w:szCs w:val="21"/>
                <w:highlight w:val="none"/>
              </w:rPr>
            </w:pPr>
            <w:r>
              <w:rPr>
                <w:rFonts w:hint="eastAsia" w:ascii="宋体" w:hAnsi="宋体"/>
                <w:color w:val="auto"/>
                <w:szCs w:val="21"/>
                <w:highlight w:val="none"/>
              </w:rPr>
              <w:t>8000≤Z＜120000</w:t>
            </w:r>
          </w:p>
        </w:tc>
        <w:tc>
          <w:tcPr>
            <w:tcW w:w="1788" w:type="dxa"/>
            <w:noWrap w:val="0"/>
            <w:vAlign w:val="top"/>
          </w:tcPr>
          <w:p w14:paraId="1BE90F2B">
            <w:pPr>
              <w:pStyle w:val="9"/>
              <w:ind w:firstLine="420"/>
              <w:rPr>
                <w:rFonts w:hint="eastAsia" w:ascii="宋体" w:hAnsi="宋体"/>
                <w:color w:val="auto"/>
                <w:szCs w:val="21"/>
                <w:highlight w:val="none"/>
              </w:rPr>
            </w:pPr>
            <w:r>
              <w:rPr>
                <w:rFonts w:hint="eastAsia" w:ascii="宋体" w:hAnsi="宋体"/>
                <w:color w:val="auto"/>
                <w:szCs w:val="21"/>
                <w:highlight w:val="none"/>
              </w:rPr>
              <w:t>100≤Z＜8000</w:t>
            </w:r>
          </w:p>
        </w:tc>
        <w:tc>
          <w:tcPr>
            <w:tcW w:w="1153" w:type="dxa"/>
            <w:noWrap w:val="0"/>
            <w:vAlign w:val="top"/>
          </w:tcPr>
          <w:p w14:paraId="6F3D14FA">
            <w:pPr>
              <w:pStyle w:val="9"/>
              <w:ind w:firstLine="420"/>
              <w:rPr>
                <w:rFonts w:hint="eastAsia" w:ascii="宋体" w:hAnsi="宋体"/>
                <w:color w:val="auto"/>
                <w:szCs w:val="21"/>
                <w:highlight w:val="none"/>
              </w:rPr>
            </w:pPr>
            <w:r>
              <w:rPr>
                <w:rFonts w:hint="eastAsia" w:ascii="宋体" w:hAnsi="宋体"/>
                <w:color w:val="auto"/>
                <w:szCs w:val="21"/>
                <w:highlight w:val="none"/>
              </w:rPr>
              <w:t>Y＜100</w:t>
            </w:r>
          </w:p>
        </w:tc>
      </w:tr>
      <w:tr w14:paraId="345D14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2118" w:type="dxa"/>
            <w:noWrap w:val="0"/>
            <w:vAlign w:val="top"/>
          </w:tcPr>
          <w:p w14:paraId="1569FA32">
            <w:pPr>
              <w:pStyle w:val="9"/>
              <w:ind w:firstLine="420"/>
              <w:rPr>
                <w:rFonts w:hint="eastAsia" w:ascii="宋体" w:hAnsi="宋体"/>
                <w:color w:val="auto"/>
                <w:szCs w:val="21"/>
                <w:highlight w:val="none"/>
              </w:rPr>
            </w:pPr>
            <w:r>
              <w:rPr>
                <w:rFonts w:hint="eastAsia" w:ascii="宋体" w:hAnsi="宋体"/>
                <w:color w:val="auto"/>
                <w:szCs w:val="21"/>
                <w:highlight w:val="none"/>
              </w:rPr>
              <w:t>其他未列明行业</w:t>
            </w:r>
          </w:p>
        </w:tc>
        <w:tc>
          <w:tcPr>
            <w:tcW w:w="1718" w:type="dxa"/>
            <w:noWrap w:val="0"/>
            <w:vAlign w:val="top"/>
          </w:tcPr>
          <w:p w14:paraId="3D3ED7CD">
            <w:pPr>
              <w:pStyle w:val="9"/>
              <w:ind w:firstLine="420"/>
              <w:rPr>
                <w:rFonts w:hint="eastAsia" w:ascii="宋体" w:hAnsi="宋体"/>
                <w:color w:val="auto"/>
                <w:szCs w:val="21"/>
                <w:highlight w:val="none"/>
              </w:rPr>
            </w:pPr>
            <w:r>
              <w:rPr>
                <w:rFonts w:hint="eastAsia" w:ascii="宋体" w:hAnsi="宋体"/>
                <w:color w:val="auto"/>
                <w:szCs w:val="21"/>
                <w:highlight w:val="none"/>
              </w:rPr>
              <w:t>从业人员（X）</w:t>
            </w:r>
          </w:p>
        </w:tc>
        <w:tc>
          <w:tcPr>
            <w:tcW w:w="1132" w:type="dxa"/>
            <w:noWrap w:val="0"/>
            <w:vAlign w:val="top"/>
          </w:tcPr>
          <w:p w14:paraId="2FD7560D">
            <w:pPr>
              <w:pStyle w:val="9"/>
              <w:ind w:firstLine="420"/>
              <w:rPr>
                <w:rFonts w:hint="eastAsia" w:ascii="宋体" w:hAnsi="宋体"/>
                <w:color w:val="auto"/>
                <w:szCs w:val="21"/>
                <w:highlight w:val="none"/>
              </w:rPr>
            </w:pPr>
            <w:r>
              <w:rPr>
                <w:rFonts w:hint="eastAsia" w:ascii="宋体" w:hAnsi="宋体"/>
                <w:color w:val="auto"/>
                <w:szCs w:val="21"/>
                <w:highlight w:val="none"/>
              </w:rPr>
              <w:t>人</w:t>
            </w:r>
          </w:p>
        </w:tc>
        <w:tc>
          <w:tcPr>
            <w:tcW w:w="2012" w:type="dxa"/>
            <w:noWrap w:val="0"/>
            <w:vAlign w:val="top"/>
          </w:tcPr>
          <w:p w14:paraId="3DFF3D48">
            <w:pPr>
              <w:pStyle w:val="9"/>
              <w:ind w:firstLine="420"/>
              <w:rPr>
                <w:rFonts w:hint="eastAsia" w:ascii="宋体" w:hAnsi="宋体"/>
                <w:color w:val="auto"/>
                <w:szCs w:val="21"/>
                <w:highlight w:val="none"/>
              </w:rPr>
            </w:pPr>
            <w:r>
              <w:rPr>
                <w:rFonts w:hint="eastAsia" w:ascii="宋体" w:hAnsi="宋体"/>
                <w:color w:val="auto"/>
                <w:szCs w:val="21"/>
                <w:highlight w:val="none"/>
              </w:rPr>
              <w:t>100≤X＜300</w:t>
            </w:r>
          </w:p>
        </w:tc>
        <w:tc>
          <w:tcPr>
            <w:tcW w:w="1788" w:type="dxa"/>
            <w:noWrap w:val="0"/>
            <w:vAlign w:val="top"/>
          </w:tcPr>
          <w:p w14:paraId="1DF19366">
            <w:pPr>
              <w:pStyle w:val="9"/>
              <w:ind w:firstLine="420"/>
              <w:rPr>
                <w:rFonts w:hint="eastAsia" w:ascii="宋体" w:hAnsi="宋体"/>
                <w:color w:val="auto"/>
                <w:szCs w:val="21"/>
                <w:highlight w:val="none"/>
              </w:rPr>
            </w:pPr>
            <w:r>
              <w:rPr>
                <w:rFonts w:hint="eastAsia" w:ascii="宋体" w:hAnsi="宋体"/>
                <w:color w:val="auto"/>
                <w:szCs w:val="21"/>
                <w:highlight w:val="none"/>
              </w:rPr>
              <w:t>10≤X＜100</w:t>
            </w:r>
          </w:p>
        </w:tc>
        <w:tc>
          <w:tcPr>
            <w:tcW w:w="1153" w:type="dxa"/>
            <w:noWrap w:val="0"/>
            <w:vAlign w:val="top"/>
          </w:tcPr>
          <w:p w14:paraId="748A8A27">
            <w:pPr>
              <w:pStyle w:val="9"/>
              <w:ind w:firstLine="420"/>
              <w:rPr>
                <w:rFonts w:hint="eastAsia" w:ascii="宋体" w:hAnsi="宋体"/>
                <w:color w:val="auto"/>
                <w:szCs w:val="21"/>
                <w:highlight w:val="none"/>
              </w:rPr>
            </w:pPr>
            <w:r>
              <w:rPr>
                <w:rFonts w:hint="eastAsia" w:ascii="宋体" w:hAnsi="宋体"/>
                <w:color w:val="auto"/>
                <w:szCs w:val="21"/>
                <w:highlight w:val="none"/>
              </w:rPr>
              <w:t>X＜10</w:t>
            </w:r>
          </w:p>
        </w:tc>
      </w:tr>
    </w:tbl>
    <w:p w14:paraId="0095CF0C">
      <w:pPr>
        <w:pStyle w:val="9"/>
        <w:ind w:firstLine="420"/>
        <w:rPr>
          <w:color w:val="auto"/>
          <w:szCs w:val="21"/>
          <w:highlight w:val="none"/>
        </w:rPr>
      </w:pPr>
      <w:r>
        <w:rPr>
          <w:rFonts w:hint="eastAsia" w:ascii="宋体" w:hAnsi="宋体"/>
          <w:color w:val="auto"/>
          <w:szCs w:val="21"/>
          <w:highlight w:val="none"/>
        </w:rPr>
        <w:t>说明：上述标准参照《关于印发中小企业划型标准规定的通知》（工信部联企业[</w:t>
      </w:r>
      <w:r>
        <w:rPr>
          <w:rFonts w:hint="eastAsia" w:ascii="宋体" w:hAnsi="宋体"/>
          <w:color w:val="auto"/>
          <w:szCs w:val="21"/>
          <w:highlight w:val="none"/>
        </w:rPr>
        <w:fldChar w:fldCharType="begin"/>
      </w:r>
      <w:r>
        <w:rPr>
          <w:rFonts w:hint="eastAsia" w:ascii="宋体" w:hAnsi="宋体"/>
          <w:color w:val="auto"/>
          <w:szCs w:val="21"/>
          <w:highlight w:val="none"/>
        </w:rPr>
        <w:instrText xml:space="preserve"> HYPERLINK \l "bookmark9" </w:instrText>
      </w:r>
      <w:r>
        <w:rPr>
          <w:rFonts w:hint="eastAsia" w:ascii="宋体" w:hAnsi="宋体"/>
          <w:color w:val="auto"/>
          <w:szCs w:val="21"/>
          <w:highlight w:val="none"/>
        </w:rPr>
        <w:fldChar w:fldCharType="separate"/>
      </w:r>
      <w:r>
        <w:rPr>
          <w:rFonts w:hint="eastAsia" w:ascii="宋体" w:hAnsi="宋体"/>
          <w:color w:val="auto"/>
          <w:szCs w:val="21"/>
          <w:highlight w:val="none"/>
        </w:rPr>
        <w:t>2011</w:t>
      </w:r>
      <w:r>
        <w:rPr>
          <w:rFonts w:hint="eastAsia" w:ascii="宋体" w:hAnsi="宋体"/>
          <w:color w:val="auto"/>
          <w:szCs w:val="21"/>
          <w:highlight w:val="none"/>
        </w:rPr>
        <w:fldChar w:fldCharType="end"/>
      </w:r>
      <w:r>
        <w:rPr>
          <w:rFonts w:hint="eastAsia" w:ascii="宋体" w:hAnsi="宋体"/>
          <w:color w:val="auto"/>
          <w:szCs w:val="21"/>
          <w:highlight w:val="none"/>
        </w:rPr>
        <w:t>]300 号），大型、中型和小型企业须同时满足所列指标的下限，否则下划一档；微型企业只须满足所列指标中的一项即可。</w:t>
      </w:r>
      <w:r>
        <w:rPr>
          <w:rFonts w:hint="eastAsia"/>
          <w:color w:val="auto"/>
          <w:szCs w:val="21"/>
          <w:highlight w:val="none"/>
        </w:rPr>
        <w:br w:type="page"/>
      </w:r>
    </w:p>
    <w:p w14:paraId="35C5EADD">
      <w:pPr>
        <w:pStyle w:val="2"/>
        <w:jc w:val="center"/>
        <w:rPr>
          <w:rFonts w:hint="eastAsia" w:ascii="宋体" w:hAnsi="宋体" w:cs="宋体"/>
          <w:color w:val="auto"/>
          <w:highlight w:val="none"/>
        </w:rPr>
      </w:pPr>
      <w:bookmarkStart w:id="34" w:name="_Toc9650"/>
      <w:r>
        <w:rPr>
          <w:rFonts w:hint="eastAsia" w:ascii="宋体" w:hAnsi="宋体" w:cs="宋体"/>
          <w:color w:val="auto"/>
          <w:highlight w:val="none"/>
        </w:rPr>
        <w:t>第四章 评审程序、评审方法和评审标准</w:t>
      </w:r>
      <w:bookmarkEnd w:id="34"/>
    </w:p>
    <w:p w14:paraId="5BEBFD1F">
      <w:pPr>
        <w:pStyle w:val="13"/>
        <w:rPr>
          <w:rFonts w:hint="eastAsia" w:ascii="宋体" w:hAnsi="宋体" w:cs="宋体"/>
          <w:color w:val="auto"/>
          <w:highlight w:val="none"/>
        </w:rPr>
      </w:pPr>
    </w:p>
    <w:p w14:paraId="6AD906C1">
      <w:pPr>
        <w:spacing w:line="400" w:lineRule="exact"/>
        <w:ind w:firstLine="562" w:firstLineChars="200"/>
        <w:rPr>
          <w:rFonts w:hint="eastAsia" w:ascii="宋体" w:hAnsi="宋体" w:cs="宋体"/>
          <w:b/>
          <w:color w:val="auto"/>
          <w:sz w:val="28"/>
          <w:szCs w:val="28"/>
          <w:highlight w:val="none"/>
        </w:rPr>
      </w:pPr>
      <w:r>
        <w:rPr>
          <w:rFonts w:hint="eastAsia" w:ascii="宋体" w:hAnsi="宋体" w:cs="宋体"/>
          <w:b/>
          <w:color w:val="auto"/>
          <w:sz w:val="28"/>
          <w:szCs w:val="28"/>
          <w:highlight w:val="none"/>
        </w:rPr>
        <w:t>一、评审程序和评审方法</w:t>
      </w:r>
    </w:p>
    <w:p w14:paraId="4812E2D9">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1</w:t>
      </w:r>
      <w:r>
        <w:rPr>
          <w:rFonts w:hint="eastAsia" w:ascii="黑体" w:hAnsi="黑体" w:eastAsia="黑体" w:cs="宋体"/>
          <w:b/>
          <w:bCs/>
          <w:color w:val="auto"/>
          <w:sz w:val="24"/>
          <w:highlight w:val="none"/>
        </w:rPr>
        <w:t>.资格审查</w:t>
      </w:r>
    </w:p>
    <w:p w14:paraId="3625F030">
      <w:pPr>
        <w:snapToGrid w:val="0"/>
        <w:spacing w:line="360" w:lineRule="auto"/>
        <w:ind w:firstLine="420" w:firstLineChars="200"/>
        <w:rPr>
          <w:rFonts w:ascii="宋体" w:hAnsi="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w:t>
      </w:r>
      <w:r>
        <w:rPr>
          <w:rFonts w:hint="eastAsia" w:ascii="宋体" w:hAnsi="宋体"/>
          <w:color w:val="auto"/>
          <w:szCs w:val="21"/>
          <w:highlight w:val="none"/>
        </w:rPr>
        <w:t>响应文件开启后，磋商小组依法对供应商的资格证明文件进行审查。</w:t>
      </w:r>
    </w:p>
    <w:p w14:paraId="68D97E59">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注：</w:t>
      </w:r>
      <w:r>
        <w:rPr>
          <w:rFonts w:hint="eastAsia"/>
          <w:color w:val="auto"/>
          <w:highlight w:val="none"/>
        </w:rPr>
        <w:t>磋商小组</w:t>
      </w:r>
      <w:r>
        <w:rPr>
          <w:rFonts w:hint="eastAsia" w:ascii="宋体" w:hAnsi="宋体" w:cs="宋体"/>
          <w:color w:val="auto"/>
          <w:szCs w:val="21"/>
          <w:highlight w:val="none"/>
        </w:rPr>
        <w:t>在资格审查结束前，对供应商进行信用查询。</w:t>
      </w:r>
    </w:p>
    <w:p w14:paraId="07F853F4">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（1）查询渠道： “信用中国”网站(www.creditchina.gov.cn)、中国政府采购网(www.ccgp.gov.cn)。</w:t>
      </w:r>
    </w:p>
    <w:p w14:paraId="14F810CC">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4E902A15">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14:paraId="5EBE5588">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auto"/>
          <w:szCs w:val="21"/>
          <w:highlight w:val="none"/>
        </w:rPr>
        <w:t>。</w:t>
      </w:r>
    </w:p>
    <w:p w14:paraId="08982DDA">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.2资格审查标准为本磋商文件中载明对供应商资格要求的条件。资格审查采用合格制，凡符合磋商文件规定的供应商资格要求的响应文件均通过资格审查。</w:t>
      </w:r>
    </w:p>
    <w:p w14:paraId="5076F8C9">
      <w:pPr>
        <w:spacing w:line="360" w:lineRule="auto"/>
        <w:ind w:firstLine="422" w:firstLineChars="200"/>
        <w:rPr>
          <w:rFonts w:hint="eastAsia" w:ascii="宋体" w:hAnsi="宋体" w:cs="宋体"/>
          <w:b/>
          <w:bCs/>
          <w:color w:val="auto"/>
          <w:szCs w:val="21"/>
          <w:highlight w:val="none"/>
        </w:rPr>
      </w:pPr>
      <w:r>
        <w:rPr>
          <w:rFonts w:ascii="宋体" w:hAnsi="宋体" w:cs="宋体"/>
          <w:b/>
          <w:bCs/>
          <w:color w:val="auto"/>
          <w:szCs w:val="21"/>
          <w:highlight w:val="none"/>
        </w:rPr>
        <w:t>1</w:t>
      </w:r>
      <w:r>
        <w:rPr>
          <w:rFonts w:hint="eastAsia" w:ascii="宋体" w:hAnsi="宋体" w:cs="宋体"/>
          <w:b/>
          <w:bCs/>
          <w:color w:val="auto"/>
          <w:szCs w:val="21"/>
          <w:highlight w:val="none"/>
        </w:rPr>
        <w:t>.3供应商有下列情形之一的，资格审查不通过，其响应文件按无效响应处理：</w:t>
      </w:r>
    </w:p>
    <w:p w14:paraId="2CF2FDD2">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1</w:t>
      </w:r>
      <w:r>
        <w:rPr>
          <w:rFonts w:hint="eastAsia" w:ascii="宋体" w:hAnsi="宋体" w:cs="宋体"/>
          <w:b/>
          <w:bCs/>
          <w:color w:val="auto"/>
          <w:szCs w:val="21"/>
          <w:highlight w:val="none"/>
        </w:rPr>
        <w:t>）不具备磋商文件中规定的资格要求的；</w:t>
      </w:r>
    </w:p>
    <w:p w14:paraId="7B4924F6">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（2）未按磋商文件规定的方式获取本磋商文件的供应商；</w:t>
      </w:r>
    </w:p>
    <w:p w14:paraId="1E431B01">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3</w:t>
      </w:r>
      <w:r>
        <w:rPr>
          <w:rFonts w:hint="eastAsia" w:ascii="宋体" w:hAnsi="宋体" w:cs="宋体"/>
          <w:b/>
          <w:bCs/>
          <w:color w:val="auto"/>
          <w:szCs w:val="21"/>
          <w:highlight w:val="none"/>
        </w:rPr>
        <w:t>）响应文件的资格证明文件缺少任一项“供应商须知前附表”资格证明文件规定的“必须提供”的文件资料的；</w:t>
      </w:r>
    </w:p>
    <w:p w14:paraId="526F1D70">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4</w:t>
      </w:r>
      <w:r>
        <w:rPr>
          <w:rFonts w:hint="eastAsia" w:ascii="宋体" w:hAnsi="宋体" w:cs="宋体"/>
          <w:b/>
          <w:bCs/>
          <w:color w:val="auto"/>
          <w:szCs w:val="21"/>
          <w:highlight w:val="none"/>
        </w:rPr>
        <w:t>）响应文件中的资格证明文件出现任一项不符合“供应商须知前附表”资格证明文件规定的“必须提供”的文件资料要求或者无效的；</w:t>
      </w:r>
    </w:p>
    <w:p w14:paraId="0A111EF6">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5</w:t>
      </w:r>
      <w:r>
        <w:rPr>
          <w:rFonts w:hint="eastAsia" w:ascii="宋体" w:hAnsi="宋体" w:cs="宋体"/>
          <w:b/>
          <w:bCs/>
          <w:color w:val="auto"/>
          <w:szCs w:val="21"/>
          <w:highlight w:val="none"/>
        </w:rPr>
        <w:t>）同一合同项下的不同供应商，单位负责人为同一人或者存在直接控股、管理关系的；为本项目提供过整体设计、规范编制或者项目管理、监理、检测等服务的供应商，再参加该采购项目的其他采购活动的。</w:t>
      </w:r>
    </w:p>
    <w:p w14:paraId="0203069B">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.4通过资格审查的合格供应商不足3家的，不得进入符合性审查环节，</w:t>
      </w:r>
      <w:r>
        <w:rPr>
          <w:rFonts w:hint="eastAsia" w:ascii="宋体" w:hAnsi="宋体"/>
          <w:color w:val="auto"/>
          <w:szCs w:val="21"/>
          <w:highlight w:val="none"/>
        </w:rPr>
        <w:t>采购人或者采购代理机构应当重新开展采购活动。</w:t>
      </w:r>
    </w:p>
    <w:p w14:paraId="0398F7FD">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.符合性审查</w:t>
      </w:r>
    </w:p>
    <w:p w14:paraId="6E717916">
      <w:pPr>
        <w:spacing w:line="360" w:lineRule="auto"/>
        <w:ind w:firstLine="420" w:firstLineChars="200"/>
        <w:rPr>
          <w:rFonts w:hint="eastAsia" w:ascii="宋体" w:hAnsi="宋体" w:cs="宋体"/>
          <w:color w:val="auto"/>
          <w:szCs w:val="21"/>
          <w:highlight w:val="none"/>
        </w:rPr>
      </w:pPr>
      <w:bookmarkStart w:id="35" w:name="_Hlk42528882"/>
      <w:r>
        <w:rPr>
          <w:rFonts w:ascii="宋体" w:hAnsi="宋体" w:cs="宋体"/>
          <w:color w:val="auto"/>
          <w:szCs w:val="21"/>
          <w:highlight w:val="none"/>
        </w:rPr>
        <w:t>2.1</w:t>
      </w:r>
      <w:r>
        <w:rPr>
          <w:rFonts w:hint="eastAsia" w:ascii="宋体" w:hAnsi="宋体" w:cs="宋体"/>
          <w:color w:val="auto"/>
          <w:szCs w:val="21"/>
          <w:highlight w:val="none"/>
        </w:rPr>
        <w:t>由磋商小组对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rPr>
        <w:t>的响应文件的竞标报价、商务、技术等实质性要求进行符合性审查，以确定其是否满足磋商文件的实质性要求。</w:t>
      </w:r>
    </w:p>
    <w:bookmarkEnd w:id="35"/>
    <w:p w14:paraId="1CA4FC98">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2.2</w:t>
      </w:r>
      <w:r>
        <w:rPr>
          <w:rFonts w:hint="eastAsia" w:ascii="宋体" w:hAnsi="宋体" w:cs="宋体"/>
          <w:color w:val="auto"/>
          <w:szCs w:val="21"/>
          <w:highlight w:val="none"/>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77FF15B">
      <w:pPr>
        <w:spacing w:line="360" w:lineRule="auto"/>
        <w:ind w:firstLine="420" w:firstLineChars="200"/>
        <w:rPr>
          <w:rFonts w:hint="eastAsia" w:ascii="宋体" w:hAnsi="宋体" w:cs="宋体"/>
          <w:color w:val="auto"/>
          <w:spacing w:val="-6"/>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auto"/>
          <w:highlight w:val="none"/>
        </w:rPr>
        <w:t>签章</w:t>
      </w:r>
      <w:r>
        <w:rPr>
          <w:rFonts w:hint="eastAsia" w:ascii="宋体" w:hAnsi="宋体" w:cs="宋体"/>
          <w:color w:val="auto"/>
          <w:spacing w:val="-6"/>
          <w:szCs w:val="21"/>
          <w:highlight w:val="none"/>
        </w:rPr>
        <w:t>。</w:t>
      </w:r>
    </w:p>
    <w:p w14:paraId="0E37B469">
      <w:pPr>
        <w:spacing w:line="360" w:lineRule="auto"/>
        <w:ind w:firstLine="420" w:firstLineChars="200"/>
        <w:rPr>
          <w:rFonts w:ascii="宋体" w:hAnsi="宋体" w:cs="宋体"/>
          <w:color w:val="auto"/>
          <w:spacing w:val="-6"/>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0E5FBA09">
      <w:pPr>
        <w:spacing w:line="360" w:lineRule="auto"/>
        <w:ind w:firstLine="396" w:firstLineChars="200"/>
        <w:rPr>
          <w:rFonts w:hint="eastAsia" w:ascii="宋体" w:hAnsi="宋体" w:cs="宋体"/>
          <w:color w:val="auto"/>
          <w:szCs w:val="21"/>
          <w:highlight w:val="none"/>
        </w:rPr>
      </w:pPr>
      <w:r>
        <w:rPr>
          <w:rFonts w:ascii="宋体" w:hAnsi="宋体" w:cs="宋体"/>
          <w:color w:val="auto"/>
          <w:spacing w:val="-6"/>
          <w:szCs w:val="21"/>
          <w:highlight w:val="none"/>
        </w:rPr>
        <w:t>2.4</w:t>
      </w:r>
      <w:r>
        <w:rPr>
          <w:rFonts w:hint="eastAsia" w:ascii="宋体" w:hAnsi="宋体" w:cs="宋体"/>
          <w:color w:val="auto"/>
          <w:szCs w:val="21"/>
          <w:highlight w:val="none"/>
        </w:rPr>
        <w:t xml:space="preserve">首次响应文件报价出现前后不一致的，按照下列规定修正： </w:t>
      </w:r>
    </w:p>
    <w:p w14:paraId="468C862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22E3693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18D8BF0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5EE865F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2CDA51D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0F13F350">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商务技术报价评审</w:t>
      </w:r>
    </w:p>
    <w:p w14:paraId="08E2BB32">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在评审时，如发现下列情形之一的，将被视为响应文件无效处理：</w:t>
      </w:r>
    </w:p>
    <w:p w14:paraId="151BF18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（1）商务技术评审</w:t>
      </w:r>
    </w:p>
    <w:p w14:paraId="6116B2A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1EE7579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2）委托代理人未能出具有效身份证或者出具的身份证与授权委托书中的信息不符的； </w:t>
      </w:r>
    </w:p>
    <w:p w14:paraId="161A634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3）提交的磋商保证金无效的或者未按照磋商文件的规定提交磋商保证金；</w:t>
      </w:r>
    </w:p>
    <w:p w14:paraId="6E57D61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670F76F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5）商务、技术要求允许负偏离的条款数超过“供应商须知前附表”规定项数的；</w:t>
      </w:r>
    </w:p>
    <w:p w14:paraId="4ED64B2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6）未对竞标有效期作出响应或者响应文件承诺的竞标有效期不满足磋商文件要求；</w:t>
      </w:r>
    </w:p>
    <w:p w14:paraId="2218315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7）响应文件的实质性内容未使用中文表述、使用计量单位不符合磋商文件要求；</w:t>
      </w:r>
    </w:p>
    <w:p w14:paraId="01DE369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8）响应文件中的文件资料因填写不齐全或者内容虚假或者出现其他情形而导致被磋商小组认定无效；</w:t>
      </w:r>
    </w:p>
    <w:p w14:paraId="5018E0F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9）响应文件含有采购人不能接受的附加条件；</w:t>
      </w:r>
    </w:p>
    <w:p w14:paraId="7E4B23E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10）属于“供应商须知正文”第7.</w:t>
      </w:r>
      <w:r>
        <w:rPr>
          <w:rFonts w:ascii="宋体" w:hAnsi="宋体" w:cs="宋体"/>
          <w:color w:val="auto"/>
          <w:szCs w:val="21"/>
          <w:highlight w:val="none"/>
        </w:rPr>
        <w:t>5</w:t>
      </w:r>
      <w:r>
        <w:rPr>
          <w:rFonts w:hint="eastAsia" w:ascii="宋体" w:hAnsi="宋体" w:cs="宋体"/>
          <w:color w:val="auto"/>
          <w:szCs w:val="21"/>
          <w:highlight w:val="none"/>
        </w:rPr>
        <w:t>条情形；</w:t>
      </w:r>
    </w:p>
    <w:p w14:paraId="5C105566">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1）虚假竞标，或者出现其他情形而导致被磋商小组认定无效；</w:t>
      </w:r>
    </w:p>
    <w:p w14:paraId="50C49AD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w:t>
      </w:r>
      <w:bookmarkStart w:id="36" w:name="_Hlk71704147"/>
      <w:r>
        <w:rPr>
          <w:rFonts w:hint="eastAsia" w:ascii="宋体" w:hAnsi="宋体" w:cs="宋体"/>
          <w:color w:val="auto"/>
          <w:szCs w:val="21"/>
          <w:highlight w:val="none"/>
        </w:rPr>
        <w:t>磋商文件未载明允许提供备选（替代）竞标方案或明确不允许提供备选（替代）竞标方案时，供应商提供了备选（替代）竞标方案的；</w:t>
      </w:r>
      <w:bookmarkEnd w:id="36"/>
    </w:p>
    <w:p w14:paraId="09F95071">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3）响应文件标注的项目名称或者项目编号与磋商文件标注的项目名称或者项目编号不一致的；</w:t>
      </w:r>
    </w:p>
    <w:p w14:paraId="335EB11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w:t>
      </w:r>
      <w:r>
        <w:rPr>
          <w:rFonts w:hint="eastAsia" w:ascii="宋体" w:hAnsi="宋体"/>
          <w:color w:val="auto"/>
          <w:szCs w:val="21"/>
          <w:highlight w:val="none"/>
        </w:rPr>
        <w:t>竞争性磋商文件明确不允许分包，响应文件拟分包的；</w:t>
      </w:r>
    </w:p>
    <w:p w14:paraId="27631DD0">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5）未响应磋商文件实质性要求；</w:t>
      </w:r>
    </w:p>
    <w:p w14:paraId="02BF1F4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16）法律、法规和磋商文件规定的其他无效情形。</w:t>
      </w:r>
    </w:p>
    <w:p w14:paraId="4B8919F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）报价评审</w:t>
      </w:r>
    </w:p>
    <w:p w14:paraId="452BACA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 xml:space="preserve"> </w:t>
      </w:r>
      <w:r>
        <w:rPr>
          <w:rFonts w:hint="eastAsia" w:ascii="宋体" w:hAnsi="宋体" w:cs="宋体"/>
          <w:color w:val="auto"/>
          <w:szCs w:val="21"/>
          <w:highlight w:val="none"/>
        </w:rPr>
        <w:t>响应文件未提供“供应商须知前附表” 报价文件中规定的“竞标报价表”；</w:t>
      </w:r>
    </w:p>
    <w:p w14:paraId="7815054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3EDD27C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2105B30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4）竞标报价（包含首次报价、最后报价）超过所竞标分标规定的采购预算金额或者最高限价的（如本项目公布了最高限价）；</w:t>
      </w:r>
      <w:bookmarkStart w:id="37" w:name="_Hlk42596405"/>
      <w:r>
        <w:rPr>
          <w:rFonts w:hint="eastAsia" w:ascii="宋体" w:hAnsi="宋体" w:cs="宋体"/>
          <w:color w:val="auto"/>
          <w:szCs w:val="21"/>
          <w:highlight w:val="none"/>
        </w:rPr>
        <w:t>分项竞标报价（包含首次报价、最后报价）</w:t>
      </w:r>
      <w:bookmarkEnd w:id="37"/>
      <w:bookmarkStart w:id="38" w:name="_Hlk42596276"/>
      <w:r>
        <w:rPr>
          <w:rFonts w:hint="eastAsia" w:ascii="宋体" w:hAnsi="宋体" w:cs="宋体"/>
          <w:color w:val="auto"/>
          <w:szCs w:val="21"/>
          <w:highlight w:val="none"/>
        </w:rPr>
        <w:t>超过磋商文件分项采购预算金额或者最高限价的</w:t>
      </w:r>
      <w:bookmarkEnd w:id="38"/>
      <w:r>
        <w:rPr>
          <w:rFonts w:hint="eastAsia" w:ascii="宋体" w:hAnsi="宋体" w:cs="宋体"/>
          <w:color w:val="auto"/>
          <w:szCs w:val="21"/>
          <w:highlight w:val="none"/>
        </w:rPr>
        <w:t>（如本项目公布了最高限价）；</w:t>
      </w:r>
    </w:p>
    <w:p w14:paraId="6EB7A10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分项竞标报价（包含首次报价、最后报价）超过磋商文件分项采购预算金额或者最高限价的（如本项目公布了最高限价）。</w:t>
      </w:r>
    </w:p>
    <w:p w14:paraId="5B39505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响应文件响应的标的数量及单位与竞争性磋商采购文件要求实质性不一致的。</w:t>
      </w:r>
    </w:p>
    <w:p w14:paraId="0C770523">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2.6</w:t>
      </w:r>
      <w:r>
        <w:rPr>
          <w:rFonts w:hint="eastAsia" w:ascii="宋体" w:hAnsi="宋体" w:cs="宋体"/>
          <w:color w:val="auto"/>
          <w:szCs w:val="21"/>
          <w:highlight w:val="none"/>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06CD5A6A">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2.7</w:t>
      </w:r>
      <w:r>
        <w:rPr>
          <w:rFonts w:hint="eastAsia" w:ascii="宋体" w:hAnsi="宋体"/>
          <w:color w:val="auto"/>
          <w:szCs w:val="21"/>
          <w:highlight w:val="none"/>
        </w:rPr>
        <w:t>通过符合性审查的合格供应商不足3家的，不得进入磋商环节，采购人或者采购代理机构应当重新开展采购活动。</w:t>
      </w:r>
    </w:p>
    <w:p w14:paraId="6BA5D67B">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w:t>
      </w:r>
      <w:r>
        <w:rPr>
          <w:rFonts w:hint="eastAsia" w:ascii="黑体" w:hAnsi="黑体" w:eastAsia="黑体" w:cs="宋体"/>
          <w:b/>
          <w:bCs/>
          <w:color w:val="auto"/>
          <w:sz w:val="24"/>
          <w:highlight w:val="none"/>
        </w:rPr>
        <w:t>.磋商程序</w:t>
      </w:r>
    </w:p>
    <w:p w14:paraId="7F05CDBB">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w:t>
      </w:r>
      <w:r>
        <w:rPr>
          <w:rFonts w:ascii="宋体" w:hAnsi="宋体" w:cs="宋体"/>
          <w:color w:val="auto"/>
          <w:kern w:val="0"/>
          <w:szCs w:val="21"/>
          <w:highlight w:val="none"/>
        </w:rPr>
        <w:t>.1</w:t>
      </w:r>
      <w:r>
        <w:rPr>
          <w:rFonts w:hint="eastAsia" w:ascii="宋体" w:hAnsi="宋体" w:cs="宋体"/>
          <w:color w:val="auto"/>
          <w:kern w:val="0"/>
          <w:szCs w:val="21"/>
          <w:highlight w:val="none"/>
        </w:rPr>
        <w:t>磋商小组</w:t>
      </w:r>
      <w:r>
        <w:rPr>
          <w:rFonts w:hint="eastAsia" w:ascii="宋体" w:hAnsi="宋体" w:cs="宋体"/>
          <w:color w:val="auto"/>
          <w:szCs w:val="21"/>
          <w:highlight w:val="none"/>
        </w:rPr>
        <w:t>集中与单一供应商分别进行磋商，并给予所有参加磋商的供应商平等的磋商机会。符合磋商资格的供应商必须在接到磋商通知后</w:t>
      </w:r>
      <w:r>
        <w:rPr>
          <w:color w:val="auto"/>
          <w:highlight w:val="none"/>
        </w:rPr>
        <w:t>在规定时间内在广西政府采购云平台上参加</w:t>
      </w:r>
      <w:r>
        <w:rPr>
          <w:rFonts w:hint="eastAsia"/>
          <w:color w:val="auto"/>
          <w:highlight w:val="none"/>
        </w:rPr>
        <w:t>磋商</w:t>
      </w:r>
      <w:r>
        <w:rPr>
          <w:rFonts w:hint="eastAsia" w:ascii="宋体" w:hAnsi="宋体" w:cs="宋体"/>
          <w:color w:val="auto"/>
          <w:szCs w:val="21"/>
          <w:highlight w:val="none"/>
        </w:rPr>
        <w:t>，未在规定时间内参加磋商的视同放弃参加磋商权利，其响应文件按无效响应处理。</w:t>
      </w:r>
    </w:p>
    <w:p w14:paraId="20B68674">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08074BDF">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3.3</w:t>
      </w:r>
      <w:r>
        <w:rPr>
          <w:rFonts w:hint="eastAsia" w:ascii="宋体" w:hAnsi="宋体" w:cs="宋体"/>
          <w:color w:val="auto"/>
          <w:szCs w:val="21"/>
          <w:highlight w:val="none"/>
        </w:rPr>
        <w:t>对磋商文件作出的实质性变动是磋商文件的有效组成部分，由磋商小组及时以电子澄清函形式同时通知所有参加磋商的供应商。</w:t>
      </w:r>
    </w:p>
    <w:p w14:paraId="4D915CE0">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3.4</w:t>
      </w:r>
      <w:r>
        <w:rPr>
          <w:rFonts w:hint="eastAsia" w:ascii="宋体" w:hAnsi="宋体" w:cs="宋体"/>
          <w:color w:val="auto"/>
          <w:szCs w:val="21"/>
          <w:highlight w:val="none"/>
        </w:rPr>
        <w:t>供应商必须按照磋商文件的变动情况和磋商小组的要求以回函的形式重新提交响应文件，并加盖电子签章。参加磋商的供应商未在规定时间内重新提交响应文件的，视同退出磋商，其响应文件按无效处理。</w:t>
      </w:r>
    </w:p>
    <w:p w14:paraId="76976F24">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3.5</w:t>
      </w:r>
      <w:r>
        <w:rPr>
          <w:rFonts w:hint="eastAsia" w:ascii="宋体" w:hAnsi="宋体" w:cs="宋体"/>
          <w:color w:val="auto"/>
          <w:szCs w:val="21"/>
          <w:highlight w:val="none"/>
        </w:rPr>
        <w:t>磋商中，</w:t>
      </w:r>
      <w:r>
        <w:rPr>
          <w:rFonts w:hint="eastAsia" w:ascii="宋体" w:hAnsi="宋体" w:cs="宋体"/>
          <w:color w:val="auto"/>
          <w:spacing w:val="-6"/>
          <w:szCs w:val="21"/>
          <w:highlight w:val="none"/>
        </w:rPr>
        <w:t>磋商的任何一方不得透露与磋商有关的其他供应商的技术资料、价格和其他信息。</w:t>
      </w:r>
    </w:p>
    <w:p w14:paraId="6F48502D">
      <w:pPr>
        <w:widowControl/>
        <w:tabs>
          <w:tab w:val="left" w:pos="540"/>
        </w:tabs>
        <w:spacing w:line="360" w:lineRule="auto"/>
        <w:ind w:firstLine="420" w:firstLineChars="200"/>
        <w:jc w:val="left"/>
        <w:rPr>
          <w:rFonts w:ascii="宋体" w:hAnsi="宋体" w:cs="宋体"/>
          <w:color w:val="auto"/>
          <w:szCs w:val="21"/>
          <w:highlight w:val="none"/>
        </w:rPr>
      </w:pPr>
      <w:r>
        <w:rPr>
          <w:rFonts w:ascii="宋体" w:hAnsi="宋体" w:cs="宋体"/>
          <w:color w:val="auto"/>
          <w:szCs w:val="21"/>
          <w:highlight w:val="none"/>
        </w:rPr>
        <w:t>3.6</w:t>
      </w:r>
      <w:r>
        <w:rPr>
          <w:rFonts w:hint="eastAsia" w:ascii="宋体" w:hAnsi="宋体" w:cs="宋体"/>
          <w:color w:val="auto"/>
          <w:szCs w:val="21"/>
          <w:highlight w:val="none"/>
        </w:rPr>
        <w:t>采购代理机构对磋商过程和重要磋商内容进行记录。</w:t>
      </w:r>
    </w:p>
    <w:p w14:paraId="15C482BE">
      <w:pPr>
        <w:tabs>
          <w:tab w:val="left" w:pos="2835"/>
        </w:tabs>
        <w:spacing w:line="360" w:lineRule="auto"/>
        <w:ind w:firstLine="420" w:firstLineChars="200"/>
        <w:rPr>
          <w:rFonts w:hint="eastAsia"/>
          <w:color w:val="auto"/>
          <w:highlight w:val="none"/>
        </w:rPr>
      </w:pPr>
      <w:r>
        <w:rPr>
          <w:rFonts w:hint="eastAsia" w:ascii="宋体" w:hAnsi="宋体" w:cs="宋体"/>
          <w:color w:val="auto"/>
          <w:szCs w:val="21"/>
          <w:highlight w:val="none"/>
        </w:rPr>
        <w:t>3</w:t>
      </w:r>
      <w:r>
        <w:rPr>
          <w:rFonts w:ascii="宋体" w:hAnsi="宋体" w:cs="宋体"/>
          <w:color w:val="auto"/>
          <w:szCs w:val="21"/>
          <w:highlight w:val="none"/>
        </w:rPr>
        <w:t>.7</w:t>
      </w:r>
      <w:r>
        <w:rPr>
          <w:color w:val="auto"/>
          <w:highlight w:val="none"/>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33226520">
      <w:pPr>
        <w:tabs>
          <w:tab w:val="left" w:pos="2835"/>
        </w:tabs>
        <w:spacing w:line="360" w:lineRule="auto"/>
        <w:ind w:firstLine="420" w:firstLineChars="200"/>
        <w:rPr>
          <w:rFonts w:hint="eastAsia" w:ascii="宋体" w:hAnsi="宋体" w:cs="宋体"/>
          <w:color w:val="auto"/>
          <w:szCs w:val="21"/>
          <w:highlight w:val="none"/>
        </w:rPr>
      </w:pPr>
      <w:r>
        <w:rPr>
          <w:color w:val="auto"/>
          <w:highlight w:val="none"/>
        </w:rPr>
        <w:t>3.8除本章第3.7条情形</w:t>
      </w:r>
      <w:r>
        <w:rPr>
          <w:rFonts w:hint="eastAsia"/>
          <w:color w:val="auto"/>
          <w:highlight w:val="none"/>
        </w:rPr>
        <w:t>外，</w:t>
      </w:r>
      <w:r>
        <w:rPr>
          <w:rFonts w:hint="eastAsia" w:ascii="宋体" w:hAnsi="宋体"/>
          <w:color w:val="auto"/>
          <w:szCs w:val="21"/>
          <w:highlight w:val="none"/>
        </w:rPr>
        <w:t>对磋商过程提交的响应文件进行有效性、完整性和响应程度审查，通过审查的合格供应商不足3家的，采购人或者采购代理机构应当重新开展采购活动。</w:t>
      </w:r>
    </w:p>
    <w:p w14:paraId="7F28DF87">
      <w:pPr>
        <w:spacing w:line="360" w:lineRule="auto"/>
        <w:ind w:firstLine="482" w:firstLineChars="200"/>
        <w:rPr>
          <w:rFonts w:ascii="宋体" w:hAnsi="宋体" w:cs="宋体"/>
          <w:color w:val="auto"/>
          <w:szCs w:val="21"/>
          <w:highlight w:val="none"/>
        </w:rPr>
      </w:pPr>
      <w:r>
        <w:rPr>
          <w:rFonts w:ascii="黑体" w:hAnsi="黑体" w:eastAsia="黑体" w:cs="宋体"/>
          <w:b/>
          <w:bCs/>
          <w:color w:val="auto"/>
          <w:sz w:val="24"/>
          <w:highlight w:val="none"/>
        </w:rPr>
        <w:t>4.</w:t>
      </w:r>
      <w:r>
        <w:rPr>
          <w:rFonts w:hint="eastAsia" w:ascii="黑体" w:hAnsi="黑体" w:eastAsia="黑体" w:cs="宋体"/>
          <w:b/>
          <w:bCs/>
          <w:color w:val="auto"/>
          <w:sz w:val="24"/>
          <w:highlight w:val="none"/>
        </w:rPr>
        <w:t xml:space="preserve"> 最后报价</w:t>
      </w:r>
    </w:p>
    <w:p w14:paraId="2BFE9EC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磋商文件能够详细列明采购标的的技术、服务要求的，磋商结束后，磋商小组应当要求所有继续参加磋商的供应商在规定时间内在广西政府采购云平台开标大厅提交最后报价，除本章第</w:t>
      </w:r>
      <w:r>
        <w:rPr>
          <w:rFonts w:ascii="宋体" w:hAnsi="宋体" w:cs="宋体"/>
          <w:color w:val="auto"/>
          <w:szCs w:val="21"/>
          <w:highlight w:val="none"/>
        </w:rPr>
        <w:t>4.3</w:t>
      </w:r>
      <w:r>
        <w:rPr>
          <w:rFonts w:hint="eastAsia" w:ascii="宋体" w:hAnsi="宋体" w:cs="宋体"/>
          <w:color w:val="auto"/>
          <w:szCs w:val="21"/>
          <w:highlight w:val="none"/>
        </w:rPr>
        <w:t>条外，提交最后报价的供应商不得少于3家，否则必须重新采购。</w:t>
      </w:r>
    </w:p>
    <w:p w14:paraId="1AE5035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79D9AF63">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4.3</w:t>
      </w:r>
      <w:r>
        <w:rPr>
          <w:rFonts w:hint="eastAsia" w:ascii="宋体" w:hAnsi="宋体" w:cs="宋体"/>
          <w:color w:val="auto"/>
          <w:szCs w:val="21"/>
          <w:highlight w:val="none"/>
        </w:rPr>
        <w:t xml:space="preserve"> 最后报价是供应商响应文件的有效组成部分。符合《政府采购竞争性磋商采购方式管理暂行办法》（财库〔2014〕214号）第三条第四项“市场竞争不充分的科研项目，以及需要扶持的科技成果转化项目”和</w:t>
      </w:r>
      <w:r>
        <w:rPr>
          <w:color w:val="auto"/>
          <w:highlight w:val="none"/>
        </w:rPr>
        <w:t>本</w:t>
      </w:r>
      <w:r>
        <w:rPr>
          <w:rFonts w:ascii="宋体" w:hAnsi="宋体" w:cs="宋体"/>
          <w:color w:val="auto"/>
          <w:szCs w:val="21"/>
          <w:highlight w:val="none"/>
        </w:rPr>
        <w:t>章第3.7条情</w:t>
      </w:r>
      <w:r>
        <w:rPr>
          <w:color w:val="auto"/>
          <w:highlight w:val="none"/>
        </w:rPr>
        <w:t>形的，</w:t>
      </w:r>
      <w:r>
        <w:rPr>
          <w:rFonts w:hint="eastAsia" w:ascii="宋体" w:hAnsi="宋体" w:cs="宋体"/>
          <w:color w:val="auto"/>
          <w:szCs w:val="21"/>
          <w:highlight w:val="none"/>
        </w:rPr>
        <w:t>提交最后报价的供应商可以为2家。</w:t>
      </w:r>
    </w:p>
    <w:p w14:paraId="3A542A6A">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4.4</w:t>
      </w:r>
      <w:r>
        <w:rPr>
          <w:rFonts w:hint="eastAsia" w:ascii="宋体" w:hAnsi="宋体" w:cs="宋体"/>
          <w:color w:val="auto"/>
          <w:szCs w:val="21"/>
          <w:highlight w:val="none"/>
        </w:rPr>
        <w:t>已经提交响应文件的供应商，在提交最后报价之前，可以根据磋商情况退出磋商，退出磋商的供应商的响应文件按无效响应处理。采购人、采购代理机构将退还退出磋商的供应商的保证金。</w:t>
      </w:r>
    </w:p>
    <w:p w14:paraId="2BF23124">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4.5</w:t>
      </w:r>
      <w:r>
        <w:rPr>
          <w:rFonts w:hint="eastAsia" w:ascii="宋体" w:hAnsi="宋体" w:cs="宋体"/>
          <w:color w:val="auto"/>
          <w:szCs w:val="21"/>
          <w:highlight w:val="none"/>
        </w:rPr>
        <w:t>供应商未在规定时间内提交最后报价的，视同退出磋商，其响应文件按无效处理。</w:t>
      </w:r>
    </w:p>
    <w:p w14:paraId="02E9CD1A">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4.6</w:t>
      </w:r>
      <w:r>
        <w:rPr>
          <w:rFonts w:hint="eastAsia" w:ascii="宋体" w:hAnsi="宋体" w:cs="宋体"/>
          <w:color w:val="auto"/>
          <w:szCs w:val="21"/>
          <w:highlight w:val="none"/>
        </w:rPr>
        <w:t>最后报价统一开启后，磋商小组对最后报价进行有效性、完整性和响应程度的审查。</w:t>
      </w:r>
    </w:p>
    <w:p w14:paraId="39F93392">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4.7</w:t>
      </w:r>
      <w:r>
        <w:rPr>
          <w:rFonts w:hint="eastAsia" w:ascii="宋体" w:hAnsi="宋体" w:cs="宋体"/>
          <w:color w:val="auto"/>
          <w:szCs w:val="21"/>
          <w:highlight w:val="none"/>
        </w:rPr>
        <w:t>最后报价出现前后不一致的，按照本章第</w:t>
      </w:r>
      <w:r>
        <w:rPr>
          <w:rFonts w:ascii="宋体" w:hAnsi="宋体" w:cs="宋体"/>
          <w:color w:val="auto"/>
          <w:szCs w:val="21"/>
          <w:highlight w:val="none"/>
        </w:rPr>
        <w:t>2.4</w:t>
      </w:r>
      <w:r>
        <w:rPr>
          <w:rFonts w:hint="eastAsia" w:ascii="宋体" w:hAnsi="宋体" w:cs="宋体"/>
          <w:color w:val="auto"/>
          <w:szCs w:val="21"/>
          <w:highlight w:val="none"/>
        </w:rPr>
        <w:t xml:space="preserve">条的规定修正。 </w:t>
      </w:r>
    </w:p>
    <w:p w14:paraId="276B6F80">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4.8</w:t>
      </w:r>
      <w:r>
        <w:rPr>
          <w:rFonts w:hint="eastAsia" w:ascii="宋体" w:hAnsi="宋体" w:cs="宋体"/>
          <w:color w:val="auto"/>
          <w:szCs w:val="21"/>
          <w:highlight w:val="none"/>
        </w:rPr>
        <w:t>修正后的报价出现下列情形的，按无效响应处理：</w:t>
      </w:r>
    </w:p>
    <w:p w14:paraId="3E723B5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75F0826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（2）经供应商确认修正后的竞标报价（包含首次报价、最后报价）超过所竞标分标规定的采购预算金额或者最高限价的（如本项目公布了最高限价）；</w:t>
      </w:r>
    </w:p>
    <w:p w14:paraId="2DDECBC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（3）经供应商确认修正后的竞标报价（包含首次报价、最后报价）超过分项采购预算金额或者最高限价的（如本项目公布了最高限价）。</w:t>
      </w:r>
    </w:p>
    <w:p w14:paraId="18182367">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4.9</w:t>
      </w:r>
      <w:r>
        <w:rPr>
          <w:rFonts w:hint="eastAsia" w:ascii="宋体" w:hAnsi="宋体" w:cs="宋体"/>
          <w:color w:val="auto"/>
          <w:szCs w:val="21"/>
          <w:highlight w:val="none"/>
        </w:rPr>
        <w:t>经供应商确认修正后的最后报价作为评审及签订合同的依据。</w:t>
      </w:r>
    </w:p>
    <w:p w14:paraId="7B3DEB1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4.10供应商出现最后报价按无效响应处理或者响应文件按无效处理时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rPr>
        <w:t>。</w:t>
      </w:r>
    </w:p>
    <w:p w14:paraId="530D3865">
      <w:pPr>
        <w:spacing w:line="360" w:lineRule="auto"/>
        <w:ind w:firstLine="420" w:firstLineChars="200"/>
        <w:rPr>
          <w:rFonts w:hint="eastAsia" w:ascii="宋体" w:hAnsi="宋体"/>
          <w:kern w:val="0"/>
          <w:szCs w:val="21"/>
          <w:highlight w:val="none"/>
        </w:rPr>
      </w:pPr>
      <w:r>
        <w:rPr>
          <w:rFonts w:hint="eastAsia" w:ascii="宋体" w:hAnsi="宋体"/>
          <w:kern w:val="0"/>
          <w:szCs w:val="21"/>
          <w:highlight w:val="none"/>
          <w:lang w:val="en-US" w:eastAsia="zh-CN"/>
        </w:rPr>
        <w:t>4.11</w:t>
      </w:r>
      <w:r>
        <w:rPr>
          <w:rFonts w:hint="eastAsia" w:ascii="宋体" w:hAnsi="宋体"/>
          <w:kern w:val="0"/>
          <w:szCs w:val="21"/>
          <w:highlight w:val="none"/>
        </w:rPr>
        <w:t>异常低价审查</w:t>
      </w:r>
    </w:p>
    <w:p w14:paraId="71F30376">
      <w:pPr>
        <w:spacing w:line="360" w:lineRule="auto"/>
        <w:ind w:firstLine="420" w:firstLineChars="200"/>
        <w:rPr>
          <w:rFonts w:hint="eastAsia" w:ascii="宋体" w:hAnsi="宋体"/>
          <w:kern w:val="0"/>
          <w:szCs w:val="21"/>
          <w:highlight w:val="none"/>
        </w:rPr>
      </w:pPr>
      <w:r>
        <w:rPr>
          <w:rFonts w:hint="eastAsia" w:ascii="宋体" w:hAnsi="宋体"/>
          <w:kern w:val="0"/>
          <w:szCs w:val="21"/>
          <w:highlight w:val="none"/>
          <w:lang w:val="en-US" w:eastAsia="zh-CN"/>
        </w:rPr>
        <w:t>4.11</w:t>
      </w:r>
      <w:r>
        <w:rPr>
          <w:rFonts w:hint="eastAsia" w:ascii="宋体" w:hAnsi="宋体"/>
          <w:kern w:val="0"/>
          <w:szCs w:val="21"/>
          <w:highlight w:val="none"/>
        </w:rPr>
        <w:t>.1根据《关于推动解决政府采购异常低价问题的通知》财库〔2026〕2号文件，政府采购评审中出现下列情形之一的，磋商小组应当启动异常低价投标（响应）审查程序：</w:t>
      </w:r>
    </w:p>
    <w:p w14:paraId="12B22AB8">
      <w:pPr>
        <w:spacing w:line="360" w:lineRule="auto"/>
        <w:ind w:firstLine="420" w:firstLineChars="200"/>
        <w:rPr>
          <w:rFonts w:hint="eastAsia" w:ascii="宋体" w:hAnsi="宋体"/>
          <w:kern w:val="0"/>
          <w:szCs w:val="21"/>
          <w:highlight w:val="none"/>
        </w:rPr>
      </w:pPr>
      <w:r>
        <w:rPr>
          <w:rFonts w:hint="eastAsia" w:ascii="宋体" w:hAnsi="宋体"/>
          <w:kern w:val="0"/>
          <w:szCs w:val="21"/>
          <w:highlight w:val="none"/>
        </w:rPr>
        <w:t>（1）投标（响应）报价低于全部通过符合性审查供应商投标（响应）报价平均值65%的，即投标（响应）报价&lt;全部通过符合性审查供应商投标（响应）报价平均值×65%；</w:t>
      </w:r>
    </w:p>
    <w:p w14:paraId="2FB689E6">
      <w:pPr>
        <w:spacing w:line="360" w:lineRule="auto"/>
        <w:ind w:firstLine="420" w:firstLineChars="200"/>
        <w:rPr>
          <w:rFonts w:hint="eastAsia" w:ascii="宋体" w:hAnsi="宋体"/>
          <w:kern w:val="0"/>
          <w:szCs w:val="21"/>
          <w:highlight w:val="none"/>
        </w:rPr>
      </w:pPr>
      <w:r>
        <w:rPr>
          <w:rFonts w:hint="eastAsia" w:ascii="宋体" w:hAnsi="宋体"/>
          <w:kern w:val="0"/>
          <w:szCs w:val="21"/>
          <w:highlight w:val="none"/>
        </w:rPr>
        <w:t>（2）投标（响应）报价低于通过符合性审查的次低报价供应商投标（响应）报价65%的，即投标（响应）报价&lt;通过符合性审查的次低报价供应商投标（响应）报价×65%；</w:t>
      </w:r>
    </w:p>
    <w:p w14:paraId="663B98D5">
      <w:pPr>
        <w:spacing w:line="360" w:lineRule="auto"/>
        <w:ind w:firstLine="420" w:firstLineChars="200"/>
        <w:rPr>
          <w:rFonts w:hint="eastAsia" w:ascii="宋体" w:hAnsi="宋体"/>
          <w:kern w:val="0"/>
          <w:szCs w:val="21"/>
          <w:highlight w:val="none"/>
        </w:rPr>
      </w:pPr>
      <w:r>
        <w:rPr>
          <w:rFonts w:hint="eastAsia" w:ascii="宋体" w:hAnsi="宋体"/>
          <w:kern w:val="0"/>
          <w:szCs w:val="21"/>
          <w:highlight w:val="none"/>
        </w:rPr>
        <w:t>（3）投标（响应）报价低于采购项目最高限价65%的，即投标（响应）报价&lt;采购项目最高限价×65%；</w:t>
      </w:r>
    </w:p>
    <w:p w14:paraId="40CA6D67">
      <w:pPr>
        <w:spacing w:line="360" w:lineRule="auto"/>
        <w:ind w:firstLine="420" w:firstLineChars="200"/>
        <w:rPr>
          <w:rFonts w:hint="eastAsia" w:ascii="宋体" w:hAnsi="宋体"/>
          <w:kern w:val="0"/>
          <w:szCs w:val="21"/>
          <w:highlight w:val="none"/>
        </w:rPr>
      </w:pPr>
      <w:r>
        <w:rPr>
          <w:rFonts w:hint="eastAsia" w:ascii="宋体" w:hAnsi="宋体"/>
          <w:kern w:val="0"/>
          <w:szCs w:val="21"/>
          <w:highlight w:val="none"/>
        </w:rPr>
        <w:t>（4）磋商小组基于专业判断，认为供应商报价过低，有可能影响产品质量或者不能诚信履约的其他情形。</w:t>
      </w:r>
    </w:p>
    <w:p w14:paraId="3373B6C9">
      <w:pPr>
        <w:spacing w:line="360" w:lineRule="auto"/>
        <w:ind w:firstLine="420" w:firstLineChars="200"/>
        <w:rPr>
          <w:rFonts w:ascii="宋体" w:hAnsi="宋体"/>
          <w:kern w:val="0"/>
          <w:szCs w:val="21"/>
          <w:highlight w:val="none"/>
        </w:rPr>
      </w:pPr>
      <w:r>
        <w:rPr>
          <w:rFonts w:hint="eastAsia" w:ascii="宋体" w:hAnsi="宋体"/>
          <w:kern w:val="0"/>
          <w:szCs w:val="21"/>
          <w:highlight w:val="none"/>
          <w:lang w:val="en-US" w:eastAsia="zh-CN"/>
        </w:rPr>
        <w:t>4.11</w:t>
      </w:r>
      <w:r>
        <w:rPr>
          <w:rFonts w:ascii="宋体" w:hAnsi="宋体"/>
          <w:kern w:val="0"/>
          <w:szCs w:val="21"/>
          <w:highlight w:val="none"/>
        </w:rPr>
        <w:t>.2</w:t>
      </w:r>
      <w:r>
        <w:rPr>
          <w:rFonts w:hint="eastAsia" w:ascii="宋体" w:hAnsi="宋体"/>
          <w:kern w:val="0"/>
          <w:szCs w:val="21"/>
          <w:highlight w:val="none"/>
        </w:rPr>
        <w:t>磋商小组启动异常低价投标（响应）审查后，属于</w:t>
      </w:r>
      <w:r>
        <w:rPr>
          <w:rFonts w:hint="eastAsia" w:ascii="宋体" w:hAnsi="宋体"/>
          <w:kern w:val="0"/>
          <w:szCs w:val="21"/>
          <w:highlight w:val="none"/>
          <w:lang w:val="en-US" w:eastAsia="zh-CN"/>
        </w:rPr>
        <w:t>4.11.</w:t>
      </w:r>
      <w:r>
        <w:rPr>
          <w:rFonts w:hint="eastAsia" w:ascii="宋体" w:hAnsi="宋体"/>
          <w:kern w:val="0"/>
          <w:szCs w:val="21"/>
          <w:highlight w:val="none"/>
        </w:rPr>
        <w:t>1中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4BA74FDC">
      <w:pPr>
        <w:spacing w:line="360" w:lineRule="auto"/>
        <w:ind w:firstLine="420" w:firstLineChars="200"/>
        <w:rPr>
          <w:rFonts w:hint="eastAsia" w:ascii="宋体" w:hAnsi="宋体" w:cs="宋体"/>
          <w:color w:val="auto"/>
          <w:szCs w:val="21"/>
          <w:highlight w:val="none"/>
        </w:rPr>
      </w:pPr>
      <w:r>
        <w:rPr>
          <w:rFonts w:hint="eastAsia" w:ascii="宋体" w:hAnsi="宋体"/>
          <w:kern w:val="0"/>
          <w:szCs w:val="21"/>
          <w:highlight w:val="none"/>
          <w:lang w:val="en-US" w:eastAsia="zh-CN"/>
        </w:rPr>
        <w:t>4.11.3</w:t>
      </w:r>
      <w:r>
        <w:rPr>
          <w:rFonts w:hint="eastAsia" w:ascii="Times New Roman" w:hAnsi="宋体"/>
          <w:szCs w:val="22"/>
          <w:highlight w:val="none"/>
        </w:rPr>
        <w:t>磋商小组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磋商小组应当将其作为无效投标（响应）处理。</w:t>
      </w:r>
    </w:p>
    <w:p w14:paraId="434EAE7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最后报价结束后，磋商小组不得再与供应商进行任何形式的商谈。</w:t>
      </w:r>
    </w:p>
    <w:p w14:paraId="25AFD751">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5</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比较与评价</w:t>
      </w:r>
    </w:p>
    <w:p w14:paraId="0229E11B">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rPr>
        <w:t>评审方法：综合评分法。</w:t>
      </w:r>
    </w:p>
    <w:p w14:paraId="47D43BB3">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5.2</w:t>
      </w:r>
      <w:r>
        <w:rPr>
          <w:rFonts w:hint="eastAsia" w:ascii="宋体" w:hAnsi="宋体" w:cs="宋体"/>
          <w:color w:val="auto"/>
          <w:szCs w:val="21"/>
          <w:highlight w:val="none"/>
        </w:rPr>
        <w:t>经磋商确定最终采购需求和提交最后报价的供应商后，由磋商小组采用综合评分法对提交最后报价的供应商的响应文件和最后报价进行综合评分。</w:t>
      </w:r>
    </w:p>
    <w:p w14:paraId="6CDFC89D">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5.3</w:t>
      </w:r>
      <w:r>
        <w:rPr>
          <w:rFonts w:hint="eastAsia" w:ascii="宋体" w:hAnsi="宋体" w:cs="宋体"/>
          <w:color w:val="auto"/>
          <w:szCs w:val="21"/>
          <w:highlight w:val="none"/>
        </w:rPr>
        <w:t>评审时，磋商小组各成员应当独立对每个有效响应的文件进行评价、打分，然后汇总每个供应商每项评分因素的得分。</w:t>
      </w:r>
    </w:p>
    <w:p w14:paraId="1E2E79F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11EE0B6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6EB69613">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5.4</w:t>
      </w:r>
      <w:r>
        <w:rPr>
          <w:rFonts w:hint="eastAsia" w:ascii="宋体" w:hAnsi="宋体" w:cs="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14:paraId="093BAC03">
      <w:pPr>
        <w:spacing w:line="360" w:lineRule="auto"/>
        <w:ind w:firstLine="420" w:firstLineChars="200"/>
        <w:rPr>
          <w:rFonts w:hint="eastAsia" w:ascii="宋体" w:hAnsi="宋体"/>
          <w:color w:val="auto"/>
          <w:kern w:val="0"/>
          <w:szCs w:val="21"/>
          <w:highlight w:val="none"/>
        </w:rPr>
      </w:pPr>
      <w:r>
        <w:rPr>
          <w:rFonts w:ascii="宋体" w:hAnsi="宋体" w:cs="宋体"/>
          <w:color w:val="auto"/>
          <w:szCs w:val="21"/>
          <w:highlight w:val="none"/>
        </w:rPr>
        <w:t>5.5</w:t>
      </w:r>
      <w:r>
        <w:rPr>
          <w:rFonts w:hint="eastAsia" w:ascii="宋体" w:hAnsi="宋体" w:cs="宋体"/>
          <w:color w:val="auto"/>
          <w:szCs w:val="21"/>
          <w:highlight w:val="none"/>
        </w:rPr>
        <w:t>由磋商小组根据综合评分情况，按照评审得分由高到低顺序推荐3名以上成交候选供应商，并编写评</w:t>
      </w:r>
      <w:r>
        <w:rPr>
          <w:rFonts w:hint="eastAsia" w:ascii="宋体" w:hAnsi="宋体"/>
          <w:color w:val="auto"/>
          <w:kern w:val="0"/>
          <w:szCs w:val="21"/>
          <w:highlight w:val="none"/>
        </w:rPr>
        <w:t>审报告。符合本章第</w:t>
      </w:r>
      <w:r>
        <w:rPr>
          <w:rFonts w:ascii="宋体" w:hAnsi="宋体"/>
          <w:color w:val="auto"/>
          <w:kern w:val="0"/>
          <w:szCs w:val="21"/>
          <w:highlight w:val="none"/>
        </w:rPr>
        <w:t>4.3</w:t>
      </w:r>
      <w:r>
        <w:rPr>
          <w:rFonts w:hint="eastAsia" w:ascii="宋体" w:hAnsi="宋体"/>
          <w:color w:val="auto"/>
          <w:kern w:val="0"/>
          <w:szCs w:val="21"/>
          <w:highlight w:val="none"/>
        </w:rPr>
        <w:t>条情形的，可以推荐2家成交候选供应商。评审得分相同的，按照最后报价由低到高的顺序推荐。评审得分且最后报价相同的，按照技术指标优劣顺序推荐。</w:t>
      </w:r>
    </w:p>
    <w:p w14:paraId="55A4C7A1">
      <w:pPr>
        <w:spacing w:line="360" w:lineRule="auto"/>
        <w:ind w:firstLine="420" w:firstLineChars="200"/>
        <w:rPr>
          <w:rFonts w:hint="eastAsia" w:ascii="宋体" w:hAnsi="宋体" w:cs="宋体"/>
          <w:color w:val="auto"/>
          <w:szCs w:val="21"/>
          <w:highlight w:val="none"/>
        </w:rPr>
      </w:pPr>
      <w:r>
        <w:rPr>
          <w:rFonts w:ascii="宋体" w:hAnsi="宋体"/>
          <w:color w:val="auto"/>
          <w:kern w:val="0"/>
          <w:szCs w:val="21"/>
          <w:highlight w:val="none"/>
        </w:rPr>
        <w:t>5.6</w:t>
      </w:r>
      <w:r>
        <w:rPr>
          <w:rFonts w:hint="eastAsia" w:ascii="宋体" w:hAnsi="宋体"/>
          <w:color w:val="auto"/>
          <w:kern w:val="0"/>
          <w:szCs w:val="21"/>
          <w:highlight w:val="none"/>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9C9B381">
      <w:pPr>
        <w:spacing w:line="360" w:lineRule="auto"/>
        <w:ind w:firstLine="321" w:firstLineChars="100"/>
        <w:rPr>
          <w:rFonts w:ascii="宋体" w:hAnsi="宋体"/>
          <w:b/>
          <w:color w:val="auto"/>
          <w:sz w:val="32"/>
          <w:szCs w:val="32"/>
          <w:highlight w:val="none"/>
        </w:rPr>
      </w:pPr>
      <w:r>
        <w:rPr>
          <w:rFonts w:hint="eastAsia" w:ascii="宋体" w:hAnsi="宋体"/>
          <w:b/>
          <w:color w:val="auto"/>
          <w:sz w:val="32"/>
          <w:szCs w:val="32"/>
          <w:highlight w:val="none"/>
        </w:rPr>
        <w:t>二、评审标准</w:t>
      </w:r>
    </w:p>
    <w:p w14:paraId="0F4C3859">
      <w:pPr>
        <w:spacing w:line="360" w:lineRule="auto"/>
        <w:ind w:firstLine="420" w:firstLineChars="200"/>
        <w:rPr>
          <w:rFonts w:hint="eastAsia" w:ascii="宋体" w:hAnsi="宋体" w:cs="宋体"/>
          <w:b/>
          <w:color w:val="auto"/>
          <w:szCs w:val="21"/>
          <w:highlight w:val="none"/>
        </w:rPr>
      </w:pPr>
      <w:r>
        <w:rPr>
          <w:rFonts w:hint="eastAsia" w:ascii="宋体" w:hAnsi="宋体"/>
          <w:bCs/>
          <w:color w:val="auto"/>
          <w:szCs w:val="21"/>
          <w:highlight w:val="none"/>
        </w:rPr>
        <w:t>6</w:t>
      </w:r>
      <w:r>
        <w:rPr>
          <w:rFonts w:ascii="宋体" w:hAnsi="宋体"/>
          <w:bCs/>
          <w:color w:val="auto"/>
          <w:szCs w:val="21"/>
          <w:highlight w:val="none"/>
        </w:rPr>
        <w:t>.</w:t>
      </w:r>
      <w:r>
        <w:rPr>
          <w:rFonts w:hint="eastAsia" w:ascii="宋体" w:hAnsi="宋体"/>
          <w:bCs/>
          <w:color w:val="auto"/>
          <w:szCs w:val="21"/>
          <w:highlight w:val="none"/>
        </w:rPr>
        <w:t>评审依据：磋商小组将以磋商响应文件为评审依据，对供应商的报价、技术、商务等方面内容按百</w:t>
      </w:r>
      <w:r>
        <w:rPr>
          <w:rFonts w:hint="eastAsia" w:ascii="宋体" w:hAnsi="宋体"/>
          <w:b/>
          <w:color w:val="auto"/>
          <w:szCs w:val="21"/>
          <w:highlight w:val="none"/>
        </w:rPr>
        <w:t>分制打分。（计分方法按四舍五入取至百分位）。</w:t>
      </w:r>
    </w:p>
    <w:tbl>
      <w:tblPr>
        <w:tblStyle w:val="16"/>
        <w:tblW w:w="99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1172"/>
        <w:gridCol w:w="1037"/>
        <w:gridCol w:w="7141"/>
      </w:tblGrid>
      <w:tr w14:paraId="0588D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8" w:type="dxa"/>
            <w:noWrap/>
            <w:vAlign w:val="center"/>
          </w:tcPr>
          <w:p w14:paraId="0626FB0C">
            <w:pPr>
              <w:jc w:val="center"/>
              <w:rPr>
                <w:rFonts w:hint="eastAsia" w:ascii="宋体" w:hAnsi="宋体" w:cs="宋体"/>
                <w:bCs/>
                <w:color w:val="auto"/>
                <w:szCs w:val="21"/>
                <w:highlight w:val="none"/>
              </w:rPr>
            </w:pPr>
            <w:r>
              <w:rPr>
                <w:rFonts w:hint="eastAsia" w:ascii="宋体" w:hAnsi="宋体" w:cs="宋体"/>
                <w:bCs/>
                <w:color w:val="auto"/>
                <w:szCs w:val="21"/>
                <w:highlight w:val="none"/>
              </w:rPr>
              <w:t>序号</w:t>
            </w:r>
          </w:p>
        </w:tc>
        <w:tc>
          <w:tcPr>
            <w:tcW w:w="1172" w:type="dxa"/>
            <w:noWrap/>
            <w:vAlign w:val="center"/>
          </w:tcPr>
          <w:p w14:paraId="4AF4802E">
            <w:pPr>
              <w:jc w:val="center"/>
              <w:rPr>
                <w:rFonts w:hint="eastAsia" w:ascii="宋体" w:hAnsi="宋体" w:cs="宋体"/>
                <w:bCs/>
                <w:color w:val="auto"/>
                <w:szCs w:val="21"/>
                <w:highlight w:val="none"/>
              </w:rPr>
            </w:pPr>
            <w:r>
              <w:rPr>
                <w:rFonts w:hint="eastAsia" w:ascii="宋体" w:hAnsi="宋体" w:cs="宋体"/>
                <w:bCs/>
                <w:color w:val="auto"/>
                <w:szCs w:val="21"/>
                <w:highlight w:val="none"/>
              </w:rPr>
              <w:t>评审因素及分值</w:t>
            </w:r>
          </w:p>
        </w:tc>
        <w:tc>
          <w:tcPr>
            <w:tcW w:w="1037" w:type="dxa"/>
            <w:noWrap/>
            <w:vAlign w:val="center"/>
          </w:tcPr>
          <w:p w14:paraId="32D5E6FB">
            <w:pPr>
              <w:jc w:val="center"/>
              <w:rPr>
                <w:rFonts w:hint="eastAsia" w:ascii="宋体" w:hAnsi="宋体" w:cs="宋体"/>
                <w:bCs/>
                <w:color w:val="auto"/>
                <w:szCs w:val="21"/>
                <w:highlight w:val="none"/>
              </w:rPr>
            </w:pPr>
            <w:r>
              <w:rPr>
                <w:rFonts w:hint="eastAsia" w:ascii="宋体" w:hAnsi="宋体" w:cs="宋体"/>
                <w:bCs/>
                <w:color w:val="auto"/>
                <w:szCs w:val="21"/>
                <w:highlight w:val="none"/>
              </w:rPr>
              <w:t>分项分值</w:t>
            </w:r>
          </w:p>
        </w:tc>
        <w:tc>
          <w:tcPr>
            <w:tcW w:w="7141" w:type="dxa"/>
            <w:noWrap/>
            <w:vAlign w:val="center"/>
          </w:tcPr>
          <w:p w14:paraId="6F075A6E">
            <w:pPr>
              <w:jc w:val="center"/>
              <w:rPr>
                <w:rFonts w:hint="eastAsia" w:ascii="宋体" w:hAnsi="宋体" w:cs="宋体"/>
                <w:bCs/>
                <w:color w:val="auto"/>
                <w:szCs w:val="21"/>
                <w:highlight w:val="none"/>
              </w:rPr>
            </w:pPr>
            <w:r>
              <w:rPr>
                <w:rFonts w:hint="eastAsia" w:ascii="宋体" w:hAnsi="宋体" w:cs="宋体"/>
                <w:bCs/>
                <w:color w:val="auto"/>
                <w:szCs w:val="21"/>
                <w:highlight w:val="none"/>
              </w:rPr>
              <w:t>评审标准</w:t>
            </w:r>
          </w:p>
        </w:tc>
      </w:tr>
      <w:tr w14:paraId="14C1D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38" w:type="dxa"/>
            <w:noWrap/>
            <w:vAlign w:val="center"/>
          </w:tcPr>
          <w:p w14:paraId="00ECE28E">
            <w:pPr>
              <w:jc w:val="center"/>
              <w:rPr>
                <w:rFonts w:hint="eastAsia" w:ascii="宋体" w:hAnsi="宋体" w:cs="宋体"/>
                <w:b/>
                <w:color w:val="auto"/>
                <w:szCs w:val="21"/>
                <w:highlight w:val="none"/>
              </w:rPr>
            </w:pPr>
            <w:r>
              <w:rPr>
                <w:rFonts w:hint="eastAsia" w:ascii="宋体" w:hAnsi="宋体" w:cs="宋体"/>
                <w:b/>
                <w:color w:val="auto"/>
                <w:szCs w:val="21"/>
                <w:highlight w:val="none"/>
              </w:rPr>
              <w:t>1</w:t>
            </w:r>
          </w:p>
        </w:tc>
        <w:tc>
          <w:tcPr>
            <w:tcW w:w="1172" w:type="dxa"/>
            <w:noWrap/>
            <w:vAlign w:val="center"/>
          </w:tcPr>
          <w:p w14:paraId="061CAC8D">
            <w:pPr>
              <w:jc w:val="center"/>
              <w:rPr>
                <w:rFonts w:hint="eastAsia" w:ascii="宋体" w:hAnsi="宋体" w:cs="宋体"/>
                <w:b/>
                <w:color w:val="auto"/>
                <w:szCs w:val="21"/>
                <w:highlight w:val="none"/>
              </w:rPr>
            </w:pPr>
            <w:r>
              <w:rPr>
                <w:rFonts w:hint="eastAsia" w:ascii="宋体" w:hAnsi="宋体" w:cs="宋体"/>
                <w:b/>
                <w:color w:val="auto"/>
                <w:szCs w:val="21"/>
                <w:highlight w:val="none"/>
              </w:rPr>
              <w:t>竞标报价</w:t>
            </w:r>
          </w:p>
          <w:p w14:paraId="5499AB6E">
            <w:pPr>
              <w:jc w:val="center"/>
              <w:rPr>
                <w:rFonts w:hint="eastAsia" w:ascii="宋体" w:hAnsi="宋体" w:cs="宋体"/>
                <w:b/>
                <w:color w:val="auto"/>
                <w:szCs w:val="21"/>
                <w:highlight w:val="none"/>
              </w:rPr>
            </w:pPr>
            <w:r>
              <w:rPr>
                <w:rFonts w:hint="eastAsia" w:ascii="宋体" w:hAnsi="宋体" w:cs="宋体"/>
                <w:b/>
                <w:color w:val="auto"/>
                <w:szCs w:val="21"/>
                <w:highlight w:val="none"/>
              </w:rPr>
              <w:t>（</w:t>
            </w:r>
            <w:r>
              <w:rPr>
                <w:rFonts w:hint="eastAsia" w:ascii="宋体" w:hAnsi="宋体" w:cs="宋体"/>
                <w:b/>
                <w:color w:val="auto"/>
                <w:szCs w:val="21"/>
                <w:highlight w:val="none"/>
                <w:lang w:val="en-US" w:eastAsia="zh-CN"/>
              </w:rPr>
              <w:t>10</w:t>
            </w:r>
            <w:r>
              <w:rPr>
                <w:rFonts w:hint="eastAsia" w:ascii="宋体" w:hAnsi="宋体" w:cs="宋体"/>
                <w:b/>
                <w:color w:val="auto"/>
                <w:szCs w:val="21"/>
                <w:highlight w:val="none"/>
              </w:rPr>
              <w:t>分）</w:t>
            </w:r>
          </w:p>
        </w:tc>
        <w:tc>
          <w:tcPr>
            <w:tcW w:w="1037" w:type="dxa"/>
            <w:noWrap/>
            <w:vAlign w:val="center"/>
          </w:tcPr>
          <w:p w14:paraId="146A3F74">
            <w:pPr>
              <w:jc w:val="center"/>
              <w:rPr>
                <w:rFonts w:hint="eastAsia" w:ascii="宋体" w:hAnsi="宋体" w:cs="宋体"/>
                <w:bCs/>
                <w:color w:val="auto"/>
                <w:szCs w:val="21"/>
                <w:highlight w:val="none"/>
              </w:rPr>
            </w:pPr>
            <w:r>
              <w:rPr>
                <w:rFonts w:hint="eastAsia" w:ascii="宋体" w:hAnsi="宋体" w:cs="宋体"/>
                <w:b/>
                <w:color w:val="auto"/>
                <w:szCs w:val="21"/>
                <w:highlight w:val="none"/>
              </w:rPr>
              <w:t>价格分（</w:t>
            </w:r>
            <w:r>
              <w:rPr>
                <w:rFonts w:hint="eastAsia" w:ascii="宋体" w:hAnsi="宋体" w:cs="宋体"/>
                <w:b/>
                <w:color w:val="auto"/>
                <w:szCs w:val="21"/>
                <w:highlight w:val="none"/>
                <w:lang w:val="en-US" w:eastAsia="zh-CN"/>
              </w:rPr>
              <w:t>10</w:t>
            </w:r>
            <w:r>
              <w:rPr>
                <w:rFonts w:hint="eastAsia" w:ascii="宋体" w:hAnsi="宋体" w:cs="宋体"/>
                <w:b/>
                <w:color w:val="auto"/>
                <w:szCs w:val="21"/>
                <w:highlight w:val="none"/>
              </w:rPr>
              <w:t>分）</w:t>
            </w:r>
          </w:p>
        </w:tc>
        <w:tc>
          <w:tcPr>
            <w:tcW w:w="7141" w:type="dxa"/>
            <w:noWrap/>
            <w:vAlign w:val="center"/>
          </w:tcPr>
          <w:p w14:paraId="7804E2F7">
            <w:pPr>
              <w:wordWrap w:val="0"/>
              <w:spacing w:line="460" w:lineRule="exact"/>
              <w:jc w:val="left"/>
              <w:rPr>
                <w:rFonts w:hint="eastAsia" w:ascii="宋体" w:hAnsi="宋体" w:cs="宋体"/>
                <w:color w:val="auto"/>
                <w:szCs w:val="21"/>
                <w:highlight w:val="none"/>
              </w:rPr>
            </w:pPr>
            <w:r>
              <w:rPr>
                <w:rFonts w:hint="eastAsia" w:ascii="宋体" w:hAnsi="宋体" w:cs="宋体"/>
                <w:color w:val="auto"/>
                <w:szCs w:val="21"/>
                <w:highlight w:val="none"/>
              </w:rPr>
              <w:t>（1）评审价为供应商的最后报价进行政策性扣除后的价格，评审价只是作为评审时使用，成交供应商的成交折扣系数等于的竞标最终折扣系数。</w:t>
            </w:r>
          </w:p>
          <w:p w14:paraId="4D4D42EB">
            <w:pPr>
              <w:wordWrap w:val="0"/>
              <w:spacing w:line="460" w:lineRule="exact"/>
              <w:jc w:val="left"/>
              <w:rPr>
                <w:rFonts w:hint="eastAsia" w:ascii="宋体" w:hAnsi="宋体" w:cs="宋体"/>
                <w:color w:val="auto"/>
                <w:szCs w:val="21"/>
                <w:highlight w:val="none"/>
              </w:rPr>
            </w:pPr>
            <w:r>
              <w:rPr>
                <w:rFonts w:hint="eastAsia" w:ascii="宋体" w:hAnsi="宋体" w:cs="宋体"/>
                <w:color w:val="auto"/>
                <w:szCs w:val="21"/>
                <w:highlight w:val="none"/>
              </w:rPr>
              <w:t>（2）政府采购政策性扣除计算方法</w:t>
            </w:r>
          </w:p>
          <w:p w14:paraId="2AB6429A">
            <w:pPr>
              <w:wordWrap w:val="0"/>
              <w:spacing w:line="46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本项目为专门面向小微企业项目，小微企业、监狱企业、残疾人福利性单位不再执行价格评审优惠的扶持政策。</w:t>
            </w:r>
          </w:p>
          <w:p w14:paraId="2FF15317">
            <w:pPr>
              <w:wordWrap w:val="0"/>
              <w:spacing w:line="460" w:lineRule="exact"/>
              <w:jc w:val="left"/>
              <w:rPr>
                <w:rFonts w:hint="eastAsia" w:ascii="宋体" w:hAnsi="宋体" w:cs="宋体"/>
                <w:color w:val="auto"/>
                <w:szCs w:val="21"/>
                <w:highlight w:val="none"/>
              </w:rPr>
            </w:pPr>
            <w:r>
              <w:rPr>
                <w:rFonts w:hint="eastAsia" w:ascii="宋体" w:hAnsi="宋体" w:cs="宋体"/>
                <w:color w:val="auto"/>
                <w:szCs w:val="21"/>
                <w:highlight w:val="none"/>
              </w:rPr>
              <w:t>（3）以进入比较与评价环节的最低的评审价为基准价，基准价得分为</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p>
          <w:p w14:paraId="61D411CA">
            <w:pPr>
              <w:wordWrap w:val="0"/>
              <w:spacing w:line="460" w:lineRule="exact"/>
              <w:jc w:val="left"/>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（4）价格分计算公式：</w:t>
            </w:r>
          </w:p>
          <w:p w14:paraId="5E74878F">
            <w:pPr>
              <w:wordWrap w:val="0"/>
              <w:spacing w:line="460" w:lineRule="exact"/>
              <w:ind w:firstLine="420" w:firstLineChars="200"/>
              <w:jc w:val="left"/>
              <w:rPr>
                <w:rFonts w:hint="eastAsia" w:ascii="宋体" w:hAnsi="宋体" w:cs="宋体"/>
                <w:bCs/>
                <w:color w:val="auto"/>
                <w:szCs w:val="21"/>
                <w:highlight w:val="none"/>
              </w:rPr>
            </w:pPr>
            <w:r>
              <w:rPr>
                <w:rFonts w:hint="eastAsia" w:ascii="宋体" w:hAnsi="宋体" w:cs="宋体"/>
                <w:color w:val="auto"/>
                <w:szCs w:val="21"/>
                <w:highlight w:val="none"/>
              </w:rPr>
              <w:t>价格分=评审基准价／竞标折扣系数报价×</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p>
        </w:tc>
      </w:tr>
      <w:tr w14:paraId="6C521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38" w:type="dxa"/>
            <w:vMerge w:val="restart"/>
            <w:noWrap/>
            <w:vAlign w:val="center"/>
          </w:tcPr>
          <w:p w14:paraId="79E30FF4">
            <w:pPr>
              <w:jc w:val="center"/>
              <w:rPr>
                <w:rFonts w:hint="eastAsia" w:ascii="宋体" w:hAnsi="宋体" w:cs="宋体"/>
                <w:b/>
                <w:color w:val="auto"/>
                <w:szCs w:val="21"/>
                <w:highlight w:val="none"/>
              </w:rPr>
            </w:pPr>
            <w:r>
              <w:rPr>
                <w:rFonts w:hint="eastAsia" w:ascii="宋体" w:hAnsi="宋体" w:cs="宋体"/>
                <w:b/>
                <w:color w:val="auto"/>
                <w:szCs w:val="21"/>
                <w:highlight w:val="none"/>
              </w:rPr>
              <w:t>2</w:t>
            </w:r>
          </w:p>
        </w:tc>
        <w:tc>
          <w:tcPr>
            <w:tcW w:w="1172" w:type="dxa"/>
            <w:vMerge w:val="restart"/>
            <w:noWrap/>
            <w:vAlign w:val="center"/>
          </w:tcPr>
          <w:p w14:paraId="21461A54">
            <w:pPr>
              <w:jc w:val="center"/>
              <w:rPr>
                <w:rFonts w:hint="eastAsia" w:ascii="宋体" w:hAnsi="宋体" w:cs="宋体"/>
                <w:b/>
                <w:color w:val="auto"/>
                <w:szCs w:val="21"/>
                <w:highlight w:val="none"/>
              </w:rPr>
            </w:pPr>
            <w:r>
              <w:rPr>
                <w:rFonts w:hint="eastAsia" w:ascii="宋体" w:hAnsi="宋体" w:cs="宋体"/>
                <w:b/>
                <w:color w:val="auto"/>
                <w:szCs w:val="21"/>
                <w:highlight w:val="none"/>
              </w:rPr>
              <w:t>技术分（满分</w:t>
            </w:r>
            <w:r>
              <w:rPr>
                <w:rFonts w:hint="eastAsia" w:ascii="宋体" w:hAnsi="宋体" w:cs="宋体"/>
                <w:b/>
                <w:color w:val="auto"/>
                <w:szCs w:val="21"/>
                <w:highlight w:val="none"/>
                <w:lang w:val="en-US" w:eastAsia="zh-CN"/>
              </w:rPr>
              <w:t>76</w:t>
            </w:r>
            <w:r>
              <w:rPr>
                <w:rFonts w:hint="eastAsia" w:ascii="宋体" w:hAnsi="宋体" w:cs="宋体"/>
                <w:b/>
                <w:color w:val="auto"/>
                <w:szCs w:val="21"/>
                <w:highlight w:val="none"/>
              </w:rPr>
              <w:t>分）</w:t>
            </w:r>
          </w:p>
        </w:tc>
        <w:tc>
          <w:tcPr>
            <w:tcW w:w="1037" w:type="dxa"/>
            <w:noWrap/>
            <w:vAlign w:val="center"/>
          </w:tcPr>
          <w:p w14:paraId="7DBA452C">
            <w:pPr>
              <w:snapToGrid w:val="0"/>
              <w:jc w:val="center"/>
              <w:rPr>
                <w:rFonts w:hint="eastAsia" w:ascii="宋体" w:hAnsi="宋体" w:cs="宋体"/>
                <w:bCs/>
                <w:color w:val="auto"/>
                <w:szCs w:val="21"/>
                <w:highlight w:val="none"/>
              </w:rPr>
            </w:pPr>
            <w:r>
              <w:rPr>
                <w:rFonts w:hint="eastAsia" w:ascii="宋体" w:hAnsi="宋体" w:cs="宋体"/>
                <w:b/>
                <w:bCs/>
                <w:color w:val="auto"/>
                <w:szCs w:val="21"/>
                <w:highlight w:val="none"/>
              </w:rPr>
              <w:t>（1）配送方案（</w:t>
            </w:r>
            <w:r>
              <w:rPr>
                <w:rFonts w:hint="eastAsia" w:ascii="宋体" w:hAnsi="宋体" w:cs="宋体"/>
                <w:b/>
                <w:bCs/>
                <w:color w:val="auto"/>
                <w:szCs w:val="21"/>
                <w:highlight w:val="none"/>
                <w:lang w:val="en-US" w:eastAsia="zh-CN"/>
              </w:rPr>
              <w:t>20</w:t>
            </w:r>
            <w:r>
              <w:rPr>
                <w:rFonts w:hint="eastAsia" w:ascii="宋体" w:hAnsi="宋体" w:cs="宋体"/>
                <w:b/>
                <w:bCs/>
                <w:color w:val="auto"/>
                <w:szCs w:val="21"/>
                <w:highlight w:val="none"/>
              </w:rPr>
              <w:t>分）</w:t>
            </w:r>
          </w:p>
        </w:tc>
        <w:tc>
          <w:tcPr>
            <w:tcW w:w="7141" w:type="dxa"/>
            <w:noWrap/>
            <w:vAlign w:val="center"/>
          </w:tcPr>
          <w:p w14:paraId="758010F1">
            <w:pPr>
              <w:wordWrap w:val="0"/>
              <w:spacing w:line="460" w:lineRule="exact"/>
              <w:ind w:firstLine="422" w:firstLineChars="200"/>
              <w:jc w:val="left"/>
              <w:rPr>
                <w:rFonts w:hint="eastAsia" w:ascii="宋体" w:hAnsi="宋体" w:cs="宋体"/>
                <w:color w:val="auto"/>
                <w:szCs w:val="21"/>
                <w:highlight w:val="none"/>
              </w:rPr>
            </w:pPr>
            <w:r>
              <w:rPr>
                <w:rFonts w:hint="eastAsia" w:ascii="宋体" w:hAnsi="宋体" w:cs="宋体"/>
                <w:b/>
                <w:bCs/>
                <w:color w:val="auto"/>
                <w:szCs w:val="21"/>
                <w:highlight w:val="none"/>
              </w:rPr>
              <w:t>一档（</w:t>
            </w:r>
            <w:r>
              <w:rPr>
                <w:rFonts w:hint="eastAsia" w:ascii="宋体" w:hAnsi="宋体" w:cs="宋体"/>
                <w:b/>
                <w:bCs/>
                <w:color w:val="auto"/>
                <w:szCs w:val="21"/>
                <w:highlight w:val="none"/>
                <w:lang w:val="en-US" w:eastAsia="zh-CN"/>
              </w:rPr>
              <w:t>4</w:t>
            </w:r>
            <w:r>
              <w:rPr>
                <w:rFonts w:hint="eastAsia" w:ascii="宋体" w:hAnsi="宋体" w:cs="宋体"/>
                <w:b/>
                <w:bCs/>
                <w:color w:val="auto"/>
                <w:szCs w:val="21"/>
                <w:highlight w:val="none"/>
              </w:rPr>
              <w:t>分）</w:t>
            </w:r>
            <w:r>
              <w:rPr>
                <w:rFonts w:hint="eastAsia" w:ascii="宋体" w:hAnsi="宋体" w:cs="宋体"/>
                <w:color w:val="auto"/>
                <w:szCs w:val="21"/>
                <w:highlight w:val="none"/>
              </w:rPr>
              <w:t>：配送方案</w:t>
            </w:r>
            <w:r>
              <w:rPr>
                <w:rFonts w:hint="eastAsia" w:ascii="宋体" w:hAnsi="宋体" w:cs="宋体"/>
                <w:color w:val="auto"/>
                <w:szCs w:val="21"/>
                <w:highlight w:val="none"/>
                <w:lang w:val="en-US" w:eastAsia="zh-CN"/>
              </w:rPr>
              <w:t>简略</w:t>
            </w:r>
            <w:r>
              <w:rPr>
                <w:rFonts w:hint="eastAsia" w:ascii="宋体" w:hAnsi="宋体" w:cs="宋体"/>
                <w:color w:val="auto"/>
                <w:szCs w:val="21"/>
                <w:highlight w:val="none"/>
              </w:rPr>
              <w:t>，配送服务方案基本符合要求，针对采购人实际需求的描述不够详细，基本能保证配送服务的质量。</w:t>
            </w:r>
          </w:p>
          <w:p w14:paraId="00CE63AC">
            <w:pPr>
              <w:wordWrap w:val="0"/>
              <w:spacing w:line="460" w:lineRule="exact"/>
              <w:ind w:firstLine="422" w:firstLineChars="200"/>
              <w:jc w:val="left"/>
              <w:rPr>
                <w:rFonts w:hint="eastAsia" w:ascii="宋体" w:hAnsi="宋体" w:cs="宋体"/>
                <w:color w:val="auto"/>
                <w:szCs w:val="21"/>
                <w:highlight w:val="none"/>
              </w:rPr>
            </w:pPr>
            <w:r>
              <w:rPr>
                <w:rFonts w:hint="eastAsia" w:ascii="宋体" w:hAnsi="宋体" w:cs="宋体"/>
                <w:b/>
                <w:bCs/>
                <w:color w:val="auto"/>
                <w:szCs w:val="21"/>
                <w:highlight w:val="none"/>
              </w:rPr>
              <w:t>二档（</w:t>
            </w:r>
            <w:r>
              <w:rPr>
                <w:rFonts w:hint="eastAsia" w:ascii="宋体" w:hAnsi="宋体" w:cs="宋体"/>
                <w:b/>
                <w:bCs/>
                <w:color w:val="auto"/>
                <w:szCs w:val="21"/>
                <w:highlight w:val="none"/>
                <w:lang w:val="en-US" w:eastAsia="zh-CN"/>
              </w:rPr>
              <w:t>8</w:t>
            </w:r>
            <w:r>
              <w:rPr>
                <w:rFonts w:hint="eastAsia" w:ascii="宋体" w:hAnsi="宋体" w:cs="宋体"/>
                <w:b/>
                <w:bCs/>
                <w:color w:val="auto"/>
                <w:szCs w:val="21"/>
                <w:highlight w:val="none"/>
              </w:rPr>
              <w:t>分）</w:t>
            </w:r>
            <w:r>
              <w:rPr>
                <w:rFonts w:hint="eastAsia" w:ascii="宋体" w:hAnsi="宋体" w:cs="宋体"/>
                <w:color w:val="auto"/>
                <w:szCs w:val="21"/>
                <w:highlight w:val="none"/>
              </w:rPr>
              <w:t>：项目配送供货时间安排</w:t>
            </w:r>
            <w:r>
              <w:rPr>
                <w:rFonts w:hint="eastAsia" w:ascii="宋体" w:hAnsi="宋体" w:cs="宋体"/>
                <w:color w:val="auto"/>
                <w:szCs w:val="21"/>
                <w:highlight w:val="none"/>
                <w:lang w:val="en-US" w:eastAsia="zh-CN"/>
              </w:rPr>
              <w:t>有针对性</w:t>
            </w:r>
            <w:r>
              <w:rPr>
                <w:rFonts w:hint="eastAsia" w:ascii="宋体" w:hAnsi="宋体" w:cs="宋体"/>
                <w:color w:val="auto"/>
                <w:szCs w:val="21"/>
                <w:highlight w:val="none"/>
              </w:rPr>
              <w:t>，配送方案</w:t>
            </w:r>
            <w:r>
              <w:rPr>
                <w:rFonts w:hint="eastAsia"/>
                <w:color w:val="auto"/>
                <w:highlight w:val="none"/>
                <w:lang w:val="en-US" w:eastAsia="zh-CN"/>
              </w:rPr>
              <w:t>有针对性</w:t>
            </w:r>
            <w:r>
              <w:rPr>
                <w:rFonts w:hint="eastAsia" w:ascii="宋体" w:hAnsi="宋体" w:cs="宋体"/>
                <w:color w:val="auto"/>
                <w:szCs w:val="21"/>
                <w:highlight w:val="none"/>
              </w:rPr>
              <w:t>，配送服务方案</w:t>
            </w:r>
            <w:r>
              <w:rPr>
                <w:rFonts w:hint="eastAsia" w:ascii="宋体" w:hAnsi="宋体" w:cs="宋体"/>
                <w:color w:val="auto"/>
                <w:szCs w:val="21"/>
                <w:highlight w:val="none"/>
                <w:lang w:val="en-US" w:eastAsia="zh-CN"/>
              </w:rPr>
              <w:t>达到项目</w:t>
            </w:r>
            <w:r>
              <w:rPr>
                <w:rFonts w:hint="eastAsia" w:ascii="宋体" w:hAnsi="宋体" w:cs="宋体"/>
                <w:color w:val="auto"/>
                <w:szCs w:val="21"/>
                <w:highlight w:val="none"/>
              </w:rPr>
              <w:t>需求。针对采购人实际需求的描述较为简略，具体实施步骤和要求的阐述不够</w:t>
            </w:r>
            <w:r>
              <w:rPr>
                <w:rFonts w:hint="eastAsia" w:ascii="宋体" w:hAnsi="宋体" w:cs="宋体"/>
                <w:color w:val="auto"/>
                <w:szCs w:val="21"/>
                <w:highlight w:val="none"/>
                <w:lang w:val="en-US" w:eastAsia="zh-CN"/>
              </w:rPr>
              <w:t>详细</w:t>
            </w:r>
            <w:r>
              <w:rPr>
                <w:rFonts w:hint="eastAsia" w:ascii="宋体" w:hAnsi="宋体" w:cs="宋体"/>
                <w:color w:val="auto"/>
                <w:szCs w:val="21"/>
                <w:highlight w:val="none"/>
              </w:rPr>
              <w:t>，但能确保配送服务的正常进行。</w:t>
            </w:r>
          </w:p>
          <w:p w14:paraId="3B701032">
            <w:pPr>
              <w:wordWrap w:val="0"/>
              <w:spacing w:line="460" w:lineRule="exact"/>
              <w:ind w:firstLine="422" w:firstLineChars="200"/>
              <w:jc w:val="left"/>
              <w:rPr>
                <w:rFonts w:hint="eastAsia" w:ascii="宋体" w:hAnsi="宋体" w:cs="宋体"/>
                <w:color w:val="auto"/>
                <w:szCs w:val="21"/>
                <w:highlight w:val="none"/>
              </w:rPr>
            </w:pPr>
            <w:r>
              <w:rPr>
                <w:rFonts w:hint="eastAsia" w:ascii="宋体" w:hAnsi="宋体" w:cs="宋体"/>
                <w:b/>
                <w:bCs/>
                <w:color w:val="auto"/>
                <w:szCs w:val="21"/>
                <w:highlight w:val="none"/>
              </w:rPr>
              <w:t>三档（</w:t>
            </w:r>
            <w:r>
              <w:rPr>
                <w:rFonts w:hint="eastAsia" w:ascii="宋体" w:hAnsi="宋体" w:cs="宋体"/>
                <w:b/>
                <w:bCs/>
                <w:color w:val="auto"/>
                <w:szCs w:val="21"/>
                <w:highlight w:val="none"/>
                <w:lang w:val="en-US" w:eastAsia="zh-CN"/>
              </w:rPr>
              <w:t>12</w:t>
            </w:r>
            <w:r>
              <w:rPr>
                <w:rFonts w:hint="eastAsia" w:ascii="宋体" w:hAnsi="宋体" w:cs="宋体"/>
                <w:b/>
                <w:bCs/>
                <w:color w:val="auto"/>
                <w:szCs w:val="21"/>
                <w:highlight w:val="none"/>
              </w:rPr>
              <w:t>分）</w:t>
            </w:r>
            <w:r>
              <w:rPr>
                <w:rFonts w:hint="eastAsia" w:ascii="宋体" w:hAnsi="宋体" w:cs="宋体"/>
                <w:color w:val="auto"/>
                <w:szCs w:val="21"/>
                <w:highlight w:val="none"/>
              </w:rPr>
              <w:t>：项目配送体系</w:t>
            </w:r>
            <w:r>
              <w:rPr>
                <w:rFonts w:hint="eastAsia" w:ascii="宋体" w:hAnsi="宋体" w:cs="宋体"/>
                <w:color w:val="auto"/>
                <w:szCs w:val="21"/>
                <w:highlight w:val="none"/>
                <w:lang w:val="en-US" w:eastAsia="zh-CN"/>
              </w:rPr>
              <w:t>有针对性</w:t>
            </w:r>
            <w:r>
              <w:rPr>
                <w:rFonts w:hint="eastAsia" w:ascii="宋体" w:hAnsi="宋体" w:cs="宋体"/>
                <w:color w:val="auto"/>
                <w:szCs w:val="21"/>
                <w:highlight w:val="none"/>
              </w:rPr>
              <w:t>，供货时间安排得当。配送方案内容</w:t>
            </w:r>
            <w:r>
              <w:rPr>
                <w:rFonts w:hint="eastAsia" w:ascii="宋体" w:hAnsi="宋体" w:cs="宋体"/>
                <w:color w:val="auto"/>
                <w:szCs w:val="21"/>
                <w:highlight w:val="none"/>
                <w:lang w:val="en-US" w:eastAsia="zh-CN"/>
              </w:rPr>
              <w:t>详细</w:t>
            </w:r>
            <w:r>
              <w:rPr>
                <w:rFonts w:hint="eastAsia" w:ascii="宋体" w:hAnsi="宋体" w:cs="宋体"/>
                <w:color w:val="auto"/>
                <w:szCs w:val="21"/>
                <w:highlight w:val="none"/>
              </w:rPr>
              <w:t>。针对采购人实际需求描述详细，具体实施步骤和要求明确。除保证配送服务业务外，还配备有机动人员应对紧急事件处理。</w:t>
            </w:r>
          </w:p>
          <w:p w14:paraId="3E94535A">
            <w:pPr>
              <w:wordWrap w:val="0"/>
              <w:spacing w:line="460" w:lineRule="exact"/>
              <w:ind w:firstLine="422" w:firstLineChars="200"/>
              <w:jc w:val="left"/>
              <w:rPr>
                <w:rFonts w:hint="eastAsia" w:ascii="宋体" w:hAnsi="宋体" w:cs="宋体"/>
                <w:color w:val="auto"/>
                <w:szCs w:val="21"/>
                <w:highlight w:val="none"/>
              </w:rPr>
            </w:pPr>
            <w:r>
              <w:rPr>
                <w:rFonts w:hint="eastAsia" w:ascii="宋体" w:hAnsi="宋体" w:cs="宋体"/>
                <w:b/>
                <w:bCs/>
                <w:color w:val="auto"/>
                <w:szCs w:val="21"/>
                <w:highlight w:val="none"/>
              </w:rPr>
              <w:t>四档（</w:t>
            </w:r>
            <w:r>
              <w:rPr>
                <w:rFonts w:hint="eastAsia" w:ascii="宋体" w:hAnsi="宋体" w:cs="宋体"/>
                <w:b/>
                <w:bCs/>
                <w:color w:val="auto"/>
                <w:szCs w:val="21"/>
                <w:highlight w:val="none"/>
                <w:lang w:val="en-US" w:eastAsia="zh-CN"/>
              </w:rPr>
              <w:t>16</w:t>
            </w:r>
            <w:r>
              <w:rPr>
                <w:rFonts w:hint="eastAsia" w:ascii="宋体" w:hAnsi="宋体" w:cs="宋体"/>
                <w:b/>
                <w:bCs/>
                <w:color w:val="auto"/>
                <w:szCs w:val="21"/>
                <w:highlight w:val="none"/>
              </w:rPr>
              <w:t>分）</w:t>
            </w:r>
            <w:r>
              <w:rPr>
                <w:rFonts w:hint="eastAsia" w:ascii="宋体" w:hAnsi="宋体" w:cs="宋体"/>
                <w:color w:val="auto"/>
                <w:szCs w:val="21"/>
                <w:highlight w:val="none"/>
              </w:rPr>
              <w:t>：</w:t>
            </w:r>
            <w:r>
              <w:rPr>
                <w:rFonts w:hint="eastAsia"/>
              </w:rPr>
              <w:t>项目生产与销售能力有保障</w:t>
            </w:r>
            <w:r>
              <w:rPr>
                <w:rFonts w:hint="eastAsia" w:ascii="宋体" w:hAnsi="宋体" w:cs="宋体"/>
                <w:color w:val="auto"/>
                <w:szCs w:val="21"/>
                <w:highlight w:val="none"/>
              </w:rPr>
              <w:t>，供货时间安排</w:t>
            </w:r>
            <w:r>
              <w:rPr>
                <w:rFonts w:hint="eastAsia" w:ascii="宋体" w:hAnsi="宋体" w:cs="宋体"/>
                <w:color w:val="auto"/>
                <w:szCs w:val="21"/>
                <w:highlight w:val="none"/>
                <w:lang w:val="en-US" w:eastAsia="zh-CN"/>
              </w:rPr>
              <w:t>有针对性</w:t>
            </w:r>
            <w:r>
              <w:rPr>
                <w:rFonts w:hint="eastAsia" w:ascii="宋体" w:hAnsi="宋体" w:cs="宋体"/>
                <w:color w:val="auto"/>
                <w:szCs w:val="21"/>
                <w:highlight w:val="none"/>
              </w:rPr>
              <w:t>，配送服务方案较为</w:t>
            </w:r>
            <w:r>
              <w:rPr>
                <w:rFonts w:hint="eastAsia" w:ascii="宋体" w:hAnsi="宋体" w:cs="宋体"/>
                <w:color w:val="auto"/>
                <w:szCs w:val="21"/>
                <w:highlight w:val="none"/>
                <w:lang w:val="en-US" w:eastAsia="zh-CN"/>
              </w:rPr>
              <w:t>详细</w:t>
            </w:r>
            <w:r>
              <w:rPr>
                <w:rFonts w:hint="eastAsia" w:ascii="宋体" w:hAnsi="宋体" w:cs="宋体"/>
                <w:color w:val="auto"/>
                <w:szCs w:val="21"/>
                <w:highlight w:val="none"/>
              </w:rPr>
              <w:t>，描述</w:t>
            </w:r>
            <w:r>
              <w:rPr>
                <w:rFonts w:hint="eastAsia" w:ascii="宋体" w:hAnsi="宋体" w:cs="宋体"/>
                <w:color w:val="auto"/>
                <w:szCs w:val="21"/>
                <w:highlight w:val="none"/>
                <w:lang w:val="en-US" w:eastAsia="zh-CN"/>
              </w:rPr>
              <w:t>详细</w:t>
            </w:r>
            <w:r>
              <w:rPr>
                <w:rFonts w:hint="eastAsia" w:ascii="宋体" w:hAnsi="宋体" w:cs="宋体"/>
                <w:color w:val="auto"/>
                <w:szCs w:val="21"/>
                <w:highlight w:val="none"/>
              </w:rPr>
              <w:t>，具体实施步骤和要求明确。除保证常规配送服务外，还配备有机动人员专门处理紧急事件。</w:t>
            </w:r>
          </w:p>
          <w:p w14:paraId="3BFBD80D">
            <w:pPr>
              <w:wordWrap w:val="0"/>
              <w:spacing w:line="460" w:lineRule="exact"/>
              <w:ind w:firstLine="422" w:firstLineChars="200"/>
              <w:jc w:val="left"/>
              <w:rPr>
                <w:rFonts w:hint="eastAsia" w:ascii="宋体" w:hAnsi="宋体" w:cs="宋体"/>
                <w:color w:val="auto"/>
                <w:szCs w:val="21"/>
                <w:highlight w:val="none"/>
              </w:rPr>
            </w:pPr>
            <w:r>
              <w:rPr>
                <w:rFonts w:hint="eastAsia" w:ascii="宋体" w:hAnsi="宋体" w:cs="宋体"/>
                <w:b/>
                <w:bCs/>
                <w:color w:val="auto"/>
                <w:szCs w:val="21"/>
                <w:highlight w:val="none"/>
              </w:rPr>
              <w:t>五档（</w:t>
            </w:r>
            <w:r>
              <w:rPr>
                <w:rFonts w:hint="eastAsia" w:ascii="宋体" w:hAnsi="宋体" w:cs="宋体"/>
                <w:b/>
                <w:bCs/>
                <w:color w:val="auto"/>
                <w:szCs w:val="21"/>
                <w:highlight w:val="none"/>
                <w:lang w:val="en-US" w:eastAsia="zh-CN"/>
              </w:rPr>
              <w:t>20</w:t>
            </w:r>
            <w:r>
              <w:rPr>
                <w:rFonts w:hint="eastAsia" w:ascii="宋体" w:hAnsi="宋体" w:cs="宋体"/>
                <w:b/>
                <w:bCs/>
                <w:color w:val="auto"/>
                <w:szCs w:val="21"/>
                <w:highlight w:val="none"/>
              </w:rPr>
              <w:t>分）</w:t>
            </w:r>
            <w:r>
              <w:rPr>
                <w:rFonts w:hint="eastAsia" w:ascii="宋体" w:hAnsi="宋体" w:cs="宋体"/>
                <w:color w:val="auto"/>
                <w:szCs w:val="21"/>
                <w:highlight w:val="none"/>
              </w:rPr>
              <w:t>：项目生产与销售能力有保障，供货时间安排</w:t>
            </w:r>
            <w:r>
              <w:rPr>
                <w:rFonts w:hint="eastAsia" w:ascii="宋体" w:hAnsi="宋体" w:cs="宋体"/>
                <w:color w:val="auto"/>
                <w:szCs w:val="21"/>
                <w:highlight w:val="none"/>
                <w:lang w:val="en-US" w:eastAsia="zh-CN"/>
              </w:rPr>
              <w:t>有针对性</w:t>
            </w:r>
            <w:r>
              <w:rPr>
                <w:rFonts w:hint="eastAsia" w:ascii="宋体" w:hAnsi="宋体" w:cs="宋体"/>
                <w:color w:val="auto"/>
                <w:szCs w:val="21"/>
                <w:highlight w:val="none"/>
              </w:rPr>
              <w:t>。针对项目实际，提供细致、可靠的配送服务方案，描述</w:t>
            </w:r>
            <w:r>
              <w:rPr>
                <w:rFonts w:hint="eastAsia" w:ascii="宋体" w:hAnsi="宋体" w:cs="宋体"/>
                <w:color w:val="auto"/>
                <w:szCs w:val="21"/>
                <w:highlight w:val="none"/>
                <w:lang w:val="en-US" w:eastAsia="zh-CN"/>
              </w:rPr>
              <w:t>详细</w:t>
            </w:r>
            <w:r>
              <w:rPr>
                <w:rFonts w:hint="eastAsia" w:ascii="宋体" w:hAnsi="宋体" w:cs="宋体"/>
                <w:color w:val="auto"/>
                <w:szCs w:val="21"/>
                <w:highlight w:val="none"/>
              </w:rPr>
              <w:t>，实施步骤和要求</w:t>
            </w:r>
            <w:r>
              <w:rPr>
                <w:rFonts w:hint="eastAsia" w:ascii="宋体" w:hAnsi="宋体" w:cs="宋体"/>
                <w:color w:val="auto"/>
                <w:szCs w:val="21"/>
                <w:highlight w:val="none"/>
                <w:lang w:val="en-US" w:eastAsia="zh-CN"/>
              </w:rPr>
              <w:t>清晰</w:t>
            </w:r>
            <w:r>
              <w:rPr>
                <w:rFonts w:hint="eastAsia" w:ascii="宋体" w:hAnsi="宋体" w:cs="宋体"/>
                <w:color w:val="auto"/>
                <w:szCs w:val="21"/>
                <w:highlight w:val="none"/>
              </w:rPr>
              <w:t>，具备可行性，充分满足项目需求。配备有机动人员专门处理紧急事件。</w:t>
            </w:r>
          </w:p>
          <w:p w14:paraId="2A150F45">
            <w:pPr>
              <w:wordWrap w:val="0"/>
              <w:spacing w:line="460" w:lineRule="exact"/>
              <w:ind w:firstLine="420" w:firstLineChars="200"/>
              <w:jc w:val="left"/>
              <w:rPr>
                <w:rFonts w:hint="eastAsia" w:ascii="宋体" w:hAnsi="宋体" w:cs="宋体"/>
                <w:color w:val="auto"/>
                <w:highlight w:val="none"/>
              </w:rPr>
            </w:pPr>
            <w:r>
              <w:rPr>
                <w:rFonts w:hint="eastAsia" w:ascii="宋体" w:hAnsi="宋体" w:cs="宋体"/>
                <w:color w:val="auto"/>
                <w:szCs w:val="21"/>
                <w:highlight w:val="none"/>
              </w:rPr>
              <w:t>注：未提供或未达到一档要求的本项不得分。</w:t>
            </w:r>
          </w:p>
        </w:tc>
      </w:tr>
      <w:tr w14:paraId="53F93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38" w:type="dxa"/>
            <w:vMerge w:val="continue"/>
            <w:noWrap/>
            <w:vAlign w:val="center"/>
          </w:tcPr>
          <w:p w14:paraId="56C8D242">
            <w:pPr>
              <w:jc w:val="center"/>
              <w:rPr>
                <w:rFonts w:hint="eastAsia" w:ascii="宋体" w:hAnsi="宋体" w:cs="宋体"/>
                <w:b/>
                <w:color w:val="auto"/>
                <w:szCs w:val="21"/>
                <w:highlight w:val="none"/>
              </w:rPr>
            </w:pPr>
          </w:p>
        </w:tc>
        <w:tc>
          <w:tcPr>
            <w:tcW w:w="1172" w:type="dxa"/>
            <w:vMerge w:val="continue"/>
            <w:noWrap/>
            <w:vAlign w:val="center"/>
          </w:tcPr>
          <w:p w14:paraId="0898EE38">
            <w:pPr>
              <w:jc w:val="center"/>
              <w:rPr>
                <w:rFonts w:hint="eastAsia" w:ascii="宋体" w:hAnsi="宋体" w:cs="宋体"/>
                <w:b/>
                <w:color w:val="auto"/>
                <w:szCs w:val="21"/>
                <w:highlight w:val="none"/>
              </w:rPr>
            </w:pPr>
          </w:p>
        </w:tc>
        <w:tc>
          <w:tcPr>
            <w:tcW w:w="1037" w:type="dxa"/>
            <w:noWrap/>
            <w:vAlign w:val="center"/>
          </w:tcPr>
          <w:p w14:paraId="52A34E9B">
            <w:pPr>
              <w:snapToGrid w:val="0"/>
              <w:jc w:val="center"/>
              <w:rPr>
                <w:rFonts w:hint="eastAsia" w:ascii="宋体" w:hAnsi="宋体" w:cs="宋体"/>
                <w:bCs/>
                <w:color w:val="auto"/>
                <w:szCs w:val="21"/>
                <w:highlight w:val="none"/>
              </w:rPr>
            </w:pPr>
            <w:r>
              <w:rPr>
                <w:rFonts w:hint="eastAsia" w:ascii="宋体" w:hAnsi="宋体" w:cs="宋体"/>
                <w:b/>
                <w:bCs/>
                <w:color w:val="auto"/>
                <w:szCs w:val="21"/>
                <w:highlight w:val="none"/>
              </w:rPr>
              <w:t>（2）食品安全与质量保障能力（1</w:t>
            </w:r>
            <w:r>
              <w:rPr>
                <w:rFonts w:hint="eastAsia" w:ascii="宋体" w:hAnsi="宋体" w:cs="宋体"/>
                <w:b/>
                <w:bCs/>
                <w:color w:val="auto"/>
                <w:szCs w:val="21"/>
                <w:highlight w:val="none"/>
                <w:lang w:val="en-US" w:eastAsia="zh-CN"/>
              </w:rPr>
              <w:t>5</w:t>
            </w:r>
            <w:r>
              <w:rPr>
                <w:rFonts w:hint="eastAsia" w:ascii="宋体" w:hAnsi="宋体" w:cs="宋体"/>
                <w:b/>
                <w:bCs/>
                <w:color w:val="auto"/>
                <w:szCs w:val="21"/>
                <w:highlight w:val="none"/>
              </w:rPr>
              <w:t>分）</w:t>
            </w:r>
          </w:p>
        </w:tc>
        <w:tc>
          <w:tcPr>
            <w:tcW w:w="7141" w:type="dxa"/>
            <w:noWrap/>
            <w:vAlign w:val="center"/>
          </w:tcPr>
          <w:p w14:paraId="3AD10026">
            <w:pPr>
              <w:wordWrap w:val="0"/>
              <w:spacing w:line="460" w:lineRule="exact"/>
              <w:ind w:firstLine="420" w:firstLineChars="200"/>
              <w:jc w:val="left"/>
              <w:rPr>
                <w:rFonts w:hint="eastAsia" w:ascii="宋体" w:hAnsi="宋体" w:cs="宋体"/>
                <w:color w:val="auto"/>
                <w:szCs w:val="21"/>
                <w:highlight w:val="none"/>
              </w:rPr>
            </w:pPr>
            <w:bookmarkStart w:id="50" w:name="_GoBack"/>
            <w:r>
              <w:rPr>
                <w:rFonts w:hint="eastAsia" w:ascii="宋体" w:hAnsi="宋体" w:cs="宋体"/>
                <w:color w:val="auto"/>
                <w:szCs w:val="21"/>
                <w:highlight w:val="none"/>
              </w:rPr>
              <w:t>包括进货采购渠道、食材控制管理措施、检验检疫措施、食材质量标准、追溯方式等。</w:t>
            </w:r>
          </w:p>
          <w:p w14:paraId="09FB7D38">
            <w:pPr>
              <w:wordWrap w:val="0"/>
              <w:spacing w:line="460" w:lineRule="exact"/>
              <w:ind w:firstLine="422" w:firstLineChars="200"/>
              <w:jc w:val="left"/>
              <w:rPr>
                <w:rFonts w:hint="eastAsia" w:ascii="宋体" w:hAnsi="宋体" w:cs="宋体"/>
                <w:color w:val="auto"/>
                <w:szCs w:val="21"/>
                <w:highlight w:val="none"/>
              </w:rPr>
            </w:pPr>
            <w:r>
              <w:rPr>
                <w:rFonts w:hint="eastAsia" w:ascii="宋体" w:hAnsi="宋体" w:cs="宋体"/>
                <w:b/>
                <w:bCs/>
                <w:color w:val="auto"/>
                <w:szCs w:val="21"/>
                <w:highlight w:val="none"/>
              </w:rPr>
              <w:t>一档（3分）</w:t>
            </w:r>
            <w:r>
              <w:rPr>
                <w:rFonts w:hint="eastAsia" w:ascii="宋体" w:hAnsi="宋体" w:cs="宋体"/>
                <w:color w:val="auto"/>
                <w:szCs w:val="21"/>
                <w:highlight w:val="none"/>
              </w:rPr>
              <w:t>：食材安全措施在进货渠道、食材控制管理、检验检疫、质量标准管控和追溯方式等方面的描述简略，仅达到采购文件的基本要求。</w:t>
            </w:r>
          </w:p>
          <w:p w14:paraId="6066C554">
            <w:pPr>
              <w:wordWrap w:val="0"/>
              <w:spacing w:line="460" w:lineRule="exact"/>
              <w:ind w:firstLine="422" w:firstLineChars="200"/>
              <w:jc w:val="left"/>
              <w:rPr>
                <w:rFonts w:hint="eastAsia" w:ascii="宋体" w:hAnsi="宋体" w:cs="宋体"/>
                <w:color w:val="auto"/>
                <w:szCs w:val="21"/>
                <w:highlight w:val="none"/>
              </w:rPr>
            </w:pPr>
            <w:r>
              <w:rPr>
                <w:rFonts w:hint="eastAsia" w:ascii="宋体" w:hAnsi="宋体" w:cs="宋体"/>
                <w:b/>
                <w:bCs/>
                <w:color w:val="auto"/>
                <w:szCs w:val="21"/>
                <w:highlight w:val="none"/>
              </w:rPr>
              <w:t>二档（6分）</w:t>
            </w:r>
            <w:r>
              <w:rPr>
                <w:rFonts w:hint="eastAsia" w:ascii="宋体" w:hAnsi="宋体" w:cs="宋体"/>
                <w:color w:val="auto"/>
                <w:szCs w:val="21"/>
                <w:highlight w:val="none"/>
              </w:rPr>
              <w:t>：食材安全措施中，进货渠道、食材控制管理措施、检验检疫措施、食材质量标准管控措施、追溯方式等方面的描述虽清晰，仅达到采购文件的基本要求。</w:t>
            </w:r>
          </w:p>
          <w:p w14:paraId="53E15298">
            <w:pPr>
              <w:wordWrap w:val="0"/>
              <w:spacing w:line="460" w:lineRule="exact"/>
              <w:ind w:firstLine="422" w:firstLineChars="200"/>
              <w:jc w:val="left"/>
              <w:rPr>
                <w:rFonts w:hint="eastAsia" w:ascii="宋体" w:hAnsi="宋体" w:cs="宋体"/>
                <w:color w:val="auto"/>
                <w:szCs w:val="21"/>
                <w:highlight w:val="none"/>
              </w:rPr>
            </w:pPr>
            <w:r>
              <w:rPr>
                <w:rFonts w:hint="eastAsia" w:ascii="宋体" w:hAnsi="宋体" w:cs="宋体"/>
                <w:b/>
                <w:bCs/>
                <w:color w:val="auto"/>
                <w:szCs w:val="21"/>
                <w:highlight w:val="none"/>
              </w:rPr>
              <w:t>三档（9分）</w:t>
            </w:r>
            <w:r>
              <w:rPr>
                <w:rFonts w:hint="eastAsia" w:ascii="宋体" w:hAnsi="宋体" w:cs="宋体"/>
                <w:color w:val="auto"/>
                <w:szCs w:val="21"/>
                <w:highlight w:val="none"/>
              </w:rPr>
              <w:t>：对进货采购渠道、食材控制管理措施、食材质量标准、追溯方式等描述较清晰详细，检验检疫措施有针对性,承诺主动开展检验工作,并能每年提供食品安监部门或国家承认的检测机构出具的检测报告。</w:t>
            </w:r>
          </w:p>
          <w:p w14:paraId="62C0CD46">
            <w:pPr>
              <w:wordWrap w:val="0"/>
              <w:spacing w:line="460" w:lineRule="exact"/>
              <w:ind w:firstLine="422" w:firstLineChars="200"/>
              <w:jc w:val="left"/>
              <w:rPr>
                <w:rFonts w:hint="eastAsia" w:ascii="宋体" w:hAnsi="宋体" w:cs="宋体"/>
                <w:color w:val="auto"/>
                <w:szCs w:val="21"/>
                <w:highlight w:val="none"/>
              </w:rPr>
            </w:pPr>
            <w:r>
              <w:rPr>
                <w:rFonts w:hint="eastAsia" w:ascii="宋体" w:hAnsi="宋体" w:cs="宋体"/>
                <w:b/>
                <w:bCs/>
                <w:color w:val="auto"/>
                <w:szCs w:val="21"/>
                <w:highlight w:val="none"/>
              </w:rPr>
              <w:t>四档（12分）</w:t>
            </w:r>
            <w:r>
              <w:rPr>
                <w:rFonts w:hint="eastAsia" w:ascii="宋体" w:hAnsi="宋体" w:cs="宋体"/>
                <w:color w:val="auto"/>
                <w:szCs w:val="21"/>
                <w:highlight w:val="none"/>
              </w:rPr>
              <w:t>：对进货采购渠道、食材控制管理措施、食材质量标准、追溯方式等描述较清晰详细，检验检疫措施详细，能严格进行食材质量把关，承诺主动开展检验工作,并能每季度提供食品安监部门或国家承认的检测机构出具检测报告。</w:t>
            </w:r>
          </w:p>
          <w:p w14:paraId="6AB8861D">
            <w:pPr>
              <w:wordWrap w:val="0"/>
              <w:spacing w:line="460" w:lineRule="exact"/>
              <w:ind w:firstLine="422" w:firstLineChars="200"/>
              <w:jc w:val="left"/>
              <w:rPr>
                <w:rFonts w:hint="eastAsia" w:ascii="宋体" w:hAnsi="宋体" w:cs="宋体"/>
                <w:color w:val="auto"/>
                <w:szCs w:val="21"/>
                <w:highlight w:val="none"/>
              </w:rPr>
            </w:pPr>
            <w:r>
              <w:rPr>
                <w:rFonts w:hint="eastAsia" w:ascii="宋体" w:hAnsi="宋体" w:cs="宋体"/>
                <w:b/>
                <w:bCs/>
                <w:color w:val="auto"/>
                <w:szCs w:val="21"/>
                <w:highlight w:val="none"/>
              </w:rPr>
              <w:t>五档（15分）</w:t>
            </w:r>
            <w:r>
              <w:rPr>
                <w:rFonts w:hint="eastAsia" w:ascii="宋体" w:hAnsi="宋体" w:cs="宋体"/>
                <w:color w:val="auto"/>
                <w:szCs w:val="21"/>
                <w:highlight w:val="none"/>
              </w:rPr>
              <w:t>：对进货采购渠道、食材控制管理措施、食材质量标准、追溯方式等描述较清晰详细，检验检疫措施清晰详细，各项措施安排详细具体，能严格进行食材质量把关，承诺主动开展检验工作,并能每月提供食品安监部门或国家承认的检测机构出具检测报告。</w:t>
            </w:r>
          </w:p>
          <w:p w14:paraId="3405910B">
            <w:pPr>
              <w:wordWrap w:val="0"/>
              <w:spacing w:line="460" w:lineRule="exact"/>
              <w:ind w:firstLine="420" w:firstLineChars="200"/>
              <w:jc w:val="left"/>
              <w:rPr>
                <w:rFonts w:hint="eastAsia" w:ascii="宋体" w:hAnsi="宋体" w:cs="宋体"/>
                <w:color w:val="auto"/>
                <w:highlight w:val="none"/>
              </w:rPr>
            </w:pPr>
            <w:r>
              <w:rPr>
                <w:rFonts w:hint="eastAsia" w:ascii="宋体" w:hAnsi="宋体" w:cs="宋体"/>
                <w:color w:val="auto"/>
                <w:szCs w:val="21"/>
                <w:highlight w:val="none"/>
              </w:rPr>
              <w:t>注：未提供或未达到一档要求的本项不得分。</w:t>
            </w:r>
            <w:bookmarkEnd w:id="50"/>
          </w:p>
        </w:tc>
      </w:tr>
      <w:tr w14:paraId="444F5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38" w:type="dxa"/>
            <w:vMerge w:val="continue"/>
            <w:noWrap/>
            <w:vAlign w:val="center"/>
          </w:tcPr>
          <w:p w14:paraId="3719C082">
            <w:pPr>
              <w:jc w:val="center"/>
              <w:rPr>
                <w:rFonts w:hint="eastAsia" w:ascii="宋体" w:hAnsi="宋体" w:cs="宋体"/>
                <w:b/>
                <w:color w:val="auto"/>
                <w:szCs w:val="21"/>
                <w:highlight w:val="none"/>
              </w:rPr>
            </w:pPr>
          </w:p>
        </w:tc>
        <w:tc>
          <w:tcPr>
            <w:tcW w:w="1172" w:type="dxa"/>
            <w:vMerge w:val="continue"/>
            <w:noWrap/>
            <w:vAlign w:val="center"/>
          </w:tcPr>
          <w:p w14:paraId="6F738B99">
            <w:pPr>
              <w:jc w:val="center"/>
              <w:rPr>
                <w:rFonts w:hint="eastAsia" w:ascii="宋体" w:hAnsi="宋体" w:cs="宋体"/>
                <w:b/>
                <w:color w:val="auto"/>
                <w:szCs w:val="21"/>
                <w:highlight w:val="none"/>
              </w:rPr>
            </w:pPr>
          </w:p>
        </w:tc>
        <w:tc>
          <w:tcPr>
            <w:tcW w:w="1037" w:type="dxa"/>
            <w:noWrap/>
            <w:vAlign w:val="center"/>
          </w:tcPr>
          <w:p w14:paraId="048EBEE8">
            <w:pPr>
              <w:snapToGrid w:val="0"/>
              <w:jc w:val="center"/>
              <w:rPr>
                <w:rFonts w:hint="eastAsia" w:ascii="宋体" w:hAnsi="宋体" w:cs="宋体"/>
                <w:bCs/>
                <w:color w:val="auto"/>
                <w:szCs w:val="21"/>
                <w:highlight w:val="none"/>
              </w:rPr>
            </w:pPr>
            <w:r>
              <w:rPr>
                <w:rFonts w:hint="eastAsia" w:ascii="宋体" w:hAnsi="宋体" w:cs="宋体"/>
                <w:b/>
                <w:bCs/>
                <w:color w:val="auto"/>
                <w:szCs w:val="21"/>
                <w:highlight w:val="none"/>
              </w:rPr>
              <w:t>（3）售后服务方案（1</w:t>
            </w:r>
            <w:r>
              <w:rPr>
                <w:rFonts w:hint="eastAsia" w:ascii="宋体" w:hAnsi="宋体" w:cs="宋体"/>
                <w:b/>
                <w:bCs/>
                <w:color w:val="auto"/>
                <w:szCs w:val="21"/>
                <w:highlight w:val="none"/>
                <w:lang w:val="en-US" w:eastAsia="zh-CN"/>
              </w:rPr>
              <w:t>8</w:t>
            </w:r>
            <w:r>
              <w:rPr>
                <w:rFonts w:hint="eastAsia" w:ascii="宋体" w:hAnsi="宋体" w:cs="宋体"/>
                <w:b/>
                <w:bCs/>
                <w:color w:val="auto"/>
                <w:szCs w:val="21"/>
                <w:highlight w:val="none"/>
              </w:rPr>
              <w:t>分）</w:t>
            </w:r>
          </w:p>
        </w:tc>
        <w:tc>
          <w:tcPr>
            <w:tcW w:w="7141" w:type="dxa"/>
            <w:noWrap/>
            <w:vAlign w:val="center"/>
          </w:tcPr>
          <w:p w14:paraId="1247CFF1">
            <w:pPr>
              <w:wordWrap w:val="0"/>
              <w:spacing w:line="460" w:lineRule="exact"/>
              <w:ind w:firstLine="422" w:firstLineChars="200"/>
              <w:jc w:val="left"/>
              <w:rPr>
                <w:rFonts w:hint="eastAsia" w:ascii="宋体" w:hAnsi="宋体" w:cs="宋体"/>
                <w:color w:val="auto"/>
                <w:szCs w:val="21"/>
                <w:highlight w:val="none"/>
              </w:rPr>
            </w:pPr>
            <w:r>
              <w:rPr>
                <w:rFonts w:hint="eastAsia" w:ascii="宋体" w:hAnsi="宋体" w:cs="宋体"/>
                <w:b/>
                <w:bCs/>
                <w:color w:val="auto"/>
                <w:szCs w:val="21"/>
                <w:highlight w:val="none"/>
              </w:rPr>
              <w:t>一档（</w:t>
            </w:r>
            <w:r>
              <w:rPr>
                <w:rFonts w:hint="eastAsia" w:ascii="宋体" w:hAnsi="宋体" w:cs="宋体"/>
                <w:b/>
                <w:bCs/>
                <w:color w:val="auto"/>
                <w:szCs w:val="21"/>
                <w:highlight w:val="none"/>
                <w:lang w:val="en-US" w:eastAsia="zh-CN"/>
              </w:rPr>
              <w:t>4</w:t>
            </w:r>
            <w:r>
              <w:rPr>
                <w:rFonts w:hint="eastAsia" w:ascii="宋体" w:hAnsi="宋体" w:cs="宋体"/>
                <w:b/>
                <w:bCs/>
                <w:color w:val="auto"/>
                <w:szCs w:val="21"/>
                <w:highlight w:val="none"/>
              </w:rPr>
              <w:t>分）</w:t>
            </w:r>
            <w:r>
              <w:rPr>
                <w:rFonts w:hint="eastAsia" w:ascii="宋体" w:hAnsi="宋体" w:cs="宋体"/>
                <w:color w:val="auto"/>
                <w:szCs w:val="21"/>
                <w:highlight w:val="none"/>
              </w:rPr>
              <w:t>：承诺退换完成时间不超过</w:t>
            </w:r>
            <w:r>
              <w:rPr>
                <w:rFonts w:hint="eastAsia" w:ascii="宋体" w:hAnsi="宋体" w:cs="宋体"/>
                <w:color w:val="auto"/>
                <w:szCs w:val="21"/>
                <w:highlight w:val="none"/>
                <w:lang w:val="en-US" w:eastAsia="zh-CN"/>
              </w:rPr>
              <w:t>240</w:t>
            </w:r>
            <w:r>
              <w:rPr>
                <w:rFonts w:hint="eastAsia" w:ascii="宋体" w:hAnsi="宋体" w:cs="宋体"/>
                <w:color w:val="auto"/>
                <w:szCs w:val="21"/>
                <w:highlight w:val="none"/>
              </w:rPr>
              <w:t>分钟，售后服务承诺仅具备基础性，服务承诺内容不全。</w:t>
            </w:r>
          </w:p>
          <w:p w14:paraId="265313BB">
            <w:pPr>
              <w:wordWrap w:val="0"/>
              <w:spacing w:line="460" w:lineRule="exact"/>
              <w:ind w:firstLine="422" w:firstLineChars="200"/>
              <w:jc w:val="left"/>
              <w:rPr>
                <w:rFonts w:hint="eastAsia" w:ascii="宋体" w:hAnsi="宋体" w:cs="宋体"/>
                <w:color w:val="auto"/>
                <w:szCs w:val="21"/>
                <w:highlight w:val="none"/>
              </w:rPr>
            </w:pPr>
            <w:r>
              <w:rPr>
                <w:rFonts w:hint="eastAsia" w:ascii="宋体" w:hAnsi="宋体" w:cs="宋体"/>
                <w:b/>
                <w:bCs/>
                <w:color w:val="auto"/>
                <w:szCs w:val="21"/>
                <w:highlight w:val="none"/>
              </w:rPr>
              <w:t>二档（</w:t>
            </w:r>
            <w:r>
              <w:rPr>
                <w:rFonts w:hint="eastAsia" w:ascii="宋体" w:hAnsi="宋体" w:cs="宋体"/>
                <w:b/>
                <w:bCs/>
                <w:color w:val="auto"/>
                <w:szCs w:val="21"/>
                <w:highlight w:val="none"/>
                <w:lang w:val="en-US" w:eastAsia="zh-CN"/>
              </w:rPr>
              <w:t>7</w:t>
            </w:r>
            <w:r>
              <w:rPr>
                <w:rFonts w:hint="eastAsia" w:ascii="宋体" w:hAnsi="宋体" w:cs="宋体"/>
                <w:b/>
                <w:bCs/>
                <w:color w:val="auto"/>
                <w:szCs w:val="21"/>
                <w:highlight w:val="none"/>
              </w:rPr>
              <w:t>分）</w:t>
            </w:r>
            <w:r>
              <w:rPr>
                <w:rFonts w:hint="eastAsia" w:ascii="宋体" w:hAnsi="宋体" w:cs="宋体"/>
                <w:color w:val="auto"/>
                <w:szCs w:val="21"/>
                <w:highlight w:val="none"/>
              </w:rPr>
              <w:t>：承诺退换完成时间在</w:t>
            </w:r>
            <w:r>
              <w:rPr>
                <w:rFonts w:hint="eastAsia" w:ascii="宋体" w:hAnsi="宋体" w:cs="宋体"/>
                <w:color w:val="auto"/>
                <w:szCs w:val="21"/>
                <w:highlight w:val="none"/>
                <w:lang w:val="en-US" w:eastAsia="zh-CN"/>
              </w:rPr>
              <w:t>180</w:t>
            </w:r>
            <w:r>
              <w:rPr>
                <w:rFonts w:hint="eastAsia" w:ascii="宋体" w:hAnsi="宋体" w:cs="宋体"/>
                <w:color w:val="auto"/>
                <w:szCs w:val="21"/>
                <w:highlight w:val="none"/>
              </w:rPr>
              <w:t xml:space="preserve">分钟以内，但服务承诺、措施以及后期服务承诺缺乏针对性。 </w:t>
            </w:r>
          </w:p>
          <w:p w14:paraId="7083B304">
            <w:pPr>
              <w:wordWrap w:val="0"/>
              <w:spacing w:line="460" w:lineRule="exact"/>
              <w:ind w:firstLine="422" w:firstLineChars="200"/>
              <w:jc w:val="left"/>
              <w:rPr>
                <w:rFonts w:hint="eastAsia" w:ascii="宋体" w:hAnsi="宋体" w:cs="宋体"/>
                <w:color w:val="auto"/>
                <w:szCs w:val="21"/>
                <w:highlight w:val="none"/>
              </w:rPr>
            </w:pPr>
            <w:r>
              <w:rPr>
                <w:rFonts w:hint="eastAsia" w:ascii="宋体" w:hAnsi="宋体" w:cs="宋体"/>
                <w:b/>
                <w:bCs/>
                <w:color w:val="auto"/>
                <w:szCs w:val="21"/>
                <w:highlight w:val="none"/>
              </w:rPr>
              <w:t>三档（</w:t>
            </w:r>
            <w:r>
              <w:rPr>
                <w:rFonts w:hint="eastAsia" w:ascii="宋体" w:hAnsi="宋体" w:cs="宋体"/>
                <w:b/>
                <w:bCs/>
                <w:color w:val="auto"/>
                <w:szCs w:val="21"/>
                <w:highlight w:val="none"/>
                <w:lang w:val="en-US" w:eastAsia="zh-CN"/>
              </w:rPr>
              <w:t>10</w:t>
            </w:r>
            <w:r>
              <w:rPr>
                <w:rFonts w:hint="eastAsia" w:ascii="宋体" w:hAnsi="宋体" w:cs="宋体"/>
                <w:b/>
                <w:bCs/>
                <w:color w:val="auto"/>
                <w:szCs w:val="21"/>
                <w:highlight w:val="none"/>
              </w:rPr>
              <w:t>分）</w:t>
            </w:r>
            <w:r>
              <w:rPr>
                <w:rFonts w:hint="eastAsia" w:ascii="宋体" w:hAnsi="宋体" w:cs="宋体"/>
                <w:color w:val="auto"/>
                <w:szCs w:val="21"/>
                <w:highlight w:val="none"/>
              </w:rPr>
              <w:t>：</w:t>
            </w:r>
            <w:r>
              <w:rPr>
                <w:rFonts w:hint="eastAsia" w:ascii="宋体" w:hAnsi="宋体" w:cs="宋体"/>
                <w:color w:val="auto"/>
                <w:kern w:val="0"/>
                <w:szCs w:val="21"/>
                <w:highlight w:val="none"/>
              </w:rPr>
              <w:t>售后服务方案详细具体，产品发生质量问题提供有详细具体的处理措施，</w:t>
            </w:r>
            <w:r>
              <w:rPr>
                <w:rFonts w:hint="eastAsia" w:ascii="宋体" w:hAnsi="宋体" w:cs="宋体"/>
                <w:bCs/>
                <w:color w:val="auto"/>
                <w:szCs w:val="21"/>
                <w:highlight w:val="none"/>
              </w:rPr>
              <w:t>承诺退换时间</w:t>
            </w:r>
            <w:r>
              <w:rPr>
                <w:rFonts w:hint="eastAsia" w:ascii="宋体" w:hAnsi="宋体" w:cs="宋体"/>
                <w:bCs/>
                <w:color w:val="auto"/>
                <w:szCs w:val="21"/>
                <w:highlight w:val="none"/>
                <w:lang w:val="en-US" w:eastAsia="zh-CN"/>
              </w:rPr>
              <w:t>120</w:t>
            </w:r>
            <w:r>
              <w:rPr>
                <w:rFonts w:hint="eastAsia" w:ascii="宋体" w:hAnsi="宋体" w:cs="宋体"/>
                <w:bCs/>
                <w:color w:val="auto"/>
                <w:szCs w:val="21"/>
                <w:highlight w:val="none"/>
              </w:rPr>
              <w:t>分钟以内</w:t>
            </w:r>
            <w:r>
              <w:rPr>
                <w:rFonts w:hint="eastAsia" w:ascii="宋体" w:hAnsi="宋体" w:cs="宋体"/>
                <w:color w:val="auto"/>
                <w:kern w:val="0"/>
                <w:szCs w:val="21"/>
                <w:highlight w:val="none"/>
              </w:rPr>
              <w:t>，提供固定的响应服务的联系人和联系电话等方面的情况</w:t>
            </w:r>
            <w:r>
              <w:rPr>
                <w:rFonts w:hint="eastAsia" w:ascii="宋体" w:hAnsi="宋体" w:cs="宋体"/>
                <w:bCs/>
                <w:color w:val="auto"/>
                <w:szCs w:val="21"/>
                <w:highlight w:val="none"/>
              </w:rPr>
              <w:t>，后期服务承诺及措施具体可行。</w:t>
            </w:r>
          </w:p>
          <w:p w14:paraId="44BE3109">
            <w:pPr>
              <w:wordWrap w:val="0"/>
              <w:spacing w:line="460" w:lineRule="exact"/>
              <w:ind w:firstLine="422" w:firstLineChars="200"/>
              <w:jc w:val="left"/>
              <w:rPr>
                <w:rFonts w:hint="eastAsia" w:ascii="宋体" w:hAnsi="宋体" w:cs="宋体"/>
                <w:color w:val="auto"/>
                <w:szCs w:val="21"/>
                <w:highlight w:val="none"/>
              </w:rPr>
            </w:pPr>
            <w:r>
              <w:rPr>
                <w:rFonts w:hint="eastAsia" w:ascii="宋体" w:hAnsi="宋体" w:cs="宋体"/>
                <w:b/>
                <w:bCs/>
                <w:color w:val="auto"/>
                <w:szCs w:val="21"/>
                <w:highlight w:val="none"/>
              </w:rPr>
              <w:t>四档（</w:t>
            </w:r>
            <w:r>
              <w:rPr>
                <w:rFonts w:hint="eastAsia" w:ascii="宋体" w:hAnsi="宋体" w:cs="宋体"/>
                <w:b/>
                <w:bCs/>
                <w:color w:val="auto"/>
                <w:szCs w:val="21"/>
                <w:highlight w:val="none"/>
                <w:lang w:val="en-US" w:eastAsia="zh-CN"/>
              </w:rPr>
              <w:t>15</w:t>
            </w:r>
            <w:r>
              <w:rPr>
                <w:rFonts w:hint="eastAsia" w:ascii="宋体" w:hAnsi="宋体" w:cs="宋体"/>
                <w:b/>
                <w:bCs/>
                <w:color w:val="auto"/>
                <w:szCs w:val="21"/>
                <w:highlight w:val="none"/>
              </w:rPr>
              <w:t>分）</w:t>
            </w:r>
            <w:r>
              <w:rPr>
                <w:rFonts w:hint="eastAsia" w:ascii="宋体" w:hAnsi="宋体" w:cs="宋体"/>
                <w:color w:val="auto"/>
                <w:szCs w:val="21"/>
                <w:highlight w:val="none"/>
              </w:rPr>
              <w:t>：</w:t>
            </w:r>
            <w:r>
              <w:rPr>
                <w:rFonts w:hint="eastAsia" w:ascii="宋体" w:hAnsi="宋体" w:cs="宋体"/>
                <w:color w:val="auto"/>
                <w:kern w:val="0"/>
                <w:szCs w:val="21"/>
                <w:highlight w:val="none"/>
              </w:rPr>
              <w:t>售后服务方案</w:t>
            </w:r>
            <w:r>
              <w:rPr>
                <w:rFonts w:hint="eastAsia" w:ascii="宋体" w:hAnsi="宋体" w:cs="宋体"/>
                <w:color w:val="auto"/>
                <w:kern w:val="0"/>
                <w:szCs w:val="21"/>
                <w:highlight w:val="none"/>
                <w:lang w:val="en-US" w:eastAsia="zh-CN"/>
              </w:rPr>
              <w:t>有针对性</w:t>
            </w:r>
            <w:r>
              <w:rPr>
                <w:rFonts w:hint="eastAsia" w:ascii="宋体" w:hAnsi="宋体" w:cs="宋体"/>
                <w:color w:val="auto"/>
                <w:kern w:val="0"/>
                <w:szCs w:val="21"/>
                <w:highlight w:val="none"/>
              </w:rPr>
              <w:t>，内容</w:t>
            </w:r>
            <w:r>
              <w:rPr>
                <w:rFonts w:hint="eastAsia" w:ascii="宋体" w:hAnsi="宋体" w:cs="宋体"/>
                <w:color w:val="auto"/>
                <w:kern w:val="0"/>
                <w:szCs w:val="21"/>
                <w:highlight w:val="none"/>
                <w:lang w:val="en-US" w:eastAsia="zh-CN"/>
              </w:rPr>
              <w:t>详细</w:t>
            </w:r>
            <w:r>
              <w:rPr>
                <w:rFonts w:hint="eastAsia" w:ascii="宋体" w:hAnsi="宋体" w:cs="宋体"/>
                <w:color w:val="auto"/>
                <w:kern w:val="0"/>
                <w:szCs w:val="21"/>
                <w:highlight w:val="none"/>
              </w:rPr>
              <w:t>，产品出现质量问题承诺无条件退换，</w:t>
            </w:r>
            <w:r>
              <w:rPr>
                <w:rFonts w:hint="eastAsia" w:ascii="宋体" w:hAnsi="宋体" w:cs="宋体"/>
                <w:bCs/>
                <w:color w:val="auto"/>
                <w:szCs w:val="21"/>
                <w:highlight w:val="none"/>
              </w:rPr>
              <w:t>承诺退换时间</w:t>
            </w:r>
            <w:r>
              <w:rPr>
                <w:rFonts w:hint="eastAsia" w:ascii="宋体" w:hAnsi="宋体" w:cs="宋体"/>
                <w:bCs/>
                <w:color w:val="auto"/>
                <w:szCs w:val="21"/>
                <w:highlight w:val="none"/>
                <w:lang w:val="en-US" w:eastAsia="zh-CN"/>
              </w:rPr>
              <w:t>120</w:t>
            </w:r>
            <w:r>
              <w:rPr>
                <w:rFonts w:hint="eastAsia" w:ascii="宋体" w:hAnsi="宋体" w:cs="宋体"/>
                <w:bCs/>
                <w:color w:val="auto"/>
                <w:szCs w:val="21"/>
                <w:highlight w:val="none"/>
              </w:rPr>
              <w:t>分钟以内，</w:t>
            </w:r>
            <w:r>
              <w:rPr>
                <w:rFonts w:hint="eastAsia" w:ascii="宋体" w:hAnsi="宋体" w:cs="宋体"/>
                <w:color w:val="auto"/>
                <w:kern w:val="0"/>
                <w:szCs w:val="21"/>
                <w:highlight w:val="none"/>
              </w:rPr>
              <w:t>提供固定的响应服务的联系人和联系电话等方面的情况，拟投入的售后服务人员职责明确，</w:t>
            </w:r>
            <w:r>
              <w:rPr>
                <w:rFonts w:hint="eastAsia" w:ascii="宋体" w:hAnsi="宋体" w:cs="宋体"/>
                <w:bCs/>
                <w:color w:val="auto"/>
                <w:szCs w:val="21"/>
                <w:highlight w:val="none"/>
              </w:rPr>
              <w:t>有详细、措施</w:t>
            </w:r>
            <w:r>
              <w:rPr>
                <w:rFonts w:hint="eastAsia" w:ascii="宋体" w:hAnsi="宋体" w:cs="宋体"/>
                <w:bCs/>
                <w:color w:val="auto"/>
                <w:szCs w:val="21"/>
                <w:highlight w:val="none"/>
                <w:lang w:val="en-US" w:eastAsia="zh-CN"/>
              </w:rPr>
              <w:t>有针对性</w:t>
            </w:r>
            <w:r>
              <w:rPr>
                <w:rFonts w:hint="eastAsia" w:ascii="宋体" w:hAnsi="宋体" w:cs="宋体"/>
                <w:bCs/>
                <w:color w:val="auto"/>
                <w:szCs w:val="21"/>
                <w:highlight w:val="none"/>
              </w:rPr>
              <w:t>的后期服务承诺及措施</w:t>
            </w:r>
            <w:r>
              <w:rPr>
                <w:rFonts w:hint="eastAsia" w:ascii="宋体" w:hAnsi="宋体" w:cs="宋体"/>
                <w:color w:val="auto"/>
                <w:szCs w:val="21"/>
                <w:highlight w:val="none"/>
              </w:rPr>
              <w:t>。</w:t>
            </w:r>
          </w:p>
          <w:p w14:paraId="1CE1862C">
            <w:pPr>
              <w:wordWrap w:val="0"/>
              <w:spacing w:line="460" w:lineRule="exact"/>
              <w:ind w:firstLine="422" w:firstLineChars="200"/>
              <w:jc w:val="left"/>
              <w:rPr>
                <w:rFonts w:hint="eastAsia" w:ascii="宋体" w:hAnsi="宋体" w:cs="宋体"/>
                <w:color w:val="auto"/>
                <w:szCs w:val="21"/>
                <w:highlight w:val="none"/>
              </w:rPr>
            </w:pPr>
            <w:r>
              <w:rPr>
                <w:rFonts w:hint="eastAsia" w:ascii="宋体" w:hAnsi="宋体" w:cs="宋体"/>
                <w:b/>
                <w:bCs/>
                <w:color w:val="auto"/>
                <w:szCs w:val="21"/>
                <w:highlight w:val="none"/>
              </w:rPr>
              <w:t>五档（</w:t>
            </w:r>
            <w:r>
              <w:rPr>
                <w:rFonts w:hint="eastAsia" w:ascii="宋体" w:hAnsi="宋体" w:cs="宋体"/>
                <w:b/>
                <w:bCs/>
                <w:color w:val="auto"/>
                <w:szCs w:val="21"/>
                <w:highlight w:val="none"/>
                <w:lang w:val="en-US" w:eastAsia="zh-CN"/>
              </w:rPr>
              <w:t>18</w:t>
            </w:r>
            <w:r>
              <w:rPr>
                <w:rFonts w:hint="eastAsia" w:ascii="宋体" w:hAnsi="宋体" w:cs="宋体"/>
                <w:b/>
                <w:bCs/>
                <w:color w:val="auto"/>
                <w:szCs w:val="21"/>
                <w:highlight w:val="none"/>
              </w:rPr>
              <w:t>分）</w:t>
            </w:r>
            <w:r>
              <w:rPr>
                <w:rFonts w:hint="eastAsia" w:ascii="宋体" w:hAnsi="宋体" w:cs="宋体"/>
                <w:color w:val="auto"/>
                <w:szCs w:val="21"/>
                <w:highlight w:val="none"/>
              </w:rPr>
              <w:t>：</w:t>
            </w:r>
            <w:r>
              <w:rPr>
                <w:rFonts w:hint="eastAsia" w:ascii="宋体" w:hAnsi="宋体" w:cs="宋体"/>
                <w:color w:val="auto"/>
                <w:kern w:val="0"/>
                <w:szCs w:val="21"/>
                <w:highlight w:val="none"/>
              </w:rPr>
              <w:t>售后服务方案</w:t>
            </w:r>
            <w:r>
              <w:rPr>
                <w:rFonts w:hint="eastAsia" w:ascii="宋体" w:hAnsi="宋体" w:cs="宋体"/>
                <w:color w:val="auto"/>
                <w:kern w:val="0"/>
                <w:szCs w:val="21"/>
                <w:highlight w:val="none"/>
                <w:lang w:val="en-US" w:eastAsia="zh-CN"/>
              </w:rPr>
              <w:t>有针对性</w:t>
            </w:r>
            <w:r>
              <w:rPr>
                <w:rFonts w:hint="eastAsia" w:ascii="宋体" w:hAnsi="宋体" w:cs="宋体"/>
                <w:color w:val="auto"/>
                <w:kern w:val="0"/>
                <w:szCs w:val="21"/>
                <w:highlight w:val="none"/>
              </w:rPr>
              <w:t>，内容</w:t>
            </w:r>
            <w:r>
              <w:rPr>
                <w:rFonts w:hint="eastAsia" w:ascii="宋体" w:hAnsi="宋体" w:cs="宋体"/>
                <w:color w:val="auto"/>
                <w:kern w:val="0"/>
                <w:szCs w:val="21"/>
                <w:highlight w:val="none"/>
                <w:lang w:val="en-US" w:eastAsia="zh-CN"/>
              </w:rPr>
              <w:t>详细</w:t>
            </w:r>
            <w:r>
              <w:rPr>
                <w:rFonts w:hint="eastAsia" w:ascii="宋体" w:hAnsi="宋体" w:cs="宋体"/>
                <w:color w:val="auto"/>
                <w:kern w:val="0"/>
                <w:szCs w:val="21"/>
                <w:highlight w:val="none"/>
              </w:rPr>
              <w:t>，产品出现质量问题承诺无条件退换，</w:t>
            </w:r>
            <w:r>
              <w:rPr>
                <w:rFonts w:hint="eastAsia" w:ascii="宋体" w:hAnsi="宋体" w:cs="宋体"/>
                <w:bCs/>
                <w:color w:val="auto"/>
                <w:szCs w:val="21"/>
                <w:highlight w:val="none"/>
              </w:rPr>
              <w:t>承诺退换时间</w:t>
            </w:r>
            <w:r>
              <w:rPr>
                <w:rFonts w:hint="eastAsia" w:ascii="宋体" w:hAnsi="宋体" w:cs="宋体"/>
                <w:bCs/>
                <w:color w:val="auto"/>
                <w:szCs w:val="21"/>
                <w:highlight w:val="none"/>
                <w:lang w:val="en-US" w:eastAsia="zh-CN"/>
              </w:rPr>
              <w:t>120</w:t>
            </w:r>
            <w:r>
              <w:rPr>
                <w:rFonts w:hint="eastAsia" w:ascii="宋体" w:hAnsi="宋体" w:cs="宋体"/>
                <w:bCs/>
                <w:color w:val="auto"/>
                <w:szCs w:val="21"/>
                <w:highlight w:val="none"/>
              </w:rPr>
              <w:t>分钟以内</w:t>
            </w:r>
            <w:r>
              <w:rPr>
                <w:rFonts w:hint="eastAsia" w:ascii="宋体" w:hAnsi="宋体" w:cs="宋体"/>
                <w:color w:val="auto"/>
                <w:kern w:val="0"/>
                <w:szCs w:val="21"/>
                <w:highlight w:val="none"/>
              </w:rPr>
              <w:t>，</w:t>
            </w:r>
            <w:r>
              <w:rPr>
                <w:rFonts w:hint="eastAsia" w:ascii="宋体" w:hAnsi="宋体" w:cs="宋体"/>
                <w:color w:val="auto"/>
                <w:highlight w:val="none"/>
              </w:rPr>
              <w:t>且提供包含具体</w:t>
            </w:r>
            <w:r>
              <w:rPr>
                <w:rFonts w:hint="eastAsia" w:ascii="宋体" w:hAnsi="宋体" w:cs="宋体"/>
                <w:color w:val="auto"/>
                <w:highlight w:val="none"/>
                <w:lang w:val="en-US" w:eastAsia="zh-CN"/>
              </w:rPr>
              <w:t>详细</w:t>
            </w:r>
            <w:r>
              <w:rPr>
                <w:rFonts w:hint="eastAsia" w:ascii="宋体" w:hAnsi="宋体" w:cs="宋体"/>
                <w:color w:val="auto"/>
                <w:highlight w:val="none"/>
              </w:rPr>
              <w:t>退换货组织、保障措施的退换货承诺</w:t>
            </w:r>
            <w:r>
              <w:rPr>
                <w:rFonts w:hint="eastAsia" w:ascii="宋体" w:hAnsi="宋体" w:cs="宋体"/>
                <w:color w:val="auto"/>
                <w:kern w:val="0"/>
                <w:szCs w:val="21"/>
                <w:highlight w:val="none"/>
              </w:rPr>
              <w:t>，拟投入的售后服务人员职责明确，安排恰当，提供固定的响应服务的联系人和联系电话等方面的情况，</w:t>
            </w:r>
            <w:r>
              <w:rPr>
                <w:rFonts w:hint="eastAsia" w:ascii="宋体" w:hAnsi="宋体" w:cs="宋体"/>
                <w:bCs/>
                <w:color w:val="auto"/>
                <w:szCs w:val="21"/>
                <w:highlight w:val="none"/>
              </w:rPr>
              <w:t>有详细、</w:t>
            </w:r>
            <w:r>
              <w:rPr>
                <w:rFonts w:hint="eastAsia" w:ascii="宋体" w:hAnsi="宋体" w:cs="宋体"/>
                <w:bCs/>
                <w:color w:val="auto"/>
                <w:szCs w:val="21"/>
                <w:highlight w:val="none"/>
                <w:lang w:val="en-US" w:eastAsia="zh-CN"/>
              </w:rPr>
              <w:t>有针对性</w:t>
            </w:r>
            <w:r>
              <w:rPr>
                <w:rFonts w:hint="eastAsia" w:ascii="宋体" w:hAnsi="宋体" w:cs="宋体"/>
                <w:bCs/>
                <w:color w:val="auto"/>
                <w:szCs w:val="21"/>
                <w:highlight w:val="none"/>
              </w:rPr>
              <w:t>的后期服务承诺及措施，措施</w:t>
            </w:r>
            <w:r>
              <w:rPr>
                <w:rFonts w:hint="eastAsia" w:ascii="宋体" w:hAnsi="宋体" w:cs="宋体"/>
                <w:bCs/>
                <w:color w:val="auto"/>
                <w:szCs w:val="21"/>
                <w:highlight w:val="none"/>
                <w:lang w:val="en-US" w:eastAsia="zh-CN"/>
              </w:rPr>
              <w:t>有针对性</w:t>
            </w:r>
            <w:r>
              <w:rPr>
                <w:rFonts w:hint="eastAsia" w:ascii="宋体" w:hAnsi="宋体" w:cs="宋体"/>
                <w:bCs/>
                <w:color w:val="auto"/>
                <w:szCs w:val="21"/>
                <w:highlight w:val="none"/>
              </w:rPr>
              <w:t>。</w:t>
            </w:r>
          </w:p>
          <w:p w14:paraId="7829A436">
            <w:pPr>
              <w:wordWrap w:val="0"/>
              <w:spacing w:line="460" w:lineRule="exact"/>
              <w:ind w:firstLine="420" w:firstLineChars="200"/>
              <w:jc w:val="left"/>
              <w:rPr>
                <w:rFonts w:hint="eastAsia" w:ascii="宋体" w:hAnsi="宋体" w:cs="宋体"/>
                <w:color w:val="auto"/>
                <w:highlight w:val="none"/>
              </w:rPr>
            </w:pPr>
            <w:r>
              <w:rPr>
                <w:rFonts w:hint="eastAsia" w:ascii="宋体" w:hAnsi="宋体" w:cs="宋体"/>
                <w:color w:val="auto"/>
                <w:szCs w:val="21"/>
                <w:highlight w:val="none"/>
              </w:rPr>
              <w:t>注：未提供或未达到一档要求的本项不得分。</w:t>
            </w:r>
          </w:p>
        </w:tc>
      </w:tr>
      <w:tr w14:paraId="1ADC7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38" w:type="dxa"/>
            <w:vMerge w:val="continue"/>
            <w:noWrap/>
            <w:vAlign w:val="center"/>
          </w:tcPr>
          <w:p w14:paraId="61076261">
            <w:pPr>
              <w:jc w:val="center"/>
              <w:rPr>
                <w:rFonts w:hint="eastAsia" w:ascii="宋体" w:hAnsi="宋体" w:cs="宋体"/>
                <w:b/>
                <w:color w:val="auto"/>
                <w:szCs w:val="21"/>
                <w:highlight w:val="none"/>
              </w:rPr>
            </w:pPr>
          </w:p>
        </w:tc>
        <w:tc>
          <w:tcPr>
            <w:tcW w:w="1172" w:type="dxa"/>
            <w:vMerge w:val="continue"/>
            <w:noWrap/>
            <w:vAlign w:val="center"/>
          </w:tcPr>
          <w:p w14:paraId="0F3FA71A">
            <w:pPr>
              <w:jc w:val="center"/>
              <w:rPr>
                <w:rFonts w:hint="eastAsia" w:ascii="宋体" w:hAnsi="宋体" w:cs="宋体"/>
                <w:b/>
                <w:color w:val="auto"/>
                <w:szCs w:val="21"/>
                <w:highlight w:val="none"/>
              </w:rPr>
            </w:pPr>
          </w:p>
        </w:tc>
        <w:tc>
          <w:tcPr>
            <w:tcW w:w="1037" w:type="dxa"/>
            <w:noWrap/>
            <w:vAlign w:val="center"/>
          </w:tcPr>
          <w:p w14:paraId="70405254">
            <w:pPr>
              <w:jc w:val="center"/>
              <w:rPr>
                <w:rFonts w:hint="eastAsia" w:ascii="宋体" w:hAnsi="宋体" w:cs="宋体"/>
                <w:bCs/>
                <w:color w:val="auto"/>
                <w:szCs w:val="21"/>
                <w:highlight w:val="none"/>
              </w:rPr>
            </w:pPr>
            <w:r>
              <w:rPr>
                <w:rFonts w:hint="eastAsia" w:ascii="宋体" w:hAnsi="宋体" w:cs="宋体"/>
                <w:b/>
                <w:color w:val="auto"/>
                <w:kern w:val="1"/>
                <w:szCs w:val="21"/>
                <w:highlight w:val="none"/>
              </w:rPr>
              <w:t>（4）管理制度分（满分1</w:t>
            </w:r>
            <w:r>
              <w:rPr>
                <w:rFonts w:hint="eastAsia" w:ascii="宋体" w:hAnsi="宋体" w:cs="宋体"/>
                <w:b/>
                <w:color w:val="auto"/>
                <w:kern w:val="1"/>
                <w:szCs w:val="21"/>
                <w:highlight w:val="none"/>
                <w:lang w:val="en-US" w:eastAsia="zh-CN"/>
              </w:rPr>
              <w:t>5</w:t>
            </w:r>
            <w:r>
              <w:rPr>
                <w:rFonts w:hint="eastAsia" w:ascii="宋体" w:hAnsi="宋体" w:cs="宋体"/>
                <w:b/>
                <w:color w:val="auto"/>
                <w:kern w:val="1"/>
                <w:szCs w:val="21"/>
                <w:highlight w:val="none"/>
              </w:rPr>
              <w:t>分）</w:t>
            </w:r>
          </w:p>
        </w:tc>
        <w:tc>
          <w:tcPr>
            <w:tcW w:w="7141" w:type="dxa"/>
            <w:noWrap/>
            <w:vAlign w:val="center"/>
          </w:tcPr>
          <w:p w14:paraId="15AA60E1">
            <w:pPr>
              <w:widowControl/>
              <w:spacing w:line="360" w:lineRule="auto"/>
              <w:ind w:firstLine="422"/>
              <w:rPr>
                <w:rFonts w:hint="eastAsia" w:ascii="宋体" w:hAnsi="宋体" w:cs="宋体"/>
                <w:color w:val="auto"/>
                <w:kern w:val="1"/>
                <w:szCs w:val="21"/>
                <w:highlight w:val="none"/>
              </w:rPr>
            </w:pPr>
            <w:r>
              <w:rPr>
                <w:rFonts w:hint="eastAsia" w:ascii="宋体" w:hAnsi="宋体" w:cs="宋体"/>
                <w:b/>
                <w:bCs/>
                <w:color w:val="auto"/>
                <w:kern w:val="1"/>
                <w:szCs w:val="21"/>
                <w:highlight w:val="none"/>
              </w:rPr>
              <w:t>一档（</w:t>
            </w:r>
            <w:r>
              <w:rPr>
                <w:rFonts w:hint="eastAsia" w:ascii="宋体" w:hAnsi="宋体" w:cs="宋体"/>
                <w:b/>
                <w:bCs/>
                <w:color w:val="auto"/>
                <w:kern w:val="1"/>
                <w:szCs w:val="21"/>
                <w:highlight w:val="none"/>
                <w:lang w:val="en-US" w:eastAsia="zh-CN"/>
              </w:rPr>
              <w:t>3</w:t>
            </w:r>
            <w:r>
              <w:rPr>
                <w:rFonts w:hint="eastAsia" w:ascii="宋体" w:hAnsi="宋体" w:cs="宋体"/>
                <w:b/>
                <w:bCs/>
                <w:color w:val="auto"/>
                <w:kern w:val="1"/>
                <w:szCs w:val="21"/>
                <w:highlight w:val="none"/>
              </w:rPr>
              <w:t>分）：</w:t>
            </w:r>
            <w:r>
              <w:rPr>
                <w:rFonts w:hint="eastAsia" w:ascii="宋体" w:hAnsi="宋体" w:cs="宋体"/>
                <w:color w:val="auto"/>
                <w:kern w:val="1"/>
                <w:szCs w:val="21"/>
                <w:highlight w:val="none"/>
              </w:rPr>
              <w:t>供应商提供的管理制度基本满足采购需求，制度基本</w:t>
            </w:r>
            <w:r>
              <w:rPr>
                <w:rFonts w:hint="eastAsia" w:ascii="宋体" w:hAnsi="宋体" w:cs="宋体"/>
                <w:color w:val="auto"/>
                <w:kern w:val="1"/>
                <w:szCs w:val="21"/>
                <w:highlight w:val="none"/>
                <w:lang w:val="en-US" w:eastAsia="zh-CN"/>
              </w:rPr>
              <w:t>简略</w:t>
            </w:r>
            <w:r>
              <w:rPr>
                <w:rFonts w:hint="eastAsia" w:ascii="宋体" w:hAnsi="宋体" w:cs="宋体"/>
                <w:color w:val="auto"/>
                <w:kern w:val="1"/>
                <w:szCs w:val="21"/>
                <w:highlight w:val="none"/>
              </w:rPr>
              <w:t>；</w:t>
            </w:r>
          </w:p>
          <w:p w14:paraId="5F84F7F6">
            <w:pPr>
              <w:widowControl/>
              <w:spacing w:line="360" w:lineRule="auto"/>
              <w:ind w:firstLine="422"/>
              <w:rPr>
                <w:rFonts w:hint="eastAsia" w:ascii="宋体" w:hAnsi="宋体" w:cs="宋体"/>
                <w:color w:val="auto"/>
                <w:kern w:val="1"/>
                <w:szCs w:val="21"/>
                <w:highlight w:val="none"/>
              </w:rPr>
            </w:pPr>
            <w:r>
              <w:rPr>
                <w:rFonts w:hint="eastAsia" w:ascii="宋体" w:hAnsi="宋体" w:cs="宋体"/>
                <w:b/>
                <w:bCs/>
                <w:color w:val="auto"/>
                <w:kern w:val="1"/>
                <w:szCs w:val="21"/>
                <w:highlight w:val="none"/>
              </w:rPr>
              <w:t>二档（</w:t>
            </w:r>
            <w:r>
              <w:rPr>
                <w:rFonts w:hint="eastAsia" w:ascii="宋体" w:hAnsi="宋体" w:cs="宋体"/>
                <w:b/>
                <w:bCs/>
                <w:color w:val="auto"/>
                <w:kern w:val="1"/>
                <w:szCs w:val="21"/>
                <w:highlight w:val="none"/>
                <w:lang w:val="en-US" w:eastAsia="zh-CN"/>
              </w:rPr>
              <w:t>6</w:t>
            </w:r>
            <w:r>
              <w:rPr>
                <w:rFonts w:hint="eastAsia" w:ascii="宋体" w:hAnsi="宋体" w:cs="宋体"/>
                <w:b/>
                <w:bCs/>
                <w:color w:val="auto"/>
                <w:kern w:val="1"/>
                <w:szCs w:val="21"/>
                <w:highlight w:val="none"/>
              </w:rPr>
              <w:t>分）：</w:t>
            </w:r>
            <w:r>
              <w:rPr>
                <w:rFonts w:hint="eastAsia" w:ascii="宋体" w:hAnsi="宋体" w:cs="宋体"/>
                <w:color w:val="auto"/>
                <w:kern w:val="1"/>
                <w:szCs w:val="21"/>
                <w:highlight w:val="none"/>
              </w:rPr>
              <w:t>供应商提供的管理制度基本满足采购需求，管理规章制度各项目内容</w:t>
            </w:r>
            <w:r>
              <w:rPr>
                <w:rFonts w:hint="eastAsia" w:ascii="宋体" w:hAnsi="宋体" w:cs="宋体"/>
                <w:color w:val="auto"/>
                <w:kern w:val="1"/>
                <w:szCs w:val="21"/>
                <w:highlight w:val="none"/>
                <w:lang w:val="en-US" w:eastAsia="zh-CN"/>
              </w:rPr>
              <w:t>清晰</w:t>
            </w:r>
            <w:r>
              <w:rPr>
                <w:rFonts w:hint="eastAsia" w:ascii="宋体" w:hAnsi="宋体" w:cs="宋体"/>
                <w:color w:val="auto"/>
                <w:kern w:val="1"/>
                <w:szCs w:val="21"/>
                <w:highlight w:val="none"/>
              </w:rPr>
              <w:t>，制度</w:t>
            </w:r>
            <w:r>
              <w:rPr>
                <w:rFonts w:hint="eastAsia" w:ascii="宋体" w:hAnsi="宋体" w:cs="宋体"/>
                <w:color w:val="auto"/>
                <w:kern w:val="1"/>
                <w:szCs w:val="21"/>
                <w:highlight w:val="none"/>
                <w:lang w:val="en-US" w:eastAsia="zh-CN"/>
              </w:rPr>
              <w:t>清晰</w:t>
            </w:r>
            <w:r>
              <w:rPr>
                <w:rFonts w:hint="eastAsia" w:ascii="宋体" w:hAnsi="宋体" w:cs="宋体"/>
                <w:color w:val="auto"/>
                <w:kern w:val="1"/>
                <w:szCs w:val="21"/>
                <w:highlight w:val="none"/>
              </w:rPr>
              <w:t>、具备可行性；</w:t>
            </w:r>
          </w:p>
          <w:p w14:paraId="0067C967">
            <w:pPr>
              <w:widowControl/>
              <w:spacing w:line="360" w:lineRule="auto"/>
              <w:ind w:firstLine="422"/>
              <w:rPr>
                <w:rFonts w:hint="eastAsia" w:ascii="宋体" w:hAnsi="宋体" w:cs="宋体"/>
                <w:color w:val="auto"/>
                <w:kern w:val="1"/>
                <w:szCs w:val="21"/>
                <w:highlight w:val="none"/>
              </w:rPr>
            </w:pPr>
            <w:r>
              <w:rPr>
                <w:rFonts w:hint="eastAsia" w:ascii="宋体" w:hAnsi="宋体" w:cs="宋体"/>
                <w:b/>
                <w:bCs/>
                <w:color w:val="auto"/>
                <w:kern w:val="1"/>
                <w:szCs w:val="21"/>
                <w:highlight w:val="none"/>
              </w:rPr>
              <w:t>三档（</w:t>
            </w:r>
            <w:r>
              <w:rPr>
                <w:rFonts w:hint="eastAsia" w:ascii="宋体" w:hAnsi="宋体" w:cs="宋体"/>
                <w:b/>
                <w:bCs/>
                <w:color w:val="auto"/>
                <w:kern w:val="1"/>
                <w:szCs w:val="21"/>
                <w:highlight w:val="none"/>
                <w:lang w:val="en-US" w:eastAsia="zh-CN"/>
              </w:rPr>
              <w:t>9</w:t>
            </w:r>
            <w:r>
              <w:rPr>
                <w:rFonts w:hint="eastAsia" w:ascii="宋体" w:hAnsi="宋体" w:cs="宋体"/>
                <w:b/>
                <w:bCs/>
                <w:color w:val="auto"/>
                <w:kern w:val="1"/>
                <w:szCs w:val="21"/>
                <w:highlight w:val="none"/>
              </w:rPr>
              <w:t>分）</w:t>
            </w:r>
            <w:r>
              <w:rPr>
                <w:rFonts w:hint="eastAsia" w:ascii="宋体" w:hAnsi="宋体" w:cs="宋体"/>
                <w:color w:val="auto"/>
                <w:kern w:val="1"/>
                <w:szCs w:val="21"/>
                <w:highlight w:val="none"/>
              </w:rPr>
              <w:t>：供应商提供的管理制度满足采购需求，管理规章制度各项目内容</w:t>
            </w:r>
            <w:r>
              <w:rPr>
                <w:rFonts w:hint="eastAsia" w:ascii="宋体" w:hAnsi="宋体" w:cs="宋体"/>
                <w:color w:val="auto"/>
                <w:kern w:val="1"/>
                <w:szCs w:val="21"/>
                <w:highlight w:val="none"/>
                <w:lang w:val="en-US" w:eastAsia="zh-CN"/>
              </w:rPr>
              <w:t>清晰</w:t>
            </w:r>
            <w:r>
              <w:rPr>
                <w:rFonts w:hint="eastAsia" w:ascii="宋体" w:hAnsi="宋体" w:cs="宋体"/>
                <w:color w:val="auto"/>
                <w:kern w:val="1"/>
                <w:szCs w:val="21"/>
                <w:highlight w:val="none"/>
              </w:rPr>
              <w:t>，内容较详细，操作性</w:t>
            </w:r>
            <w:r>
              <w:rPr>
                <w:rFonts w:hint="eastAsia" w:ascii="宋体" w:hAnsi="宋体" w:cs="宋体"/>
                <w:color w:val="auto"/>
                <w:kern w:val="1"/>
                <w:szCs w:val="21"/>
                <w:highlight w:val="none"/>
                <w:lang w:val="en-US" w:eastAsia="zh-CN"/>
              </w:rPr>
              <w:t>契合项目</w:t>
            </w:r>
            <w:r>
              <w:rPr>
                <w:rFonts w:hint="eastAsia" w:ascii="宋体" w:hAnsi="宋体" w:cs="宋体"/>
                <w:color w:val="auto"/>
                <w:kern w:val="1"/>
                <w:szCs w:val="21"/>
                <w:highlight w:val="none"/>
              </w:rPr>
              <w:t>，制度包含食材供应服务质量管理；</w:t>
            </w:r>
          </w:p>
          <w:p w14:paraId="069C47E0">
            <w:pPr>
              <w:widowControl/>
              <w:spacing w:line="360" w:lineRule="auto"/>
              <w:ind w:firstLine="422"/>
              <w:rPr>
                <w:rFonts w:hint="eastAsia" w:ascii="宋体" w:hAnsi="宋体" w:cs="宋体"/>
                <w:color w:val="auto"/>
                <w:kern w:val="1"/>
                <w:szCs w:val="21"/>
                <w:highlight w:val="none"/>
              </w:rPr>
            </w:pPr>
            <w:r>
              <w:rPr>
                <w:rFonts w:hint="eastAsia" w:ascii="宋体" w:hAnsi="宋体" w:cs="宋体"/>
                <w:b/>
                <w:bCs/>
                <w:color w:val="auto"/>
                <w:kern w:val="1"/>
                <w:szCs w:val="21"/>
                <w:highlight w:val="none"/>
              </w:rPr>
              <w:t>四档（</w:t>
            </w:r>
            <w:r>
              <w:rPr>
                <w:rFonts w:hint="eastAsia" w:ascii="宋体" w:hAnsi="宋体" w:cs="宋体"/>
                <w:b/>
                <w:bCs/>
                <w:color w:val="auto"/>
                <w:kern w:val="1"/>
                <w:szCs w:val="21"/>
                <w:highlight w:val="none"/>
                <w:lang w:val="en-US" w:eastAsia="zh-CN"/>
              </w:rPr>
              <w:t>12</w:t>
            </w:r>
            <w:r>
              <w:rPr>
                <w:rFonts w:hint="eastAsia" w:ascii="宋体" w:hAnsi="宋体" w:cs="宋体"/>
                <w:b/>
                <w:bCs/>
                <w:color w:val="auto"/>
                <w:kern w:val="1"/>
                <w:szCs w:val="21"/>
                <w:highlight w:val="none"/>
              </w:rPr>
              <w:t>分）：</w:t>
            </w:r>
            <w:r>
              <w:rPr>
                <w:rFonts w:hint="eastAsia" w:ascii="宋体" w:hAnsi="宋体" w:cs="宋体"/>
                <w:color w:val="auto"/>
                <w:kern w:val="1"/>
                <w:szCs w:val="21"/>
                <w:highlight w:val="none"/>
              </w:rPr>
              <w:t>供应商提供的管理制度满足采购需求，管理规章制度各项目内容</w:t>
            </w:r>
            <w:r>
              <w:rPr>
                <w:rFonts w:hint="eastAsia" w:ascii="宋体" w:hAnsi="宋体" w:cs="宋体"/>
                <w:color w:val="auto"/>
                <w:kern w:val="1"/>
                <w:szCs w:val="21"/>
                <w:highlight w:val="none"/>
                <w:lang w:val="en-US" w:eastAsia="zh-CN"/>
              </w:rPr>
              <w:t>清晰</w:t>
            </w:r>
            <w:r>
              <w:rPr>
                <w:rFonts w:hint="eastAsia" w:ascii="宋体" w:hAnsi="宋体" w:cs="宋体"/>
                <w:color w:val="auto"/>
                <w:kern w:val="1"/>
                <w:szCs w:val="21"/>
                <w:highlight w:val="none"/>
              </w:rPr>
              <w:t>，内容较详细，操作性</w:t>
            </w:r>
            <w:r>
              <w:rPr>
                <w:rFonts w:hint="eastAsia" w:ascii="宋体" w:hAnsi="宋体" w:cs="宋体"/>
                <w:color w:val="auto"/>
                <w:kern w:val="1"/>
                <w:szCs w:val="21"/>
                <w:highlight w:val="none"/>
                <w:lang w:val="en-US" w:eastAsia="zh-CN"/>
              </w:rPr>
              <w:t>契合项目</w:t>
            </w:r>
            <w:r>
              <w:rPr>
                <w:rFonts w:hint="eastAsia" w:ascii="宋体" w:hAnsi="宋体" w:cs="宋体"/>
                <w:color w:val="auto"/>
                <w:kern w:val="1"/>
                <w:szCs w:val="21"/>
                <w:highlight w:val="none"/>
              </w:rPr>
              <w:t>，制度包含食材供应服务质量管理、安全控制措施管理等；</w:t>
            </w:r>
          </w:p>
          <w:p w14:paraId="49469744">
            <w:pPr>
              <w:widowControl/>
              <w:spacing w:line="360" w:lineRule="auto"/>
              <w:ind w:firstLine="422"/>
              <w:rPr>
                <w:rFonts w:hint="eastAsia" w:ascii="宋体" w:hAnsi="宋体" w:cs="宋体"/>
                <w:color w:val="auto"/>
                <w:kern w:val="1"/>
                <w:szCs w:val="21"/>
                <w:highlight w:val="none"/>
              </w:rPr>
            </w:pPr>
            <w:r>
              <w:rPr>
                <w:rFonts w:hint="eastAsia" w:ascii="宋体" w:hAnsi="宋体" w:cs="宋体"/>
                <w:b/>
                <w:bCs/>
                <w:color w:val="auto"/>
                <w:kern w:val="1"/>
                <w:szCs w:val="21"/>
                <w:highlight w:val="none"/>
              </w:rPr>
              <w:t>五档（1</w:t>
            </w:r>
            <w:r>
              <w:rPr>
                <w:rFonts w:hint="eastAsia" w:ascii="宋体" w:hAnsi="宋体" w:cs="宋体"/>
                <w:b/>
                <w:bCs/>
                <w:color w:val="auto"/>
                <w:kern w:val="1"/>
                <w:szCs w:val="21"/>
                <w:highlight w:val="none"/>
                <w:lang w:val="en-US" w:eastAsia="zh-CN"/>
              </w:rPr>
              <w:t>5</w:t>
            </w:r>
            <w:r>
              <w:rPr>
                <w:rFonts w:hint="eastAsia" w:ascii="宋体" w:hAnsi="宋体" w:cs="宋体"/>
                <w:b/>
                <w:bCs/>
                <w:color w:val="auto"/>
                <w:kern w:val="1"/>
                <w:szCs w:val="21"/>
                <w:highlight w:val="none"/>
              </w:rPr>
              <w:t>分）：</w:t>
            </w:r>
            <w:r>
              <w:rPr>
                <w:rFonts w:hint="eastAsia" w:ascii="宋体" w:hAnsi="宋体" w:cs="宋体"/>
                <w:color w:val="auto"/>
                <w:kern w:val="1"/>
                <w:szCs w:val="21"/>
                <w:highlight w:val="none"/>
              </w:rPr>
              <w:t>供应商提供的管理制度完全满足采购需求，管理规章制度各项目内容</w:t>
            </w:r>
            <w:r>
              <w:rPr>
                <w:rFonts w:hint="eastAsia" w:ascii="宋体" w:hAnsi="宋体" w:cs="宋体"/>
                <w:color w:val="auto"/>
                <w:kern w:val="1"/>
                <w:szCs w:val="21"/>
                <w:highlight w:val="none"/>
                <w:lang w:val="en-US" w:eastAsia="zh-CN"/>
              </w:rPr>
              <w:t>清晰</w:t>
            </w:r>
            <w:r>
              <w:rPr>
                <w:rFonts w:hint="eastAsia" w:ascii="宋体" w:hAnsi="宋体" w:cs="宋体"/>
                <w:color w:val="auto"/>
                <w:kern w:val="1"/>
                <w:szCs w:val="21"/>
                <w:highlight w:val="none"/>
              </w:rPr>
              <w:t>，陈述详细，操作性</w:t>
            </w:r>
            <w:r>
              <w:rPr>
                <w:rFonts w:hint="eastAsia" w:ascii="宋体" w:hAnsi="宋体" w:cs="宋体"/>
                <w:color w:val="auto"/>
                <w:kern w:val="1"/>
                <w:szCs w:val="21"/>
                <w:highlight w:val="none"/>
                <w:lang w:val="en-US" w:eastAsia="zh-CN"/>
              </w:rPr>
              <w:t>契合项目</w:t>
            </w:r>
            <w:r>
              <w:rPr>
                <w:rFonts w:hint="eastAsia" w:ascii="宋体" w:hAnsi="宋体" w:cs="宋体"/>
                <w:color w:val="auto"/>
                <w:kern w:val="1"/>
                <w:szCs w:val="21"/>
                <w:highlight w:val="none"/>
              </w:rPr>
              <w:t>，针对性严谨，制度包含食材供应服务质量管理、安全控制措施管理、人力资源管理、财务管理、风险管理等。</w:t>
            </w:r>
          </w:p>
          <w:p w14:paraId="66E6CDC3">
            <w:pPr>
              <w:widowControl/>
              <w:spacing w:line="360" w:lineRule="auto"/>
              <w:ind w:firstLine="422"/>
              <w:rPr>
                <w:rFonts w:hint="eastAsia" w:ascii="宋体" w:hAnsi="宋体" w:cs="宋体"/>
                <w:color w:val="auto"/>
                <w:highlight w:val="none"/>
              </w:rPr>
            </w:pPr>
            <w:r>
              <w:rPr>
                <w:rFonts w:hint="eastAsia" w:ascii="宋体" w:hAnsi="宋体" w:cs="宋体"/>
                <w:color w:val="auto"/>
                <w:kern w:val="1"/>
                <w:szCs w:val="21"/>
                <w:highlight w:val="none"/>
              </w:rPr>
              <w:t>注：未提供或提供的不符合要求的不得分。</w:t>
            </w:r>
          </w:p>
        </w:tc>
      </w:tr>
      <w:tr w14:paraId="0D4E5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38" w:type="dxa"/>
            <w:vMerge w:val="continue"/>
            <w:noWrap/>
            <w:vAlign w:val="center"/>
          </w:tcPr>
          <w:p w14:paraId="073FB61A">
            <w:pPr>
              <w:jc w:val="center"/>
              <w:rPr>
                <w:rFonts w:hint="eastAsia" w:ascii="宋体" w:hAnsi="宋体" w:cs="宋体"/>
                <w:b/>
                <w:color w:val="auto"/>
                <w:szCs w:val="21"/>
                <w:highlight w:val="none"/>
              </w:rPr>
            </w:pPr>
          </w:p>
        </w:tc>
        <w:tc>
          <w:tcPr>
            <w:tcW w:w="1172" w:type="dxa"/>
            <w:vMerge w:val="continue"/>
            <w:noWrap/>
            <w:vAlign w:val="center"/>
          </w:tcPr>
          <w:p w14:paraId="6AA7972C">
            <w:pPr>
              <w:jc w:val="center"/>
              <w:rPr>
                <w:rFonts w:hint="eastAsia" w:ascii="宋体" w:hAnsi="宋体" w:cs="宋体"/>
                <w:b/>
                <w:color w:val="auto"/>
                <w:szCs w:val="21"/>
                <w:highlight w:val="none"/>
              </w:rPr>
            </w:pPr>
          </w:p>
        </w:tc>
        <w:tc>
          <w:tcPr>
            <w:tcW w:w="1037" w:type="dxa"/>
            <w:noWrap/>
            <w:vAlign w:val="center"/>
          </w:tcPr>
          <w:p w14:paraId="3870F4A3">
            <w:pPr>
              <w:snapToGrid w:val="0"/>
              <w:jc w:val="center"/>
              <w:rPr>
                <w:rFonts w:hint="eastAsia" w:ascii="宋体" w:hAnsi="宋体" w:cs="宋体"/>
                <w:b/>
                <w:bCs/>
                <w:color w:val="auto"/>
                <w:szCs w:val="21"/>
                <w:highlight w:val="none"/>
              </w:rPr>
            </w:pPr>
            <w:r>
              <w:rPr>
                <w:rFonts w:hint="eastAsia" w:ascii="宋体" w:hAnsi="宋体" w:cs="宋体"/>
                <w:b/>
                <w:bCs/>
                <w:color w:val="auto"/>
                <w:szCs w:val="21"/>
                <w:highlight w:val="none"/>
              </w:rPr>
              <w:t>（5）应急方案（满分8分）</w:t>
            </w:r>
          </w:p>
        </w:tc>
        <w:tc>
          <w:tcPr>
            <w:tcW w:w="7141" w:type="dxa"/>
            <w:noWrap/>
            <w:vAlign w:val="center"/>
          </w:tcPr>
          <w:p w14:paraId="24816AD6">
            <w:pPr>
              <w:widowControl/>
              <w:spacing w:line="440" w:lineRule="exact"/>
              <w:ind w:firstLine="422" w:firstLineChars="200"/>
              <w:rPr>
                <w:rFonts w:hint="eastAsia" w:ascii="宋体" w:hAnsi="宋体" w:cs="宋体"/>
                <w:color w:val="auto"/>
                <w:kern w:val="0"/>
                <w:szCs w:val="21"/>
                <w:highlight w:val="none"/>
              </w:rPr>
            </w:pPr>
            <w:r>
              <w:rPr>
                <w:rFonts w:hint="eastAsia" w:ascii="宋体" w:hAnsi="宋体" w:cs="宋体"/>
                <w:b/>
                <w:bCs/>
                <w:color w:val="auto"/>
                <w:kern w:val="0"/>
                <w:szCs w:val="21"/>
                <w:highlight w:val="none"/>
              </w:rPr>
              <w:t>一档（2分）：</w:t>
            </w:r>
            <w:r>
              <w:rPr>
                <w:rFonts w:hint="eastAsia" w:ascii="宋体" w:hAnsi="宋体" w:cs="宋体"/>
                <w:color w:val="auto"/>
                <w:szCs w:val="21"/>
                <w:highlight w:val="none"/>
              </w:rPr>
              <w:t>响应文件中</w:t>
            </w:r>
            <w:r>
              <w:rPr>
                <w:rFonts w:hint="eastAsia" w:ascii="宋体" w:hAnsi="宋体" w:cs="宋体"/>
                <w:color w:val="auto"/>
                <w:highlight w:val="none"/>
              </w:rPr>
              <w:t>的</w:t>
            </w:r>
            <w:r>
              <w:rPr>
                <w:rFonts w:hint="eastAsia" w:ascii="宋体" w:hAnsi="宋体" w:cs="宋体"/>
                <w:color w:val="auto"/>
                <w:szCs w:val="21"/>
                <w:highlight w:val="none"/>
              </w:rPr>
              <w:t>应急预案方案内容有应急组成员、保证供货应急预案、食材质量问题处理预案、仓库火灾应急预案说明。</w:t>
            </w:r>
          </w:p>
          <w:p w14:paraId="29870B4E">
            <w:pPr>
              <w:widowControl/>
              <w:spacing w:line="440" w:lineRule="exact"/>
              <w:ind w:firstLine="422" w:firstLineChars="200"/>
              <w:rPr>
                <w:rFonts w:hint="eastAsia" w:ascii="宋体" w:hAnsi="宋体" w:cs="宋体"/>
                <w:color w:val="auto"/>
                <w:kern w:val="0"/>
                <w:szCs w:val="21"/>
                <w:highlight w:val="none"/>
              </w:rPr>
            </w:pPr>
            <w:r>
              <w:rPr>
                <w:rFonts w:hint="eastAsia" w:ascii="宋体" w:hAnsi="宋体" w:cs="宋体"/>
                <w:b/>
                <w:bCs/>
                <w:color w:val="auto"/>
                <w:kern w:val="0"/>
                <w:szCs w:val="21"/>
                <w:highlight w:val="none"/>
              </w:rPr>
              <w:t>二档（4分）：</w:t>
            </w:r>
            <w:r>
              <w:rPr>
                <w:rFonts w:hint="eastAsia" w:ascii="宋体" w:hAnsi="宋体" w:cs="宋体"/>
                <w:color w:val="auto"/>
                <w:szCs w:val="21"/>
                <w:highlight w:val="none"/>
              </w:rPr>
              <w:t>响应文件中</w:t>
            </w:r>
            <w:r>
              <w:rPr>
                <w:rFonts w:hint="eastAsia" w:ascii="宋体" w:hAnsi="宋体" w:cs="宋体"/>
                <w:color w:val="auto"/>
                <w:highlight w:val="none"/>
              </w:rPr>
              <w:t>的</w:t>
            </w:r>
            <w:r>
              <w:rPr>
                <w:rFonts w:hint="eastAsia" w:ascii="宋体" w:hAnsi="宋体" w:cs="宋体"/>
                <w:color w:val="auto"/>
                <w:szCs w:val="21"/>
                <w:highlight w:val="none"/>
              </w:rPr>
              <w:t>应急预案方案内容有应急组成员、保证供货应急预案、食材质量问题处理预案、仓库火灾应急预案、食材运输应急预案说明。能在</w:t>
            </w:r>
            <w:r>
              <w:rPr>
                <w:rFonts w:hint="eastAsia" w:ascii="宋体" w:hAnsi="宋体" w:cs="宋体"/>
                <w:color w:val="auto"/>
                <w:szCs w:val="21"/>
                <w:highlight w:val="none"/>
                <w:lang w:val="en-US" w:eastAsia="zh-CN"/>
              </w:rPr>
              <w:t>120</w:t>
            </w:r>
            <w:r>
              <w:rPr>
                <w:rFonts w:hint="eastAsia" w:ascii="宋体" w:hAnsi="宋体" w:cs="宋体"/>
                <w:color w:val="auto"/>
                <w:szCs w:val="21"/>
                <w:highlight w:val="none"/>
              </w:rPr>
              <w:t>分钟内到达现场处理紧急事件。问题食材发生紧急事件处理预案内容简洁实用。</w:t>
            </w:r>
          </w:p>
          <w:p w14:paraId="188953D6">
            <w:pPr>
              <w:widowControl/>
              <w:spacing w:line="440" w:lineRule="exact"/>
              <w:ind w:firstLine="422" w:firstLineChars="200"/>
              <w:rPr>
                <w:rFonts w:hint="eastAsia" w:ascii="宋体" w:hAnsi="宋体" w:cs="宋体"/>
                <w:color w:val="auto"/>
                <w:kern w:val="0"/>
                <w:szCs w:val="21"/>
                <w:highlight w:val="none"/>
              </w:rPr>
            </w:pPr>
            <w:r>
              <w:rPr>
                <w:rFonts w:hint="eastAsia" w:ascii="宋体" w:hAnsi="宋体" w:cs="宋体"/>
                <w:b/>
                <w:bCs/>
                <w:color w:val="auto"/>
                <w:kern w:val="0"/>
                <w:szCs w:val="21"/>
                <w:highlight w:val="none"/>
              </w:rPr>
              <w:t>三档（6分）：</w:t>
            </w:r>
            <w:r>
              <w:rPr>
                <w:rFonts w:hint="eastAsia" w:ascii="宋体" w:hAnsi="宋体" w:cs="宋体"/>
                <w:color w:val="auto"/>
                <w:szCs w:val="21"/>
                <w:highlight w:val="none"/>
              </w:rPr>
              <w:t>响应文件中</w:t>
            </w:r>
            <w:r>
              <w:rPr>
                <w:rFonts w:hint="eastAsia" w:ascii="宋体" w:hAnsi="宋体" w:cs="宋体"/>
                <w:color w:val="auto"/>
                <w:highlight w:val="none"/>
              </w:rPr>
              <w:t>的</w:t>
            </w:r>
            <w:r>
              <w:rPr>
                <w:rFonts w:hint="eastAsia" w:ascii="宋体" w:hAnsi="宋体" w:cs="宋体"/>
                <w:color w:val="auto"/>
                <w:szCs w:val="21"/>
                <w:highlight w:val="none"/>
              </w:rPr>
              <w:t>应急预案方案内容有应急组成员、保证供货应急预案、食材质量问题处理预案、仓库火灾应急预案、食材运输应急预案、供货响应应急预案说明。对配送及应急处理的响应时间不超过10分钟，能在</w:t>
            </w:r>
            <w:r>
              <w:rPr>
                <w:rFonts w:hint="eastAsia" w:ascii="宋体" w:hAnsi="宋体" w:cs="宋体"/>
                <w:color w:val="auto"/>
                <w:szCs w:val="21"/>
                <w:highlight w:val="none"/>
                <w:lang w:val="en-US" w:eastAsia="zh-CN"/>
              </w:rPr>
              <w:t>90</w:t>
            </w:r>
            <w:r>
              <w:rPr>
                <w:rFonts w:hint="eastAsia" w:ascii="宋体" w:hAnsi="宋体" w:cs="宋体"/>
                <w:color w:val="auto"/>
                <w:szCs w:val="21"/>
                <w:highlight w:val="none"/>
              </w:rPr>
              <w:t>分钟内到达现场处理紧急事件，问题食材发生紧急事件处理预案内容具体，具有一定针对性；</w:t>
            </w:r>
          </w:p>
          <w:p w14:paraId="4EC74F7D">
            <w:pPr>
              <w:wordWrap w:val="0"/>
              <w:spacing w:line="460" w:lineRule="exact"/>
              <w:ind w:firstLine="422" w:firstLineChars="200"/>
              <w:jc w:val="left"/>
              <w:rPr>
                <w:rFonts w:hint="eastAsia" w:ascii="宋体" w:hAnsi="宋体" w:cs="宋体"/>
                <w:color w:val="auto"/>
                <w:szCs w:val="21"/>
                <w:highlight w:val="none"/>
              </w:rPr>
            </w:pPr>
            <w:r>
              <w:rPr>
                <w:rFonts w:hint="eastAsia" w:ascii="宋体" w:hAnsi="宋体" w:cs="宋体"/>
                <w:b/>
                <w:bCs/>
                <w:color w:val="auto"/>
                <w:kern w:val="0"/>
                <w:szCs w:val="21"/>
                <w:highlight w:val="none"/>
              </w:rPr>
              <w:t>四档（8分）：</w:t>
            </w:r>
            <w:r>
              <w:rPr>
                <w:rFonts w:hint="eastAsia" w:ascii="宋体" w:hAnsi="宋体" w:cs="宋体"/>
                <w:color w:val="auto"/>
                <w:szCs w:val="21"/>
                <w:highlight w:val="none"/>
              </w:rPr>
              <w:t>响应文件中</w:t>
            </w:r>
            <w:r>
              <w:rPr>
                <w:rFonts w:hint="eastAsia" w:ascii="宋体" w:hAnsi="宋体" w:cs="宋体"/>
                <w:color w:val="auto"/>
                <w:highlight w:val="none"/>
              </w:rPr>
              <w:t>的</w:t>
            </w:r>
            <w:r>
              <w:rPr>
                <w:rFonts w:hint="eastAsia" w:ascii="宋体" w:hAnsi="宋体" w:cs="宋体"/>
                <w:color w:val="auto"/>
                <w:szCs w:val="21"/>
                <w:highlight w:val="none"/>
              </w:rPr>
              <w:t>应急预案方案内容有详细的应急组成员、保证供货应急预案、食材质量问题处理预案、仓库火灾应急预案、食材运输应急预案、供货响应应急预案、食材中毒应急预案、不可预见性突发事件应急预案说明，方案陈述</w:t>
            </w:r>
            <w:r>
              <w:rPr>
                <w:rFonts w:hint="eastAsia" w:ascii="宋体" w:hAnsi="宋体" w:cs="宋体"/>
                <w:color w:val="auto"/>
                <w:szCs w:val="21"/>
                <w:highlight w:val="none"/>
                <w:lang w:val="en-US" w:eastAsia="zh-CN"/>
              </w:rPr>
              <w:t>详细</w:t>
            </w:r>
            <w:r>
              <w:rPr>
                <w:rFonts w:hint="eastAsia" w:ascii="宋体" w:hAnsi="宋体" w:cs="宋体"/>
                <w:color w:val="auto"/>
                <w:szCs w:val="21"/>
                <w:highlight w:val="none"/>
              </w:rPr>
              <w:t>。对配送和应急处理的响应迅速，不超过5分钟。处理紧急事件时，能在</w:t>
            </w:r>
            <w:r>
              <w:rPr>
                <w:rFonts w:hint="eastAsia" w:ascii="宋体" w:hAnsi="宋体" w:cs="宋体"/>
                <w:color w:val="auto"/>
                <w:szCs w:val="21"/>
                <w:highlight w:val="none"/>
                <w:lang w:val="en-US" w:eastAsia="zh-CN"/>
              </w:rPr>
              <w:t>60</w:t>
            </w:r>
            <w:r>
              <w:rPr>
                <w:rFonts w:hint="eastAsia" w:ascii="宋体" w:hAnsi="宋体" w:cs="宋体"/>
                <w:color w:val="auto"/>
                <w:szCs w:val="21"/>
                <w:highlight w:val="none"/>
              </w:rPr>
              <w:t>分钟内到达现场。针对问题食材发生的紧急事件，制定了具体且有针对性的处理预案。</w:t>
            </w:r>
          </w:p>
          <w:p w14:paraId="0F6CAC2C">
            <w:pPr>
              <w:widowControl/>
              <w:spacing w:line="44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rPr>
              <w:t>注：未提供或未达到一档要求的本项不得分。</w:t>
            </w:r>
          </w:p>
        </w:tc>
      </w:tr>
      <w:tr w14:paraId="65513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38" w:type="dxa"/>
            <w:vMerge w:val="restart"/>
            <w:noWrap/>
            <w:vAlign w:val="center"/>
          </w:tcPr>
          <w:p w14:paraId="49602E7C">
            <w:pPr>
              <w:jc w:val="center"/>
              <w:rPr>
                <w:rFonts w:hint="eastAsia" w:ascii="宋体" w:hAnsi="宋体" w:cs="宋体"/>
                <w:b/>
                <w:color w:val="auto"/>
                <w:szCs w:val="21"/>
                <w:highlight w:val="none"/>
              </w:rPr>
            </w:pPr>
            <w:r>
              <w:rPr>
                <w:rFonts w:hint="eastAsia" w:ascii="宋体" w:hAnsi="宋体" w:cs="宋体"/>
                <w:b/>
                <w:color w:val="auto"/>
                <w:szCs w:val="21"/>
                <w:highlight w:val="none"/>
              </w:rPr>
              <w:t>3</w:t>
            </w:r>
          </w:p>
        </w:tc>
        <w:tc>
          <w:tcPr>
            <w:tcW w:w="1172" w:type="dxa"/>
            <w:vMerge w:val="restart"/>
            <w:noWrap/>
            <w:vAlign w:val="center"/>
          </w:tcPr>
          <w:p w14:paraId="0CDA81D2">
            <w:pPr>
              <w:jc w:val="center"/>
              <w:rPr>
                <w:rFonts w:hint="eastAsia" w:ascii="宋体" w:hAnsi="宋体" w:cs="宋体"/>
                <w:b/>
                <w:color w:val="auto"/>
                <w:szCs w:val="21"/>
                <w:highlight w:val="none"/>
              </w:rPr>
            </w:pPr>
            <w:r>
              <w:rPr>
                <w:rFonts w:hint="eastAsia" w:ascii="宋体" w:hAnsi="宋体" w:cs="宋体"/>
                <w:b/>
                <w:color w:val="auto"/>
                <w:szCs w:val="21"/>
                <w:highlight w:val="none"/>
              </w:rPr>
              <w:t>商务分（满分</w:t>
            </w:r>
            <w:r>
              <w:rPr>
                <w:rFonts w:hint="eastAsia" w:ascii="宋体" w:hAnsi="宋体" w:cs="宋体"/>
                <w:b/>
                <w:color w:val="auto"/>
                <w:szCs w:val="21"/>
                <w:highlight w:val="none"/>
                <w:lang w:val="en-US" w:eastAsia="zh-CN"/>
              </w:rPr>
              <w:t>14</w:t>
            </w:r>
            <w:r>
              <w:rPr>
                <w:rFonts w:hint="eastAsia" w:ascii="宋体" w:hAnsi="宋体" w:cs="宋体"/>
                <w:b/>
                <w:color w:val="auto"/>
                <w:szCs w:val="21"/>
                <w:highlight w:val="none"/>
              </w:rPr>
              <w:t>分）</w:t>
            </w:r>
          </w:p>
        </w:tc>
        <w:tc>
          <w:tcPr>
            <w:tcW w:w="1037" w:type="dxa"/>
            <w:noWrap/>
            <w:vAlign w:val="center"/>
          </w:tcPr>
          <w:p w14:paraId="7BBF0B54">
            <w:pPr>
              <w:snapToGrid w:val="0"/>
              <w:jc w:val="center"/>
              <w:rPr>
                <w:rFonts w:hint="eastAsia" w:ascii="宋体" w:hAnsi="宋体" w:cs="宋体"/>
                <w:bCs/>
                <w:color w:val="auto"/>
                <w:szCs w:val="21"/>
                <w:highlight w:val="none"/>
              </w:rPr>
            </w:pPr>
            <w:r>
              <w:rPr>
                <w:rFonts w:hint="eastAsia" w:ascii="宋体" w:hAnsi="宋体" w:cs="宋体"/>
                <w:b/>
                <w:bCs/>
                <w:color w:val="auto"/>
                <w:szCs w:val="21"/>
                <w:highlight w:val="none"/>
              </w:rPr>
              <w:t>（1）配送能力（满分</w:t>
            </w:r>
            <w:r>
              <w:rPr>
                <w:rFonts w:hint="eastAsia" w:ascii="宋体" w:hAnsi="宋体" w:cs="宋体"/>
                <w:b/>
                <w:bCs/>
                <w:color w:val="auto"/>
                <w:szCs w:val="21"/>
                <w:highlight w:val="none"/>
                <w:lang w:val="en-US" w:eastAsia="zh-CN"/>
              </w:rPr>
              <w:t>4</w:t>
            </w:r>
            <w:r>
              <w:rPr>
                <w:rFonts w:hint="eastAsia" w:ascii="宋体" w:hAnsi="宋体" w:cs="宋体"/>
                <w:b/>
                <w:bCs/>
                <w:color w:val="auto"/>
                <w:szCs w:val="21"/>
                <w:highlight w:val="none"/>
              </w:rPr>
              <w:t>分）</w:t>
            </w:r>
          </w:p>
        </w:tc>
        <w:tc>
          <w:tcPr>
            <w:tcW w:w="7141" w:type="dxa"/>
            <w:noWrap/>
            <w:vAlign w:val="top"/>
          </w:tcPr>
          <w:p w14:paraId="6A026F97">
            <w:pPr>
              <w:wordWrap w:val="0"/>
              <w:spacing w:line="460" w:lineRule="exact"/>
              <w:ind w:firstLine="420" w:firstLineChars="200"/>
              <w:jc w:val="left"/>
              <w:rPr>
                <w:rFonts w:hint="eastAsia" w:ascii="宋体" w:hAnsi="宋体" w:cs="宋体"/>
                <w:color w:val="auto"/>
                <w:kern w:val="1"/>
                <w:szCs w:val="21"/>
                <w:highlight w:val="none"/>
              </w:rPr>
            </w:pPr>
            <w:r>
              <w:rPr>
                <w:rFonts w:hint="eastAsia" w:ascii="宋体" w:hAnsi="宋体" w:cs="宋体"/>
                <w:color w:val="auto"/>
                <w:kern w:val="1"/>
                <w:szCs w:val="21"/>
                <w:highlight w:val="none"/>
              </w:rPr>
              <w:t>在满足至少一辆专业配送车的基础上，投标人每增加1辆自有或租赁冷藏厢式货车得</w:t>
            </w:r>
            <w:r>
              <w:rPr>
                <w:rFonts w:hint="eastAsia" w:ascii="宋体" w:hAnsi="宋体" w:cs="宋体"/>
                <w:color w:val="auto"/>
                <w:kern w:val="1"/>
                <w:szCs w:val="21"/>
                <w:highlight w:val="none"/>
                <w:lang w:val="en-US" w:eastAsia="zh-CN"/>
              </w:rPr>
              <w:t>2</w:t>
            </w:r>
            <w:r>
              <w:rPr>
                <w:rFonts w:hint="eastAsia" w:ascii="宋体" w:hAnsi="宋体" w:cs="宋体"/>
                <w:color w:val="auto"/>
                <w:kern w:val="1"/>
                <w:szCs w:val="21"/>
                <w:highlight w:val="none"/>
              </w:rPr>
              <w:t>分，每增加1辆普通货车得</w:t>
            </w:r>
            <w:r>
              <w:rPr>
                <w:rFonts w:hint="eastAsia" w:ascii="宋体" w:hAnsi="宋体" w:cs="宋体"/>
                <w:color w:val="auto"/>
                <w:kern w:val="1"/>
                <w:szCs w:val="21"/>
                <w:highlight w:val="none"/>
                <w:lang w:val="en-US" w:eastAsia="zh-CN"/>
              </w:rPr>
              <w:t>1</w:t>
            </w:r>
            <w:r>
              <w:rPr>
                <w:rFonts w:hint="eastAsia" w:ascii="宋体" w:hAnsi="宋体" w:cs="宋体"/>
                <w:color w:val="auto"/>
                <w:kern w:val="1"/>
                <w:szCs w:val="21"/>
                <w:highlight w:val="none"/>
              </w:rPr>
              <w:t>分。此项满分</w:t>
            </w:r>
            <w:r>
              <w:rPr>
                <w:rFonts w:hint="eastAsia" w:ascii="宋体" w:hAnsi="宋体" w:cs="宋体"/>
                <w:color w:val="auto"/>
                <w:kern w:val="1"/>
                <w:szCs w:val="21"/>
                <w:highlight w:val="none"/>
                <w:lang w:val="en-US" w:eastAsia="zh-CN"/>
              </w:rPr>
              <w:t>4</w:t>
            </w:r>
            <w:r>
              <w:rPr>
                <w:rFonts w:hint="eastAsia" w:ascii="宋体" w:hAnsi="宋体" w:cs="宋体"/>
                <w:color w:val="auto"/>
                <w:kern w:val="1"/>
                <w:szCs w:val="21"/>
                <w:highlight w:val="none"/>
              </w:rPr>
              <w:t>分。</w:t>
            </w:r>
          </w:p>
          <w:p w14:paraId="52F14057">
            <w:pPr>
              <w:wordWrap w:val="0"/>
              <w:spacing w:line="460" w:lineRule="exact"/>
              <w:ind w:firstLine="420" w:firstLineChars="200"/>
              <w:jc w:val="left"/>
              <w:rPr>
                <w:rFonts w:hint="eastAsia" w:ascii="宋体" w:hAnsi="宋体" w:cs="宋体"/>
                <w:color w:val="auto"/>
                <w:kern w:val="1"/>
                <w:szCs w:val="21"/>
                <w:highlight w:val="none"/>
              </w:rPr>
            </w:pPr>
            <w:r>
              <w:rPr>
                <w:rFonts w:hint="eastAsia" w:ascii="宋体" w:hAnsi="宋体" w:cs="宋体"/>
                <w:color w:val="auto"/>
                <w:kern w:val="1"/>
                <w:szCs w:val="21"/>
                <w:highlight w:val="none"/>
              </w:rPr>
              <w:t>注：【自有车辆必须提供车辆行驶证或购买车辆发票（车辆所有人为法定代表人名字或</w:t>
            </w:r>
            <w:r>
              <w:rPr>
                <w:rFonts w:hint="eastAsia" w:ascii="宋体" w:hAnsi="宋体" w:cs="宋体"/>
                <w:color w:val="auto"/>
                <w:kern w:val="1"/>
                <w:szCs w:val="21"/>
                <w:highlight w:val="none"/>
                <w:lang w:val="en-US" w:eastAsia="zh-CN"/>
              </w:rPr>
              <w:t>供应商</w:t>
            </w:r>
            <w:r>
              <w:rPr>
                <w:rFonts w:hint="eastAsia" w:ascii="宋体" w:hAnsi="宋体" w:cs="宋体"/>
                <w:color w:val="auto"/>
                <w:kern w:val="1"/>
                <w:szCs w:val="21"/>
                <w:highlight w:val="none"/>
              </w:rPr>
              <w:t>名字）复印件，并提供车辆正面、侧面、后面实拍照片且清晰可辨等证明文件】；【租赁车辆必须提供行驶证或购买发票（所有人为出租方）及租赁合同复印件（租车时必须提供，租赁期须包含本项目服务期），并提供车辆正面、侧面、后面车辆实拍照片且清晰可辨等证明文件】，所提供的复印件须加盖投标人公章，未按要求提供相关材料或扫描不清晰导致无法识别的不计得分。</w:t>
            </w:r>
          </w:p>
          <w:p w14:paraId="4378CB74">
            <w:pPr>
              <w:wordWrap w:val="0"/>
              <w:spacing w:line="460" w:lineRule="exact"/>
              <w:ind w:firstLine="420" w:firstLineChars="200"/>
              <w:jc w:val="left"/>
              <w:rPr>
                <w:rFonts w:hint="eastAsia" w:ascii="宋体" w:hAnsi="宋体" w:cs="宋体"/>
                <w:color w:val="auto"/>
                <w:szCs w:val="21"/>
                <w:highlight w:val="none"/>
              </w:rPr>
            </w:pPr>
            <w:r>
              <w:rPr>
                <w:rFonts w:hint="eastAsia" w:ascii="宋体" w:hAnsi="宋体" w:cs="宋体"/>
                <w:color w:val="auto"/>
                <w:kern w:val="1"/>
                <w:szCs w:val="21"/>
                <w:highlight w:val="none"/>
                <w:lang w:val="en-US" w:eastAsia="zh-CN"/>
              </w:rPr>
              <w:t>成交</w:t>
            </w:r>
            <w:r>
              <w:rPr>
                <w:rFonts w:hint="eastAsia" w:ascii="宋体" w:hAnsi="宋体" w:cs="宋体"/>
                <w:color w:val="auto"/>
                <w:kern w:val="1"/>
                <w:szCs w:val="21"/>
                <w:highlight w:val="none"/>
              </w:rPr>
              <w:t>后核查行驶证、发票及租赁合同原件，如发现虚假应标则取消</w:t>
            </w:r>
            <w:r>
              <w:rPr>
                <w:rFonts w:hint="eastAsia" w:ascii="宋体" w:hAnsi="宋体" w:cs="宋体"/>
                <w:color w:val="auto"/>
                <w:kern w:val="1"/>
                <w:szCs w:val="21"/>
                <w:highlight w:val="none"/>
                <w:lang w:val="en-US" w:eastAsia="zh-CN"/>
              </w:rPr>
              <w:t>成交</w:t>
            </w:r>
            <w:r>
              <w:rPr>
                <w:rFonts w:hint="eastAsia" w:ascii="宋体" w:hAnsi="宋体" w:cs="宋体"/>
                <w:color w:val="auto"/>
                <w:kern w:val="1"/>
                <w:szCs w:val="21"/>
                <w:highlight w:val="none"/>
              </w:rPr>
              <w:t>资格，由下一</w:t>
            </w:r>
            <w:r>
              <w:rPr>
                <w:rFonts w:hint="eastAsia" w:ascii="宋体" w:hAnsi="宋体" w:cs="宋体"/>
                <w:color w:val="auto"/>
                <w:kern w:val="1"/>
                <w:szCs w:val="21"/>
                <w:highlight w:val="none"/>
                <w:lang w:val="en-US" w:eastAsia="zh-CN"/>
              </w:rPr>
              <w:t>成交</w:t>
            </w:r>
            <w:r>
              <w:rPr>
                <w:rFonts w:hint="eastAsia" w:ascii="宋体" w:hAnsi="宋体" w:cs="宋体"/>
                <w:color w:val="auto"/>
                <w:kern w:val="1"/>
                <w:szCs w:val="21"/>
                <w:highlight w:val="none"/>
              </w:rPr>
              <w:t>候选人递补。</w:t>
            </w:r>
          </w:p>
        </w:tc>
      </w:tr>
      <w:tr w14:paraId="5B307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8" w:hRule="atLeast"/>
          <w:jc w:val="center"/>
        </w:trPr>
        <w:tc>
          <w:tcPr>
            <w:tcW w:w="638" w:type="dxa"/>
            <w:vMerge w:val="continue"/>
            <w:noWrap/>
            <w:vAlign w:val="center"/>
          </w:tcPr>
          <w:p w14:paraId="0E14435E">
            <w:pPr>
              <w:jc w:val="center"/>
              <w:rPr>
                <w:rFonts w:hint="eastAsia" w:ascii="宋体" w:hAnsi="宋体" w:cs="宋体"/>
                <w:b/>
                <w:color w:val="auto"/>
                <w:szCs w:val="21"/>
                <w:highlight w:val="none"/>
              </w:rPr>
            </w:pPr>
          </w:p>
        </w:tc>
        <w:tc>
          <w:tcPr>
            <w:tcW w:w="1172" w:type="dxa"/>
            <w:vMerge w:val="continue"/>
            <w:noWrap/>
            <w:vAlign w:val="center"/>
          </w:tcPr>
          <w:p w14:paraId="7E08BDA8">
            <w:pPr>
              <w:jc w:val="center"/>
              <w:rPr>
                <w:rFonts w:hint="eastAsia" w:ascii="宋体" w:hAnsi="宋体" w:cs="宋体"/>
                <w:b/>
                <w:color w:val="auto"/>
                <w:szCs w:val="21"/>
                <w:highlight w:val="none"/>
              </w:rPr>
            </w:pPr>
          </w:p>
        </w:tc>
        <w:tc>
          <w:tcPr>
            <w:tcW w:w="1037" w:type="dxa"/>
            <w:noWrap/>
            <w:vAlign w:val="center"/>
          </w:tcPr>
          <w:p w14:paraId="43BE2A15">
            <w:pPr>
              <w:snapToGrid w:val="0"/>
              <w:jc w:val="center"/>
              <w:rPr>
                <w:rFonts w:hint="eastAsia" w:ascii="宋体" w:hAnsi="宋体" w:cs="宋体"/>
                <w:bCs/>
                <w:color w:val="auto"/>
                <w:szCs w:val="21"/>
                <w:highlight w:val="none"/>
              </w:rPr>
            </w:pPr>
            <w:r>
              <w:rPr>
                <w:rFonts w:hint="eastAsia" w:ascii="宋体" w:hAnsi="宋体" w:cs="宋体"/>
                <w:b/>
                <w:bCs/>
                <w:color w:val="auto"/>
                <w:szCs w:val="21"/>
                <w:highlight w:val="none"/>
              </w:rPr>
              <w:t>（2）拟投入人员（满分</w:t>
            </w:r>
            <w:r>
              <w:rPr>
                <w:rFonts w:hint="eastAsia" w:ascii="宋体" w:hAnsi="宋体" w:cs="宋体"/>
                <w:b/>
                <w:bCs/>
                <w:color w:val="auto"/>
                <w:szCs w:val="21"/>
                <w:highlight w:val="none"/>
                <w:lang w:val="en-US" w:eastAsia="zh-CN"/>
              </w:rPr>
              <w:t>4</w:t>
            </w:r>
            <w:r>
              <w:rPr>
                <w:rFonts w:hint="eastAsia" w:ascii="宋体" w:hAnsi="宋体" w:cs="宋体"/>
                <w:b/>
                <w:bCs/>
                <w:color w:val="auto"/>
                <w:szCs w:val="21"/>
                <w:highlight w:val="none"/>
              </w:rPr>
              <w:t>分）</w:t>
            </w:r>
          </w:p>
        </w:tc>
        <w:tc>
          <w:tcPr>
            <w:tcW w:w="7141" w:type="dxa"/>
            <w:noWrap/>
            <w:vAlign w:val="top"/>
          </w:tcPr>
          <w:p w14:paraId="454256E5">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供应商拟投入本项目的项目实施人员</w:t>
            </w:r>
            <w:r>
              <w:rPr>
                <w:rFonts w:hint="eastAsia" w:ascii="宋体" w:hAnsi="宋体" w:cs="宋体"/>
                <w:color w:val="auto"/>
                <w:kern w:val="1"/>
                <w:szCs w:val="21"/>
                <w:highlight w:val="none"/>
              </w:rPr>
              <w:t>至少</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人</w:t>
            </w:r>
            <w:r>
              <w:rPr>
                <w:rFonts w:hint="eastAsia" w:ascii="宋体" w:hAnsi="宋体" w:cs="宋体"/>
                <w:color w:val="auto"/>
                <w:kern w:val="1"/>
                <w:szCs w:val="21"/>
                <w:highlight w:val="none"/>
              </w:rPr>
              <w:t>及以上</w:t>
            </w:r>
            <w:r>
              <w:rPr>
                <w:rFonts w:hint="eastAsia" w:ascii="宋体" w:hAnsi="宋体" w:cs="宋体"/>
                <w:color w:val="auto"/>
                <w:szCs w:val="21"/>
                <w:highlight w:val="none"/>
              </w:rPr>
              <w:t>（含配送司机），</w:t>
            </w:r>
            <w:r>
              <w:rPr>
                <w:rFonts w:hint="eastAsia" w:ascii="宋体" w:hAnsi="宋体" w:cs="宋体"/>
                <w:color w:val="auto"/>
                <w:kern w:val="1"/>
                <w:szCs w:val="21"/>
                <w:highlight w:val="none"/>
              </w:rPr>
              <w:t>投入</w:t>
            </w:r>
            <w:r>
              <w:rPr>
                <w:rFonts w:hint="eastAsia" w:ascii="宋体" w:hAnsi="宋体" w:cs="宋体"/>
                <w:color w:val="auto"/>
                <w:kern w:val="1"/>
                <w:szCs w:val="21"/>
                <w:highlight w:val="none"/>
                <w:lang w:val="en-US" w:eastAsia="zh-CN"/>
              </w:rPr>
              <w:t>3</w:t>
            </w:r>
            <w:r>
              <w:rPr>
                <w:rFonts w:hint="eastAsia" w:ascii="宋体" w:hAnsi="宋体" w:cs="宋体"/>
                <w:color w:val="auto"/>
                <w:kern w:val="1"/>
                <w:szCs w:val="21"/>
                <w:highlight w:val="none"/>
              </w:rPr>
              <w:t>人的</w:t>
            </w:r>
            <w:r>
              <w:rPr>
                <w:rFonts w:ascii="宋体" w:hAnsi="宋体" w:cs="宋体"/>
                <w:color w:val="auto"/>
                <w:kern w:val="1"/>
                <w:szCs w:val="21"/>
                <w:highlight w:val="none"/>
              </w:rPr>
              <w:t>得</w:t>
            </w:r>
            <w:r>
              <w:rPr>
                <w:rFonts w:hint="eastAsia" w:ascii="宋体" w:hAnsi="宋体" w:cs="宋体"/>
                <w:color w:val="auto"/>
                <w:kern w:val="1"/>
                <w:szCs w:val="21"/>
                <w:highlight w:val="none"/>
                <w:lang w:val="en-US" w:eastAsia="zh-CN"/>
              </w:rPr>
              <w:t>1</w:t>
            </w:r>
            <w:r>
              <w:rPr>
                <w:rFonts w:ascii="宋体" w:hAnsi="宋体" w:cs="宋体"/>
                <w:color w:val="auto"/>
                <w:kern w:val="1"/>
                <w:szCs w:val="21"/>
                <w:highlight w:val="none"/>
              </w:rPr>
              <w:t>分，</w:t>
            </w:r>
            <w:r>
              <w:rPr>
                <w:rFonts w:hint="eastAsia" w:ascii="宋体" w:hAnsi="宋体" w:cs="宋体"/>
                <w:color w:val="auto"/>
                <w:szCs w:val="21"/>
                <w:highlight w:val="none"/>
              </w:rPr>
              <w:t>每增加1人得</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分，本项满分</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分。</w:t>
            </w:r>
          </w:p>
          <w:p w14:paraId="35CF2832">
            <w:pPr>
              <w:spacing w:line="5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注：响应文件须附供应商与拟投入人员身份证扫描件、有效的健康证扫描件；拟投入配送司机有效的健康证扫描件、身份证扫描件、驾驶证扫描件及劳动合同扫描件（或其他证明其为供应商单位员工证明材料）</w:t>
            </w:r>
            <w:r>
              <w:rPr>
                <w:rFonts w:hint="eastAsia" w:ascii="宋体" w:hAnsi="宋体" w:cs="宋体"/>
                <w:color w:val="auto"/>
                <w:kern w:val="1"/>
                <w:szCs w:val="21"/>
                <w:highlight w:val="none"/>
              </w:rPr>
              <w:t>。</w:t>
            </w:r>
          </w:p>
        </w:tc>
      </w:tr>
      <w:tr w14:paraId="6D5B1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9" w:hRule="atLeast"/>
          <w:jc w:val="center"/>
        </w:trPr>
        <w:tc>
          <w:tcPr>
            <w:tcW w:w="638" w:type="dxa"/>
            <w:vMerge w:val="continue"/>
            <w:noWrap/>
            <w:vAlign w:val="center"/>
          </w:tcPr>
          <w:p w14:paraId="2B5E2909">
            <w:pPr>
              <w:jc w:val="center"/>
              <w:rPr>
                <w:rFonts w:hint="eastAsia" w:ascii="宋体" w:hAnsi="宋体" w:cs="宋体"/>
                <w:b/>
                <w:color w:val="auto"/>
                <w:szCs w:val="21"/>
                <w:highlight w:val="none"/>
              </w:rPr>
            </w:pPr>
          </w:p>
        </w:tc>
        <w:tc>
          <w:tcPr>
            <w:tcW w:w="1172" w:type="dxa"/>
            <w:vMerge w:val="continue"/>
            <w:noWrap/>
            <w:vAlign w:val="center"/>
          </w:tcPr>
          <w:p w14:paraId="2E263D6A">
            <w:pPr>
              <w:jc w:val="center"/>
              <w:rPr>
                <w:rFonts w:hint="eastAsia" w:ascii="宋体" w:hAnsi="宋体" w:cs="宋体"/>
                <w:b/>
                <w:color w:val="auto"/>
                <w:szCs w:val="21"/>
                <w:highlight w:val="none"/>
              </w:rPr>
            </w:pPr>
          </w:p>
        </w:tc>
        <w:tc>
          <w:tcPr>
            <w:tcW w:w="1037" w:type="dxa"/>
            <w:noWrap/>
            <w:vAlign w:val="center"/>
          </w:tcPr>
          <w:p w14:paraId="0C6698B8">
            <w:pPr>
              <w:snapToGrid w:val="0"/>
              <w:jc w:val="center"/>
              <w:rPr>
                <w:rFonts w:hint="eastAsia" w:ascii="宋体" w:hAnsi="宋体" w:cs="宋体"/>
                <w:bCs/>
                <w:color w:val="auto"/>
                <w:szCs w:val="21"/>
                <w:highlight w:val="none"/>
              </w:rPr>
            </w:pPr>
            <w:r>
              <w:rPr>
                <w:rFonts w:hint="eastAsia" w:ascii="宋体" w:hAnsi="宋体" w:cs="宋体"/>
                <w:b/>
                <w:bCs/>
                <w:color w:val="auto"/>
                <w:szCs w:val="21"/>
                <w:highlight w:val="none"/>
              </w:rPr>
              <w:t>（</w:t>
            </w:r>
            <w:r>
              <w:rPr>
                <w:rFonts w:hint="eastAsia" w:ascii="宋体" w:hAnsi="宋体" w:cs="宋体"/>
                <w:b/>
                <w:bCs/>
                <w:color w:val="auto"/>
                <w:szCs w:val="21"/>
                <w:highlight w:val="none"/>
                <w:lang w:val="en-US" w:eastAsia="zh-CN"/>
              </w:rPr>
              <w:t>3</w:t>
            </w:r>
            <w:r>
              <w:rPr>
                <w:rFonts w:hint="eastAsia" w:ascii="宋体" w:hAnsi="宋体" w:cs="宋体"/>
                <w:b/>
                <w:bCs/>
                <w:color w:val="auto"/>
                <w:szCs w:val="21"/>
                <w:highlight w:val="none"/>
              </w:rPr>
              <w:t>）供应商承诺或购买《食品安全责任保险》（有效期内）（满分</w:t>
            </w:r>
            <w:r>
              <w:rPr>
                <w:rFonts w:hint="eastAsia" w:ascii="宋体" w:hAnsi="宋体" w:cs="宋体"/>
                <w:b/>
                <w:bCs/>
                <w:color w:val="auto"/>
                <w:szCs w:val="21"/>
                <w:highlight w:val="none"/>
                <w:lang w:val="en-US" w:eastAsia="zh-CN"/>
              </w:rPr>
              <w:t>2</w:t>
            </w:r>
            <w:r>
              <w:rPr>
                <w:rFonts w:hint="eastAsia" w:ascii="宋体" w:hAnsi="宋体" w:cs="宋体"/>
                <w:b/>
                <w:bCs/>
                <w:color w:val="auto"/>
                <w:szCs w:val="21"/>
                <w:highlight w:val="none"/>
              </w:rPr>
              <w:t>分）</w:t>
            </w:r>
          </w:p>
        </w:tc>
        <w:tc>
          <w:tcPr>
            <w:tcW w:w="7141" w:type="dxa"/>
            <w:noWrap/>
            <w:vAlign w:val="top"/>
          </w:tcPr>
          <w:p w14:paraId="50440846">
            <w:pPr>
              <w:spacing w:line="460" w:lineRule="exact"/>
              <w:jc w:val="left"/>
              <w:rPr>
                <w:rFonts w:hint="eastAsia" w:ascii="宋体" w:hAnsi="宋体" w:cs="宋体"/>
                <w:color w:val="auto"/>
                <w:kern w:val="1"/>
                <w:szCs w:val="21"/>
                <w:highlight w:val="none"/>
              </w:rPr>
            </w:pPr>
            <w:r>
              <w:rPr>
                <w:rFonts w:hint="eastAsia" w:ascii="宋体" w:hAnsi="宋体" w:cs="宋体"/>
                <w:color w:val="auto"/>
                <w:kern w:val="1"/>
                <w:szCs w:val="21"/>
                <w:highlight w:val="none"/>
                <w:lang w:val="en-US" w:eastAsia="zh-CN"/>
              </w:rPr>
              <w:t>1、</w:t>
            </w:r>
            <w:r>
              <w:rPr>
                <w:rFonts w:hint="eastAsia" w:ascii="宋体" w:hAnsi="宋体" w:cs="宋体"/>
                <w:color w:val="auto"/>
                <w:kern w:val="1"/>
                <w:szCs w:val="21"/>
                <w:highlight w:val="none"/>
              </w:rPr>
              <w:t>供应商承诺在成交后购买《食品安全责任保险》的得</w:t>
            </w:r>
            <w:r>
              <w:rPr>
                <w:rFonts w:hint="eastAsia" w:ascii="宋体" w:hAnsi="宋体" w:cs="宋体"/>
                <w:color w:val="auto"/>
                <w:kern w:val="1"/>
                <w:szCs w:val="21"/>
                <w:highlight w:val="none"/>
                <w:lang w:val="en-US" w:eastAsia="zh-CN"/>
              </w:rPr>
              <w:t>2</w:t>
            </w:r>
            <w:r>
              <w:rPr>
                <w:rFonts w:hint="eastAsia" w:ascii="宋体" w:hAnsi="宋体" w:cs="宋体"/>
                <w:color w:val="auto"/>
                <w:kern w:val="1"/>
                <w:szCs w:val="21"/>
                <w:highlight w:val="none"/>
              </w:rPr>
              <w:t>分。（响应文件中提供相应承诺函）</w:t>
            </w:r>
          </w:p>
          <w:p w14:paraId="3B16E2EA">
            <w:pPr>
              <w:spacing w:line="460" w:lineRule="exact"/>
              <w:jc w:val="left"/>
              <w:rPr>
                <w:rFonts w:hint="default" w:ascii="宋体" w:hAnsi="宋体" w:eastAsia="宋体" w:cs="宋体"/>
                <w:color w:val="auto"/>
                <w:kern w:val="1"/>
                <w:szCs w:val="21"/>
                <w:highlight w:val="none"/>
                <w:lang w:val="en-US" w:eastAsia="zh-CN"/>
              </w:rPr>
            </w:pPr>
          </w:p>
          <w:p w14:paraId="0A6112DB">
            <w:pPr>
              <w:spacing w:line="460" w:lineRule="exact"/>
              <w:ind w:firstLine="420"/>
              <w:jc w:val="left"/>
              <w:rPr>
                <w:rFonts w:hint="eastAsia" w:ascii="宋体" w:hAnsi="宋体" w:cs="宋体"/>
                <w:color w:val="auto"/>
                <w:highlight w:val="none"/>
              </w:rPr>
            </w:pPr>
            <w:r>
              <w:rPr>
                <w:rFonts w:hint="eastAsia" w:ascii="宋体" w:hAnsi="宋体" w:cs="宋体"/>
                <w:b/>
                <w:bCs/>
                <w:color w:val="auto"/>
                <w:kern w:val="1"/>
                <w:szCs w:val="21"/>
                <w:highlight w:val="none"/>
              </w:rPr>
              <w:t>注：供应商已购买《食品安全责任保险》的，在响应文件中提供相关有效保单及发票证明的扫描件。供应商承诺在成交后购买的，在签订本项目合同时提供购买《食品安全责任保险》合同或保单证明核查。</w:t>
            </w:r>
          </w:p>
        </w:tc>
      </w:tr>
      <w:tr w14:paraId="5A665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38" w:type="dxa"/>
            <w:vMerge w:val="continue"/>
            <w:noWrap/>
            <w:vAlign w:val="center"/>
          </w:tcPr>
          <w:p w14:paraId="77B39300">
            <w:pPr>
              <w:jc w:val="center"/>
              <w:rPr>
                <w:rFonts w:hint="eastAsia" w:ascii="宋体" w:hAnsi="宋体" w:cs="宋体"/>
                <w:b/>
                <w:color w:val="auto"/>
                <w:szCs w:val="21"/>
                <w:highlight w:val="none"/>
              </w:rPr>
            </w:pPr>
          </w:p>
        </w:tc>
        <w:tc>
          <w:tcPr>
            <w:tcW w:w="1172" w:type="dxa"/>
            <w:vMerge w:val="continue"/>
            <w:noWrap/>
            <w:vAlign w:val="center"/>
          </w:tcPr>
          <w:p w14:paraId="67AE6919">
            <w:pPr>
              <w:jc w:val="center"/>
              <w:rPr>
                <w:rFonts w:hint="eastAsia" w:ascii="宋体" w:hAnsi="宋体" w:cs="宋体"/>
                <w:b/>
                <w:color w:val="auto"/>
                <w:szCs w:val="21"/>
                <w:highlight w:val="none"/>
              </w:rPr>
            </w:pPr>
          </w:p>
        </w:tc>
        <w:tc>
          <w:tcPr>
            <w:tcW w:w="1037" w:type="dxa"/>
            <w:noWrap/>
            <w:vAlign w:val="center"/>
          </w:tcPr>
          <w:p w14:paraId="01E113CB">
            <w:pPr>
              <w:snapToGrid w:val="0"/>
              <w:jc w:val="center"/>
              <w:rPr>
                <w:rFonts w:hint="eastAsia" w:ascii="宋体" w:hAnsi="宋体" w:cs="宋体"/>
                <w:bCs/>
                <w:color w:val="auto"/>
                <w:szCs w:val="21"/>
                <w:highlight w:val="none"/>
              </w:rPr>
            </w:pPr>
            <w:r>
              <w:rPr>
                <w:rFonts w:hint="eastAsia" w:ascii="宋体" w:hAnsi="宋体" w:cs="宋体"/>
                <w:b/>
                <w:bCs/>
                <w:color w:val="auto"/>
                <w:szCs w:val="21"/>
                <w:highlight w:val="none"/>
              </w:rPr>
              <w:t>（</w:t>
            </w:r>
            <w:r>
              <w:rPr>
                <w:rFonts w:hint="eastAsia" w:ascii="宋体" w:hAnsi="宋体" w:cs="宋体"/>
                <w:b/>
                <w:bCs/>
                <w:color w:val="auto"/>
                <w:szCs w:val="21"/>
                <w:highlight w:val="none"/>
                <w:lang w:val="en-US" w:eastAsia="zh-CN"/>
              </w:rPr>
              <w:t>4</w:t>
            </w:r>
            <w:r>
              <w:rPr>
                <w:rFonts w:hint="eastAsia" w:ascii="宋体" w:hAnsi="宋体" w:cs="宋体"/>
                <w:b/>
                <w:bCs/>
                <w:color w:val="auto"/>
                <w:szCs w:val="21"/>
                <w:highlight w:val="none"/>
              </w:rPr>
              <w:t>）业绩（满分</w:t>
            </w:r>
            <w:r>
              <w:rPr>
                <w:rFonts w:hint="eastAsia" w:ascii="宋体" w:hAnsi="宋体" w:cs="宋体"/>
                <w:b/>
                <w:bCs/>
                <w:color w:val="auto"/>
                <w:szCs w:val="21"/>
                <w:highlight w:val="none"/>
                <w:lang w:val="en-US" w:eastAsia="zh-CN"/>
              </w:rPr>
              <w:t>4</w:t>
            </w:r>
            <w:r>
              <w:rPr>
                <w:rFonts w:hint="eastAsia" w:ascii="宋体" w:hAnsi="宋体" w:cs="宋体"/>
                <w:b/>
                <w:bCs/>
                <w:color w:val="auto"/>
                <w:szCs w:val="21"/>
                <w:highlight w:val="none"/>
              </w:rPr>
              <w:t>分）</w:t>
            </w:r>
          </w:p>
        </w:tc>
        <w:tc>
          <w:tcPr>
            <w:tcW w:w="7141" w:type="dxa"/>
            <w:noWrap/>
            <w:vAlign w:val="top"/>
          </w:tcPr>
          <w:p w14:paraId="0233C52C">
            <w:pPr>
              <w:wordWrap w:val="0"/>
              <w:spacing w:line="460" w:lineRule="exact"/>
              <w:ind w:firstLine="420" w:firstLineChars="200"/>
              <w:jc w:val="left"/>
              <w:rPr>
                <w:rFonts w:hint="eastAsia" w:ascii="宋体" w:hAnsi="宋体" w:cs="宋体"/>
                <w:color w:val="auto"/>
                <w:szCs w:val="21"/>
                <w:highlight w:val="none"/>
              </w:rPr>
            </w:pPr>
            <w:r>
              <w:rPr>
                <w:rFonts w:hint="eastAsia" w:ascii="宋体" w:hAnsi="宋体" w:cs="宋体"/>
                <w:color w:val="auto"/>
                <w:kern w:val="1"/>
                <w:szCs w:val="21"/>
                <w:highlight w:val="none"/>
              </w:rPr>
              <w:t>供应商202</w:t>
            </w:r>
            <w:r>
              <w:rPr>
                <w:rFonts w:hint="eastAsia" w:ascii="宋体" w:hAnsi="宋体" w:cs="宋体"/>
                <w:color w:val="auto"/>
                <w:kern w:val="1"/>
                <w:szCs w:val="21"/>
                <w:highlight w:val="none"/>
                <w:lang w:val="en-US" w:eastAsia="zh-CN"/>
              </w:rPr>
              <w:t>3</w:t>
            </w:r>
            <w:r>
              <w:rPr>
                <w:rFonts w:hint="eastAsia" w:ascii="宋体" w:hAnsi="宋体" w:cs="宋体"/>
                <w:color w:val="auto"/>
                <w:kern w:val="1"/>
                <w:szCs w:val="21"/>
                <w:highlight w:val="none"/>
              </w:rPr>
              <w:t>年1月1日以来类似</w:t>
            </w:r>
            <w:r>
              <w:rPr>
                <w:rFonts w:hint="eastAsia" w:ascii="宋体" w:hAnsi="宋体" w:cs="宋体"/>
                <w:color w:val="auto"/>
                <w:kern w:val="1"/>
                <w:szCs w:val="21"/>
                <w:highlight w:val="none"/>
                <w:lang w:val="en-US" w:eastAsia="zh-CN"/>
              </w:rPr>
              <w:t>配送</w:t>
            </w:r>
            <w:r>
              <w:rPr>
                <w:rFonts w:hint="eastAsia" w:ascii="宋体" w:hAnsi="宋体" w:cs="宋体"/>
                <w:color w:val="auto"/>
                <w:kern w:val="1"/>
                <w:szCs w:val="21"/>
                <w:highlight w:val="none"/>
              </w:rPr>
              <w:t>供应服务的业绩【须在响应文件中提供中标（成交）通知书扫描件或签订的合同扫描件，否则将不予加分】，每个得1分，最多得</w:t>
            </w:r>
            <w:r>
              <w:rPr>
                <w:rFonts w:hint="eastAsia" w:ascii="宋体" w:hAnsi="宋体" w:cs="宋体"/>
                <w:color w:val="auto"/>
                <w:kern w:val="1"/>
                <w:szCs w:val="21"/>
                <w:highlight w:val="none"/>
                <w:lang w:val="en-US" w:eastAsia="zh-CN"/>
              </w:rPr>
              <w:t>4</w:t>
            </w:r>
            <w:r>
              <w:rPr>
                <w:rFonts w:hint="eastAsia" w:ascii="宋体" w:hAnsi="宋体" w:cs="宋体"/>
                <w:color w:val="auto"/>
                <w:kern w:val="1"/>
                <w:szCs w:val="21"/>
                <w:highlight w:val="none"/>
              </w:rPr>
              <w:t>分。</w:t>
            </w:r>
          </w:p>
        </w:tc>
      </w:tr>
    </w:tbl>
    <w:p w14:paraId="5EE13B8B">
      <w:pPr>
        <w:pStyle w:val="12"/>
        <w:spacing w:line="360" w:lineRule="auto"/>
        <w:ind w:firstLine="420"/>
        <w:rPr>
          <w:rFonts w:hint="eastAsia" w:hAnsi="宋体" w:cs="宋体"/>
          <w:b/>
          <w:color w:val="auto"/>
          <w:sz w:val="21"/>
          <w:highlight w:val="none"/>
        </w:rPr>
      </w:pPr>
      <w:r>
        <w:rPr>
          <w:rFonts w:hint="eastAsia" w:ascii="宋体" w:hAnsi="宋体" w:cs="宋体"/>
          <w:b/>
          <w:bCs/>
          <w:color w:val="auto"/>
          <w:szCs w:val="21"/>
          <w:highlight w:val="none"/>
          <w:lang w:eastAsia="zh-CN"/>
        </w:rPr>
        <w:t>注：</w:t>
      </w:r>
      <w:r>
        <w:rPr>
          <w:rFonts w:hint="eastAsia" w:ascii="宋体" w:hAnsi="宋体" w:cs="宋体"/>
          <w:b/>
          <w:bCs/>
          <w:color w:val="auto"/>
          <w:szCs w:val="21"/>
          <w:highlight w:val="none"/>
        </w:rPr>
        <w:t>总得分为以上各项评审因素得分合计</w:t>
      </w:r>
    </w:p>
    <w:p w14:paraId="6B29E218">
      <w:pPr>
        <w:spacing w:line="400" w:lineRule="exact"/>
        <w:ind w:firstLine="422" w:firstLineChars="200"/>
        <w:rPr>
          <w:rFonts w:hint="eastAsia" w:ascii="宋体" w:hAnsi="宋体" w:cs="宋体"/>
          <w:b/>
          <w:color w:val="auto"/>
          <w:szCs w:val="21"/>
          <w:highlight w:val="none"/>
        </w:rPr>
      </w:pPr>
    </w:p>
    <w:p w14:paraId="6C5A1C39">
      <w:pPr>
        <w:spacing w:line="400" w:lineRule="exact"/>
        <w:ind w:firstLine="422" w:firstLineChars="200"/>
        <w:rPr>
          <w:rFonts w:hint="eastAsia" w:ascii="宋体" w:hAnsi="宋体" w:cs="宋体"/>
          <w:b/>
          <w:color w:val="auto"/>
          <w:szCs w:val="21"/>
          <w:highlight w:val="none"/>
        </w:rPr>
      </w:pPr>
    </w:p>
    <w:p w14:paraId="022F4F73">
      <w:pPr>
        <w:spacing w:line="360" w:lineRule="auto"/>
        <w:ind w:firstLine="321" w:firstLineChars="100"/>
        <w:rPr>
          <w:rFonts w:hint="eastAsia" w:ascii="宋体" w:hAnsi="宋体"/>
          <w:b/>
          <w:color w:val="auto"/>
          <w:sz w:val="32"/>
          <w:szCs w:val="32"/>
          <w:highlight w:val="none"/>
        </w:rPr>
      </w:pPr>
      <w:r>
        <w:rPr>
          <w:rFonts w:hint="eastAsia" w:ascii="宋体" w:hAnsi="宋体"/>
          <w:b/>
          <w:color w:val="auto"/>
          <w:sz w:val="32"/>
          <w:szCs w:val="32"/>
          <w:highlight w:val="none"/>
        </w:rPr>
        <w:t>三、成交候选人推荐原则</w:t>
      </w:r>
    </w:p>
    <w:p w14:paraId="3064E705">
      <w:pPr>
        <w:spacing w:line="360" w:lineRule="auto"/>
        <w:ind w:firstLine="420" w:firstLineChars="200"/>
        <w:rPr>
          <w:rFonts w:hint="eastAsia" w:ascii="宋体" w:hAnsi="宋体"/>
          <w:color w:val="auto"/>
          <w:szCs w:val="21"/>
          <w:highlight w:val="none"/>
        </w:rPr>
      </w:pPr>
      <w:r>
        <w:rPr>
          <w:rFonts w:ascii="宋体" w:hAnsi="宋体"/>
          <w:bCs/>
          <w:color w:val="auto"/>
          <w:szCs w:val="21"/>
          <w:highlight w:val="none"/>
        </w:rPr>
        <w:t>7.</w:t>
      </w:r>
      <w:r>
        <w:rPr>
          <w:rFonts w:hint="eastAsia" w:ascii="宋体" w:hAnsi="宋体"/>
          <w:bCs/>
          <w:color w:val="auto"/>
          <w:szCs w:val="21"/>
          <w:highlight w:val="none"/>
        </w:rPr>
        <w:t>由磋商小组根据综合评分情况，按照评审得分由高到低顺序推荐3名以上成交候选供应商，并编写评审报告，</w:t>
      </w:r>
      <w:r>
        <w:rPr>
          <w:rFonts w:hint="eastAsia" w:ascii="宋体" w:hAnsi="宋体" w:cs="宋体"/>
          <w:color w:val="auto"/>
          <w:highlight w:val="none"/>
        </w:rPr>
        <w:t>评审报告</w:t>
      </w:r>
      <w:r>
        <w:rPr>
          <w:rFonts w:hint="eastAsia" w:hAnsi="宋体"/>
          <w:color w:val="auto"/>
          <w:highlight w:val="none"/>
        </w:rPr>
        <w:t>通过电子交易平台向采购人、采购代理机构提交。</w:t>
      </w:r>
      <w:r>
        <w:rPr>
          <w:rFonts w:hint="eastAsia" w:ascii="宋体" w:hAnsi="宋体"/>
          <w:bCs/>
          <w:color w:val="auto"/>
          <w:szCs w:val="21"/>
          <w:highlight w:val="none"/>
        </w:rPr>
        <w:t>符合本章第</w:t>
      </w:r>
      <w:r>
        <w:rPr>
          <w:rFonts w:ascii="宋体" w:hAnsi="宋体"/>
          <w:bCs/>
          <w:color w:val="auto"/>
          <w:szCs w:val="21"/>
          <w:highlight w:val="none"/>
        </w:rPr>
        <w:t>4.3</w:t>
      </w:r>
      <w:r>
        <w:rPr>
          <w:rFonts w:hint="eastAsia" w:ascii="宋体" w:hAnsi="宋体"/>
          <w:bCs/>
          <w:color w:val="auto"/>
          <w:szCs w:val="21"/>
          <w:highlight w:val="none"/>
        </w:rPr>
        <w:t>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技术要求偏离分由高到低排序）。评审得分、最后报价（不计算价格折扣）、技术得分、技术要求偏离分均相同的，由磋商小组随机抽取推荐。</w:t>
      </w:r>
    </w:p>
    <w:p w14:paraId="6844B6CE">
      <w:pPr>
        <w:pStyle w:val="2"/>
        <w:jc w:val="center"/>
        <w:rPr>
          <w:rFonts w:hint="eastAsia" w:ascii="宋体" w:hAnsi="宋体" w:cs="宋体"/>
          <w:color w:val="auto"/>
          <w:highlight w:val="none"/>
        </w:rPr>
      </w:pPr>
      <w:r>
        <w:rPr>
          <w:rFonts w:hint="eastAsia" w:ascii="宋体" w:hAnsi="宋体" w:cs="宋体"/>
          <w:color w:val="auto"/>
          <w:highlight w:val="none"/>
        </w:rPr>
        <w:br w:type="page"/>
      </w:r>
    </w:p>
    <w:p w14:paraId="5C47B1AA">
      <w:pPr>
        <w:pStyle w:val="2"/>
        <w:jc w:val="center"/>
        <w:rPr>
          <w:rFonts w:hint="eastAsia" w:ascii="宋体" w:hAnsi="宋体" w:cs="宋体"/>
          <w:color w:val="auto"/>
          <w:highlight w:val="none"/>
        </w:rPr>
      </w:pPr>
    </w:p>
    <w:p w14:paraId="0BC79997">
      <w:pPr>
        <w:pStyle w:val="2"/>
        <w:jc w:val="center"/>
        <w:rPr>
          <w:rFonts w:hint="eastAsia" w:ascii="宋体" w:hAnsi="宋体" w:cs="宋体"/>
          <w:color w:val="auto"/>
          <w:highlight w:val="none"/>
        </w:rPr>
      </w:pPr>
      <w:bookmarkStart w:id="39" w:name="_Toc28623"/>
      <w:r>
        <w:rPr>
          <w:rFonts w:hint="eastAsia" w:ascii="宋体" w:hAnsi="宋体" w:cs="宋体"/>
          <w:color w:val="auto"/>
          <w:highlight w:val="none"/>
        </w:rPr>
        <w:t>第五章 响应文件格式</w:t>
      </w:r>
      <w:bookmarkEnd w:id="39"/>
    </w:p>
    <w:p w14:paraId="00D644D0">
      <w:pPr>
        <w:spacing w:line="240" w:lineRule="atLeast"/>
        <w:rPr>
          <w:rFonts w:hint="eastAsia" w:ascii="宋体" w:hAnsi="宋体" w:cs="宋体"/>
          <w:b/>
          <w:color w:val="auto"/>
          <w:sz w:val="32"/>
          <w:szCs w:val="32"/>
          <w:highlight w:val="none"/>
        </w:rPr>
      </w:pPr>
    </w:p>
    <w:p w14:paraId="37F12862">
      <w:pPr>
        <w:spacing w:line="240" w:lineRule="atLeast"/>
        <w:rPr>
          <w:rFonts w:hint="eastAsia" w:ascii="宋体" w:hAnsi="宋体" w:cs="宋体"/>
          <w:b/>
          <w:bCs/>
          <w:color w:val="auto"/>
          <w:sz w:val="24"/>
          <w:highlight w:val="none"/>
        </w:rPr>
      </w:pPr>
    </w:p>
    <w:p w14:paraId="098BB18B">
      <w:pPr>
        <w:snapToGrid w:val="0"/>
        <w:spacing w:before="160" w:beforeLines="50" w:after="50"/>
        <w:rPr>
          <w:rFonts w:hint="eastAsia" w:ascii="宋体" w:hAnsi="宋体" w:cs="宋体"/>
          <w:color w:val="auto"/>
          <w:sz w:val="24"/>
          <w:szCs w:val="20"/>
          <w:highlight w:val="none"/>
        </w:rPr>
      </w:pPr>
    </w:p>
    <w:p w14:paraId="23172219">
      <w:pPr>
        <w:snapToGrid w:val="0"/>
        <w:spacing w:before="160" w:beforeLines="50" w:after="50"/>
        <w:jc w:val="center"/>
        <w:rPr>
          <w:rFonts w:hint="eastAsia" w:ascii="宋体" w:hAnsi="宋体" w:cs="宋体"/>
          <w:bCs/>
          <w:color w:val="auto"/>
          <w:sz w:val="24"/>
          <w:szCs w:val="20"/>
          <w:highlight w:val="none"/>
        </w:rPr>
      </w:pPr>
    </w:p>
    <w:p w14:paraId="10758498">
      <w:pPr>
        <w:snapToGrid w:val="0"/>
        <w:spacing w:before="160" w:beforeLines="5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响  应  文  件</w:t>
      </w:r>
    </w:p>
    <w:p w14:paraId="690485E7">
      <w:pPr>
        <w:snapToGrid w:val="0"/>
        <w:spacing w:before="160" w:beforeLines="50" w:after="50"/>
        <w:rPr>
          <w:rFonts w:hint="eastAsia" w:ascii="宋体" w:hAnsi="宋体" w:cs="宋体"/>
          <w:bCs/>
          <w:color w:val="auto"/>
          <w:sz w:val="24"/>
          <w:szCs w:val="20"/>
          <w:highlight w:val="none"/>
        </w:rPr>
      </w:pPr>
    </w:p>
    <w:p w14:paraId="3CE56927">
      <w:pPr>
        <w:snapToGrid w:val="0"/>
        <w:spacing w:before="160" w:beforeLines="50" w:after="50"/>
        <w:rPr>
          <w:rFonts w:hint="eastAsia" w:ascii="宋体" w:hAnsi="宋体" w:cs="宋体"/>
          <w:bCs/>
          <w:color w:val="auto"/>
          <w:sz w:val="24"/>
          <w:szCs w:val="20"/>
          <w:highlight w:val="none"/>
        </w:rPr>
      </w:pPr>
    </w:p>
    <w:p w14:paraId="1DC4A8AF">
      <w:pPr>
        <w:snapToGrid w:val="0"/>
        <w:spacing w:before="160" w:beforeLines="50" w:after="50"/>
        <w:rPr>
          <w:rFonts w:hint="eastAsia" w:ascii="宋体" w:hAnsi="宋体" w:cs="宋体"/>
          <w:bCs/>
          <w:color w:val="auto"/>
          <w:sz w:val="32"/>
          <w:szCs w:val="32"/>
          <w:highlight w:val="none"/>
        </w:rPr>
      </w:pPr>
    </w:p>
    <w:p w14:paraId="7A283F90">
      <w:pPr>
        <w:snapToGrid w:val="0"/>
        <w:spacing w:before="16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45AC87D1">
      <w:pPr>
        <w:snapToGrid w:val="0"/>
        <w:spacing w:before="160" w:beforeLines="50" w:after="50"/>
        <w:ind w:firstLine="480" w:firstLineChars="150"/>
        <w:rPr>
          <w:rFonts w:hint="eastAsia" w:ascii="宋体" w:hAnsi="宋体" w:cs="宋体"/>
          <w:bCs/>
          <w:color w:val="auto"/>
          <w:sz w:val="32"/>
          <w:szCs w:val="32"/>
          <w:highlight w:val="none"/>
        </w:rPr>
      </w:pPr>
    </w:p>
    <w:p w14:paraId="756055DC">
      <w:pPr>
        <w:snapToGrid w:val="0"/>
        <w:spacing w:before="16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55FB4AA3">
      <w:pPr>
        <w:snapToGrid w:val="0"/>
        <w:spacing w:before="160" w:beforeLines="50" w:after="50"/>
        <w:ind w:firstLine="480" w:firstLineChars="150"/>
        <w:rPr>
          <w:rFonts w:hint="eastAsia" w:ascii="宋体" w:hAnsi="宋体" w:cs="宋体"/>
          <w:bCs/>
          <w:color w:val="auto"/>
          <w:sz w:val="32"/>
          <w:szCs w:val="32"/>
          <w:highlight w:val="none"/>
        </w:rPr>
      </w:pPr>
    </w:p>
    <w:p w14:paraId="0B4A7AF7">
      <w:pPr>
        <w:snapToGrid w:val="0"/>
        <w:spacing w:before="16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7E07F0CE">
      <w:pPr>
        <w:snapToGrid w:val="0"/>
        <w:spacing w:before="160" w:beforeLines="50" w:after="50"/>
        <w:rPr>
          <w:rFonts w:hint="eastAsia" w:ascii="宋体" w:hAnsi="宋体" w:cs="宋体"/>
          <w:bCs/>
          <w:color w:val="auto"/>
          <w:sz w:val="32"/>
          <w:szCs w:val="32"/>
          <w:highlight w:val="none"/>
        </w:rPr>
      </w:pPr>
    </w:p>
    <w:p w14:paraId="043FBC2F">
      <w:pPr>
        <w:snapToGrid w:val="0"/>
        <w:spacing w:before="160" w:beforeLines="50" w:after="50"/>
        <w:ind w:firstLine="480" w:firstLineChars="150"/>
        <w:jc w:val="center"/>
        <w:rPr>
          <w:rFonts w:hint="eastAsia" w:ascii="宋体" w:hAnsi="宋体" w:cs="宋体"/>
          <w:bCs/>
          <w:color w:val="auto"/>
          <w:sz w:val="32"/>
          <w:szCs w:val="32"/>
          <w:highlight w:val="none"/>
        </w:rPr>
      </w:pPr>
      <w:r>
        <w:rPr>
          <w:rFonts w:hint="eastAsia" w:ascii="宋体" w:hAnsi="宋体" w:cs="宋体"/>
          <w:bCs/>
          <w:color w:val="auto"/>
          <w:sz w:val="32"/>
          <w:szCs w:val="32"/>
          <w:highlight w:val="none"/>
        </w:rPr>
        <w:t>首次响应文件提交截止时间前不得启封</w:t>
      </w:r>
    </w:p>
    <w:p w14:paraId="6325BD57">
      <w:pPr>
        <w:snapToGrid w:val="0"/>
        <w:spacing w:before="160" w:beforeLines="50" w:after="50"/>
        <w:ind w:firstLine="5440" w:firstLineChars="1700"/>
        <w:jc w:val="center"/>
        <w:rPr>
          <w:rFonts w:hint="eastAsia" w:ascii="宋体" w:hAnsi="宋体" w:cs="宋体"/>
          <w:bCs/>
          <w:color w:val="auto"/>
          <w:sz w:val="32"/>
          <w:szCs w:val="32"/>
          <w:highlight w:val="none"/>
        </w:rPr>
      </w:pPr>
    </w:p>
    <w:p w14:paraId="22E57B00">
      <w:pPr>
        <w:snapToGrid w:val="0"/>
        <w:spacing w:before="160" w:beforeLines="50" w:after="50"/>
        <w:ind w:firstLine="645"/>
        <w:jc w:val="center"/>
        <w:rPr>
          <w:rFonts w:hint="eastAsia" w:ascii="宋体" w:hAnsi="宋体" w:cs="宋体"/>
          <w:bCs/>
          <w:color w:val="auto"/>
          <w:sz w:val="32"/>
          <w:szCs w:val="32"/>
          <w:highlight w:val="none"/>
        </w:rPr>
      </w:pPr>
      <w:r>
        <w:rPr>
          <w:rFonts w:hint="eastAsia" w:ascii="宋体" w:hAnsi="宋体" w:cs="宋体"/>
          <w:bCs/>
          <w:color w:val="auto"/>
          <w:sz w:val="32"/>
          <w:szCs w:val="32"/>
          <w:highlight w:val="none"/>
        </w:rPr>
        <w:t>年    月    日</w:t>
      </w:r>
    </w:p>
    <w:p w14:paraId="5DFB5CA4">
      <w:pPr>
        <w:rPr>
          <w:rFonts w:hint="eastAsia" w:ascii="宋体" w:hAnsi="宋体" w:cs="宋体"/>
          <w:b/>
          <w:color w:val="auto"/>
          <w:sz w:val="32"/>
          <w:szCs w:val="32"/>
          <w:highlight w:val="none"/>
        </w:rPr>
      </w:pPr>
      <w:r>
        <w:rPr>
          <w:rFonts w:hint="eastAsia" w:ascii="宋体" w:hAnsi="宋体" w:cs="宋体"/>
          <w:bCs/>
          <w:color w:val="auto"/>
          <w:sz w:val="24"/>
          <w:highlight w:val="none"/>
        </w:rPr>
        <w:br w:type="page"/>
      </w:r>
      <w:bookmarkStart w:id="40" w:name="_Toc71366186"/>
      <w:bookmarkStart w:id="41" w:name="_Toc31723070"/>
      <w:bookmarkStart w:id="42" w:name="_Toc31728084"/>
      <w:bookmarkStart w:id="43" w:name="_Toc35611438"/>
      <w:bookmarkStart w:id="44" w:name="_Toc35611516"/>
      <w:bookmarkStart w:id="45" w:name="_Toc44229899"/>
      <w:r>
        <w:rPr>
          <w:rFonts w:hint="eastAsia" w:ascii="宋体" w:hAnsi="宋体" w:cs="宋体"/>
          <w:b/>
          <w:color w:val="auto"/>
          <w:sz w:val="32"/>
          <w:szCs w:val="32"/>
          <w:highlight w:val="none"/>
        </w:rPr>
        <w:t>一、资格证明文件格式</w:t>
      </w:r>
      <w:bookmarkEnd w:id="40"/>
      <w:bookmarkEnd w:id="41"/>
      <w:bookmarkEnd w:id="42"/>
      <w:bookmarkEnd w:id="43"/>
      <w:bookmarkEnd w:id="44"/>
      <w:bookmarkEnd w:id="45"/>
    </w:p>
    <w:p w14:paraId="31613E75">
      <w:pPr>
        <w:snapToGrid w:val="0"/>
        <w:spacing w:before="160" w:beforeLines="50" w:after="50" w:line="360" w:lineRule="auto"/>
        <w:jc w:val="left"/>
        <w:rPr>
          <w:rFonts w:hint="eastAsia" w:ascii="宋体" w:hAnsi="宋体" w:cs="宋体"/>
          <w:b/>
          <w:color w:val="auto"/>
          <w:sz w:val="24"/>
          <w:highlight w:val="none"/>
        </w:rPr>
      </w:pPr>
      <w:r>
        <w:rPr>
          <w:rFonts w:hint="eastAsia" w:ascii="宋体" w:hAnsi="宋体" w:cs="宋体"/>
          <w:b/>
          <w:color w:val="auto"/>
          <w:sz w:val="32"/>
          <w:szCs w:val="32"/>
          <w:highlight w:val="none"/>
        </w:rPr>
        <w:t>1.资格证明文件封面格式：</w:t>
      </w:r>
      <w:r>
        <w:rPr>
          <w:rFonts w:hint="eastAsia" w:ascii="宋体" w:hAnsi="宋体" w:cs="宋体"/>
          <w:b/>
          <w:color w:val="auto"/>
          <w:sz w:val="24"/>
          <w:highlight w:val="none"/>
        </w:rPr>
        <w:t xml:space="preserve"> </w:t>
      </w:r>
    </w:p>
    <w:p w14:paraId="7B2D53B3">
      <w:pPr>
        <w:snapToGrid w:val="0"/>
        <w:spacing w:before="160" w:beforeLines="50" w:after="50"/>
        <w:jc w:val="center"/>
        <w:rPr>
          <w:rFonts w:hint="eastAsia" w:ascii="宋体" w:hAnsi="宋体" w:cs="宋体"/>
          <w:color w:val="auto"/>
          <w:sz w:val="44"/>
          <w:szCs w:val="44"/>
          <w:highlight w:val="none"/>
        </w:rPr>
      </w:pPr>
    </w:p>
    <w:p w14:paraId="7B3F1325">
      <w:pPr>
        <w:snapToGrid w:val="0"/>
        <w:spacing w:before="160" w:beforeLines="50" w:after="50"/>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电 子 响 应 文 件</w:t>
      </w:r>
    </w:p>
    <w:p w14:paraId="2B149274">
      <w:pPr>
        <w:snapToGrid w:val="0"/>
        <w:spacing w:before="160" w:beforeLines="50" w:after="50"/>
        <w:rPr>
          <w:rFonts w:hint="eastAsia" w:ascii="宋体" w:hAnsi="宋体" w:cs="宋体"/>
          <w:color w:val="auto"/>
          <w:sz w:val="24"/>
          <w:szCs w:val="20"/>
          <w:highlight w:val="none"/>
        </w:rPr>
      </w:pPr>
    </w:p>
    <w:p w14:paraId="68DB30D0">
      <w:pPr>
        <w:snapToGrid w:val="0"/>
        <w:spacing w:before="160" w:beforeLines="5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资  格  证  明  文  件</w:t>
      </w:r>
    </w:p>
    <w:p w14:paraId="31FBCCC8">
      <w:pPr>
        <w:snapToGrid w:val="0"/>
        <w:spacing w:before="160" w:beforeLines="50" w:after="50"/>
        <w:rPr>
          <w:rFonts w:hint="eastAsia" w:ascii="宋体" w:hAnsi="宋体" w:cs="宋体"/>
          <w:bCs/>
          <w:color w:val="auto"/>
          <w:sz w:val="24"/>
          <w:szCs w:val="20"/>
          <w:highlight w:val="none"/>
        </w:rPr>
      </w:pPr>
    </w:p>
    <w:p w14:paraId="69C09720">
      <w:pPr>
        <w:snapToGrid w:val="0"/>
        <w:spacing w:before="160" w:beforeLines="50" w:after="50"/>
        <w:rPr>
          <w:rFonts w:hint="eastAsia" w:ascii="宋体" w:hAnsi="宋体" w:cs="宋体"/>
          <w:bCs/>
          <w:color w:val="auto"/>
          <w:sz w:val="24"/>
          <w:szCs w:val="20"/>
          <w:highlight w:val="none"/>
        </w:rPr>
      </w:pPr>
    </w:p>
    <w:p w14:paraId="3A92B467">
      <w:pPr>
        <w:snapToGrid w:val="0"/>
        <w:spacing w:before="160" w:beforeLines="50" w:after="50"/>
        <w:rPr>
          <w:rFonts w:hint="eastAsia" w:ascii="宋体" w:hAnsi="宋体" w:cs="宋体"/>
          <w:bCs/>
          <w:color w:val="auto"/>
          <w:sz w:val="24"/>
          <w:szCs w:val="20"/>
          <w:highlight w:val="none"/>
        </w:rPr>
      </w:pPr>
    </w:p>
    <w:p w14:paraId="7B13007B">
      <w:pPr>
        <w:snapToGrid w:val="0"/>
        <w:spacing w:before="160" w:beforeLines="50" w:after="50"/>
        <w:rPr>
          <w:rFonts w:hint="eastAsia" w:ascii="宋体" w:hAnsi="宋体" w:cs="宋体"/>
          <w:bCs/>
          <w:color w:val="auto"/>
          <w:sz w:val="24"/>
          <w:szCs w:val="20"/>
          <w:highlight w:val="none"/>
        </w:rPr>
      </w:pPr>
    </w:p>
    <w:p w14:paraId="211B1C63">
      <w:pPr>
        <w:snapToGrid w:val="0"/>
        <w:spacing w:before="160" w:beforeLines="50" w:after="50"/>
        <w:rPr>
          <w:rFonts w:hint="eastAsia" w:ascii="宋体" w:hAnsi="宋体" w:cs="宋体"/>
          <w:bCs/>
          <w:color w:val="auto"/>
          <w:sz w:val="24"/>
          <w:szCs w:val="20"/>
          <w:highlight w:val="none"/>
        </w:rPr>
      </w:pPr>
    </w:p>
    <w:p w14:paraId="07D795EC">
      <w:pPr>
        <w:snapToGrid w:val="0"/>
        <w:spacing w:before="16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115457CD">
      <w:pPr>
        <w:snapToGrid w:val="0"/>
        <w:spacing w:before="160" w:beforeLines="50" w:after="50"/>
        <w:ind w:firstLine="720" w:firstLineChars="225"/>
        <w:rPr>
          <w:rFonts w:hint="eastAsia" w:ascii="宋体" w:hAnsi="宋体" w:cs="宋体"/>
          <w:bCs/>
          <w:color w:val="auto"/>
          <w:sz w:val="32"/>
          <w:szCs w:val="32"/>
          <w:highlight w:val="none"/>
        </w:rPr>
      </w:pPr>
    </w:p>
    <w:p w14:paraId="1E937990">
      <w:pPr>
        <w:snapToGrid w:val="0"/>
        <w:spacing w:before="160" w:beforeLines="50" w:after="50"/>
        <w:ind w:firstLine="720" w:firstLineChars="225"/>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01443848">
      <w:pPr>
        <w:snapToGrid w:val="0"/>
        <w:spacing w:before="160" w:beforeLines="50" w:after="50"/>
        <w:ind w:firstLine="720" w:firstLineChars="225"/>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10FD5C22">
      <w:pPr>
        <w:pStyle w:val="6"/>
        <w:snapToGrid w:val="0"/>
        <w:spacing w:before="50" w:after="50"/>
        <w:ind w:firstLine="720" w:firstLineChars="225"/>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5503F121">
      <w:pPr>
        <w:snapToGrid w:val="0"/>
        <w:spacing w:before="160" w:beforeLines="50" w:after="50"/>
        <w:ind w:firstLine="640" w:firstLineChars="200"/>
        <w:rPr>
          <w:rFonts w:hint="eastAsia" w:ascii="宋体" w:hAnsi="宋体" w:cs="宋体"/>
          <w:bCs/>
          <w:color w:val="auto"/>
          <w:sz w:val="32"/>
          <w:szCs w:val="32"/>
          <w:highlight w:val="none"/>
        </w:rPr>
      </w:pPr>
    </w:p>
    <w:p w14:paraId="3C2A83B4">
      <w:pPr>
        <w:pStyle w:val="6"/>
        <w:snapToGrid w:val="0"/>
        <w:spacing w:before="50" w:after="50"/>
        <w:ind w:firstLine="720" w:firstLineChars="225"/>
        <w:rPr>
          <w:rFonts w:hint="eastAsia" w:ascii="宋体" w:hAnsi="宋体" w:cs="宋体"/>
          <w:bCs/>
          <w:color w:val="auto"/>
          <w:sz w:val="32"/>
          <w:szCs w:val="32"/>
          <w:highlight w:val="none"/>
        </w:rPr>
      </w:pPr>
    </w:p>
    <w:p w14:paraId="2B56F0D2">
      <w:pPr>
        <w:pStyle w:val="6"/>
        <w:snapToGrid w:val="0"/>
        <w:spacing w:before="50" w:after="50"/>
        <w:ind w:firstLine="720" w:firstLineChars="225"/>
        <w:rPr>
          <w:rFonts w:hint="eastAsia" w:ascii="宋体" w:hAnsi="宋体" w:cs="宋体"/>
          <w:bCs/>
          <w:color w:val="auto"/>
          <w:sz w:val="32"/>
          <w:szCs w:val="32"/>
          <w:highlight w:val="none"/>
        </w:rPr>
      </w:pPr>
    </w:p>
    <w:p w14:paraId="27D5AC72">
      <w:pPr>
        <w:pStyle w:val="6"/>
        <w:snapToGrid w:val="0"/>
        <w:spacing w:before="50" w:after="50"/>
        <w:ind w:firstLine="1280" w:firstLineChars="400"/>
        <w:rPr>
          <w:rFonts w:hint="eastAsia" w:ascii="宋体" w:hAnsi="宋体" w:cs="宋体"/>
          <w:bCs/>
          <w:color w:val="auto"/>
          <w:sz w:val="32"/>
          <w:szCs w:val="32"/>
          <w:highlight w:val="none"/>
        </w:rPr>
      </w:pPr>
    </w:p>
    <w:p w14:paraId="31D8B3D5">
      <w:pPr>
        <w:snapToGrid w:val="0"/>
        <w:spacing w:before="160" w:beforeLines="5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0E5C5863">
      <w:pPr>
        <w:snapToGrid w:val="0"/>
        <w:spacing w:before="160" w:beforeLines="50" w:after="50" w:line="360" w:lineRule="auto"/>
        <w:ind w:left="142"/>
        <w:jc w:val="left"/>
        <w:rPr>
          <w:rFonts w:hint="eastAsia" w:ascii="宋体" w:hAnsi="宋体" w:cs="宋体"/>
          <w:b/>
          <w:bCs/>
          <w:color w:val="auto"/>
          <w:sz w:val="32"/>
          <w:szCs w:val="32"/>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2.资格证明文件目录</w:t>
      </w:r>
    </w:p>
    <w:p w14:paraId="61E1C1C7">
      <w:pPr>
        <w:snapToGrid w:val="0"/>
        <w:spacing w:before="160" w:beforeLines="50" w:after="50" w:line="360" w:lineRule="auto"/>
        <w:ind w:firstLine="645"/>
        <w:rPr>
          <w:rFonts w:hint="eastAsia"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7D8554EE">
      <w:pPr>
        <w:snapToGrid w:val="0"/>
        <w:spacing w:before="160" w:beforeLines="50" w:after="50"/>
        <w:rPr>
          <w:rFonts w:hint="eastAsia" w:ascii="宋体" w:hAnsi="宋体" w:cs="宋体"/>
          <w:color w:val="auto"/>
          <w:sz w:val="24"/>
          <w:szCs w:val="20"/>
          <w:highlight w:val="none"/>
        </w:rPr>
      </w:pPr>
      <w:r>
        <w:rPr>
          <w:rFonts w:hint="eastAsia" w:ascii="宋体" w:hAnsi="宋体" w:cs="宋体"/>
          <w:color w:val="auto"/>
          <w:sz w:val="24"/>
          <w:szCs w:val="20"/>
          <w:highlight w:val="none"/>
        </w:rPr>
        <w:t xml:space="preserve"> </w:t>
      </w:r>
    </w:p>
    <w:p w14:paraId="0207F9FA">
      <w:pPr>
        <w:spacing w:line="300" w:lineRule="auto"/>
        <w:rPr>
          <w:rFonts w:hint="eastAsia" w:ascii="宋体" w:hAnsi="宋体" w:cs="宋体"/>
          <w:color w:val="auto"/>
          <w:szCs w:val="21"/>
          <w:highlight w:val="none"/>
        </w:rPr>
      </w:pPr>
    </w:p>
    <w:p w14:paraId="25574C0C">
      <w:pPr>
        <w:spacing w:line="300" w:lineRule="auto"/>
        <w:rPr>
          <w:rFonts w:hint="eastAsia" w:ascii="宋体" w:hAnsi="宋体" w:cs="宋体"/>
          <w:color w:val="auto"/>
          <w:szCs w:val="21"/>
          <w:highlight w:val="none"/>
        </w:rPr>
      </w:pPr>
    </w:p>
    <w:p w14:paraId="1165FD88">
      <w:pPr>
        <w:spacing w:line="300" w:lineRule="auto"/>
        <w:rPr>
          <w:rFonts w:hint="eastAsia" w:ascii="宋体" w:hAnsi="宋体" w:cs="宋体"/>
          <w:color w:val="auto"/>
          <w:szCs w:val="21"/>
          <w:highlight w:val="none"/>
        </w:rPr>
      </w:pPr>
    </w:p>
    <w:p w14:paraId="68D5003C">
      <w:pPr>
        <w:spacing w:line="300" w:lineRule="auto"/>
        <w:rPr>
          <w:rFonts w:hint="eastAsia" w:ascii="宋体" w:hAnsi="宋体" w:cs="宋体"/>
          <w:color w:val="auto"/>
          <w:szCs w:val="21"/>
          <w:highlight w:val="none"/>
        </w:rPr>
      </w:pPr>
    </w:p>
    <w:p w14:paraId="756FB5EF">
      <w:pPr>
        <w:spacing w:line="300" w:lineRule="auto"/>
        <w:rPr>
          <w:rFonts w:hint="eastAsia" w:ascii="宋体" w:hAnsi="宋体" w:cs="宋体"/>
          <w:color w:val="auto"/>
          <w:szCs w:val="21"/>
          <w:highlight w:val="none"/>
        </w:rPr>
      </w:pPr>
    </w:p>
    <w:p w14:paraId="027B725C">
      <w:pPr>
        <w:spacing w:line="300" w:lineRule="auto"/>
        <w:rPr>
          <w:rFonts w:hint="eastAsia" w:ascii="宋体" w:hAnsi="宋体" w:cs="宋体"/>
          <w:color w:val="auto"/>
          <w:szCs w:val="21"/>
          <w:highlight w:val="none"/>
        </w:rPr>
      </w:pPr>
    </w:p>
    <w:p w14:paraId="4B2C8537">
      <w:pPr>
        <w:spacing w:line="300" w:lineRule="auto"/>
        <w:rPr>
          <w:rFonts w:hint="eastAsia" w:ascii="宋体" w:hAnsi="宋体" w:cs="宋体"/>
          <w:color w:val="auto"/>
          <w:szCs w:val="21"/>
          <w:highlight w:val="none"/>
        </w:rPr>
      </w:pPr>
    </w:p>
    <w:p w14:paraId="7081E8BF">
      <w:pPr>
        <w:spacing w:line="300" w:lineRule="auto"/>
        <w:rPr>
          <w:rFonts w:hint="eastAsia" w:ascii="宋体" w:hAnsi="宋体" w:cs="宋体"/>
          <w:color w:val="auto"/>
          <w:szCs w:val="21"/>
          <w:highlight w:val="none"/>
        </w:rPr>
      </w:pPr>
    </w:p>
    <w:p w14:paraId="58CC00FF">
      <w:pPr>
        <w:spacing w:line="300" w:lineRule="auto"/>
        <w:rPr>
          <w:rFonts w:hint="eastAsia" w:ascii="宋体" w:hAnsi="宋体" w:cs="宋体"/>
          <w:color w:val="auto"/>
          <w:szCs w:val="21"/>
          <w:highlight w:val="none"/>
        </w:rPr>
      </w:pPr>
    </w:p>
    <w:p w14:paraId="67C8F7B4">
      <w:pPr>
        <w:spacing w:line="300" w:lineRule="auto"/>
        <w:rPr>
          <w:rFonts w:hint="eastAsia" w:ascii="宋体" w:hAnsi="宋体" w:cs="宋体"/>
          <w:color w:val="auto"/>
          <w:szCs w:val="21"/>
          <w:highlight w:val="none"/>
        </w:rPr>
      </w:pPr>
    </w:p>
    <w:p w14:paraId="2560916E">
      <w:pPr>
        <w:spacing w:line="300" w:lineRule="auto"/>
        <w:rPr>
          <w:rFonts w:hint="eastAsia" w:ascii="宋体" w:hAnsi="宋体" w:cs="宋体"/>
          <w:color w:val="auto"/>
          <w:szCs w:val="21"/>
          <w:highlight w:val="none"/>
        </w:rPr>
      </w:pPr>
    </w:p>
    <w:p w14:paraId="7247460E">
      <w:pPr>
        <w:spacing w:line="300" w:lineRule="auto"/>
        <w:rPr>
          <w:rFonts w:hint="eastAsia" w:ascii="宋体" w:hAnsi="宋体" w:cs="宋体"/>
          <w:color w:val="auto"/>
          <w:szCs w:val="21"/>
          <w:highlight w:val="none"/>
        </w:rPr>
      </w:pPr>
    </w:p>
    <w:p w14:paraId="2D4F14CE">
      <w:pPr>
        <w:spacing w:line="300" w:lineRule="auto"/>
        <w:rPr>
          <w:rFonts w:hint="eastAsia" w:ascii="宋体" w:hAnsi="宋体" w:cs="宋体"/>
          <w:color w:val="auto"/>
          <w:szCs w:val="21"/>
          <w:highlight w:val="none"/>
        </w:rPr>
      </w:pPr>
    </w:p>
    <w:p w14:paraId="5503F35F">
      <w:pPr>
        <w:spacing w:line="300" w:lineRule="auto"/>
        <w:rPr>
          <w:rFonts w:hint="eastAsia" w:ascii="宋体" w:hAnsi="宋体" w:cs="宋体"/>
          <w:color w:val="auto"/>
          <w:szCs w:val="21"/>
          <w:highlight w:val="none"/>
        </w:rPr>
      </w:pPr>
    </w:p>
    <w:p w14:paraId="4262FFA5">
      <w:pPr>
        <w:spacing w:line="300" w:lineRule="auto"/>
        <w:rPr>
          <w:rFonts w:hint="eastAsia" w:ascii="宋体" w:hAnsi="宋体" w:cs="宋体"/>
          <w:color w:val="auto"/>
          <w:szCs w:val="21"/>
          <w:highlight w:val="none"/>
        </w:rPr>
      </w:pPr>
    </w:p>
    <w:p w14:paraId="53B4E552">
      <w:pPr>
        <w:widowControl/>
        <w:overflowPunct w:val="0"/>
        <w:spacing w:line="520" w:lineRule="exact"/>
        <w:jc w:val="center"/>
        <w:rPr>
          <w:rFonts w:ascii="宋体" w:hAnsi="宋体" w:cs="宋体"/>
          <w:b/>
          <w:sz w:val="32"/>
          <w:szCs w:val="32"/>
        </w:rPr>
      </w:pPr>
      <w:r>
        <w:rPr>
          <w:rFonts w:hint="eastAsia" w:ascii="宋体" w:hAnsi="宋体" w:cs="宋体"/>
          <w:color w:val="auto"/>
          <w:szCs w:val="21"/>
          <w:highlight w:val="none"/>
        </w:rPr>
        <w:br w:type="page"/>
      </w:r>
      <w:r>
        <w:rPr>
          <w:rFonts w:hint="eastAsia" w:ascii="宋体" w:hAnsi="宋体" w:cs="宋体"/>
          <w:color w:val="auto"/>
          <w:szCs w:val="21"/>
          <w:highlight w:val="none"/>
        </w:rPr>
        <w:t xml:space="preserve"> </w:t>
      </w:r>
      <w:r>
        <w:rPr>
          <w:rFonts w:hint="eastAsia" w:ascii="宋体" w:hAnsi="宋体" w:cs="宋体"/>
          <w:b/>
          <w:sz w:val="32"/>
          <w:szCs w:val="32"/>
        </w:rPr>
        <w:t>贵港市政府采购项目投标资格承诺函</w:t>
      </w:r>
    </w:p>
    <w:p w14:paraId="63F422C9">
      <w:pPr>
        <w:widowControl/>
        <w:spacing w:line="360" w:lineRule="auto"/>
        <w:ind w:firstLine="420" w:firstLineChars="200"/>
        <w:jc w:val="left"/>
        <w:rPr>
          <w:rFonts w:ascii="宋体" w:hAnsi="宋体" w:cs="宋体"/>
          <w:kern w:val="0"/>
          <w:szCs w:val="21"/>
          <w:lang w:bidi="ar"/>
        </w:rPr>
      </w:pPr>
    </w:p>
    <w:p w14:paraId="3D12EA4B">
      <w:pPr>
        <w:widowControl/>
        <w:spacing w:line="360" w:lineRule="auto"/>
        <w:ind w:firstLine="480" w:firstLineChars="200"/>
        <w:jc w:val="left"/>
        <w:rPr>
          <w:rFonts w:ascii="宋体" w:hAnsi="宋体" w:cs="宋体"/>
          <w:sz w:val="24"/>
        </w:rPr>
      </w:pPr>
      <w:r>
        <w:rPr>
          <w:rFonts w:hint="eastAsia" w:ascii="宋体" w:hAnsi="宋体" w:cs="宋体"/>
          <w:kern w:val="0"/>
          <w:sz w:val="24"/>
          <w:lang w:bidi="ar"/>
        </w:rPr>
        <w:t xml:space="preserve">本公司郑重承诺，根据《中华人民共和国政府采购法》第二十二条的规定，本公司为参加政府采购活动的合格供应商。即本公司同时满足以下条件： </w:t>
      </w:r>
    </w:p>
    <w:p w14:paraId="52539AB2">
      <w:pPr>
        <w:widowControl/>
        <w:spacing w:line="360" w:lineRule="auto"/>
        <w:ind w:firstLine="480" w:firstLineChars="200"/>
        <w:jc w:val="left"/>
        <w:rPr>
          <w:rFonts w:ascii="宋体" w:hAnsi="宋体" w:cs="宋体"/>
          <w:sz w:val="24"/>
        </w:rPr>
      </w:pPr>
      <w:r>
        <w:rPr>
          <w:rFonts w:hint="eastAsia" w:ascii="宋体" w:hAnsi="宋体" w:cs="宋体"/>
          <w:kern w:val="0"/>
          <w:sz w:val="24"/>
          <w:lang w:bidi="ar"/>
        </w:rPr>
        <w:t xml:space="preserve">1.具有独立承担民事责任的能力。 </w:t>
      </w:r>
    </w:p>
    <w:p w14:paraId="5F3B9FC5">
      <w:pPr>
        <w:widowControl/>
        <w:spacing w:line="360" w:lineRule="auto"/>
        <w:ind w:firstLine="480" w:firstLineChars="200"/>
        <w:jc w:val="left"/>
        <w:rPr>
          <w:rFonts w:ascii="宋体" w:hAnsi="宋体" w:cs="宋体"/>
          <w:sz w:val="24"/>
        </w:rPr>
      </w:pPr>
      <w:r>
        <w:rPr>
          <w:rFonts w:hint="eastAsia" w:ascii="宋体" w:hAnsi="宋体" w:cs="宋体"/>
          <w:kern w:val="0"/>
          <w:sz w:val="24"/>
          <w:lang w:bidi="ar"/>
        </w:rPr>
        <w:t xml:space="preserve">2.具有良好的商业信誉和健全的财务会计制度。 </w:t>
      </w:r>
    </w:p>
    <w:p w14:paraId="78826B9C">
      <w:pPr>
        <w:widowControl/>
        <w:spacing w:line="360" w:lineRule="auto"/>
        <w:ind w:firstLine="480" w:firstLineChars="200"/>
        <w:jc w:val="left"/>
        <w:rPr>
          <w:rFonts w:ascii="宋体" w:hAnsi="宋体" w:cs="宋体"/>
          <w:sz w:val="24"/>
        </w:rPr>
      </w:pPr>
      <w:r>
        <w:rPr>
          <w:rFonts w:hint="eastAsia" w:ascii="宋体" w:hAnsi="宋体" w:cs="宋体"/>
          <w:kern w:val="0"/>
          <w:sz w:val="24"/>
          <w:lang w:bidi="ar"/>
        </w:rPr>
        <w:t xml:space="preserve">3.具有履行合同所必需的设备和专业技术能力。 </w:t>
      </w:r>
    </w:p>
    <w:p w14:paraId="4D39BEB5">
      <w:pPr>
        <w:widowControl/>
        <w:spacing w:line="360" w:lineRule="auto"/>
        <w:ind w:firstLine="480" w:firstLineChars="200"/>
        <w:jc w:val="left"/>
        <w:rPr>
          <w:rFonts w:ascii="宋体" w:hAnsi="宋体" w:cs="宋体"/>
          <w:sz w:val="24"/>
        </w:rPr>
      </w:pPr>
      <w:r>
        <w:rPr>
          <w:rFonts w:hint="eastAsia" w:ascii="宋体" w:hAnsi="宋体" w:cs="宋体"/>
          <w:kern w:val="0"/>
          <w:sz w:val="24"/>
          <w:lang w:bidi="ar"/>
        </w:rPr>
        <w:t xml:space="preserve">4.有依法缴纳税收和社会保障资金的良好记录。 </w:t>
      </w:r>
    </w:p>
    <w:p w14:paraId="23858AFA">
      <w:pPr>
        <w:widowControl/>
        <w:spacing w:line="360" w:lineRule="auto"/>
        <w:ind w:firstLine="480" w:firstLineChars="200"/>
        <w:jc w:val="left"/>
        <w:rPr>
          <w:rFonts w:ascii="宋体" w:hAnsi="宋体" w:cs="宋体"/>
          <w:sz w:val="24"/>
        </w:rPr>
      </w:pPr>
      <w:r>
        <w:rPr>
          <w:rFonts w:hint="eastAsia" w:ascii="宋体" w:hAnsi="宋体" w:cs="宋体"/>
          <w:kern w:val="0"/>
          <w:sz w:val="24"/>
          <w:lang w:bidi="ar"/>
        </w:rPr>
        <w:t xml:space="preserve">5. 提交响应文件截止日期前三年内，在经营活动中没有重大违法记录。 </w:t>
      </w:r>
    </w:p>
    <w:p w14:paraId="48570E70">
      <w:pPr>
        <w:widowControl/>
        <w:spacing w:line="360" w:lineRule="auto"/>
        <w:ind w:firstLine="480" w:firstLineChars="200"/>
        <w:jc w:val="left"/>
        <w:rPr>
          <w:rFonts w:ascii="宋体" w:hAnsi="宋体" w:cs="宋体"/>
          <w:kern w:val="0"/>
          <w:sz w:val="24"/>
          <w:lang w:bidi="ar"/>
        </w:rPr>
      </w:pPr>
      <w:r>
        <w:rPr>
          <w:rFonts w:hint="eastAsia" w:ascii="宋体" w:hAnsi="宋体" w:cs="宋体"/>
          <w:kern w:val="0"/>
          <w:sz w:val="24"/>
          <w:lang w:bidi="ar"/>
        </w:rPr>
        <w:t xml:space="preserve">本公司对上述承诺的真实性负责，并接受政府采购、税务、社会保障等监督管理部门、采购文件规定的资格审查机构、社会公众的监督和检查。如有虚假，将依法承担相应责任。 </w:t>
      </w:r>
    </w:p>
    <w:p w14:paraId="4AB4720F">
      <w:pPr>
        <w:widowControl/>
        <w:spacing w:line="360" w:lineRule="auto"/>
        <w:ind w:firstLine="480" w:firstLineChars="200"/>
        <w:jc w:val="left"/>
        <w:rPr>
          <w:rFonts w:ascii="宋体" w:hAnsi="宋体" w:cs="宋体"/>
          <w:kern w:val="0"/>
          <w:sz w:val="24"/>
          <w:lang w:bidi="ar"/>
        </w:rPr>
      </w:pPr>
    </w:p>
    <w:p w14:paraId="0CD9BCAF">
      <w:pPr>
        <w:widowControl/>
        <w:spacing w:line="360" w:lineRule="auto"/>
        <w:ind w:firstLine="480" w:firstLineChars="200"/>
        <w:jc w:val="left"/>
        <w:rPr>
          <w:rFonts w:ascii="宋体" w:hAnsi="宋体" w:cs="宋体"/>
          <w:kern w:val="0"/>
          <w:sz w:val="24"/>
          <w:lang w:bidi="ar"/>
        </w:rPr>
      </w:pPr>
    </w:p>
    <w:p w14:paraId="4FB60156">
      <w:pPr>
        <w:widowControl/>
        <w:spacing w:line="360" w:lineRule="auto"/>
        <w:jc w:val="center"/>
        <w:rPr>
          <w:rFonts w:ascii="宋体" w:hAnsi="宋体" w:cs="宋体"/>
          <w:sz w:val="24"/>
        </w:rPr>
      </w:pPr>
      <w:r>
        <w:rPr>
          <w:rFonts w:hint="eastAsia" w:ascii="宋体" w:hAnsi="宋体" w:cs="宋体"/>
          <w:kern w:val="0"/>
          <w:sz w:val="24"/>
          <w:lang w:bidi="ar"/>
        </w:rPr>
        <w:t xml:space="preserve">                                                     </w:t>
      </w:r>
    </w:p>
    <w:p w14:paraId="4A576A2C">
      <w:pPr>
        <w:widowControl/>
        <w:spacing w:line="360" w:lineRule="auto"/>
        <w:jc w:val="center"/>
        <w:rPr>
          <w:rFonts w:ascii="宋体" w:hAnsi="宋体" w:cs="宋体"/>
          <w:kern w:val="0"/>
          <w:sz w:val="24"/>
          <w:lang w:bidi="ar"/>
        </w:rPr>
      </w:pPr>
      <w:r>
        <w:rPr>
          <w:rFonts w:hint="eastAsia" w:ascii="宋体" w:hAnsi="宋体" w:cs="宋体"/>
          <w:kern w:val="0"/>
          <w:sz w:val="24"/>
          <w:lang w:bidi="ar"/>
        </w:rPr>
        <w:t xml:space="preserve">                             法定代表人（</w:t>
      </w:r>
      <w:r>
        <w:rPr>
          <w:rFonts w:hint="eastAsia"/>
          <w:sz w:val="24"/>
        </w:rPr>
        <w:t>签字或盖章</w:t>
      </w:r>
      <w:r>
        <w:rPr>
          <w:rFonts w:hint="eastAsia" w:ascii="宋体" w:hAnsi="宋体" w:cs="宋体"/>
          <w:kern w:val="0"/>
          <w:sz w:val="24"/>
          <w:lang w:bidi="ar"/>
        </w:rPr>
        <w:t xml:space="preserve">）：   </w:t>
      </w:r>
    </w:p>
    <w:p w14:paraId="253CDC19">
      <w:pPr>
        <w:autoSpaceDE w:val="0"/>
        <w:autoSpaceDN w:val="0"/>
        <w:spacing w:line="360" w:lineRule="exact"/>
        <w:ind w:left="4365" w:leftChars="1850" w:hanging="480" w:hangingChars="200"/>
        <w:rPr>
          <w:rFonts w:ascii="宋体" w:hAnsi="宋体" w:eastAsia="宋体" w:cs="宋体"/>
          <w:kern w:val="0"/>
          <w:sz w:val="24"/>
          <w:szCs w:val="24"/>
        </w:rPr>
      </w:pPr>
      <w:r>
        <w:rPr>
          <w:rFonts w:hint="eastAsia" w:ascii="宋体" w:hAnsi="宋体" w:cs="宋体"/>
          <w:kern w:val="0"/>
          <w:sz w:val="24"/>
          <w:lang w:bidi="ar"/>
        </w:rPr>
        <w:t xml:space="preserve">       </w:t>
      </w:r>
      <w:r>
        <w:rPr>
          <w:rFonts w:hint="eastAsia" w:ascii="宋体" w:hAnsi="宋体" w:eastAsia="宋体" w:cs="宋体"/>
          <w:kern w:val="0"/>
          <w:sz w:val="24"/>
          <w:szCs w:val="24"/>
        </w:rPr>
        <w:t>供应商名称（盖公章）：</w:t>
      </w:r>
    </w:p>
    <w:p w14:paraId="1B32FF25">
      <w:pPr>
        <w:widowControl/>
        <w:wordWrap w:val="0"/>
        <w:spacing w:line="360" w:lineRule="auto"/>
        <w:ind w:firstLine="2160" w:firstLineChars="900"/>
        <w:jc w:val="center"/>
        <w:rPr>
          <w:rFonts w:ascii="宋体" w:hAnsi="宋体" w:cs="宋体"/>
          <w:sz w:val="24"/>
        </w:rPr>
      </w:pPr>
      <w:r>
        <w:rPr>
          <w:rFonts w:hint="eastAsia" w:ascii="宋体" w:hAnsi="宋体" w:cs="宋体"/>
          <w:kern w:val="0"/>
          <w:sz w:val="24"/>
          <w:lang w:bidi="ar"/>
        </w:rPr>
        <w:t xml:space="preserve">日期：   年   月   日      </w:t>
      </w:r>
    </w:p>
    <w:p w14:paraId="116CA8C7">
      <w:pPr>
        <w:spacing w:line="320" w:lineRule="exact"/>
        <w:jc w:val="left"/>
        <w:rPr>
          <w:rFonts w:hint="eastAsia" w:ascii="宋体" w:hAnsi="宋体" w:cs="宋体"/>
          <w:color w:val="auto"/>
          <w:szCs w:val="21"/>
          <w:highlight w:val="none"/>
        </w:rPr>
      </w:pPr>
    </w:p>
    <w:p w14:paraId="6F507D48">
      <w:pPr>
        <w:wordWrap w:val="0"/>
        <w:spacing w:before="160" w:beforeLines="50" w:after="50" w:line="320" w:lineRule="exact"/>
        <w:ind w:right="482" w:firstLine="210" w:firstLineChars="100"/>
        <w:contextualSpacing/>
        <w:jc w:val="center"/>
        <w:rPr>
          <w:rFonts w:hint="eastAsia" w:ascii="宋体" w:hAnsi="宋体" w:cs="宋体"/>
          <w:color w:val="auto"/>
          <w:szCs w:val="21"/>
          <w:highlight w:val="none"/>
        </w:rPr>
      </w:pPr>
    </w:p>
    <w:p w14:paraId="0300447E">
      <w:pPr>
        <w:spacing w:line="32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供应商直接控股、管理关系信息表</w:t>
      </w:r>
    </w:p>
    <w:p w14:paraId="0E1D6EAD">
      <w:pPr>
        <w:snapToGrid w:val="0"/>
        <w:spacing w:before="160" w:beforeLines="50" w:after="50" w:line="360" w:lineRule="auto"/>
        <w:jc w:val="center"/>
        <w:rPr>
          <w:rFonts w:hint="eastAsia" w:ascii="宋体" w:hAnsi="宋体" w:cs="宋体"/>
          <w:b/>
          <w:color w:val="auto"/>
          <w:sz w:val="24"/>
          <w:highlight w:val="none"/>
        </w:rPr>
      </w:pPr>
    </w:p>
    <w:p w14:paraId="419C1427">
      <w:pPr>
        <w:spacing w:line="360" w:lineRule="auto"/>
        <w:contextualSpacing/>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供应商直接控股股东信息表</w:t>
      </w:r>
    </w:p>
    <w:p w14:paraId="5DC5468B">
      <w:pPr>
        <w:spacing w:line="360" w:lineRule="auto"/>
        <w:contextualSpacing/>
        <w:jc w:val="center"/>
        <w:rPr>
          <w:rFonts w:hint="eastAsia" w:ascii="宋体" w:hAnsi="宋体" w:cs="宋体"/>
          <w:b/>
          <w:color w:val="auto"/>
          <w:sz w:val="24"/>
          <w:highlight w:val="none"/>
        </w:rPr>
      </w:pPr>
    </w:p>
    <w:tbl>
      <w:tblPr>
        <w:tblStyle w:val="16"/>
        <w:tblW w:w="10147" w:type="dxa"/>
        <w:jc w:val="center"/>
        <w:shd w:val="clear" w:color="auto" w:fill="FBFBFB"/>
        <w:tblLayout w:type="fixed"/>
        <w:tblCellMar>
          <w:top w:w="0" w:type="dxa"/>
          <w:left w:w="0" w:type="dxa"/>
          <w:bottom w:w="0" w:type="dxa"/>
          <w:right w:w="0" w:type="dxa"/>
        </w:tblCellMar>
      </w:tblPr>
      <w:tblGrid>
        <w:gridCol w:w="880"/>
        <w:gridCol w:w="2655"/>
        <w:gridCol w:w="1574"/>
        <w:gridCol w:w="4168"/>
        <w:gridCol w:w="870"/>
      </w:tblGrid>
      <w:tr w14:paraId="41F202FE">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60F15C9">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CC55108">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57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FE6BA26">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416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C283938">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C4F7745">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03B7830A">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866CF5D">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45E4932">
            <w:pPr>
              <w:widowControl/>
              <w:spacing w:line="360" w:lineRule="auto"/>
              <w:contextualSpacing/>
              <w:jc w:val="center"/>
              <w:rPr>
                <w:rFonts w:hint="eastAsia" w:ascii="宋体" w:hAnsi="宋体" w:cs="宋体"/>
                <w:color w:val="auto"/>
                <w:kern w:val="0"/>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69949D3">
            <w:pPr>
              <w:widowControl/>
              <w:spacing w:line="360" w:lineRule="auto"/>
              <w:contextualSpacing/>
              <w:jc w:val="center"/>
              <w:rPr>
                <w:rFonts w:hint="eastAsia" w:ascii="宋体" w:hAnsi="宋体" w:cs="宋体"/>
                <w:color w:val="auto"/>
                <w:kern w:val="0"/>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9855410">
            <w:pPr>
              <w:widowControl/>
              <w:spacing w:line="360" w:lineRule="auto"/>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B7ADCE5">
            <w:pPr>
              <w:widowControl/>
              <w:spacing w:line="360" w:lineRule="auto"/>
              <w:contextualSpacing/>
              <w:jc w:val="center"/>
              <w:rPr>
                <w:rFonts w:hint="eastAsia" w:ascii="宋体" w:hAnsi="宋体" w:cs="宋体"/>
                <w:color w:val="auto"/>
                <w:kern w:val="0"/>
                <w:sz w:val="24"/>
                <w:highlight w:val="none"/>
              </w:rPr>
            </w:pPr>
          </w:p>
        </w:tc>
      </w:tr>
      <w:tr w14:paraId="28CBB001">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45BF256">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7049710">
            <w:pPr>
              <w:widowControl/>
              <w:spacing w:line="360" w:lineRule="auto"/>
              <w:contextualSpacing/>
              <w:jc w:val="center"/>
              <w:rPr>
                <w:rFonts w:hint="eastAsia" w:ascii="宋体" w:hAnsi="宋体" w:cs="宋体"/>
                <w:color w:val="auto"/>
                <w:kern w:val="0"/>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A2BDB2E">
            <w:pPr>
              <w:widowControl/>
              <w:spacing w:line="360" w:lineRule="auto"/>
              <w:contextualSpacing/>
              <w:jc w:val="center"/>
              <w:rPr>
                <w:rFonts w:hint="eastAsia" w:ascii="宋体" w:hAnsi="宋体" w:cs="宋体"/>
                <w:color w:val="auto"/>
                <w:kern w:val="0"/>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AB23501">
            <w:pPr>
              <w:widowControl/>
              <w:spacing w:line="360" w:lineRule="auto"/>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3339C6A">
            <w:pPr>
              <w:widowControl/>
              <w:spacing w:line="360" w:lineRule="auto"/>
              <w:contextualSpacing/>
              <w:jc w:val="center"/>
              <w:rPr>
                <w:rFonts w:hint="eastAsia" w:ascii="宋体" w:hAnsi="宋体" w:cs="宋体"/>
                <w:color w:val="auto"/>
                <w:kern w:val="0"/>
                <w:sz w:val="24"/>
                <w:highlight w:val="none"/>
              </w:rPr>
            </w:pPr>
          </w:p>
        </w:tc>
      </w:tr>
      <w:tr w14:paraId="3CEA199F">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6FECD35">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A55B0AB">
            <w:pPr>
              <w:widowControl/>
              <w:spacing w:line="360" w:lineRule="auto"/>
              <w:contextualSpacing/>
              <w:jc w:val="center"/>
              <w:rPr>
                <w:rFonts w:hint="eastAsia" w:ascii="宋体" w:hAnsi="宋体" w:cs="宋体"/>
                <w:color w:val="auto"/>
                <w:kern w:val="0"/>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BEF0AE6">
            <w:pPr>
              <w:widowControl/>
              <w:spacing w:line="360" w:lineRule="auto"/>
              <w:contextualSpacing/>
              <w:jc w:val="center"/>
              <w:rPr>
                <w:rFonts w:hint="eastAsia" w:ascii="宋体" w:hAnsi="宋体" w:cs="宋体"/>
                <w:color w:val="auto"/>
                <w:kern w:val="0"/>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D9B1A6C">
            <w:pPr>
              <w:widowControl/>
              <w:spacing w:line="360" w:lineRule="auto"/>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725FB7E">
            <w:pPr>
              <w:widowControl/>
              <w:spacing w:line="360" w:lineRule="auto"/>
              <w:contextualSpacing/>
              <w:jc w:val="center"/>
              <w:rPr>
                <w:rFonts w:hint="eastAsia" w:ascii="宋体" w:hAnsi="宋体" w:cs="宋体"/>
                <w:color w:val="auto"/>
                <w:kern w:val="0"/>
                <w:sz w:val="24"/>
                <w:highlight w:val="none"/>
              </w:rPr>
            </w:pPr>
          </w:p>
        </w:tc>
      </w:tr>
      <w:tr w14:paraId="366F135F">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9A76517">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6FFEA76">
            <w:pPr>
              <w:widowControl/>
              <w:spacing w:line="360" w:lineRule="auto"/>
              <w:contextualSpacing/>
              <w:jc w:val="center"/>
              <w:rPr>
                <w:rFonts w:hint="eastAsia" w:ascii="宋体" w:hAnsi="宋体" w:cs="宋体"/>
                <w:color w:val="auto"/>
                <w:kern w:val="0"/>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9760D25">
            <w:pPr>
              <w:widowControl/>
              <w:spacing w:line="360" w:lineRule="auto"/>
              <w:contextualSpacing/>
              <w:jc w:val="center"/>
              <w:rPr>
                <w:rFonts w:hint="eastAsia" w:ascii="宋体" w:hAnsi="宋体" w:cs="宋体"/>
                <w:color w:val="auto"/>
                <w:kern w:val="0"/>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41F0AD1">
            <w:pPr>
              <w:widowControl/>
              <w:spacing w:line="360" w:lineRule="auto"/>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1D0D72C">
            <w:pPr>
              <w:widowControl/>
              <w:spacing w:line="360" w:lineRule="auto"/>
              <w:contextualSpacing/>
              <w:jc w:val="center"/>
              <w:rPr>
                <w:rFonts w:hint="eastAsia" w:ascii="宋体" w:hAnsi="宋体" w:cs="宋体"/>
                <w:color w:val="auto"/>
                <w:kern w:val="0"/>
                <w:sz w:val="24"/>
                <w:highlight w:val="none"/>
              </w:rPr>
            </w:pPr>
          </w:p>
        </w:tc>
      </w:tr>
    </w:tbl>
    <w:p w14:paraId="4B1AD4B1">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4F5D7BEB">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BC345BB">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04B88D17">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3.供应商不存在直接控股股东的，则在“直接控股股东名称”中填“无”。</w:t>
      </w:r>
    </w:p>
    <w:p w14:paraId="6370FFDD">
      <w:pPr>
        <w:spacing w:line="360" w:lineRule="auto"/>
        <w:ind w:firstLine="420" w:firstLineChars="200"/>
        <w:contextualSpacing/>
        <w:jc w:val="left"/>
        <w:rPr>
          <w:rFonts w:hint="eastAsia" w:ascii="宋体" w:hAnsi="宋体" w:cs="宋体"/>
          <w:color w:val="auto"/>
          <w:szCs w:val="21"/>
          <w:highlight w:val="none"/>
        </w:rPr>
      </w:pPr>
    </w:p>
    <w:p w14:paraId="4B584112">
      <w:pPr>
        <w:spacing w:line="360" w:lineRule="auto"/>
        <w:ind w:firstLine="560" w:firstLineChars="200"/>
        <w:contextualSpacing/>
        <w:jc w:val="left"/>
        <w:rPr>
          <w:rFonts w:hint="eastAsia" w:ascii="宋体" w:hAnsi="宋体" w:cs="宋体"/>
          <w:color w:val="auto"/>
          <w:sz w:val="28"/>
          <w:szCs w:val="28"/>
          <w:highlight w:val="none"/>
        </w:rPr>
      </w:pPr>
    </w:p>
    <w:p w14:paraId="74EB9D8A">
      <w:pPr>
        <w:spacing w:line="360" w:lineRule="auto"/>
        <w:ind w:right="-817" w:rightChars="-389"/>
        <w:contextualSpacing/>
        <w:jc w:val="center"/>
        <w:rPr>
          <w:rFonts w:hint="eastAsia" w:ascii="宋体" w:hAnsi="宋体" w:cs="宋体"/>
          <w:color w:val="auto"/>
          <w:sz w:val="24"/>
          <w:highlight w:val="none"/>
        </w:rPr>
      </w:pPr>
      <w:r>
        <w:rPr>
          <w:rFonts w:hint="eastAsia" w:ascii="宋体" w:hAnsi="宋体" w:cs="宋体"/>
          <w:color w:val="auto"/>
          <w:sz w:val="24"/>
          <w:highlight w:val="none"/>
        </w:rPr>
        <w:t xml:space="preserve">        法定代表人或者委托代理人（签字或盖章或电子签名）：</w:t>
      </w:r>
    </w:p>
    <w:p w14:paraId="443283CF">
      <w:pPr>
        <w:spacing w:line="360" w:lineRule="auto"/>
        <w:ind w:right="480" w:firstLine="3000" w:firstLineChars="1250"/>
        <w:contextualSpacing/>
        <w:rPr>
          <w:rFonts w:hint="eastAsia" w:ascii="宋体" w:hAnsi="宋体" w:cs="宋体"/>
          <w:color w:val="auto"/>
          <w:sz w:val="24"/>
          <w:highlight w:val="none"/>
          <w:u w:val="single"/>
        </w:rPr>
      </w:pPr>
      <w:r>
        <w:rPr>
          <w:rFonts w:hint="eastAsia" w:ascii="宋体" w:hAnsi="宋体" w:cs="宋体"/>
          <w:color w:val="auto"/>
          <w:sz w:val="24"/>
          <w:highlight w:val="none"/>
        </w:rPr>
        <w:t>供应商（公章或电子签章）：</w:t>
      </w:r>
    </w:p>
    <w:p w14:paraId="22427DCE">
      <w:pPr>
        <w:spacing w:line="360" w:lineRule="auto"/>
        <w:ind w:firstLine="480" w:firstLineChars="200"/>
        <w:contextualSpacing/>
        <w:jc w:val="right"/>
        <w:rPr>
          <w:rFonts w:hint="eastAsia" w:ascii="宋体" w:hAnsi="宋体" w:cs="宋体"/>
          <w:color w:val="auto"/>
          <w:sz w:val="28"/>
          <w:szCs w:val="28"/>
          <w:highlight w:val="none"/>
        </w:rPr>
      </w:pPr>
      <w:r>
        <w:rPr>
          <w:rFonts w:hint="eastAsia" w:ascii="宋体" w:hAnsi="宋体" w:cs="宋体"/>
          <w:color w:val="auto"/>
          <w:sz w:val="24"/>
          <w:highlight w:val="none"/>
        </w:rPr>
        <w:t>年    月    日</w:t>
      </w:r>
    </w:p>
    <w:p w14:paraId="6DF02A6C">
      <w:pPr>
        <w:snapToGrid w:val="0"/>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br w:type="page"/>
      </w:r>
    </w:p>
    <w:p w14:paraId="10455D51">
      <w:pPr>
        <w:spacing w:line="32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供应商直接管理关系信息表</w:t>
      </w:r>
    </w:p>
    <w:p w14:paraId="4162F39A">
      <w:pPr>
        <w:snapToGrid w:val="0"/>
        <w:spacing w:line="360" w:lineRule="auto"/>
        <w:jc w:val="center"/>
        <w:rPr>
          <w:rFonts w:hint="eastAsia" w:ascii="宋体" w:hAnsi="宋体" w:cs="宋体"/>
          <w:b/>
          <w:color w:val="auto"/>
          <w:sz w:val="24"/>
          <w:highlight w:val="none"/>
        </w:rPr>
      </w:pPr>
    </w:p>
    <w:tbl>
      <w:tblPr>
        <w:tblStyle w:val="16"/>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3BB60C28">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1DFFB93">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0E368E2">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B0BD430">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E708C03">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2337605D">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CBEDA8E">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90DCFAA">
            <w:pPr>
              <w:widowControl/>
              <w:spacing w:line="360" w:lineRule="auto"/>
              <w:contextualSpacing/>
              <w:jc w:val="center"/>
              <w:rPr>
                <w:rFonts w:hint="eastAsia"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66228C9">
            <w:pPr>
              <w:widowControl/>
              <w:spacing w:line="360" w:lineRule="auto"/>
              <w:contextualSpacing/>
              <w:jc w:val="center"/>
              <w:rPr>
                <w:rFonts w:hint="eastAsia"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75727F7">
            <w:pPr>
              <w:widowControl/>
              <w:spacing w:line="360" w:lineRule="auto"/>
              <w:contextualSpacing/>
              <w:jc w:val="center"/>
              <w:rPr>
                <w:rFonts w:hint="eastAsia" w:ascii="宋体" w:hAnsi="宋体" w:cs="宋体"/>
                <w:color w:val="auto"/>
                <w:kern w:val="0"/>
                <w:sz w:val="24"/>
                <w:highlight w:val="none"/>
              </w:rPr>
            </w:pPr>
          </w:p>
        </w:tc>
      </w:tr>
      <w:tr w14:paraId="05238451">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828E25E">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D5AE334">
            <w:pPr>
              <w:widowControl/>
              <w:spacing w:line="360" w:lineRule="auto"/>
              <w:contextualSpacing/>
              <w:jc w:val="center"/>
              <w:rPr>
                <w:rFonts w:hint="eastAsia"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49857FB">
            <w:pPr>
              <w:widowControl/>
              <w:spacing w:line="360" w:lineRule="auto"/>
              <w:contextualSpacing/>
              <w:jc w:val="center"/>
              <w:rPr>
                <w:rFonts w:hint="eastAsia"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39F27BF">
            <w:pPr>
              <w:widowControl/>
              <w:spacing w:line="360" w:lineRule="auto"/>
              <w:contextualSpacing/>
              <w:jc w:val="center"/>
              <w:rPr>
                <w:rFonts w:hint="eastAsia" w:ascii="宋体" w:hAnsi="宋体" w:cs="宋体"/>
                <w:color w:val="auto"/>
                <w:kern w:val="0"/>
                <w:sz w:val="24"/>
                <w:highlight w:val="none"/>
              </w:rPr>
            </w:pPr>
          </w:p>
        </w:tc>
      </w:tr>
      <w:tr w14:paraId="33F01803">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952DDF0">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1731241">
            <w:pPr>
              <w:widowControl/>
              <w:spacing w:line="360" w:lineRule="auto"/>
              <w:contextualSpacing/>
              <w:jc w:val="center"/>
              <w:rPr>
                <w:rFonts w:hint="eastAsia"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EA3DDA8">
            <w:pPr>
              <w:widowControl/>
              <w:spacing w:line="360" w:lineRule="auto"/>
              <w:contextualSpacing/>
              <w:jc w:val="center"/>
              <w:rPr>
                <w:rFonts w:hint="eastAsia"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7C13E03">
            <w:pPr>
              <w:widowControl/>
              <w:spacing w:line="360" w:lineRule="auto"/>
              <w:contextualSpacing/>
              <w:jc w:val="center"/>
              <w:rPr>
                <w:rFonts w:hint="eastAsia" w:ascii="宋体" w:hAnsi="宋体" w:cs="宋体"/>
                <w:color w:val="auto"/>
                <w:kern w:val="0"/>
                <w:sz w:val="24"/>
                <w:highlight w:val="none"/>
              </w:rPr>
            </w:pPr>
          </w:p>
        </w:tc>
      </w:tr>
      <w:tr w14:paraId="664EFD8E">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697B988">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59B0D95">
            <w:pPr>
              <w:widowControl/>
              <w:spacing w:line="360" w:lineRule="auto"/>
              <w:contextualSpacing/>
              <w:jc w:val="center"/>
              <w:rPr>
                <w:rFonts w:hint="eastAsia"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2BD69C0">
            <w:pPr>
              <w:widowControl/>
              <w:spacing w:line="360" w:lineRule="auto"/>
              <w:contextualSpacing/>
              <w:jc w:val="center"/>
              <w:rPr>
                <w:rFonts w:hint="eastAsia"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C332CE1">
            <w:pPr>
              <w:widowControl/>
              <w:spacing w:line="360" w:lineRule="auto"/>
              <w:contextualSpacing/>
              <w:jc w:val="center"/>
              <w:rPr>
                <w:rFonts w:hint="eastAsia" w:ascii="宋体" w:hAnsi="宋体" w:cs="宋体"/>
                <w:color w:val="auto"/>
                <w:kern w:val="0"/>
                <w:sz w:val="24"/>
                <w:highlight w:val="none"/>
              </w:rPr>
            </w:pPr>
          </w:p>
        </w:tc>
      </w:tr>
    </w:tbl>
    <w:p w14:paraId="6ED17B4B">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6B3DF0B9">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1.管理关系：是指不具有出资持股关系的其他单位之间存在的管理与被管理关系，如一些上下级关系的事业单位和团体组织。</w:t>
      </w:r>
    </w:p>
    <w:p w14:paraId="4EAA5FF2">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pacing w:val="-6"/>
          <w:sz w:val="24"/>
          <w:highlight w:val="none"/>
        </w:rPr>
        <w:t>本表所指的管理关系仅限于直接管理关系，不包括间接的管理关系。</w:t>
      </w:r>
    </w:p>
    <w:p w14:paraId="7CE49095">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3.供应商不存在直接管理关系的，则在“直接管理关系单位名称”中填“无”。</w:t>
      </w:r>
    </w:p>
    <w:p w14:paraId="63DE8134">
      <w:pPr>
        <w:spacing w:line="360" w:lineRule="auto"/>
        <w:contextualSpacing/>
        <w:jc w:val="left"/>
        <w:rPr>
          <w:rFonts w:hint="eastAsia" w:ascii="宋体" w:hAnsi="宋体" w:cs="宋体"/>
          <w:color w:val="auto"/>
          <w:sz w:val="28"/>
          <w:szCs w:val="28"/>
          <w:highlight w:val="none"/>
        </w:rPr>
      </w:pPr>
    </w:p>
    <w:p w14:paraId="36C4717C">
      <w:pPr>
        <w:spacing w:line="360" w:lineRule="auto"/>
        <w:contextualSpacing/>
        <w:jc w:val="left"/>
        <w:rPr>
          <w:rFonts w:hint="eastAsia" w:ascii="宋体" w:hAnsi="宋体" w:cs="宋体"/>
          <w:color w:val="auto"/>
          <w:sz w:val="28"/>
          <w:szCs w:val="28"/>
          <w:highlight w:val="none"/>
        </w:rPr>
      </w:pPr>
    </w:p>
    <w:p w14:paraId="7A3188D6">
      <w:pPr>
        <w:spacing w:line="360" w:lineRule="auto"/>
        <w:contextualSpacing/>
        <w:jc w:val="left"/>
        <w:rPr>
          <w:rFonts w:hint="eastAsia" w:ascii="宋体" w:hAnsi="宋体" w:cs="宋体"/>
          <w:color w:val="auto"/>
          <w:sz w:val="28"/>
          <w:szCs w:val="28"/>
          <w:highlight w:val="none"/>
        </w:rPr>
      </w:pPr>
    </w:p>
    <w:p w14:paraId="6D2E9A0A">
      <w:pPr>
        <w:spacing w:line="360" w:lineRule="auto"/>
        <w:contextualSpacing/>
        <w:jc w:val="left"/>
        <w:rPr>
          <w:rFonts w:hint="eastAsia" w:ascii="宋体" w:hAnsi="宋体" w:cs="宋体"/>
          <w:color w:val="auto"/>
          <w:sz w:val="28"/>
          <w:szCs w:val="28"/>
          <w:highlight w:val="none"/>
        </w:rPr>
      </w:pPr>
    </w:p>
    <w:p w14:paraId="3C1097E2">
      <w:pPr>
        <w:spacing w:line="360" w:lineRule="auto"/>
        <w:contextualSpacing/>
        <w:jc w:val="left"/>
        <w:rPr>
          <w:rFonts w:hint="eastAsia" w:ascii="宋体" w:hAnsi="宋体" w:cs="宋体"/>
          <w:color w:val="auto"/>
          <w:sz w:val="28"/>
          <w:szCs w:val="28"/>
          <w:highlight w:val="none"/>
        </w:rPr>
      </w:pPr>
    </w:p>
    <w:p w14:paraId="63321B16">
      <w:pPr>
        <w:spacing w:line="360" w:lineRule="auto"/>
        <w:contextualSpacing/>
        <w:jc w:val="left"/>
        <w:rPr>
          <w:rFonts w:hint="eastAsia" w:ascii="宋体" w:hAnsi="宋体" w:cs="宋体"/>
          <w:color w:val="auto"/>
          <w:sz w:val="28"/>
          <w:szCs w:val="28"/>
          <w:highlight w:val="none"/>
        </w:rPr>
      </w:pPr>
    </w:p>
    <w:p w14:paraId="459478F6">
      <w:pPr>
        <w:spacing w:line="360" w:lineRule="auto"/>
        <w:ind w:right="480"/>
        <w:contextualSpacing/>
        <w:jc w:val="center"/>
        <w:rPr>
          <w:rFonts w:hint="eastAsia" w:ascii="宋体" w:hAnsi="宋体" w:cs="宋体"/>
          <w:color w:val="auto"/>
          <w:sz w:val="24"/>
          <w:highlight w:val="none"/>
          <w:u w:val="single"/>
        </w:rPr>
      </w:pPr>
      <w:r>
        <w:rPr>
          <w:rFonts w:hint="eastAsia" w:ascii="宋体" w:hAnsi="宋体" w:cs="宋体"/>
          <w:color w:val="auto"/>
          <w:sz w:val="24"/>
          <w:highlight w:val="none"/>
        </w:rPr>
        <w:t xml:space="preserve">              法定代表人或者委托代理人（签字或盖章或电子签名）：</w:t>
      </w:r>
      <w:r>
        <w:rPr>
          <w:rFonts w:hint="eastAsia" w:ascii="宋体" w:hAnsi="宋体" w:cs="宋体"/>
          <w:color w:val="auto"/>
          <w:sz w:val="24"/>
          <w:highlight w:val="none"/>
          <w:u w:val="single"/>
        </w:rPr>
        <w:t xml:space="preserve">                   </w:t>
      </w:r>
    </w:p>
    <w:p w14:paraId="2D98A2CF">
      <w:pPr>
        <w:spacing w:line="360" w:lineRule="auto"/>
        <w:ind w:right="480" w:firstLine="3360" w:firstLineChars="1400"/>
        <w:contextualSpacing/>
        <w:rPr>
          <w:rFonts w:hint="eastAsia" w:ascii="宋体" w:hAnsi="宋体" w:cs="宋体"/>
          <w:color w:val="auto"/>
          <w:sz w:val="24"/>
          <w:highlight w:val="none"/>
        </w:rPr>
      </w:pPr>
      <w:r>
        <w:rPr>
          <w:rFonts w:hint="eastAsia" w:ascii="宋体" w:hAnsi="宋体" w:cs="宋体"/>
          <w:color w:val="auto"/>
          <w:sz w:val="24"/>
          <w:highlight w:val="none"/>
        </w:rPr>
        <w:t>供应商（电子签章）：</w:t>
      </w:r>
      <w:r>
        <w:rPr>
          <w:rFonts w:hint="eastAsia" w:ascii="宋体" w:hAnsi="宋体" w:cs="宋体"/>
          <w:color w:val="auto"/>
          <w:sz w:val="24"/>
          <w:highlight w:val="none"/>
          <w:u w:val="single"/>
        </w:rPr>
        <w:t xml:space="preserve">                </w:t>
      </w:r>
    </w:p>
    <w:p w14:paraId="37B77891">
      <w:pPr>
        <w:spacing w:line="360" w:lineRule="auto"/>
        <w:ind w:firstLine="480" w:firstLineChars="200"/>
        <w:contextualSpacing/>
        <w:jc w:val="left"/>
        <w:rPr>
          <w:rFonts w:hint="eastAsia" w:ascii="宋体" w:hAnsi="宋体" w:cs="宋体"/>
          <w:color w:val="auto"/>
          <w:sz w:val="28"/>
          <w:szCs w:val="28"/>
          <w:highlight w:val="none"/>
        </w:rPr>
      </w:pPr>
      <w:r>
        <w:rPr>
          <w:rFonts w:hint="eastAsia" w:ascii="宋体" w:hAnsi="宋体" w:cs="宋体"/>
          <w:color w:val="auto"/>
          <w:sz w:val="24"/>
          <w:highlight w:val="none"/>
        </w:rPr>
        <w:t xml:space="preserve">                                        年    月    日</w:t>
      </w:r>
    </w:p>
    <w:p w14:paraId="158CE539">
      <w:pPr>
        <w:spacing w:line="320" w:lineRule="exact"/>
        <w:jc w:val="center"/>
        <w:rPr>
          <w:rFonts w:hint="eastAsia" w:ascii="宋体" w:hAnsi="宋体" w:cs="宋体"/>
          <w:b/>
          <w:color w:val="auto"/>
          <w:sz w:val="32"/>
          <w:szCs w:val="32"/>
          <w:highlight w:val="none"/>
        </w:rPr>
      </w:pPr>
      <w:r>
        <w:rPr>
          <w:rFonts w:hint="eastAsia" w:ascii="宋体" w:hAnsi="宋体" w:cs="宋体"/>
          <w:color w:val="auto"/>
          <w:sz w:val="28"/>
          <w:szCs w:val="28"/>
          <w:highlight w:val="none"/>
        </w:rPr>
        <w:br w:type="page"/>
      </w:r>
      <w:r>
        <w:rPr>
          <w:rFonts w:hint="eastAsia" w:ascii="宋体" w:hAnsi="宋体" w:cs="宋体"/>
          <w:b/>
          <w:color w:val="auto"/>
          <w:sz w:val="32"/>
          <w:szCs w:val="32"/>
          <w:highlight w:val="none"/>
        </w:rPr>
        <w:t>竞标声明</w:t>
      </w:r>
    </w:p>
    <w:p w14:paraId="4F953616">
      <w:pPr>
        <w:spacing w:line="320" w:lineRule="exact"/>
        <w:jc w:val="center"/>
        <w:rPr>
          <w:rFonts w:hint="eastAsia" w:ascii="宋体" w:hAnsi="宋体" w:cs="宋体"/>
          <w:color w:val="auto"/>
          <w:sz w:val="24"/>
          <w:szCs w:val="20"/>
          <w:highlight w:val="none"/>
        </w:rPr>
      </w:pPr>
    </w:p>
    <w:p w14:paraId="723BB16E">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0325D288">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799E78A6">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2D6E38D7">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33173FC8">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2.我方不是为本次采购项目提供整体设计、规范编制或者项目管理、监理、检测等服务的供应商。</w:t>
      </w:r>
    </w:p>
    <w:p w14:paraId="3DD1FD8A">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3.在此，我方宣布同意如下：</w:t>
      </w:r>
    </w:p>
    <w:p w14:paraId="50DABB2B">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184CBD9E">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6D1198A1">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4C2B906C">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（4）响应磋商文件规定的竞标有效期。</w:t>
      </w:r>
    </w:p>
    <w:p w14:paraId="63F79E3C">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629C757E">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14:paraId="55DDA4F1">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739A36B7">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2FE049AE">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7B336D30">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5E29374D">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（6）法律、行政法规规定的其他条件。</w:t>
      </w:r>
    </w:p>
    <w:p w14:paraId="2E1F7E21">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84BE23A">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6DD9D132">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390ED710">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1A3339BD">
      <w:pPr>
        <w:pStyle w:val="12"/>
        <w:spacing w:line="360" w:lineRule="auto"/>
        <w:ind w:firstLine="480" w:firstLineChars="200"/>
        <w:contextualSpacing/>
        <w:rPr>
          <w:rFonts w:hint="eastAsia"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5422B92A">
      <w:pPr>
        <w:pStyle w:val="12"/>
        <w:spacing w:line="360" w:lineRule="auto"/>
        <w:ind w:firstLine="480" w:firstLineChars="200"/>
        <w:contextualSpacing/>
        <w:rPr>
          <w:rFonts w:hint="eastAsia"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w:t>
      </w:r>
      <w:r>
        <w:rPr>
          <w:rFonts w:hint="eastAsia" w:hAnsi="宋体" w:cs="宋体"/>
          <w:color w:val="auto"/>
          <w:sz w:val="24"/>
          <w:szCs w:val="24"/>
          <w:highlight w:val="none"/>
          <w:lang w:eastAsia="zh-CN"/>
        </w:rPr>
        <w:t>邮箱</w:t>
      </w:r>
      <w:r>
        <w:rPr>
          <w:rFonts w:hint="eastAsia" w:hAnsi="宋体" w:cs="宋体"/>
          <w:color w:val="auto"/>
          <w:sz w:val="24"/>
          <w:szCs w:val="24"/>
          <w:highlight w:val="none"/>
        </w:rPr>
        <w:t>：</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3CCFC71B">
      <w:pPr>
        <w:pStyle w:val="11"/>
        <w:tabs>
          <w:tab w:val="left" w:pos="939"/>
        </w:tabs>
        <w:spacing w:line="360" w:lineRule="auto"/>
        <w:ind w:left="141" w:leftChars="67" w:firstLine="360" w:firstLineChars="150"/>
        <w:rPr>
          <w:rFonts w:hint="eastAsia"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账号：</w:t>
      </w:r>
      <w:r>
        <w:rPr>
          <w:rFonts w:hint="eastAsia" w:ascii="宋体" w:hAnsi="宋体" w:cs="宋体"/>
          <w:color w:val="auto"/>
          <w:sz w:val="24"/>
          <w:highlight w:val="none"/>
          <w:u w:val="single"/>
        </w:rPr>
        <w:t xml:space="preserve">                               </w:t>
      </w:r>
    </w:p>
    <w:p w14:paraId="6941DEE5">
      <w:pPr>
        <w:pStyle w:val="11"/>
        <w:tabs>
          <w:tab w:val="left" w:pos="939"/>
        </w:tabs>
        <w:spacing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1E6298E5">
      <w:pPr>
        <w:pStyle w:val="11"/>
        <w:tabs>
          <w:tab w:val="left" w:pos="939"/>
        </w:tabs>
        <w:spacing w:line="360" w:lineRule="auto"/>
        <w:ind w:left="141" w:leftChars="67" w:firstLine="360" w:firstLineChars="150"/>
        <w:rPr>
          <w:rFonts w:hint="eastAsia" w:ascii="宋体" w:hAnsi="宋体" w:cs="宋体"/>
          <w:color w:val="auto"/>
          <w:sz w:val="24"/>
          <w:highlight w:val="none"/>
        </w:rPr>
      </w:pPr>
      <w:r>
        <w:rPr>
          <w:rFonts w:hint="eastAsia" w:ascii="宋体" w:hAnsi="宋体" w:cs="宋体"/>
          <w:color w:val="auto"/>
          <w:sz w:val="24"/>
          <w:highlight w:val="none"/>
        </w:rPr>
        <w:t>特此承诺。</w:t>
      </w:r>
    </w:p>
    <w:p w14:paraId="0258D9AF">
      <w:pPr>
        <w:spacing w:line="360" w:lineRule="auto"/>
        <w:contextualSpacing/>
        <w:jc w:val="left"/>
        <w:rPr>
          <w:rFonts w:hint="eastAsia" w:ascii="宋体" w:hAnsi="宋体" w:cs="宋体"/>
          <w:b/>
          <w:color w:val="auto"/>
          <w:sz w:val="24"/>
          <w:highlight w:val="none"/>
        </w:rPr>
      </w:pPr>
      <w:r>
        <w:rPr>
          <w:rFonts w:hint="eastAsia" w:ascii="宋体" w:hAnsi="宋体" w:cs="宋体"/>
          <w:b/>
          <w:color w:val="auto"/>
          <w:sz w:val="24"/>
          <w:highlight w:val="none"/>
        </w:rPr>
        <w:t>注：如为联合体竞标，盖章处须加盖联合体牵头人电子签章并由联合体牵头人法定代表人分别签字或者盖章或者电子签名，否则响应文件按无效处理。</w:t>
      </w:r>
    </w:p>
    <w:p w14:paraId="163DAB92">
      <w:pPr>
        <w:spacing w:line="360" w:lineRule="auto"/>
        <w:contextualSpacing/>
        <w:jc w:val="left"/>
        <w:rPr>
          <w:rFonts w:hint="eastAsia" w:ascii="宋体" w:hAnsi="宋体" w:cs="宋体"/>
          <w:color w:val="auto"/>
          <w:szCs w:val="21"/>
          <w:highlight w:val="none"/>
        </w:rPr>
      </w:pPr>
    </w:p>
    <w:p w14:paraId="3A35CDC3">
      <w:pPr>
        <w:spacing w:line="360" w:lineRule="auto"/>
        <w:ind w:right="-817" w:rightChars="-389"/>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法定代表人（签字或盖章或电子签名）：</w:t>
      </w:r>
    </w:p>
    <w:p w14:paraId="3241B661">
      <w:pPr>
        <w:spacing w:line="360" w:lineRule="auto"/>
        <w:ind w:firstLine="4320" w:firstLineChars="1800"/>
        <w:contextualSpacing/>
        <w:rPr>
          <w:rFonts w:hint="eastAsia" w:ascii="宋体" w:hAnsi="宋体" w:cs="宋体"/>
          <w:color w:val="auto"/>
          <w:szCs w:val="21"/>
          <w:highlight w:val="none"/>
          <w:u w:val="single"/>
        </w:rPr>
      </w:pPr>
      <w:r>
        <w:rPr>
          <w:rFonts w:hint="eastAsia" w:ascii="宋体" w:hAnsi="宋体" w:cs="宋体"/>
          <w:color w:val="auto"/>
          <w:sz w:val="24"/>
          <w:highlight w:val="none"/>
        </w:rPr>
        <w:t>供应商（公章或电子签章）：</w:t>
      </w:r>
      <w:r>
        <w:rPr>
          <w:rFonts w:hint="eastAsia" w:ascii="宋体" w:hAnsi="宋体" w:cs="宋体"/>
          <w:color w:val="auto"/>
          <w:highlight w:val="none"/>
        </w:rPr>
        <w:t xml:space="preserve">      </w:t>
      </w:r>
      <w:r>
        <w:rPr>
          <w:rFonts w:hint="eastAsia" w:ascii="宋体" w:hAnsi="宋体" w:cs="宋体"/>
          <w:color w:val="auto"/>
          <w:szCs w:val="21"/>
          <w:highlight w:val="none"/>
        </w:rPr>
        <w:t xml:space="preserve">    </w:t>
      </w:r>
    </w:p>
    <w:p w14:paraId="14D8B697">
      <w:pPr>
        <w:pStyle w:val="11"/>
        <w:tabs>
          <w:tab w:val="left" w:pos="939"/>
        </w:tabs>
        <w:spacing w:line="360" w:lineRule="auto"/>
        <w:ind w:left="0" w:leftChars="0" w:firstLine="420" w:firstLineChars="200"/>
        <w:rPr>
          <w:rFonts w:hint="eastAsia" w:ascii="宋体" w:hAnsi="宋体" w:cs="宋体"/>
          <w:color w:val="auto"/>
          <w:sz w:val="24"/>
          <w:highlight w:val="none"/>
        </w:rPr>
      </w:pPr>
      <w:r>
        <w:rPr>
          <w:rFonts w:hint="eastAsia" w:ascii="宋体" w:hAnsi="宋体" w:cs="宋体"/>
          <w:color w:val="auto"/>
          <w:szCs w:val="21"/>
          <w:highlight w:val="none"/>
        </w:rPr>
        <w:t xml:space="preserve">                                                        </w:t>
      </w:r>
      <w:r>
        <w:rPr>
          <w:rFonts w:hint="eastAsia" w:ascii="宋体" w:hAnsi="宋体" w:cs="宋体"/>
          <w:color w:val="auto"/>
          <w:highlight w:val="none"/>
        </w:rPr>
        <w:t xml:space="preserve"> 年    月    日</w:t>
      </w:r>
    </w:p>
    <w:p w14:paraId="28F0FB0E">
      <w:pPr>
        <w:snapToGrid w:val="0"/>
        <w:spacing w:before="160" w:beforeLines="50" w:after="50"/>
        <w:ind w:right="480" w:firstLine="321" w:firstLineChars="100"/>
        <w:rPr>
          <w:rFonts w:hint="eastAsia" w:ascii="宋体" w:hAnsi="宋体" w:cs="宋体"/>
          <w:b/>
          <w:bCs/>
          <w:color w:val="auto"/>
          <w:sz w:val="32"/>
          <w:szCs w:val="32"/>
          <w:highlight w:val="none"/>
        </w:rPr>
      </w:pPr>
    </w:p>
    <w:p w14:paraId="6696424C">
      <w:pPr>
        <w:snapToGrid w:val="0"/>
        <w:spacing w:before="160" w:beforeLines="50" w:after="50"/>
        <w:ind w:right="480" w:firstLine="321" w:firstLineChars="100"/>
        <w:rPr>
          <w:rFonts w:hint="eastAsia" w:ascii="宋体" w:hAnsi="宋体" w:cs="宋体"/>
          <w:b/>
          <w:bCs/>
          <w:color w:val="auto"/>
          <w:sz w:val="32"/>
          <w:szCs w:val="32"/>
          <w:highlight w:val="none"/>
        </w:rPr>
      </w:pPr>
    </w:p>
    <w:p w14:paraId="00A46942">
      <w:pPr>
        <w:snapToGrid w:val="0"/>
        <w:spacing w:before="160" w:beforeLines="50" w:after="50"/>
        <w:ind w:right="480" w:firstLine="321" w:firstLineChars="100"/>
        <w:rPr>
          <w:rFonts w:hint="eastAsia" w:ascii="宋体" w:hAnsi="宋体" w:cs="宋体"/>
          <w:b/>
          <w:bCs/>
          <w:color w:val="auto"/>
          <w:sz w:val="32"/>
          <w:szCs w:val="32"/>
          <w:highlight w:val="none"/>
        </w:rPr>
      </w:pPr>
    </w:p>
    <w:p w14:paraId="328A5F21">
      <w:pPr>
        <w:snapToGrid w:val="0"/>
        <w:spacing w:before="160" w:beforeLines="50" w:after="50"/>
        <w:ind w:right="480" w:firstLine="321" w:firstLineChars="100"/>
        <w:rPr>
          <w:rFonts w:hint="eastAsia" w:ascii="宋体" w:hAnsi="宋体" w:cs="宋体"/>
          <w:b/>
          <w:bCs/>
          <w:color w:val="auto"/>
          <w:sz w:val="32"/>
          <w:szCs w:val="32"/>
          <w:highlight w:val="none"/>
        </w:rPr>
      </w:pPr>
    </w:p>
    <w:p w14:paraId="7D27B283">
      <w:pPr>
        <w:snapToGrid w:val="0"/>
        <w:spacing w:before="160" w:beforeLines="50" w:after="50"/>
        <w:ind w:right="480" w:firstLine="321" w:firstLineChars="100"/>
        <w:rPr>
          <w:rFonts w:hint="eastAsia" w:ascii="宋体" w:hAnsi="宋体" w:cs="宋体"/>
          <w:b/>
          <w:bCs/>
          <w:color w:val="auto"/>
          <w:sz w:val="32"/>
          <w:szCs w:val="32"/>
          <w:highlight w:val="none"/>
        </w:rPr>
      </w:pPr>
    </w:p>
    <w:p w14:paraId="6162C3BD">
      <w:pPr>
        <w:snapToGrid w:val="0"/>
        <w:spacing w:before="160" w:beforeLines="50" w:after="50"/>
        <w:ind w:right="480" w:firstLine="321" w:firstLineChars="100"/>
        <w:rPr>
          <w:rFonts w:hint="eastAsia" w:ascii="宋体" w:hAnsi="宋体" w:cs="宋体"/>
          <w:b/>
          <w:bCs/>
          <w:color w:val="auto"/>
          <w:sz w:val="32"/>
          <w:szCs w:val="32"/>
          <w:highlight w:val="none"/>
        </w:rPr>
      </w:pPr>
    </w:p>
    <w:p w14:paraId="097FE709">
      <w:pPr>
        <w:snapToGrid w:val="0"/>
        <w:spacing w:before="160" w:beforeLines="50" w:after="50"/>
        <w:ind w:right="480" w:firstLine="321" w:firstLineChars="100"/>
        <w:rPr>
          <w:rFonts w:hint="eastAsia" w:ascii="宋体" w:hAnsi="宋体" w:cs="宋体"/>
          <w:b/>
          <w:bCs/>
          <w:color w:val="auto"/>
          <w:sz w:val="32"/>
          <w:szCs w:val="32"/>
          <w:highlight w:val="none"/>
        </w:rPr>
      </w:pPr>
    </w:p>
    <w:p w14:paraId="5505A6B1">
      <w:pPr>
        <w:snapToGrid w:val="0"/>
        <w:spacing w:before="160" w:beforeLines="50" w:after="50"/>
        <w:ind w:right="480" w:firstLine="321" w:firstLineChars="100"/>
        <w:rPr>
          <w:rFonts w:hint="eastAsia" w:ascii="宋体" w:hAnsi="宋体" w:cs="宋体"/>
          <w:b/>
          <w:bCs/>
          <w:color w:val="auto"/>
          <w:sz w:val="32"/>
          <w:szCs w:val="32"/>
          <w:highlight w:val="none"/>
        </w:rPr>
      </w:pPr>
    </w:p>
    <w:p w14:paraId="223BD4C3">
      <w:pPr>
        <w:snapToGrid w:val="0"/>
        <w:spacing w:before="160" w:beforeLines="50" w:after="50"/>
        <w:ind w:right="480" w:firstLine="321" w:firstLineChars="100"/>
        <w:rPr>
          <w:rFonts w:hint="eastAsia" w:ascii="宋体" w:hAnsi="宋体" w:cs="宋体"/>
          <w:b/>
          <w:bCs/>
          <w:color w:val="auto"/>
          <w:sz w:val="32"/>
          <w:szCs w:val="32"/>
          <w:highlight w:val="none"/>
        </w:rPr>
      </w:pPr>
    </w:p>
    <w:p w14:paraId="326E8476">
      <w:pPr>
        <w:snapToGrid w:val="0"/>
        <w:spacing w:before="160" w:beforeLines="50" w:after="50"/>
        <w:ind w:right="480" w:firstLine="321" w:firstLineChars="100"/>
        <w:rPr>
          <w:rFonts w:hint="eastAsia" w:ascii="宋体" w:hAnsi="宋体" w:cs="宋体"/>
          <w:b/>
          <w:bCs/>
          <w:color w:val="auto"/>
          <w:sz w:val="32"/>
          <w:szCs w:val="32"/>
          <w:highlight w:val="none"/>
        </w:rPr>
      </w:pPr>
    </w:p>
    <w:p w14:paraId="57D24970">
      <w:pPr>
        <w:snapToGrid w:val="0"/>
        <w:spacing w:before="160" w:beforeLines="50" w:after="50"/>
        <w:ind w:right="480" w:firstLine="321" w:firstLineChars="100"/>
        <w:rPr>
          <w:rFonts w:hint="eastAsia" w:ascii="宋体" w:hAnsi="宋体" w:cs="宋体"/>
          <w:b/>
          <w:bCs/>
          <w:color w:val="auto"/>
          <w:sz w:val="32"/>
          <w:szCs w:val="32"/>
          <w:highlight w:val="none"/>
        </w:rPr>
      </w:pPr>
    </w:p>
    <w:p w14:paraId="3C5A818E">
      <w:pPr>
        <w:snapToGrid w:val="0"/>
        <w:spacing w:before="160" w:beforeLines="50" w:after="50"/>
        <w:ind w:right="480" w:firstLine="321" w:firstLineChars="100"/>
        <w:rPr>
          <w:rFonts w:hint="eastAsia" w:ascii="宋体" w:hAnsi="宋体" w:cs="宋体"/>
          <w:b/>
          <w:bCs/>
          <w:color w:val="auto"/>
          <w:sz w:val="32"/>
          <w:szCs w:val="32"/>
          <w:highlight w:val="none"/>
        </w:rPr>
      </w:pPr>
    </w:p>
    <w:p w14:paraId="3CA47EED">
      <w:pPr>
        <w:snapToGrid w:val="0"/>
        <w:spacing w:before="160" w:beforeLines="50" w:after="50"/>
        <w:ind w:right="480" w:firstLine="321" w:firstLineChars="100"/>
        <w:rPr>
          <w:rFonts w:hint="eastAsia" w:ascii="宋体" w:hAnsi="宋体" w:cs="宋体"/>
          <w:b/>
          <w:bCs/>
          <w:color w:val="auto"/>
          <w:sz w:val="32"/>
          <w:szCs w:val="32"/>
          <w:highlight w:val="none"/>
        </w:rPr>
      </w:pPr>
    </w:p>
    <w:p w14:paraId="2B6E3190">
      <w:pPr>
        <w:spacing w:line="360" w:lineRule="auto"/>
        <w:ind w:right="420"/>
        <w:contextualSpacing/>
        <w:jc w:val="left"/>
        <w:rPr>
          <w:rFonts w:hint="eastAsia" w:ascii="宋体" w:hAnsi="宋体" w:cs="宋体"/>
          <w:b/>
          <w:color w:val="auto"/>
          <w:sz w:val="32"/>
          <w:szCs w:val="32"/>
          <w:highlight w:val="none"/>
        </w:rPr>
      </w:pPr>
      <w:r>
        <w:rPr>
          <w:rFonts w:hint="eastAsia" w:ascii="宋体" w:hAnsi="宋体" w:cs="宋体"/>
          <w:b/>
          <w:bCs/>
          <w:color w:val="auto"/>
          <w:sz w:val="32"/>
          <w:szCs w:val="32"/>
          <w:highlight w:val="none"/>
        </w:rPr>
        <w:t>二、</w:t>
      </w:r>
      <w:r>
        <w:rPr>
          <w:rFonts w:hint="eastAsia" w:ascii="宋体" w:hAnsi="宋体" w:cs="宋体"/>
          <w:b/>
          <w:color w:val="auto"/>
          <w:sz w:val="32"/>
          <w:szCs w:val="32"/>
          <w:highlight w:val="none"/>
        </w:rPr>
        <w:t xml:space="preserve">报价文件格式 </w:t>
      </w:r>
    </w:p>
    <w:p w14:paraId="3253977F">
      <w:pPr>
        <w:snapToGrid w:val="0"/>
        <w:spacing w:before="160" w:beforeLines="50" w:after="50" w:line="360" w:lineRule="auto"/>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1.报价文件封面格式</w:t>
      </w:r>
    </w:p>
    <w:p w14:paraId="55C66592">
      <w:pPr>
        <w:snapToGrid w:val="0"/>
        <w:spacing w:before="160" w:beforeLines="50" w:after="50"/>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14:paraId="7475AC93">
      <w:pPr>
        <w:snapToGrid w:val="0"/>
        <w:spacing w:before="160" w:beforeLines="50" w:after="50"/>
        <w:jc w:val="center"/>
        <w:rPr>
          <w:rFonts w:hint="eastAsia" w:ascii="宋体" w:hAnsi="宋体" w:cs="宋体"/>
          <w:color w:val="auto"/>
          <w:sz w:val="24"/>
          <w:szCs w:val="20"/>
          <w:highlight w:val="none"/>
        </w:rPr>
      </w:pPr>
      <w:r>
        <w:rPr>
          <w:rFonts w:hint="eastAsia" w:ascii="宋体" w:hAnsi="宋体" w:cs="宋体"/>
          <w:color w:val="auto"/>
          <w:sz w:val="44"/>
          <w:szCs w:val="44"/>
          <w:highlight w:val="none"/>
        </w:rPr>
        <w:t>电 子 响 应 文 件</w:t>
      </w:r>
    </w:p>
    <w:p w14:paraId="4315A351">
      <w:pPr>
        <w:snapToGrid w:val="0"/>
        <w:spacing w:before="160" w:beforeLines="50" w:after="50"/>
        <w:rPr>
          <w:rFonts w:hint="eastAsia" w:ascii="宋体" w:hAnsi="宋体" w:cs="宋体"/>
          <w:color w:val="auto"/>
          <w:sz w:val="24"/>
          <w:szCs w:val="20"/>
          <w:highlight w:val="none"/>
        </w:rPr>
      </w:pPr>
    </w:p>
    <w:p w14:paraId="3B2B0F24">
      <w:pPr>
        <w:snapToGrid w:val="0"/>
        <w:spacing w:before="160" w:beforeLines="50" w:after="50"/>
        <w:rPr>
          <w:rFonts w:hint="eastAsia" w:ascii="宋体" w:hAnsi="宋体" w:cs="宋体"/>
          <w:color w:val="auto"/>
          <w:sz w:val="24"/>
          <w:szCs w:val="20"/>
          <w:highlight w:val="none"/>
        </w:rPr>
      </w:pPr>
    </w:p>
    <w:p w14:paraId="32F1C102">
      <w:pPr>
        <w:snapToGrid w:val="0"/>
        <w:spacing w:before="160" w:beforeLines="5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报  价  文  件</w:t>
      </w:r>
    </w:p>
    <w:p w14:paraId="7A19ADB0">
      <w:pPr>
        <w:snapToGrid w:val="0"/>
        <w:spacing w:before="160" w:beforeLines="50" w:after="50"/>
        <w:rPr>
          <w:rFonts w:hint="eastAsia" w:ascii="宋体" w:hAnsi="宋体" w:cs="宋体"/>
          <w:bCs/>
          <w:color w:val="auto"/>
          <w:sz w:val="24"/>
          <w:szCs w:val="20"/>
          <w:highlight w:val="none"/>
        </w:rPr>
      </w:pPr>
    </w:p>
    <w:p w14:paraId="0CA04B21">
      <w:pPr>
        <w:snapToGrid w:val="0"/>
        <w:spacing w:before="160" w:beforeLines="50" w:after="50"/>
        <w:rPr>
          <w:rFonts w:hint="eastAsia" w:ascii="宋体" w:hAnsi="宋体" w:cs="宋体"/>
          <w:bCs/>
          <w:color w:val="auto"/>
          <w:sz w:val="24"/>
          <w:szCs w:val="20"/>
          <w:highlight w:val="none"/>
        </w:rPr>
      </w:pPr>
    </w:p>
    <w:p w14:paraId="48F84D03">
      <w:pPr>
        <w:snapToGrid w:val="0"/>
        <w:spacing w:before="160" w:beforeLines="50" w:after="50"/>
        <w:rPr>
          <w:rFonts w:hint="eastAsia" w:ascii="宋体" w:hAnsi="宋体" w:cs="宋体"/>
          <w:bCs/>
          <w:color w:val="auto"/>
          <w:sz w:val="24"/>
          <w:szCs w:val="20"/>
          <w:highlight w:val="none"/>
        </w:rPr>
      </w:pPr>
    </w:p>
    <w:p w14:paraId="4CA169D1">
      <w:pPr>
        <w:snapToGrid w:val="0"/>
        <w:spacing w:before="160" w:beforeLines="50" w:after="50"/>
        <w:rPr>
          <w:rFonts w:hint="eastAsia" w:ascii="宋体" w:hAnsi="宋体" w:cs="宋体"/>
          <w:bCs/>
          <w:color w:val="auto"/>
          <w:sz w:val="24"/>
          <w:szCs w:val="20"/>
          <w:highlight w:val="none"/>
        </w:rPr>
      </w:pPr>
    </w:p>
    <w:p w14:paraId="228E6D32">
      <w:pPr>
        <w:snapToGrid w:val="0"/>
        <w:spacing w:before="160" w:beforeLines="50" w:after="50"/>
        <w:rPr>
          <w:rFonts w:hint="eastAsia" w:ascii="宋体" w:hAnsi="宋体" w:cs="宋体"/>
          <w:bCs/>
          <w:color w:val="auto"/>
          <w:sz w:val="24"/>
          <w:szCs w:val="20"/>
          <w:highlight w:val="none"/>
        </w:rPr>
      </w:pPr>
    </w:p>
    <w:p w14:paraId="1CF64D72">
      <w:pPr>
        <w:snapToGrid w:val="0"/>
        <w:spacing w:before="16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07E80FB9">
      <w:pPr>
        <w:snapToGrid w:val="0"/>
        <w:spacing w:before="160" w:beforeLines="50" w:after="50"/>
        <w:ind w:firstLine="720" w:firstLineChars="225"/>
        <w:rPr>
          <w:rFonts w:hint="eastAsia" w:ascii="宋体" w:hAnsi="宋体" w:cs="宋体"/>
          <w:bCs/>
          <w:color w:val="auto"/>
          <w:sz w:val="32"/>
          <w:szCs w:val="32"/>
          <w:highlight w:val="none"/>
        </w:rPr>
      </w:pPr>
    </w:p>
    <w:p w14:paraId="261BCFC2">
      <w:pPr>
        <w:snapToGrid w:val="0"/>
        <w:spacing w:before="16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48F9BE34">
      <w:pPr>
        <w:snapToGrid w:val="0"/>
        <w:spacing w:before="160" w:beforeLines="50" w:after="50"/>
        <w:ind w:firstLine="720" w:firstLineChars="225"/>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24AA10D8">
      <w:pPr>
        <w:pStyle w:val="6"/>
        <w:snapToGrid w:val="0"/>
        <w:spacing w:before="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72E2734C">
      <w:pPr>
        <w:pStyle w:val="6"/>
        <w:snapToGrid w:val="0"/>
        <w:spacing w:before="50" w:after="50"/>
        <w:ind w:firstLine="640" w:firstLineChars="200"/>
        <w:rPr>
          <w:rFonts w:hint="eastAsia" w:ascii="宋体" w:hAnsi="宋体" w:cs="宋体"/>
          <w:bCs/>
          <w:color w:val="auto"/>
          <w:sz w:val="32"/>
          <w:szCs w:val="32"/>
          <w:highlight w:val="none"/>
        </w:rPr>
      </w:pPr>
    </w:p>
    <w:p w14:paraId="79554A42">
      <w:pPr>
        <w:pStyle w:val="6"/>
        <w:snapToGrid w:val="0"/>
        <w:spacing w:before="50" w:after="50"/>
        <w:ind w:firstLine="720" w:firstLineChars="225"/>
        <w:rPr>
          <w:rFonts w:hint="eastAsia" w:ascii="宋体" w:hAnsi="宋体" w:cs="宋体"/>
          <w:bCs/>
          <w:color w:val="auto"/>
          <w:sz w:val="32"/>
          <w:szCs w:val="32"/>
          <w:highlight w:val="none"/>
        </w:rPr>
      </w:pPr>
    </w:p>
    <w:p w14:paraId="3496AA08">
      <w:pPr>
        <w:pStyle w:val="6"/>
        <w:snapToGrid w:val="0"/>
        <w:spacing w:before="50" w:after="50"/>
        <w:ind w:firstLine="0"/>
        <w:rPr>
          <w:rFonts w:hint="eastAsia" w:ascii="宋体" w:hAnsi="宋体" w:cs="宋体"/>
          <w:bCs/>
          <w:color w:val="auto"/>
          <w:sz w:val="32"/>
          <w:szCs w:val="32"/>
          <w:highlight w:val="none"/>
        </w:rPr>
      </w:pPr>
    </w:p>
    <w:p w14:paraId="1A9D14BF">
      <w:pPr>
        <w:pStyle w:val="6"/>
        <w:snapToGrid w:val="0"/>
        <w:spacing w:before="50" w:after="50"/>
        <w:ind w:firstLine="1280" w:firstLineChars="400"/>
        <w:rPr>
          <w:rFonts w:hint="eastAsia" w:ascii="宋体" w:hAnsi="宋体" w:cs="宋体"/>
          <w:bCs/>
          <w:color w:val="auto"/>
          <w:sz w:val="32"/>
          <w:szCs w:val="32"/>
          <w:highlight w:val="none"/>
        </w:rPr>
      </w:pPr>
    </w:p>
    <w:p w14:paraId="67975288">
      <w:pPr>
        <w:snapToGrid w:val="0"/>
        <w:spacing w:before="160" w:beforeLines="5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6F62FD10">
      <w:pPr>
        <w:snapToGrid w:val="0"/>
        <w:spacing w:before="160" w:beforeLines="50" w:after="50" w:line="360" w:lineRule="auto"/>
        <w:ind w:left="142"/>
        <w:jc w:val="left"/>
        <w:rPr>
          <w:rFonts w:hint="eastAsia" w:ascii="宋体" w:hAnsi="宋体" w:cs="宋体"/>
          <w:b/>
          <w:bCs/>
          <w:color w:val="auto"/>
          <w:sz w:val="24"/>
          <w:highlight w:val="none"/>
        </w:rPr>
      </w:pPr>
      <w:r>
        <w:rPr>
          <w:rFonts w:hint="eastAsia" w:ascii="宋体" w:hAnsi="宋体" w:cs="宋体"/>
          <w:color w:val="auto"/>
          <w:szCs w:val="21"/>
          <w:highlight w:val="none"/>
        </w:rPr>
        <w:br w:type="page"/>
      </w:r>
      <w:r>
        <w:rPr>
          <w:rFonts w:hint="eastAsia" w:ascii="宋体" w:hAnsi="宋体" w:cs="宋体"/>
          <w:b/>
          <w:bCs/>
          <w:color w:val="auto"/>
          <w:sz w:val="32"/>
          <w:szCs w:val="32"/>
          <w:highlight w:val="none"/>
        </w:rPr>
        <w:t>2.报价文件目录</w:t>
      </w:r>
    </w:p>
    <w:p w14:paraId="359536C6">
      <w:pPr>
        <w:spacing w:line="520" w:lineRule="exact"/>
        <w:jc w:val="center"/>
        <w:rPr>
          <w:rFonts w:hint="eastAsia" w:ascii="宋体" w:hAnsi="宋体" w:cs="宋体"/>
          <w:b/>
          <w:bCs/>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r>
        <w:rPr>
          <w:rFonts w:hint="eastAsia" w:ascii="宋体" w:hAnsi="宋体" w:cs="宋体"/>
          <w:b/>
          <w:bCs/>
          <w:color w:val="auto"/>
          <w:sz w:val="32"/>
          <w:szCs w:val="32"/>
          <w:highlight w:val="none"/>
        </w:rPr>
        <w:br w:type="page"/>
      </w:r>
    </w:p>
    <w:p w14:paraId="22967F64">
      <w:pPr>
        <w:spacing w:line="520" w:lineRule="exact"/>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竞  标  报  价  表</w:t>
      </w:r>
    </w:p>
    <w:p w14:paraId="411F9722">
      <w:pPr>
        <w:spacing w:line="520" w:lineRule="exact"/>
        <w:jc w:val="center"/>
        <w:rPr>
          <w:rFonts w:hint="eastAsia" w:ascii="宋体" w:hAnsi="宋体" w:cs="宋体"/>
          <w:b/>
          <w:color w:val="auto"/>
          <w:sz w:val="30"/>
          <w:szCs w:val="30"/>
          <w:highlight w:val="none"/>
        </w:rPr>
      </w:pPr>
    </w:p>
    <w:p w14:paraId="7CB7A21D">
      <w:pPr>
        <w:snapToGrid w:val="0"/>
        <w:spacing w:before="50" w:after="50" w:line="440" w:lineRule="exact"/>
        <w:rPr>
          <w:rFonts w:hint="eastAsia" w:ascii="宋体" w:hAnsi="宋体" w:cs="宋体"/>
          <w:color w:val="auto"/>
          <w:sz w:val="24"/>
          <w:highlight w:val="none"/>
          <w:u w:val="singl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0ABF3B44">
      <w:pPr>
        <w:snapToGrid w:val="0"/>
        <w:spacing w:before="50" w:after="50" w:line="440" w:lineRule="exact"/>
        <w:rPr>
          <w:rFonts w:hint="eastAsia"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tbl>
      <w:tblPr>
        <w:tblStyle w:val="16"/>
        <w:tblpPr w:leftFromText="180" w:rightFromText="180" w:vertAnchor="text" w:horzAnchor="page" w:tblpX="1296" w:tblpY="463"/>
        <w:tblOverlap w:val="never"/>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640"/>
        <w:gridCol w:w="4030"/>
        <w:gridCol w:w="2108"/>
      </w:tblGrid>
      <w:tr w14:paraId="41F38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2" w:hRule="atLeast"/>
          <w:jc w:val="center"/>
        </w:trPr>
        <w:tc>
          <w:tcPr>
            <w:tcW w:w="720" w:type="dxa"/>
            <w:tcBorders>
              <w:top w:val="single" w:color="auto" w:sz="4" w:space="0"/>
              <w:left w:val="single" w:color="auto" w:sz="4" w:space="0"/>
              <w:bottom w:val="single" w:color="auto" w:sz="4" w:space="0"/>
              <w:right w:val="single" w:color="auto" w:sz="4" w:space="0"/>
            </w:tcBorders>
            <w:noWrap w:val="0"/>
            <w:vAlign w:val="center"/>
          </w:tcPr>
          <w:p w14:paraId="3BD221E8">
            <w:pPr>
              <w:spacing w:line="36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2640" w:type="dxa"/>
            <w:tcBorders>
              <w:top w:val="single" w:color="auto" w:sz="4" w:space="0"/>
              <w:left w:val="single" w:color="auto" w:sz="4" w:space="0"/>
              <w:bottom w:val="single" w:color="auto" w:sz="4" w:space="0"/>
              <w:right w:val="single" w:color="auto" w:sz="4" w:space="0"/>
            </w:tcBorders>
            <w:noWrap w:val="0"/>
            <w:vAlign w:val="center"/>
          </w:tcPr>
          <w:p w14:paraId="33B3B8C3">
            <w:pPr>
              <w:snapToGrid w:val="0"/>
              <w:spacing w:before="50" w:after="50" w:line="36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服务项目名称</w:t>
            </w:r>
          </w:p>
        </w:tc>
        <w:tc>
          <w:tcPr>
            <w:tcW w:w="4030" w:type="dxa"/>
            <w:tcBorders>
              <w:top w:val="single" w:color="auto" w:sz="4" w:space="0"/>
              <w:left w:val="single" w:color="auto" w:sz="4" w:space="0"/>
              <w:bottom w:val="single" w:color="auto" w:sz="4" w:space="0"/>
              <w:right w:val="single" w:color="auto" w:sz="4" w:space="0"/>
            </w:tcBorders>
            <w:noWrap w:val="0"/>
            <w:vAlign w:val="center"/>
          </w:tcPr>
          <w:p w14:paraId="7DAFE8C3">
            <w:pPr>
              <w:snapToGrid w:val="0"/>
              <w:spacing w:before="50" w:after="50" w:line="36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数量及单位</w:t>
            </w:r>
          </w:p>
        </w:tc>
        <w:tc>
          <w:tcPr>
            <w:tcW w:w="2108" w:type="dxa"/>
            <w:tcBorders>
              <w:top w:val="single" w:color="auto" w:sz="4" w:space="0"/>
              <w:left w:val="single" w:color="auto" w:sz="4" w:space="0"/>
              <w:bottom w:val="single" w:color="auto" w:sz="4" w:space="0"/>
              <w:right w:val="single" w:color="auto" w:sz="4" w:space="0"/>
            </w:tcBorders>
            <w:noWrap w:val="0"/>
            <w:vAlign w:val="center"/>
          </w:tcPr>
          <w:p w14:paraId="3657FE50">
            <w:pPr>
              <w:spacing w:line="36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竞标折扣系数</w:t>
            </w:r>
          </w:p>
        </w:tc>
      </w:tr>
      <w:tr w14:paraId="0C32C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28" w:hRule="atLeast"/>
          <w:jc w:val="center"/>
        </w:trPr>
        <w:tc>
          <w:tcPr>
            <w:tcW w:w="720" w:type="dxa"/>
            <w:tcBorders>
              <w:top w:val="single" w:color="auto" w:sz="4" w:space="0"/>
              <w:left w:val="single" w:color="auto" w:sz="4" w:space="0"/>
              <w:bottom w:val="single" w:color="auto" w:sz="4" w:space="0"/>
              <w:right w:val="single" w:color="auto" w:sz="4" w:space="0"/>
            </w:tcBorders>
            <w:noWrap w:val="0"/>
            <w:vAlign w:val="center"/>
          </w:tcPr>
          <w:p w14:paraId="23F1905D">
            <w:pPr>
              <w:spacing w:line="36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1</w:t>
            </w:r>
          </w:p>
        </w:tc>
        <w:tc>
          <w:tcPr>
            <w:tcW w:w="2640" w:type="dxa"/>
            <w:tcBorders>
              <w:top w:val="single" w:color="auto" w:sz="4" w:space="0"/>
              <w:left w:val="single" w:color="auto" w:sz="4" w:space="0"/>
              <w:bottom w:val="single" w:color="auto" w:sz="4" w:space="0"/>
              <w:right w:val="single" w:color="auto" w:sz="4" w:space="0"/>
            </w:tcBorders>
            <w:noWrap w:val="0"/>
            <w:vAlign w:val="center"/>
          </w:tcPr>
          <w:p w14:paraId="7738C29B">
            <w:pPr>
              <w:snapToGrid w:val="0"/>
              <w:spacing w:before="50" w:after="50" w:line="360" w:lineRule="auto"/>
              <w:jc w:val="center"/>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lang w:eastAsia="zh-CN"/>
              </w:rPr>
              <w:t>贵港市第八高级中学生活超市副食品及学校食堂框架协议外物品配送服务的政府采购</w:t>
            </w:r>
          </w:p>
        </w:tc>
        <w:tc>
          <w:tcPr>
            <w:tcW w:w="4030" w:type="dxa"/>
            <w:tcBorders>
              <w:top w:val="single" w:color="auto" w:sz="4" w:space="0"/>
              <w:left w:val="single" w:color="auto" w:sz="4" w:space="0"/>
              <w:bottom w:val="single" w:color="auto" w:sz="4" w:space="0"/>
              <w:right w:val="single" w:color="auto" w:sz="4" w:space="0"/>
            </w:tcBorders>
            <w:noWrap w:val="0"/>
            <w:vAlign w:val="center"/>
          </w:tcPr>
          <w:p w14:paraId="3A9F5845">
            <w:pPr>
              <w:snapToGrid w:val="0"/>
              <w:spacing w:before="50" w:after="50" w:line="360" w:lineRule="auto"/>
              <w:jc w:val="center"/>
              <w:rPr>
                <w:rFonts w:hint="eastAsia" w:ascii="宋体" w:hAnsi="宋体" w:cs="宋体"/>
                <w:b/>
                <w:bCs/>
                <w:color w:val="auto"/>
                <w:szCs w:val="21"/>
                <w:highlight w:val="none"/>
              </w:rPr>
            </w:pPr>
            <w:r>
              <w:rPr>
                <w:rFonts w:hint="eastAsia" w:ascii="宋体" w:hAnsi="宋体" w:cs="宋体"/>
                <w:color w:val="auto"/>
                <w:szCs w:val="21"/>
                <w:highlight w:val="none"/>
              </w:rPr>
              <w:t>1项</w:t>
            </w:r>
          </w:p>
        </w:tc>
        <w:tc>
          <w:tcPr>
            <w:tcW w:w="2108" w:type="dxa"/>
            <w:tcBorders>
              <w:top w:val="single" w:color="auto" w:sz="4" w:space="0"/>
              <w:left w:val="single" w:color="auto" w:sz="4" w:space="0"/>
              <w:bottom w:val="single" w:color="auto" w:sz="4" w:space="0"/>
              <w:right w:val="single" w:color="auto" w:sz="4" w:space="0"/>
            </w:tcBorders>
            <w:noWrap w:val="0"/>
            <w:vAlign w:val="center"/>
          </w:tcPr>
          <w:p w14:paraId="0B4F12B0">
            <w:pPr>
              <w:spacing w:line="360" w:lineRule="auto"/>
              <w:jc w:val="center"/>
              <w:rPr>
                <w:rFonts w:hint="eastAsia" w:ascii="宋体" w:hAnsi="宋体" w:cs="宋体"/>
                <w:b/>
                <w:bCs/>
                <w:color w:val="auto"/>
                <w:szCs w:val="21"/>
                <w:highlight w:val="none"/>
              </w:rPr>
            </w:pPr>
            <w:r>
              <w:rPr>
                <w:rFonts w:hint="eastAsia" w:ascii="宋体" w:hAnsi="宋体" w:cs="宋体"/>
                <w:b/>
                <w:color w:val="auto"/>
                <w:szCs w:val="21"/>
                <w:highlight w:val="none"/>
              </w:rPr>
              <w:t>%</w:t>
            </w:r>
          </w:p>
        </w:tc>
      </w:tr>
      <w:tr w14:paraId="69B3A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9498" w:type="dxa"/>
            <w:gridSpan w:val="4"/>
            <w:tcBorders>
              <w:top w:val="single" w:color="auto" w:sz="4" w:space="0"/>
              <w:left w:val="single" w:color="auto" w:sz="4" w:space="0"/>
              <w:bottom w:val="single" w:color="auto" w:sz="4" w:space="0"/>
              <w:right w:val="single" w:color="auto" w:sz="4" w:space="0"/>
            </w:tcBorders>
            <w:noWrap w:val="0"/>
            <w:vAlign w:val="center"/>
          </w:tcPr>
          <w:p w14:paraId="1FEAEA08">
            <w:pPr>
              <w:spacing w:line="360" w:lineRule="auto"/>
              <w:jc w:val="left"/>
              <w:rPr>
                <w:rFonts w:hint="eastAsia" w:ascii="宋体" w:hAnsi="宋体" w:cs="宋体"/>
                <w:b/>
                <w:color w:val="auto"/>
                <w:szCs w:val="21"/>
                <w:highlight w:val="none"/>
              </w:rPr>
            </w:pPr>
            <w:r>
              <w:rPr>
                <w:rFonts w:hint="eastAsia" w:ascii="宋体" w:hAnsi="宋体" w:cs="宋体"/>
                <w:color w:val="auto"/>
                <w:spacing w:val="-6"/>
                <w:szCs w:val="21"/>
                <w:highlight w:val="none"/>
              </w:rPr>
              <w:t>竞标折扣系数：（大写）百分之</w:t>
            </w:r>
            <w:r>
              <w:rPr>
                <w:rFonts w:hint="eastAsia" w:ascii="宋体" w:hAnsi="宋体" w:cs="宋体"/>
                <w:color w:val="auto"/>
                <w:spacing w:val="-6"/>
                <w:szCs w:val="21"/>
                <w:highlight w:val="none"/>
                <w:u w:val="single"/>
              </w:rPr>
              <w:t xml:space="preserve">         </w:t>
            </w:r>
          </w:p>
        </w:tc>
      </w:tr>
      <w:tr w14:paraId="0434D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7" w:hRule="atLeast"/>
          <w:jc w:val="center"/>
        </w:trPr>
        <w:tc>
          <w:tcPr>
            <w:tcW w:w="9498" w:type="dxa"/>
            <w:gridSpan w:val="4"/>
            <w:tcBorders>
              <w:top w:val="single" w:color="auto" w:sz="4" w:space="0"/>
              <w:left w:val="single" w:color="auto" w:sz="4" w:space="0"/>
              <w:bottom w:val="single" w:color="auto" w:sz="4" w:space="0"/>
              <w:right w:val="single" w:color="auto" w:sz="4" w:space="0"/>
            </w:tcBorders>
            <w:noWrap w:val="0"/>
            <w:vAlign w:val="center"/>
          </w:tcPr>
          <w:p w14:paraId="4A6AADAF">
            <w:pPr>
              <w:snapToGrid w:val="0"/>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服务期限：自签订合同之日起壹年</w:t>
            </w:r>
            <w:r>
              <w:rPr>
                <w:rFonts w:hint="eastAsia" w:ascii="宋体" w:hAnsi="宋体" w:cs="宋体"/>
                <w:color w:val="auto"/>
                <w:szCs w:val="21"/>
                <w:highlight w:val="none"/>
                <w:lang w:eastAsia="zh-CN"/>
              </w:rPr>
              <w:t>。</w:t>
            </w:r>
          </w:p>
        </w:tc>
      </w:tr>
      <w:tr w14:paraId="407AD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1" w:hRule="atLeast"/>
          <w:jc w:val="center"/>
        </w:trPr>
        <w:tc>
          <w:tcPr>
            <w:tcW w:w="9498" w:type="dxa"/>
            <w:gridSpan w:val="4"/>
            <w:tcBorders>
              <w:top w:val="single" w:color="auto" w:sz="4" w:space="0"/>
              <w:left w:val="single" w:color="auto" w:sz="4" w:space="0"/>
              <w:bottom w:val="single" w:color="auto" w:sz="4" w:space="0"/>
              <w:right w:val="single" w:color="auto" w:sz="4" w:space="0"/>
            </w:tcBorders>
            <w:noWrap w:val="0"/>
            <w:vAlign w:val="center"/>
          </w:tcPr>
          <w:p w14:paraId="06D26518">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1、供货价格须包含品种的成本、运输、装卸、搬运、保险、利润、税金、质保期售后服务、雇员费、合同实施过程中的应预见和或不可预见等费用总和。所产生的费用由中标人负责。</w:t>
            </w:r>
          </w:p>
          <w:p w14:paraId="4978C67D">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 xml:space="preserve">、供应价格确定标准：采购人及学校采购代表根据原料市场价格情况在贵港市区如华隆、永盛等大型超市经过调查得出的市场批发均价设定为 X，签订的合同折扣率设定为Y%，则原料供货单价为 X×Y%（例如：市场批发均价 X＝100 元，合同折扣率 Y%=97%，原料供货单价=100×0.97＝97 元），不认可该供货价的投标人视为自动放弃中标权利，由下一中标候选人递补。 </w:t>
            </w:r>
          </w:p>
          <w:p w14:paraId="1A159505">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3、学校能自主采购的商品种类及数量，由学校的实际需要决定，同时受上级的有关政策影响，因此采购金额是预估值，仅供参考，不能作为学校承诺的最低采购数量看待。</w:t>
            </w:r>
          </w:p>
          <w:p w14:paraId="362FD95C">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4、不论竞标结果如何，竞标人均应自行承担所有与竞标有关的全部费用。</w:t>
            </w:r>
          </w:p>
        </w:tc>
      </w:tr>
    </w:tbl>
    <w:p w14:paraId="7B1FA59C">
      <w:pPr>
        <w:snapToGrid w:val="0"/>
        <w:spacing w:before="50" w:after="50" w:line="440" w:lineRule="exact"/>
        <w:rPr>
          <w:rFonts w:hint="eastAsia" w:ascii="宋体" w:hAnsi="宋体" w:cs="宋体"/>
          <w:color w:val="auto"/>
          <w:sz w:val="24"/>
          <w:highlight w:val="none"/>
        </w:rPr>
      </w:pPr>
    </w:p>
    <w:p w14:paraId="0C76820E">
      <w:pPr>
        <w:spacing w:line="360" w:lineRule="auto"/>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 xml:space="preserve">注： </w:t>
      </w:r>
    </w:p>
    <w:p w14:paraId="01345B43">
      <w:pPr>
        <w:spacing w:line="360" w:lineRule="auto"/>
        <w:ind w:firstLine="480" w:firstLineChars="20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1. 供应商的报价表必须加盖供应商电子签章并由法定代表人或者委托代理人签字或者电子签名，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7AC57B22">
      <w:pPr>
        <w:spacing w:line="360" w:lineRule="auto"/>
        <w:ind w:firstLine="480" w:firstLineChars="200"/>
        <w:contextualSpacing/>
        <w:jc w:val="left"/>
        <w:rPr>
          <w:rFonts w:hint="eastAsia"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 xml:space="preserve"> 报价一经涂改，应在涂改处加盖供应商公章或者加盖电子签章或者由法定代表人或者授权委托人签字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1F5FFE89">
      <w:pPr>
        <w:spacing w:line="360" w:lineRule="auto"/>
        <w:ind w:firstLine="480" w:firstLineChars="200"/>
        <w:contextualSpacing/>
        <w:jc w:val="left"/>
        <w:rPr>
          <w:rFonts w:ascii="宋体" w:hAnsi="宋体" w:cs="仿宋_GB2312"/>
          <w:b/>
          <w:color w:val="auto"/>
          <w:sz w:val="24"/>
          <w:highlight w:val="none"/>
        </w:rPr>
      </w:pPr>
      <w:r>
        <w:rPr>
          <w:rFonts w:ascii="宋体" w:hAnsi="宋体" w:cs="仿宋_GB2312"/>
          <w:color w:val="auto"/>
          <w:sz w:val="24"/>
          <w:highlight w:val="none"/>
        </w:rPr>
        <w:t>3</w:t>
      </w:r>
      <w:r>
        <w:rPr>
          <w:rFonts w:hint="eastAsia" w:ascii="宋体" w:hAnsi="宋体" w:cs="仿宋_GB2312"/>
          <w:color w:val="auto"/>
          <w:sz w:val="24"/>
          <w:highlight w:val="none"/>
        </w:rPr>
        <w:t>.如为联合体竞标，“供应商名称”处必须列明联合体各方名称，标注联合体牵头人名称，</w:t>
      </w:r>
      <w:r>
        <w:rPr>
          <w:rFonts w:hint="eastAsia" w:ascii="宋体" w:hAnsi="宋体" w:cs="仿宋_GB2312"/>
          <w:b/>
          <w:color w:val="auto"/>
          <w:sz w:val="24"/>
          <w:highlight w:val="none"/>
        </w:rPr>
        <w:t>否则其响应文件按无效响应处理。</w:t>
      </w:r>
    </w:p>
    <w:p w14:paraId="69DEF454">
      <w:pPr>
        <w:spacing w:line="360" w:lineRule="auto"/>
        <w:ind w:firstLine="480" w:firstLineChars="200"/>
        <w:contextualSpacing/>
        <w:jc w:val="left"/>
        <w:rPr>
          <w:rFonts w:hint="eastAsia" w:ascii="宋体" w:hAnsi="宋体" w:cs="仿宋_GB2312"/>
          <w:color w:val="auto"/>
          <w:sz w:val="24"/>
          <w:highlight w:val="none"/>
        </w:rPr>
      </w:pPr>
      <w:r>
        <w:rPr>
          <w:rFonts w:ascii="宋体" w:hAnsi="宋体" w:cs="仿宋_GB2312"/>
          <w:color w:val="auto"/>
          <w:sz w:val="24"/>
          <w:highlight w:val="none"/>
        </w:rPr>
        <w:t>4</w:t>
      </w:r>
      <w:r>
        <w:rPr>
          <w:rFonts w:hint="eastAsia" w:ascii="宋体" w:hAnsi="宋体" w:cs="仿宋_GB2312"/>
          <w:color w:val="auto"/>
          <w:sz w:val="24"/>
          <w:highlight w:val="none"/>
        </w:rPr>
        <w:t>. 如为联合体竞标，</w:t>
      </w:r>
      <w:r>
        <w:rPr>
          <w:rFonts w:hint="eastAsia" w:ascii="宋体" w:hAnsi="宋体"/>
          <w:color w:val="auto"/>
          <w:spacing w:val="-6"/>
          <w:sz w:val="24"/>
          <w:highlight w:val="none"/>
        </w:rPr>
        <w:t xml:space="preserve"> 盖章处须加盖联合体牵头人电子签章</w:t>
      </w:r>
      <w:r>
        <w:rPr>
          <w:rFonts w:hint="eastAsia" w:ascii="宋体" w:hAnsi="宋体" w:cs="仿宋_GB2312"/>
          <w:color w:val="auto"/>
          <w:sz w:val="24"/>
          <w:highlight w:val="none"/>
        </w:rPr>
        <w:t>，</w:t>
      </w:r>
      <w:r>
        <w:rPr>
          <w:rFonts w:hint="eastAsia" w:ascii="宋体" w:hAnsi="宋体" w:cs="仿宋_GB2312"/>
          <w:b/>
          <w:color w:val="auto"/>
          <w:sz w:val="24"/>
          <w:highlight w:val="none"/>
        </w:rPr>
        <w:t>否则其响应文件按无效处理。</w:t>
      </w:r>
    </w:p>
    <w:p w14:paraId="797D9CDE">
      <w:pPr>
        <w:snapToGrid w:val="0"/>
        <w:spacing w:before="50" w:after="50" w:line="360" w:lineRule="auto"/>
        <w:ind w:firstLine="480" w:firstLineChars="200"/>
        <w:rPr>
          <w:rFonts w:hint="eastAsia" w:ascii="宋体" w:hAnsi="宋体" w:cs="宋体"/>
          <w:b/>
          <w:color w:val="auto"/>
          <w:spacing w:val="-6"/>
          <w:sz w:val="24"/>
          <w:highlight w:val="none"/>
        </w:rPr>
      </w:pPr>
      <w:r>
        <w:rPr>
          <w:rFonts w:ascii="宋体" w:hAnsi="宋体" w:cs="仿宋_GB2312"/>
          <w:color w:val="auto"/>
          <w:sz w:val="24"/>
          <w:highlight w:val="none"/>
        </w:rPr>
        <w:t>5</w:t>
      </w:r>
      <w:r>
        <w:rPr>
          <w:rFonts w:hint="eastAsia" w:ascii="宋体" w:hAnsi="宋体" w:cs="仿宋_GB2312"/>
          <w:color w:val="auto"/>
          <w:sz w:val="24"/>
          <w:highlight w:val="none"/>
        </w:rPr>
        <w:t>.</w:t>
      </w:r>
      <w:r>
        <w:rPr>
          <w:rFonts w:hint="eastAsia" w:ascii="宋体" w:hAnsi="宋体" w:cs="仿宋_GB2312"/>
          <w:color w:val="auto"/>
          <w:spacing w:val="-6"/>
          <w:sz w:val="24"/>
          <w:highlight w:val="none"/>
        </w:rPr>
        <w:t>如有多分标，分别列明各分标的报价表，</w:t>
      </w:r>
      <w:r>
        <w:rPr>
          <w:rFonts w:hint="eastAsia" w:ascii="宋体" w:hAnsi="宋体" w:cs="仿宋_GB2312"/>
          <w:b/>
          <w:color w:val="auto"/>
          <w:spacing w:val="-6"/>
          <w:sz w:val="24"/>
          <w:highlight w:val="none"/>
        </w:rPr>
        <w:t>否则其响应文件按无效响应处理。</w:t>
      </w:r>
    </w:p>
    <w:p w14:paraId="45E906FE">
      <w:pPr>
        <w:snapToGrid w:val="0"/>
        <w:spacing w:before="50" w:after="50"/>
        <w:ind w:firstLine="458" w:firstLineChars="200"/>
        <w:rPr>
          <w:rFonts w:hint="eastAsia" w:ascii="宋体" w:hAnsi="宋体" w:cs="宋体"/>
          <w:b/>
          <w:color w:val="auto"/>
          <w:spacing w:val="-6"/>
          <w:sz w:val="24"/>
          <w:highlight w:val="none"/>
        </w:rPr>
      </w:pPr>
    </w:p>
    <w:p w14:paraId="2014303B">
      <w:pPr>
        <w:snapToGrid w:val="0"/>
        <w:spacing w:before="50" w:after="50"/>
        <w:ind w:firstLine="458" w:firstLineChars="200"/>
        <w:rPr>
          <w:rFonts w:hint="eastAsia" w:ascii="宋体" w:hAnsi="宋体" w:cs="宋体"/>
          <w:b/>
          <w:color w:val="auto"/>
          <w:spacing w:val="-6"/>
          <w:sz w:val="24"/>
          <w:highlight w:val="none"/>
        </w:rPr>
      </w:pPr>
    </w:p>
    <w:p w14:paraId="0991D7B6">
      <w:pPr>
        <w:spacing w:line="360" w:lineRule="auto"/>
        <w:ind w:right="-817" w:rightChars="-389"/>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法定代表人或者委托代理人（签字或盖章或电子签名）：</w:t>
      </w:r>
    </w:p>
    <w:p w14:paraId="27DB69AB">
      <w:pPr>
        <w:snapToGrid w:val="0"/>
        <w:spacing w:before="50" w:after="50" w:line="440" w:lineRule="exact"/>
        <w:ind w:right="-817" w:rightChars="-389" w:firstLine="2640" w:firstLineChars="1100"/>
        <w:rPr>
          <w:rFonts w:hint="eastAsia" w:ascii="宋体" w:hAnsi="宋体" w:cs="宋体"/>
          <w:color w:val="auto"/>
          <w:sz w:val="24"/>
          <w:highlight w:val="none"/>
        </w:rPr>
      </w:pPr>
      <w:r>
        <w:rPr>
          <w:rFonts w:hint="eastAsia" w:ascii="宋体" w:hAnsi="宋体" w:cs="宋体"/>
          <w:color w:val="auto"/>
          <w:sz w:val="24"/>
          <w:highlight w:val="none"/>
        </w:rPr>
        <w:t xml:space="preserve">供应商（公章或电子签章）：      </w:t>
      </w:r>
    </w:p>
    <w:p w14:paraId="12CA2CA2">
      <w:pPr>
        <w:spacing w:line="360" w:lineRule="auto"/>
        <w:ind w:right="420" w:firstLine="4800" w:firstLineChars="2000"/>
        <w:contextualSpacing/>
        <w:jc w:val="left"/>
        <w:rPr>
          <w:rFonts w:hint="eastAsia" w:ascii="宋体" w:hAnsi="宋体" w:cs="宋体"/>
          <w:b/>
          <w:color w:val="auto"/>
          <w:sz w:val="32"/>
          <w:szCs w:val="32"/>
          <w:highlight w:val="none"/>
        </w:rPr>
      </w:pPr>
      <w:r>
        <w:rPr>
          <w:rFonts w:hint="eastAsia" w:ascii="宋体" w:hAnsi="宋体" w:cs="宋体"/>
          <w:color w:val="auto"/>
          <w:sz w:val="24"/>
          <w:highlight w:val="none"/>
        </w:rPr>
        <w:t>日期：   年   月   日</w:t>
      </w:r>
      <w:r>
        <w:rPr>
          <w:rFonts w:hint="eastAsia" w:ascii="宋体" w:hAnsi="宋体" w:cs="宋体"/>
          <w:b/>
          <w:bCs/>
          <w:color w:val="auto"/>
          <w:sz w:val="24"/>
          <w:highlight w:val="none"/>
        </w:rPr>
        <w:br w:type="page"/>
      </w:r>
      <w:r>
        <w:rPr>
          <w:rFonts w:hint="eastAsia" w:ascii="宋体" w:hAnsi="宋体" w:cs="宋体"/>
          <w:b/>
          <w:bCs/>
          <w:color w:val="auto"/>
          <w:sz w:val="32"/>
          <w:szCs w:val="32"/>
          <w:highlight w:val="none"/>
        </w:rPr>
        <w:t>三、</w:t>
      </w:r>
      <w:r>
        <w:rPr>
          <w:rFonts w:hint="eastAsia" w:ascii="宋体" w:hAnsi="宋体" w:cs="宋体"/>
          <w:b/>
          <w:color w:val="auto"/>
          <w:sz w:val="32"/>
          <w:szCs w:val="32"/>
          <w:highlight w:val="none"/>
        </w:rPr>
        <w:t xml:space="preserve">商务技术文件格式 </w:t>
      </w:r>
    </w:p>
    <w:p w14:paraId="3858A78F">
      <w:pPr>
        <w:snapToGrid w:val="0"/>
        <w:spacing w:before="160" w:beforeLines="50" w:after="50" w:line="360" w:lineRule="auto"/>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1.商务技术文件封面格式</w:t>
      </w:r>
    </w:p>
    <w:p w14:paraId="49463EF8">
      <w:pPr>
        <w:snapToGrid w:val="0"/>
        <w:spacing w:before="160" w:beforeLines="50" w:after="50"/>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14:paraId="49398288">
      <w:pPr>
        <w:snapToGrid w:val="0"/>
        <w:spacing w:before="160" w:beforeLines="50" w:after="50"/>
        <w:jc w:val="center"/>
        <w:rPr>
          <w:rFonts w:hint="eastAsia" w:ascii="宋体" w:hAnsi="宋体" w:cs="宋体"/>
          <w:color w:val="auto"/>
          <w:sz w:val="24"/>
          <w:szCs w:val="20"/>
          <w:highlight w:val="none"/>
        </w:rPr>
      </w:pPr>
      <w:r>
        <w:rPr>
          <w:rFonts w:hint="eastAsia" w:ascii="宋体" w:hAnsi="宋体" w:cs="宋体"/>
          <w:color w:val="auto"/>
          <w:sz w:val="44"/>
          <w:szCs w:val="44"/>
          <w:highlight w:val="none"/>
        </w:rPr>
        <w:t>电 子 响 应 文 件</w:t>
      </w:r>
    </w:p>
    <w:p w14:paraId="0E477F5A">
      <w:pPr>
        <w:snapToGrid w:val="0"/>
        <w:spacing w:before="160" w:beforeLines="50" w:after="50"/>
        <w:rPr>
          <w:rFonts w:hint="eastAsia" w:ascii="宋体" w:hAnsi="宋体" w:cs="宋体"/>
          <w:color w:val="auto"/>
          <w:sz w:val="24"/>
          <w:szCs w:val="20"/>
          <w:highlight w:val="none"/>
        </w:rPr>
      </w:pPr>
    </w:p>
    <w:p w14:paraId="65C3EF92">
      <w:pPr>
        <w:snapToGrid w:val="0"/>
        <w:spacing w:before="160" w:beforeLines="50" w:after="50"/>
        <w:rPr>
          <w:rFonts w:hint="eastAsia" w:ascii="宋体" w:hAnsi="宋体" w:cs="宋体"/>
          <w:color w:val="auto"/>
          <w:sz w:val="24"/>
          <w:szCs w:val="20"/>
          <w:highlight w:val="none"/>
        </w:rPr>
      </w:pPr>
    </w:p>
    <w:p w14:paraId="2E0AE7B3">
      <w:pPr>
        <w:snapToGrid w:val="0"/>
        <w:spacing w:before="160" w:beforeLines="5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商  务  技  术  文  件</w:t>
      </w:r>
    </w:p>
    <w:p w14:paraId="54D00230">
      <w:pPr>
        <w:snapToGrid w:val="0"/>
        <w:spacing w:before="160" w:beforeLines="50" w:after="50"/>
        <w:rPr>
          <w:rFonts w:hint="eastAsia" w:ascii="宋体" w:hAnsi="宋体" w:cs="宋体"/>
          <w:bCs/>
          <w:color w:val="auto"/>
          <w:sz w:val="24"/>
          <w:szCs w:val="20"/>
          <w:highlight w:val="none"/>
        </w:rPr>
      </w:pPr>
    </w:p>
    <w:p w14:paraId="7014A28A">
      <w:pPr>
        <w:snapToGrid w:val="0"/>
        <w:spacing w:before="160" w:beforeLines="50" w:after="50"/>
        <w:rPr>
          <w:rFonts w:hint="eastAsia" w:ascii="宋体" w:hAnsi="宋体" w:cs="宋体"/>
          <w:bCs/>
          <w:color w:val="auto"/>
          <w:sz w:val="24"/>
          <w:szCs w:val="20"/>
          <w:highlight w:val="none"/>
        </w:rPr>
      </w:pPr>
    </w:p>
    <w:p w14:paraId="5A9AD29A">
      <w:pPr>
        <w:snapToGrid w:val="0"/>
        <w:spacing w:before="160" w:beforeLines="50" w:after="50"/>
        <w:rPr>
          <w:rFonts w:hint="eastAsia" w:ascii="宋体" w:hAnsi="宋体" w:cs="宋体"/>
          <w:bCs/>
          <w:color w:val="auto"/>
          <w:sz w:val="24"/>
          <w:szCs w:val="20"/>
          <w:highlight w:val="none"/>
        </w:rPr>
      </w:pPr>
    </w:p>
    <w:p w14:paraId="03480615">
      <w:pPr>
        <w:snapToGrid w:val="0"/>
        <w:spacing w:before="160" w:beforeLines="50" w:after="50"/>
        <w:rPr>
          <w:rFonts w:hint="eastAsia" w:ascii="宋体" w:hAnsi="宋体" w:cs="宋体"/>
          <w:bCs/>
          <w:color w:val="auto"/>
          <w:sz w:val="24"/>
          <w:szCs w:val="20"/>
          <w:highlight w:val="none"/>
        </w:rPr>
      </w:pPr>
    </w:p>
    <w:p w14:paraId="46B55775">
      <w:pPr>
        <w:snapToGrid w:val="0"/>
        <w:spacing w:before="160" w:beforeLines="50" w:after="50"/>
        <w:rPr>
          <w:rFonts w:hint="eastAsia" w:ascii="宋体" w:hAnsi="宋体" w:cs="宋体"/>
          <w:bCs/>
          <w:color w:val="auto"/>
          <w:sz w:val="24"/>
          <w:szCs w:val="20"/>
          <w:highlight w:val="none"/>
        </w:rPr>
      </w:pPr>
    </w:p>
    <w:p w14:paraId="15FDD315">
      <w:pPr>
        <w:snapToGrid w:val="0"/>
        <w:spacing w:before="16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4ED75042">
      <w:pPr>
        <w:snapToGrid w:val="0"/>
        <w:spacing w:before="160" w:beforeLines="50" w:after="50"/>
        <w:ind w:firstLine="720" w:firstLineChars="225"/>
        <w:rPr>
          <w:rFonts w:hint="eastAsia" w:ascii="宋体" w:hAnsi="宋体" w:cs="宋体"/>
          <w:bCs/>
          <w:color w:val="auto"/>
          <w:sz w:val="32"/>
          <w:szCs w:val="32"/>
          <w:highlight w:val="none"/>
        </w:rPr>
      </w:pPr>
    </w:p>
    <w:p w14:paraId="20540B5B">
      <w:pPr>
        <w:snapToGrid w:val="0"/>
        <w:spacing w:before="16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5BB7A7B5">
      <w:pPr>
        <w:snapToGrid w:val="0"/>
        <w:spacing w:before="160" w:beforeLines="50" w:after="50"/>
        <w:ind w:firstLine="720" w:firstLineChars="225"/>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13007808">
      <w:pPr>
        <w:pStyle w:val="6"/>
        <w:snapToGrid w:val="0"/>
        <w:spacing w:before="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01612E89">
      <w:pPr>
        <w:pStyle w:val="6"/>
        <w:snapToGrid w:val="0"/>
        <w:spacing w:before="50" w:after="50"/>
        <w:ind w:firstLine="640" w:firstLineChars="200"/>
        <w:rPr>
          <w:rFonts w:hint="eastAsia" w:ascii="宋体" w:hAnsi="宋体" w:cs="宋体"/>
          <w:bCs/>
          <w:color w:val="auto"/>
          <w:sz w:val="32"/>
          <w:szCs w:val="32"/>
          <w:highlight w:val="none"/>
        </w:rPr>
      </w:pPr>
    </w:p>
    <w:p w14:paraId="5C946A54">
      <w:pPr>
        <w:pStyle w:val="6"/>
        <w:snapToGrid w:val="0"/>
        <w:spacing w:before="50" w:after="50"/>
        <w:ind w:firstLine="720" w:firstLineChars="225"/>
        <w:rPr>
          <w:rFonts w:hint="eastAsia" w:ascii="宋体" w:hAnsi="宋体" w:cs="宋体"/>
          <w:bCs/>
          <w:color w:val="auto"/>
          <w:sz w:val="32"/>
          <w:szCs w:val="32"/>
          <w:highlight w:val="none"/>
        </w:rPr>
      </w:pPr>
    </w:p>
    <w:p w14:paraId="5FBBB5D7">
      <w:pPr>
        <w:pStyle w:val="6"/>
        <w:snapToGrid w:val="0"/>
        <w:spacing w:before="50" w:after="50"/>
        <w:ind w:firstLine="0"/>
        <w:rPr>
          <w:rFonts w:hint="eastAsia" w:ascii="宋体" w:hAnsi="宋体" w:cs="宋体"/>
          <w:bCs/>
          <w:color w:val="auto"/>
          <w:sz w:val="32"/>
          <w:szCs w:val="32"/>
          <w:highlight w:val="none"/>
        </w:rPr>
      </w:pPr>
    </w:p>
    <w:p w14:paraId="7CC415C9">
      <w:pPr>
        <w:pStyle w:val="6"/>
        <w:snapToGrid w:val="0"/>
        <w:spacing w:before="50" w:after="50"/>
        <w:ind w:firstLine="1280" w:firstLineChars="400"/>
        <w:rPr>
          <w:rFonts w:hint="eastAsia" w:ascii="宋体" w:hAnsi="宋体" w:cs="宋体"/>
          <w:bCs/>
          <w:color w:val="auto"/>
          <w:sz w:val="32"/>
          <w:szCs w:val="32"/>
          <w:highlight w:val="none"/>
        </w:rPr>
      </w:pPr>
    </w:p>
    <w:p w14:paraId="3628E685">
      <w:pPr>
        <w:snapToGrid w:val="0"/>
        <w:spacing w:before="160" w:beforeLines="5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7F182CFE">
      <w:pPr>
        <w:snapToGrid w:val="0"/>
        <w:spacing w:before="160" w:beforeLines="50" w:after="50" w:line="360" w:lineRule="auto"/>
        <w:ind w:right="480" w:firstLine="240" w:firstLineChars="100"/>
        <w:jc w:val="left"/>
        <w:rPr>
          <w:rFonts w:hint="eastAsia" w:ascii="宋体" w:hAnsi="宋体" w:cs="宋体"/>
          <w:b/>
          <w:bCs/>
          <w:color w:val="auto"/>
          <w:sz w:val="24"/>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2.商务技术文件目录</w:t>
      </w:r>
    </w:p>
    <w:p w14:paraId="041608F0">
      <w:pPr>
        <w:snapToGrid w:val="0"/>
        <w:spacing w:before="160" w:beforeLines="50" w:after="50" w:line="360" w:lineRule="auto"/>
        <w:ind w:firstLine="640" w:firstLineChars="200"/>
        <w:rPr>
          <w:rFonts w:hint="eastAsia"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29072863">
      <w:pPr>
        <w:spacing w:line="400" w:lineRule="exact"/>
        <w:rPr>
          <w:rFonts w:hint="eastAsia" w:ascii="宋体" w:hAnsi="宋体" w:cs="宋体"/>
          <w:color w:val="auto"/>
          <w:sz w:val="32"/>
          <w:szCs w:val="32"/>
          <w:highlight w:val="none"/>
        </w:rPr>
      </w:pPr>
    </w:p>
    <w:p w14:paraId="44AA7FFD">
      <w:pPr>
        <w:spacing w:line="520" w:lineRule="exact"/>
        <w:jc w:val="center"/>
        <w:rPr>
          <w:rFonts w:hint="eastAsia" w:ascii="宋体" w:hAnsi="宋体" w:cs="宋体"/>
          <w:color w:val="auto"/>
          <w:sz w:val="32"/>
          <w:szCs w:val="32"/>
          <w:highlight w:val="none"/>
        </w:rPr>
      </w:pPr>
      <w:r>
        <w:rPr>
          <w:rFonts w:hint="eastAsia" w:ascii="宋体" w:hAnsi="宋体" w:cs="宋体"/>
          <w:color w:val="auto"/>
          <w:sz w:val="44"/>
          <w:szCs w:val="44"/>
          <w:highlight w:val="none"/>
        </w:rPr>
        <w:br w:type="page"/>
      </w:r>
      <w:r>
        <w:rPr>
          <w:rFonts w:hint="eastAsia" w:ascii="宋体" w:hAnsi="宋体" w:cs="宋体"/>
          <w:color w:val="auto"/>
          <w:sz w:val="44"/>
          <w:szCs w:val="44"/>
          <w:highlight w:val="none"/>
        </w:rPr>
        <w:t>无串通竞标行为的承诺函</w:t>
      </w:r>
    </w:p>
    <w:p w14:paraId="4C7DE78D">
      <w:pPr>
        <w:spacing w:line="360" w:lineRule="auto"/>
        <w:ind w:firstLine="640" w:firstLineChars="200"/>
        <w:contextualSpacing/>
        <w:rPr>
          <w:rFonts w:hint="eastAsia" w:ascii="宋体" w:hAnsi="宋体" w:cs="宋体"/>
          <w:color w:val="auto"/>
          <w:sz w:val="32"/>
          <w:szCs w:val="32"/>
          <w:highlight w:val="none"/>
        </w:rPr>
      </w:pPr>
    </w:p>
    <w:p w14:paraId="53419161">
      <w:pPr>
        <w:spacing w:line="360" w:lineRule="auto"/>
        <w:ind w:firstLine="482" w:firstLineChars="200"/>
        <w:contextualSpacing/>
        <w:rPr>
          <w:rFonts w:hint="eastAsia" w:ascii="宋体" w:hAnsi="宋体" w:cs="宋体"/>
          <w:b/>
          <w:bCs/>
          <w:color w:val="auto"/>
          <w:sz w:val="24"/>
          <w:highlight w:val="none"/>
        </w:rPr>
      </w:pPr>
      <w:r>
        <w:rPr>
          <w:rFonts w:hint="eastAsia" w:ascii="宋体" w:hAnsi="宋体" w:cs="宋体"/>
          <w:b/>
          <w:bCs/>
          <w:color w:val="auto"/>
          <w:sz w:val="24"/>
          <w:highlight w:val="none"/>
        </w:rPr>
        <w:t>一、我方承诺无下列相互串通竞标的情形：</w:t>
      </w:r>
    </w:p>
    <w:p w14:paraId="0A207BCE">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 xml:space="preserve">1.不同供应商的响应文件由同一单位或者个人编制； </w:t>
      </w:r>
    </w:p>
    <w:p w14:paraId="138A09DB">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2.不同供应商委托同一单位或者个人办理竞标事宜；</w:t>
      </w:r>
    </w:p>
    <w:p w14:paraId="5B11D6AE">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3.不同供应商的响应文件载明的项目管理员为同一个人；</w:t>
      </w:r>
    </w:p>
    <w:p w14:paraId="05AE0CC8">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4.不</w:t>
      </w:r>
      <w:r>
        <w:rPr>
          <w:rFonts w:hint="eastAsia" w:ascii="宋体" w:hAnsi="宋体" w:cs="宋体"/>
          <w:color w:val="auto"/>
          <w:spacing w:val="-6"/>
          <w:sz w:val="24"/>
          <w:highlight w:val="none"/>
        </w:rPr>
        <w:t>同供应商的响应文件异常一致或者竞标报价呈规律性差异；</w:t>
      </w:r>
    </w:p>
    <w:p w14:paraId="225743B0">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5.不同供应商的响应文件相互混装；</w:t>
      </w:r>
    </w:p>
    <w:p w14:paraId="777D6E06">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6.不同供应商的磋商保证金从同一单位或者个人账户转出。</w:t>
      </w:r>
    </w:p>
    <w:p w14:paraId="448AD112">
      <w:pPr>
        <w:spacing w:line="360" w:lineRule="auto"/>
        <w:ind w:firstLine="482" w:firstLineChars="200"/>
        <w:contextualSpacing/>
        <w:rPr>
          <w:rFonts w:hint="eastAsia" w:ascii="宋体" w:hAnsi="宋体" w:cs="宋体"/>
          <w:b/>
          <w:bCs/>
          <w:color w:val="auto"/>
          <w:sz w:val="24"/>
          <w:highlight w:val="none"/>
        </w:rPr>
      </w:pPr>
      <w:r>
        <w:rPr>
          <w:rFonts w:hint="eastAsia" w:ascii="宋体" w:hAnsi="宋体" w:cs="宋体"/>
          <w:b/>
          <w:bCs/>
          <w:color w:val="auto"/>
          <w:sz w:val="24"/>
          <w:highlight w:val="none"/>
        </w:rPr>
        <w:t>二、我方承诺无下列恶意串通的情形：</w:t>
      </w:r>
    </w:p>
    <w:p w14:paraId="04912024">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1.供应商直接或者间接从采购人或者采购代理机构处获得其他供应商的相关信息并修改其响应文件；</w:t>
      </w:r>
    </w:p>
    <w:p w14:paraId="289CAB5A">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2.供应商按照采购人或者采购代理机构的授意撤换、修改响应文件；</w:t>
      </w:r>
    </w:p>
    <w:p w14:paraId="0FFCAA7B">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3.供</w:t>
      </w:r>
      <w:r>
        <w:rPr>
          <w:rFonts w:hint="eastAsia" w:ascii="宋体" w:hAnsi="宋体" w:cs="宋体"/>
          <w:color w:val="auto"/>
          <w:spacing w:val="-6"/>
          <w:sz w:val="24"/>
          <w:highlight w:val="none"/>
        </w:rPr>
        <w:t>应商之间协商报价、技术方案等响应文件的实质性内容；</w:t>
      </w:r>
    </w:p>
    <w:p w14:paraId="4C2DBEA2">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3D69DB19">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18B689E7">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6.供应商之间商定部分供应商放弃参加政府采购活动或者放弃成交；</w:t>
      </w:r>
    </w:p>
    <w:p w14:paraId="401994EC">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7.供应商与采购人或者采购代理机构之间、供应商相互之间，为</w:t>
      </w:r>
      <w:r>
        <w:rPr>
          <w:rFonts w:hint="eastAsia" w:ascii="宋体" w:hAnsi="宋体" w:cs="宋体"/>
          <w:color w:val="auto"/>
          <w:spacing w:val="-6"/>
          <w:sz w:val="24"/>
          <w:highlight w:val="none"/>
        </w:rPr>
        <w:t>谋求特定供应商成交或者排斥其他供应商的其他串通行为。</w:t>
      </w:r>
    </w:p>
    <w:p w14:paraId="1DDA20C1">
      <w:pPr>
        <w:spacing w:line="360" w:lineRule="auto"/>
        <w:ind w:firstLine="480" w:firstLineChars="200"/>
        <w:contextualSpacing/>
        <w:rPr>
          <w:rFonts w:hint="eastAsia" w:ascii="宋体" w:hAnsi="宋体" w:cs="宋体"/>
          <w:color w:val="auto"/>
          <w:sz w:val="24"/>
          <w:highlight w:val="none"/>
        </w:rPr>
      </w:pPr>
    </w:p>
    <w:p w14:paraId="50D504A1">
      <w:pPr>
        <w:spacing w:line="360" w:lineRule="auto"/>
        <w:ind w:firstLine="482" w:firstLineChars="200"/>
        <w:contextualSpacing/>
        <w:rPr>
          <w:rFonts w:hint="eastAsia" w:ascii="宋体" w:hAnsi="宋体" w:cs="宋体"/>
          <w:b/>
          <w:bCs/>
          <w:color w:val="auto"/>
          <w:sz w:val="24"/>
          <w:highlight w:val="none"/>
        </w:rPr>
      </w:pPr>
      <w:r>
        <w:rPr>
          <w:rFonts w:hint="eastAsia" w:ascii="宋体" w:hAnsi="宋体" w:cs="宋体"/>
          <w:b/>
          <w:bCs/>
          <w:color w:val="auto"/>
          <w:sz w:val="24"/>
          <w:highlight w:val="none"/>
        </w:rPr>
        <w:t>以上情形一经核查属实，我方愿意承担一切后果，并不再寻求任何旨在减轻或者免除法律责任的辩解。</w:t>
      </w:r>
    </w:p>
    <w:p w14:paraId="6FB7A21D">
      <w:pPr>
        <w:spacing w:line="360" w:lineRule="auto"/>
        <w:contextualSpacing/>
        <w:rPr>
          <w:rFonts w:hint="eastAsia" w:ascii="宋体" w:hAnsi="宋体" w:cs="宋体"/>
          <w:color w:val="auto"/>
          <w:sz w:val="24"/>
          <w:highlight w:val="none"/>
        </w:rPr>
      </w:pPr>
    </w:p>
    <w:p w14:paraId="330B77CE">
      <w:pPr>
        <w:spacing w:line="360" w:lineRule="auto"/>
        <w:ind w:firstLine="480" w:firstLineChars="200"/>
        <w:contextualSpacing/>
        <w:jc w:val="center"/>
        <w:rPr>
          <w:rFonts w:hint="eastAsia" w:ascii="宋体" w:hAnsi="宋体" w:cs="宋体"/>
          <w:color w:val="auto"/>
          <w:sz w:val="24"/>
          <w:highlight w:val="none"/>
        </w:rPr>
      </w:pPr>
      <w:r>
        <w:rPr>
          <w:rFonts w:hint="eastAsia" w:ascii="宋体" w:hAnsi="宋体" w:cs="宋体"/>
          <w:color w:val="auto"/>
          <w:sz w:val="24"/>
          <w:highlight w:val="none"/>
        </w:rPr>
        <w:t>供应商名称（公章或电子签章）：</w:t>
      </w:r>
    </w:p>
    <w:p w14:paraId="245747F8">
      <w:pPr>
        <w:spacing w:line="360" w:lineRule="auto"/>
        <w:ind w:firstLine="480" w:firstLineChars="200"/>
        <w:contextualSpacing/>
        <w:jc w:val="center"/>
        <w:rPr>
          <w:rFonts w:hint="eastAsia" w:ascii="宋体" w:hAnsi="宋体" w:cs="宋体"/>
          <w:color w:val="auto"/>
          <w:sz w:val="32"/>
          <w:szCs w:val="32"/>
          <w:highlight w:val="none"/>
        </w:rPr>
      </w:pPr>
      <w:r>
        <w:rPr>
          <w:rFonts w:hint="eastAsia" w:ascii="宋体" w:hAnsi="宋体" w:cs="宋体"/>
          <w:color w:val="auto"/>
          <w:sz w:val="24"/>
          <w:highlight w:val="none"/>
        </w:rPr>
        <w:t xml:space="preserve">                               年   月   日</w:t>
      </w:r>
    </w:p>
    <w:p w14:paraId="10BB377F">
      <w:pPr>
        <w:spacing w:line="520" w:lineRule="exact"/>
        <w:jc w:val="center"/>
        <w:rPr>
          <w:rFonts w:hint="eastAsia" w:ascii="宋体" w:hAnsi="宋体" w:cs="宋体"/>
          <w:color w:val="auto"/>
          <w:sz w:val="32"/>
          <w:szCs w:val="32"/>
          <w:highlight w:val="none"/>
        </w:rPr>
      </w:pPr>
      <w:r>
        <w:rPr>
          <w:rFonts w:hint="eastAsia" w:ascii="宋体" w:hAnsi="宋体" w:cs="宋体"/>
          <w:bCs/>
          <w:color w:val="auto"/>
          <w:sz w:val="44"/>
          <w:szCs w:val="44"/>
          <w:highlight w:val="none"/>
        </w:rPr>
        <w:br w:type="page"/>
      </w:r>
      <w:r>
        <w:rPr>
          <w:rFonts w:hint="eastAsia" w:ascii="宋体" w:hAnsi="宋体" w:cs="宋体"/>
          <w:bCs/>
          <w:color w:val="auto"/>
          <w:sz w:val="44"/>
          <w:szCs w:val="44"/>
          <w:highlight w:val="none"/>
        </w:rPr>
        <w:t>法定代表人证明书</w:t>
      </w:r>
    </w:p>
    <w:p w14:paraId="7282DCDD">
      <w:pPr>
        <w:spacing w:line="360" w:lineRule="auto"/>
        <w:ind w:left="540"/>
        <w:contextualSpacing/>
        <w:rPr>
          <w:rFonts w:hint="eastAsia" w:ascii="宋体" w:hAnsi="宋体" w:cs="宋体"/>
          <w:color w:val="auto"/>
          <w:sz w:val="32"/>
          <w:szCs w:val="32"/>
          <w:highlight w:val="none"/>
        </w:rPr>
      </w:pPr>
    </w:p>
    <w:p w14:paraId="68E588D7">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p>
    <w:p w14:paraId="68049518">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p>
    <w:p w14:paraId="4E46C52A">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rPr>
        <w:t xml:space="preserve">                </w:t>
      </w:r>
    </w:p>
    <w:p w14:paraId="01A01CCF">
      <w:pPr>
        <w:spacing w:line="360" w:lineRule="auto"/>
        <w:ind w:left="540"/>
        <w:contextualSpacing/>
        <w:rPr>
          <w:rFonts w:hint="eastAsia" w:ascii="宋体" w:hAnsi="宋体" w:cs="宋体"/>
          <w:color w:val="auto"/>
          <w:sz w:val="24"/>
          <w:highlight w:val="none"/>
          <w:u w:val="single"/>
        </w:rPr>
      </w:pPr>
      <w:r>
        <w:rPr>
          <w:rFonts w:hint="eastAsia" w:ascii="宋体" w:hAnsi="宋体" w:cs="宋体"/>
          <w:color w:val="auto"/>
          <w:sz w:val="24"/>
          <w:highlight w:val="none"/>
        </w:rPr>
        <w:t>年    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p>
    <w:p w14:paraId="34B8EFB5">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06EBB4B0">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的法定代表人。</w:t>
      </w:r>
    </w:p>
    <w:p w14:paraId="3674CC5B">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特此证明。</w:t>
      </w:r>
    </w:p>
    <w:p w14:paraId="3F99F8B6">
      <w:pPr>
        <w:spacing w:line="360" w:lineRule="auto"/>
        <w:ind w:left="540"/>
        <w:contextualSpacing/>
        <w:rPr>
          <w:rFonts w:hint="eastAsia" w:ascii="宋体" w:hAnsi="宋体" w:cs="宋体"/>
          <w:color w:val="auto"/>
          <w:sz w:val="24"/>
          <w:highlight w:val="none"/>
        </w:rPr>
      </w:pPr>
    </w:p>
    <w:p w14:paraId="6155375D">
      <w:pPr>
        <w:spacing w:line="360" w:lineRule="auto"/>
        <w:ind w:left="540"/>
        <w:contextualSpacing/>
        <w:rPr>
          <w:rFonts w:hint="eastAsia" w:ascii="宋体" w:hAnsi="宋体" w:cs="宋体"/>
          <w:color w:val="auto"/>
          <w:sz w:val="24"/>
          <w:highlight w:val="none"/>
        </w:rPr>
      </w:pPr>
    </w:p>
    <w:p w14:paraId="5D66C9A6">
      <w:pPr>
        <w:spacing w:line="360" w:lineRule="auto"/>
        <w:ind w:left="540"/>
        <w:contextualSpacing/>
        <w:rPr>
          <w:rFonts w:hint="eastAsia" w:ascii="宋体" w:hAnsi="宋体" w:cs="宋体"/>
          <w:color w:val="auto"/>
          <w:sz w:val="24"/>
          <w:highlight w:val="none"/>
        </w:rPr>
      </w:pPr>
    </w:p>
    <w:p w14:paraId="2FCF83DE">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附件：法定代表人有效身份证正反面复印件</w:t>
      </w:r>
    </w:p>
    <w:p w14:paraId="27187A29">
      <w:pPr>
        <w:spacing w:line="360" w:lineRule="auto"/>
        <w:ind w:left="540"/>
        <w:contextualSpacing/>
        <w:rPr>
          <w:rFonts w:hint="eastAsia" w:ascii="宋体" w:hAnsi="宋体" w:cs="宋体"/>
          <w:color w:val="auto"/>
          <w:sz w:val="24"/>
          <w:highlight w:val="none"/>
        </w:rPr>
      </w:pPr>
    </w:p>
    <w:p w14:paraId="5C315D79">
      <w:pPr>
        <w:spacing w:line="360" w:lineRule="auto"/>
        <w:ind w:firstLine="4080" w:firstLineChars="1700"/>
        <w:contextualSpacing/>
        <w:rPr>
          <w:rFonts w:hint="eastAsia" w:ascii="宋体" w:hAnsi="宋体" w:cs="宋体"/>
          <w:color w:val="auto"/>
          <w:sz w:val="24"/>
          <w:highlight w:val="none"/>
        </w:rPr>
      </w:pPr>
      <w:r>
        <w:rPr>
          <w:rFonts w:hint="eastAsia" w:ascii="宋体" w:hAnsi="宋体" w:cs="宋体"/>
          <w:color w:val="auto"/>
          <w:sz w:val="24"/>
          <w:highlight w:val="none"/>
        </w:rPr>
        <w:t>供应商名称（公章或电子签章）：</w:t>
      </w:r>
    </w:p>
    <w:p w14:paraId="3FBC87B8">
      <w:pPr>
        <w:spacing w:line="360" w:lineRule="auto"/>
        <w:ind w:firstLine="4080" w:firstLineChars="1700"/>
        <w:contextualSpacing/>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30EF9936">
      <w:pPr>
        <w:spacing w:line="360" w:lineRule="auto"/>
        <w:contextualSpacing/>
        <w:jc w:val="center"/>
        <w:rPr>
          <w:rFonts w:hint="eastAsia" w:ascii="宋体" w:hAnsi="宋体" w:cs="宋体"/>
          <w:b/>
          <w:color w:val="auto"/>
          <w:sz w:val="24"/>
          <w:highlight w:val="none"/>
        </w:rPr>
      </w:pPr>
    </w:p>
    <w:p w14:paraId="771D01EC">
      <w:pPr>
        <w:spacing w:line="360" w:lineRule="auto"/>
        <w:contextualSpacing/>
        <w:jc w:val="left"/>
        <w:rPr>
          <w:rFonts w:hint="eastAsia" w:ascii="宋体" w:hAnsi="宋体" w:cs="宋体"/>
          <w:color w:val="auto"/>
          <w:sz w:val="24"/>
          <w:highlight w:val="none"/>
        </w:rPr>
      </w:pPr>
    </w:p>
    <w:p w14:paraId="0BC22595">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注：自然人竞标的无需提供，联合体竞标的只需牵头人出具。</w:t>
      </w:r>
    </w:p>
    <w:p w14:paraId="7B9481AA">
      <w:pPr>
        <w:adjustRightInd w:val="0"/>
        <w:snapToGrid w:val="0"/>
        <w:spacing w:line="300" w:lineRule="auto"/>
        <w:jc w:val="left"/>
        <w:rPr>
          <w:rFonts w:hint="eastAsia" w:ascii="宋体" w:hAnsi="宋体" w:cs="宋体"/>
          <w:b/>
          <w:color w:val="auto"/>
          <w:szCs w:val="21"/>
          <w:highlight w:val="none"/>
        </w:rPr>
      </w:pPr>
    </w:p>
    <w:p w14:paraId="4C8222D5">
      <w:pPr>
        <w:spacing w:line="500" w:lineRule="exact"/>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br w:type="page"/>
      </w:r>
      <w:r>
        <w:rPr>
          <w:rFonts w:hint="eastAsia" w:ascii="宋体" w:hAnsi="宋体" w:cs="宋体"/>
          <w:color w:val="auto"/>
          <w:sz w:val="44"/>
          <w:szCs w:val="44"/>
          <w:highlight w:val="none"/>
        </w:rPr>
        <w:t xml:space="preserve"> </w:t>
      </w:r>
    </w:p>
    <w:p w14:paraId="72B412E1">
      <w:pPr>
        <w:spacing w:line="520" w:lineRule="exact"/>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授权委托书</w:t>
      </w:r>
    </w:p>
    <w:p w14:paraId="5B8D2577">
      <w:pPr>
        <w:spacing w:line="52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（非联合体竞标格式）</w:t>
      </w:r>
    </w:p>
    <w:p w14:paraId="06ECC97F">
      <w:pPr>
        <w:spacing w:line="520" w:lineRule="exact"/>
        <w:jc w:val="center"/>
        <w:rPr>
          <w:rFonts w:hint="eastAsia" w:ascii="宋体" w:hAnsi="宋体" w:cs="宋体"/>
          <w:color w:val="auto"/>
          <w:sz w:val="44"/>
          <w:szCs w:val="44"/>
          <w:highlight w:val="none"/>
        </w:rPr>
      </w:pPr>
      <w:r>
        <w:rPr>
          <w:rFonts w:hint="eastAsia" w:ascii="宋体" w:hAnsi="宋体" w:cs="宋体"/>
          <w:color w:val="auto"/>
          <w:sz w:val="32"/>
          <w:szCs w:val="32"/>
          <w:highlight w:val="none"/>
        </w:rPr>
        <w:t>（如有委托时）</w:t>
      </w:r>
    </w:p>
    <w:p w14:paraId="41237F24">
      <w:pPr>
        <w:spacing w:line="520" w:lineRule="exact"/>
        <w:rPr>
          <w:rFonts w:hint="eastAsia" w:ascii="宋体" w:hAnsi="宋体" w:cs="宋体"/>
          <w:color w:val="auto"/>
          <w:sz w:val="32"/>
          <w:szCs w:val="32"/>
          <w:highlight w:val="none"/>
        </w:rPr>
      </w:pPr>
    </w:p>
    <w:p w14:paraId="0DE7D12B">
      <w:pPr>
        <w:spacing w:line="360" w:lineRule="auto"/>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442C570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我</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（供应商名称）  </w:t>
      </w:r>
      <w:r>
        <w:rPr>
          <w:rFonts w:hint="eastAsia" w:ascii="宋体" w:hAnsi="宋体" w:cs="宋体"/>
          <w:color w:val="auto"/>
          <w:sz w:val="24"/>
          <w:highlight w:val="none"/>
        </w:rPr>
        <w:t>的（</w:t>
      </w:r>
      <w:r>
        <w:rPr>
          <w:rFonts w:hint="eastAsia" w:ascii="宋体" w:hAnsi="宋体" w:cs="宋体"/>
          <w:color w:val="auto"/>
          <w:sz w:val="24"/>
          <w:highlight w:val="none"/>
          <w:u w:val="single"/>
        </w:rPr>
        <w:t>□法定代表人/□负责人/□自然人本人</w:t>
      </w:r>
      <w:r>
        <w:rPr>
          <w:rFonts w:hint="eastAsia" w:ascii="宋体" w:hAnsi="宋体" w:cs="宋体"/>
          <w:color w:val="auto"/>
          <w:sz w:val="24"/>
          <w:highlight w:val="none"/>
        </w:rPr>
        <w:t>），现授权</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以我方的名义参加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项目的竞标活动，并代表我方全权办理针对上述项目的所有采购程序和环节的具体事务和签署相关文件。</w:t>
      </w:r>
    </w:p>
    <w:p w14:paraId="1AD851E4">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我方对委托代理人的签字或者电子签名事项负全部责任。</w:t>
      </w:r>
    </w:p>
    <w:p w14:paraId="348687B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52F0655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委托代理人无转委托权，特此委托。</w:t>
      </w:r>
    </w:p>
    <w:p w14:paraId="37632D4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附：法定代表人身份证明书及委托代理人有效身份证正反面复印件</w:t>
      </w:r>
    </w:p>
    <w:p w14:paraId="1F7D9719">
      <w:pPr>
        <w:spacing w:line="360" w:lineRule="auto"/>
        <w:rPr>
          <w:rFonts w:hint="eastAsia" w:ascii="宋体" w:hAnsi="宋体" w:cs="宋体"/>
          <w:color w:val="auto"/>
          <w:sz w:val="24"/>
          <w:highlight w:val="none"/>
        </w:rPr>
      </w:pPr>
    </w:p>
    <w:p w14:paraId="004FC970">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委托代理人（签字或盖章或电子签名）：     法定代表人（签字或盖章或电子签名）：                    </w:t>
      </w:r>
    </w:p>
    <w:p w14:paraId="2223330C">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委托代理人身份证号码：                              </w:t>
      </w:r>
    </w:p>
    <w:p w14:paraId="1F085523">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7956702B">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供应商（公章或电子签章）：                      </w:t>
      </w:r>
    </w:p>
    <w:p w14:paraId="7731D603">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332E0D53">
      <w:pPr>
        <w:spacing w:line="360" w:lineRule="auto"/>
        <w:rPr>
          <w:rFonts w:hint="eastAsia" w:ascii="宋体" w:hAnsi="宋体" w:cs="宋体"/>
          <w:color w:val="auto"/>
          <w:sz w:val="24"/>
          <w:highlight w:val="none"/>
        </w:rPr>
      </w:pPr>
    </w:p>
    <w:p w14:paraId="255B841F">
      <w:pPr>
        <w:spacing w:line="360" w:lineRule="auto"/>
        <w:rPr>
          <w:rFonts w:hint="eastAsia" w:ascii="宋体" w:hAnsi="宋体" w:cs="宋体"/>
          <w:color w:val="auto"/>
          <w:sz w:val="24"/>
          <w:highlight w:val="none"/>
        </w:rPr>
      </w:pPr>
      <w:r>
        <w:rPr>
          <w:rFonts w:hint="eastAsia" w:ascii="宋体" w:hAnsi="宋体" w:cs="宋体"/>
          <w:color w:val="auto"/>
          <w:sz w:val="24"/>
          <w:highlight w:val="none"/>
        </w:rPr>
        <w:t>注：1. 法定代表人必须在授权委托书上签字或者盖章或者电子签名，委托代理人必须在授权委托书上签字或者电子签名，</w:t>
      </w:r>
      <w:r>
        <w:rPr>
          <w:rFonts w:hint="eastAsia" w:ascii="宋体" w:hAnsi="宋体" w:cs="宋体"/>
          <w:b/>
          <w:color w:val="auto"/>
          <w:sz w:val="24"/>
          <w:highlight w:val="none"/>
        </w:rPr>
        <w:t>否则其响应文件按无效响应处理。</w:t>
      </w:r>
    </w:p>
    <w:p w14:paraId="1585C801">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2.</w:t>
      </w:r>
      <w:bookmarkStart w:id="46" w:name="_Hlk65853109"/>
      <w:bookmarkStart w:id="47" w:name="_Hlk65853542"/>
      <w:r>
        <w:rPr>
          <w:rFonts w:hint="eastAsia" w:ascii="宋体" w:hAnsi="宋体" w:cs="宋体"/>
          <w:color w:val="auto"/>
          <w:sz w:val="24"/>
          <w:highlight w:val="none"/>
        </w:rPr>
        <w:t>法人、其他组织竞标时“我方”是指“我单位”，自然人竞标时“我方”是指“本人”。</w:t>
      </w:r>
      <w:bookmarkEnd w:id="46"/>
    </w:p>
    <w:bookmarkEnd w:id="47"/>
    <w:p w14:paraId="3F11924E">
      <w:pPr>
        <w:spacing w:line="360" w:lineRule="auto"/>
        <w:ind w:firstLine="420" w:firstLineChars="200"/>
        <w:jc w:val="left"/>
        <w:rPr>
          <w:rFonts w:hint="eastAsia" w:ascii="宋体" w:hAnsi="宋体" w:cs="宋体"/>
          <w:color w:val="auto"/>
          <w:szCs w:val="21"/>
          <w:highlight w:val="none"/>
        </w:rPr>
      </w:pPr>
    </w:p>
    <w:p w14:paraId="2F70287A">
      <w:pPr>
        <w:spacing w:line="36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br w:type="page"/>
      </w:r>
      <w:r>
        <w:rPr>
          <w:rFonts w:hint="eastAsia" w:ascii="宋体" w:hAnsi="宋体" w:cs="宋体"/>
          <w:color w:val="auto"/>
          <w:sz w:val="32"/>
          <w:szCs w:val="32"/>
          <w:highlight w:val="none"/>
        </w:rPr>
        <w:t>技术要求响应偏离表</w:t>
      </w:r>
    </w:p>
    <w:p w14:paraId="11D76540">
      <w:pPr>
        <w:spacing w:line="36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采购项目编号：                 </w:t>
      </w:r>
    </w:p>
    <w:p w14:paraId="787CE817">
      <w:pPr>
        <w:spacing w:line="36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采购项目名称：                 </w:t>
      </w:r>
    </w:p>
    <w:p w14:paraId="1C32DF8E">
      <w:pPr>
        <w:snapToGrid w:val="0"/>
        <w:spacing w:before="50" w:line="520" w:lineRule="exact"/>
        <w:jc w:val="left"/>
        <w:rPr>
          <w:rFonts w:hint="eastAsia" w:ascii="宋体" w:hAnsi="宋体" w:cs="宋体"/>
          <w:color w:val="auto"/>
          <w:szCs w:val="21"/>
          <w:highlight w:val="none"/>
          <w:u w:val="single"/>
        </w:rPr>
      </w:pPr>
    </w:p>
    <w:tbl>
      <w:tblPr>
        <w:tblStyle w:val="16"/>
        <w:tblpPr w:leftFromText="180" w:rightFromText="180" w:vertAnchor="text" w:horzAnchor="margin" w:tblpY="-9"/>
        <w:tblOverlap w:val="never"/>
        <w:tblW w:w="991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67"/>
        <w:gridCol w:w="2175"/>
        <w:gridCol w:w="2289"/>
        <w:gridCol w:w="2094"/>
        <w:gridCol w:w="2094"/>
      </w:tblGrid>
      <w:tr w14:paraId="2D81F2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1267" w:type="dxa"/>
            <w:tcBorders>
              <w:top w:val="single" w:color="auto" w:sz="4" w:space="0"/>
              <w:left w:val="single" w:color="auto" w:sz="4" w:space="0"/>
              <w:bottom w:val="single" w:color="auto" w:sz="4" w:space="0"/>
              <w:right w:val="single" w:color="auto" w:sz="4" w:space="0"/>
            </w:tcBorders>
            <w:noWrap w:val="0"/>
            <w:vAlign w:val="center"/>
          </w:tcPr>
          <w:p w14:paraId="7257329F">
            <w:pPr>
              <w:pStyle w:val="10"/>
              <w:spacing w:line="360" w:lineRule="auto"/>
              <w:ind w:firstLine="0" w:firstLineChars="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kern w:val="2"/>
                <w:sz w:val="24"/>
                <w:szCs w:val="24"/>
                <w:highlight w:val="none"/>
                <w:lang w:val="en-US" w:eastAsia="zh-CN"/>
              </w:rPr>
              <w:t>序号</w:t>
            </w:r>
          </w:p>
        </w:tc>
        <w:tc>
          <w:tcPr>
            <w:tcW w:w="2175" w:type="dxa"/>
            <w:tcBorders>
              <w:top w:val="single" w:color="auto" w:sz="4" w:space="0"/>
              <w:left w:val="single" w:color="auto" w:sz="4" w:space="0"/>
              <w:bottom w:val="single" w:color="auto" w:sz="4" w:space="0"/>
              <w:right w:val="single" w:color="auto" w:sz="4" w:space="0"/>
            </w:tcBorders>
            <w:noWrap w:val="0"/>
            <w:vAlign w:val="center"/>
          </w:tcPr>
          <w:p w14:paraId="7F2FF34B">
            <w:pPr>
              <w:pStyle w:val="10"/>
              <w:spacing w:line="360" w:lineRule="auto"/>
              <w:ind w:firstLine="0" w:firstLineChars="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kern w:val="2"/>
                <w:sz w:val="24"/>
                <w:szCs w:val="24"/>
                <w:highlight w:val="none"/>
                <w:lang w:val="en-US" w:eastAsia="zh-CN"/>
              </w:rPr>
              <w:t>名称</w:t>
            </w:r>
          </w:p>
        </w:tc>
        <w:tc>
          <w:tcPr>
            <w:tcW w:w="2289" w:type="dxa"/>
            <w:tcBorders>
              <w:top w:val="single" w:color="auto" w:sz="4" w:space="0"/>
              <w:left w:val="single" w:color="auto" w:sz="4" w:space="0"/>
              <w:bottom w:val="single" w:color="auto" w:sz="4" w:space="0"/>
              <w:right w:val="single" w:color="auto" w:sz="4" w:space="0"/>
            </w:tcBorders>
            <w:noWrap w:val="0"/>
            <w:vAlign w:val="center"/>
          </w:tcPr>
          <w:p w14:paraId="611DF799">
            <w:pPr>
              <w:pStyle w:val="10"/>
              <w:spacing w:line="360" w:lineRule="auto"/>
              <w:ind w:firstLine="0" w:firstLineChars="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kern w:val="2"/>
                <w:sz w:val="24"/>
                <w:szCs w:val="24"/>
                <w:highlight w:val="none"/>
                <w:lang w:val="en-US" w:eastAsia="zh-CN"/>
              </w:rPr>
              <w:t>磋商文件技术要求</w:t>
            </w:r>
          </w:p>
        </w:tc>
        <w:tc>
          <w:tcPr>
            <w:tcW w:w="2094" w:type="dxa"/>
            <w:tcBorders>
              <w:top w:val="single" w:color="auto" w:sz="4" w:space="0"/>
              <w:left w:val="single" w:color="auto" w:sz="4" w:space="0"/>
              <w:bottom w:val="single" w:color="auto" w:sz="4" w:space="0"/>
              <w:right w:val="single" w:color="auto" w:sz="4" w:space="0"/>
            </w:tcBorders>
            <w:noWrap w:val="0"/>
            <w:vAlign w:val="center"/>
          </w:tcPr>
          <w:p w14:paraId="7A5DB9D1">
            <w:pPr>
              <w:pStyle w:val="10"/>
              <w:spacing w:line="360" w:lineRule="auto"/>
              <w:ind w:firstLine="0" w:firstLineChars="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kern w:val="2"/>
                <w:sz w:val="24"/>
                <w:szCs w:val="24"/>
                <w:highlight w:val="none"/>
                <w:lang w:val="en-US" w:eastAsia="zh-CN"/>
              </w:rPr>
              <w:t>竞标响应</w:t>
            </w:r>
          </w:p>
        </w:tc>
        <w:tc>
          <w:tcPr>
            <w:tcW w:w="2094" w:type="dxa"/>
            <w:tcBorders>
              <w:top w:val="single" w:color="auto" w:sz="4" w:space="0"/>
              <w:left w:val="single" w:color="auto" w:sz="4" w:space="0"/>
              <w:bottom w:val="single" w:color="auto" w:sz="4" w:space="0"/>
              <w:right w:val="single" w:color="auto" w:sz="4" w:space="0"/>
            </w:tcBorders>
            <w:noWrap w:val="0"/>
            <w:vAlign w:val="center"/>
          </w:tcPr>
          <w:p w14:paraId="77A88256">
            <w:pPr>
              <w:pStyle w:val="10"/>
              <w:spacing w:line="360" w:lineRule="auto"/>
              <w:ind w:firstLine="0" w:firstLineChars="0"/>
              <w:contextualSpacing/>
              <w:jc w:val="center"/>
              <w:rPr>
                <w:rFonts w:hint="eastAsia" w:ascii="宋体" w:hAnsi="宋体" w:eastAsia="宋体" w:cs="仿宋_GB2312"/>
                <w:color w:val="auto"/>
                <w:kern w:val="2"/>
                <w:sz w:val="24"/>
                <w:szCs w:val="24"/>
                <w:highlight w:val="none"/>
                <w:lang w:val="en-US" w:eastAsia="zh-CN"/>
              </w:rPr>
            </w:pPr>
            <w:r>
              <w:rPr>
                <w:rFonts w:hint="eastAsia" w:ascii="宋体" w:hAnsi="宋体" w:eastAsia="宋体" w:cs="仿宋_GB2312"/>
                <w:color w:val="auto"/>
                <w:kern w:val="2"/>
                <w:sz w:val="24"/>
                <w:szCs w:val="24"/>
                <w:highlight w:val="none"/>
                <w:lang w:val="en-US" w:eastAsia="zh-CN"/>
              </w:rPr>
              <w:t>偏离说明</w:t>
            </w:r>
          </w:p>
        </w:tc>
      </w:tr>
      <w:tr w14:paraId="2385DC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1267" w:type="dxa"/>
            <w:tcBorders>
              <w:top w:val="single" w:color="auto" w:sz="4" w:space="0"/>
              <w:left w:val="single" w:color="auto" w:sz="4" w:space="0"/>
              <w:bottom w:val="single" w:color="auto" w:sz="4" w:space="0"/>
              <w:right w:val="single" w:color="auto" w:sz="4" w:space="0"/>
            </w:tcBorders>
            <w:noWrap w:val="0"/>
            <w:vAlign w:val="center"/>
          </w:tcPr>
          <w:p w14:paraId="0E28B204">
            <w:pPr>
              <w:spacing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14:paraId="2C87506D">
            <w:pPr>
              <w:snapToGrid w:val="0"/>
              <w:spacing w:before="160" w:beforeLines="5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noWrap w:val="0"/>
            <w:vAlign w:val="center"/>
          </w:tcPr>
          <w:p w14:paraId="5087C018">
            <w:pPr>
              <w:snapToGrid w:val="0"/>
              <w:spacing w:before="160" w:beforeLines="5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0BE45267">
            <w:pPr>
              <w:snapToGrid w:val="0"/>
              <w:spacing w:before="160" w:beforeLines="5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32827B6E">
            <w:pPr>
              <w:snapToGrid w:val="0"/>
              <w:spacing w:before="160" w:beforeLines="50" w:line="520" w:lineRule="exact"/>
              <w:jc w:val="center"/>
              <w:rPr>
                <w:rFonts w:hint="eastAsia" w:ascii="宋体" w:hAnsi="宋体" w:cs="宋体"/>
                <w:color w:val="auto"/>
                <w:szCs w:val="21"/>
                <w:highlight w:val="none"/>
              </w:rPr>
            </w:pPr>
          </w:p>
        </w:tc>
      </w:tr>
      <w:tr w14:paraId="587847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7" w:hRule="atLeast"/>
        </w:trPr>
        <w:tc>
          <w:tcPr>
            <w:tcW w:w="1267" w:type="dxa"/>
            <w:tcBorders>
              <w:top w:val="single" w:color="auto" w:sz="4" w:space="0"/>
              <w:left w:val="single" w:color="auto" w:sz="4" w:space="0"/>
              <w:bottom w:val="single" w:color="auto" w:sz="4" w:space="0"/>
              <w:right w:val="single" w:color="auto" w:sz="4" w:space="0"/>
            </w:tcBorders>
            <w:noWrap w:val="0"/>
            <w:vAlign w:val="center"/>
          </w:tcPr>
          <w:p w14:paraId="0E304E4B">
            <w:pPr>
              <w:spacing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14:paraId="3D8839ED">
            <w:pPr>
              <w:snapToGrid w:val="0"/>
              <w:spacing w:before="160" w:beforeLines="5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noWrap w:val="0"/>
            <w:vAlign w:val="center"/>
          </w:tcPr>
          <w:p w14:paraId="31828A03">
            <w:pPr>
              <w:snapToGrid w:val="0"/>
              <w:spacing w:before="160" w:beforeLines="50" w:line="520" w:lineRule="exact"/>
              <w:ind w:left="43"/>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2ED69B43">
            <w:pPr>
              <w:snapToGrid w:val="0"/>
              <w:spacing w:before="160" w:beforeLines="50" w:line="520" w:lineRule="exact"/>
              <w:ind w:left="43"/>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46EF638F">
            <w:pPr>
              <w:snapToGrid w:val="0"/>
              <w:spacing w:before="160" w:beforeLines="50" w:line="520" w:lineRule="exact"/>
              <w:ind w:left="43"/>
              <w:jc w:val="center"/>
              <w:rPr>
                <w:rFonts w:hint="eastAsia" w:ascii="宋体" w:hAnsi="宋体" w:cs="宋体"/>
                <w:color w:val="auto"/>
                <w:szCs w:val="21"/>
                <w:highlight w:val="none"/>
              </w:rPr>
            </w:pPr>
          </w:p>
        </w:tc>
      </w:tr>
      <w:tr w14:paraId="3CBA97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1" w:hRule="atLeast"/>
        </w:trPr>
        <w:tc>
          <w:tcPr>
            <w:tcW w:w="1267" w:type="dxa"/>
            <w:tcBorders>
              <w:top w:val="single" w:color="auto" w:sz="4" w:space="0"/>
              <w:left w:val="single" w:color="auto" w:sz="4" w:space="0"/>
              <w:bottom w:val="single" w:color="auto" w:sz="4" w:space="0"/>
              <w:right w:val="single" w:color="auto" w:sz="4" w:space="0"/>
            </w:tcBorders>
            <w:noWrap w:val="0"/>
            <w:vAlign w:val="center"/>
          </w:tcPr>
          <w:p w14:paraId="0E46F641">
            <w:pPr>
              <w:snapToGrid w:val="0"/>
              <w:spacing w:before="160" w:beforeLines="50"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14:paraId="33235C21">
            <w:pPr>
              <w:snapToGrid w:val="0"/>
              <w:spacing w:before="160" w:beforeLines="5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noWrap w:val="0"/>
            <w:vAlign w:val="center"/>
          </w:tcPr>
          <w:p w14:paraId="42158AAE">
            <w:pPr>
              <w:snapToGrid w:val="0"/>
              <w:spacing w:before="160" w:beforeLines="5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1E95C5B0">
            <w:pPr>
              <w:snapToGrid w:val="0"/>
              <w:spacing w:before="160" w:beforeLines="5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5E57259B">
            <w:pPr>
              <w:snapToGrid w:val="0"/>
              <w:spacing w:before="160" w:beforeLines="50" w:line="520" w:lineRule="exact"/>
              <w:jc w:val="center"/>
              <w:rPr>
                <w:rFonts w:hint="eastAsia" w:ascii="宋体" w:hAnsi="宋体" w:cs="宋体"/>
                <w:color w:val="auto"/>
                <w:szCs w:val="21"/>
                <w:highlight w:val="none"/>
              </w:rPr>
            </w:pPr>
          </w:p>
        </w:tc>
      </w:tr>
      <w:tr w14:paraId="5CEF82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267" w:type="dxa"/>
            <w:tcBorders>
              <w:top w:val="single" w:color="auto" w:sz="4" w:space="0"/>
              <w:left w:val="single" w:color="auto" w:sz="4" w:space="0"/>
              <w:bottom w:val="single" w:color="auto" w:sz="4" w:space="0"/>
              <w:right w:val="single" w:color="auto" w:sz="4" w:space="0"/>
            </w:tcBorders>
            <w:noWrap w:val="0"/>
            <w:vAlign w:val="center"/>
          </w:tcPr>
          <w:p w14:paraId="5DE8B4BA">
            <w:pPr>
              <w:snapToGrid w:val="0"/>
              <w:spacing w:before="160" w:beforeLines="50"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14:paraId="3CDC4FB1">
            <w:pPr>
              <w:snapToGrid w:val="0"/>
              <w:spacing w:before="160" w:beforeLines="5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noWrap w:val="0"/>
            <w:vAlign w:val="center"/>
          </w:tcPr>
          <w:p w14:paraId="73AD29FD">
            <w:pPr>
              <w:snapToGrid w:val="0"/>
              <w:spacing w:before="160" w:beforeLines="5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3707DDD5">
            <w:pPr>
              <w:snapToGrid w:val="0"/>
              <w:spacing w:before="160" w:beforeLines="5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2E0C3DBD">
            <w:pPr>
              <w:snapToGrid w:val="0"/>
              <w:spacing w:before="160" w:beforeLines="50" w:line="520" w:lineRule="exact"/>
              <w:jc w:val="center"/>
              <w:rPr>
                <w:rFonts w:hint="eastAsia" w:ascii="宋体" w:hAnsi="宋体" w:cs="宋体"/>
                <w:color w:val="auto"/>
                <w:szCs w:val="21"/>
                <w:highlight w:val="none"/>
              </w:rPr>
            </w:pPr>
          </w:p>
        </w:tc>
      </w:tr>
    </w:tbl>
    <w:p w14:paraId="0C8EF635">
      <w:pPr>
        <w:pStyle w:val="8"/>
        <w:spacing w:after="0" w:line="360" w:lineRule="auto"/>
        <w:contextualSpacing/>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注：</w:t>
      </w:r>
    </w:p>
    <w:p w14:paraId="0B69DD5A">
      <w:pPr>
        <w:spacing w:line="360" w:lineRule="auto"/>
        <w:contextualSpacing/>
        <w:jc w:val="left"/>
        <w:rPr>
          <w:rFonts w:hint="eastAsia" w:ascii="宋体" w:hAnsi="宋体" w:cs="宋体"/>
          <w:color w:val="auto"/>
          <w:kern w:val="0"/>
          <w:sz w:val="24"/>
          <w:highlight w:val="none"/>
        </w:rPr>
      </w:pPr>
      <w:r>
        <w:rPr>
          <w:rFonts w:hint="eastAsia" w:ascii="宋体" w:hAnsi="宋体" w:cs="宋体"/>
          <w:color w:val="auto"/>
          <w:kern w:val="0"/>
          <w:sz w:val="24"/>
          <w:highlight w:val="none"/>
        </w:rPr>
        <w:t>1. 说明：应对照磋商文件“第三章 采购需求”中的技术要求逐条作出明确响应，并作出偏离说明。</w:t>
      </w:r>
    </w:p>
    <w:p w14:paraId="7B771E08">
      <w:pPr>
        <w:spacing w:line="360" w:lineRule="auto"/>
        <w:contextualSpacing/>
        <w:jc w:val="left"/>
        <w:rPr>
          <w:rFonts w:hint="eastAsia" w:ascii="宋体" w:hAnsi="宋体" w:cs="宋体"/>
          <w:color w:val="auto"/>
          <w:sz w:val="24"/>
          <w:highlight w:val="none"/>
          <w:u w:val="single"/>
        </w:rPr>
      </w:pPr>
      <w:r>
        <w:rPr>
          <w:rFonts w:hint="eastAsia" w:ascii="宋体" w:hAnsi="宋体" w:cs="宋体"/>
          <w:color w:val="auto"/>
          <w:kern w:val="0"/>
          <w:sz w:val="24"/>
          <w:highlight w:val="none"/>
        </w:rPr>
        <w:t>2.供应商应根据自身的承诺，对照磋商文件要求，在“偏离说明”中注明“正偏离”“负偏离”或者“无偏离”。既不属于“正偏离”也不属于“负偏离”即为“无偏离”。</w:t>
      </w:r>
    </w:p>
    <w:p w14:paraId="52D1EE1A">
      <w:pPr>
        <w:spacing w:line="360" w:lineRule="auto"/>
        <w:ind w:right="-817" w:rightChars="-389"/>
        <w:contextualSpacing/>
        <w:rPr>
          <w:rFonts w:hint="eastAsia" w:ascii="宋体" w:hAnsi="宋体" w:cs="宋体"/>
          <w:color w:val="auto"/>
          <w:sz w:val="24"/>
          <w:highlight w:val="none"/>
        </w:rPr>
      </w:pPr>
    </w:p>
    <w:p w14:paraId="12BEE3BB">
      <w:pPr>
        <w:spacing w:line="360" w:lineRule="auto"/>
        <w:ind w:right="-817" w:rightChars="-389"/>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法定代表人或者委托代理人（签字或盖章或电子签名）：</w:t>
      </w:r>
    </w:p>
    <w:p w14:paraId="77D7AEE7">
      <w:pPr>
        <w:spacing w:line="360" w:lineRule="auto"/>
        <w:ind w:right="-817" w:rightChars="-389" w:firstLine="2640" w:firstLineChars="1100"/>
        <w:contextualSpacing/>
        <w:rPr>
          <w:rFonts w:hint="eastAsia" w:ascii="宋体" w:hAnsi="宋体" w:cs="宋体"/>
          <w:color w:val="auto"/>
          <w:sz w:val="24"/>
          <w:highlight w:val="none"/>
        </w:rPr>
      </w:pPr>
      <w:r>
        <w:rPr>
          <w:rFonts w:hint="eastAsia" w:ascii="宋体" w:hAnsi="宋体" w:cs="宋体"/>
          <w:color w:val="auto"/>
          <w:sz w:val="24"/>
          <w:highlight w:val="none"/>
        </w:rPr>
        <w:t xml:space="preserve">供应商（公章或电子签章）：      </w:t>
      </w:r>
    </w:p>
    <w:p w14:paraId="6B2C0603">
      <w:pPr>
        <w:spacing w:line="360" w:lineRule="auto"/>
        <w:ind w:right="-817" w:rightChars="-389" w:firstLine="4080" w:firstLineChars="1700"/>
        <w:contextualSpacing/>
        <w:rPr>
          <w:rFonts w:hint="eastAsia" w:ascii="宋体" w:hAnsi="宋体" w:cs="宋体"/>
          <w:b/>
          <w:color w:val="auto"/>
          <w:sz w:val="32"/>
          <w:szCs w:val="32"/>
          <w:highlight w:val="none"/>
        </w:rPr>
      </w:pPr>
      <w:r>
        <w:rPr>
          <w:rFonts w:hint="eastAsia" w:ascii="宋体" w:hAnsi="宋体" w:cs="宋体"/>
          <w:color w:val="auto"/>
          <w:sz w:val="24"/>
          <w:highlight w:val="none"/>
        </w:rPr>
        <w:t>日期：   年   月   日</w:t>
      </w:r>
    </w:p>
    <w:p w14:paraId="17F2B358">
      <w:pPr>
        <w:spacing w:line="360" w:lineRule="exact"/>
        <w:jc w:val="center"/>
        <w:rPr>
          <w:rFonts w:hint="eastAsia" w:ascii="宋体" w:hAnsi="宋体" w:cs="宋体"/>
          <w:color w:val="auto"/>
          <w:sz w:val="32"/>
          <w:szCs w:val="32"/>
          <w:highlight w:val="none"/>
        </w:rPr>
      </w:pPr>
    </w:p>
    <w:p w14:paraId="7CDDD876">
      <w:pPr>
        <w:spacing w:line="360" w:lineRule="exact"/>
        <w:jc w:val="center"/>
        <w:rPr>
          <w:rFonts w:hint="eastAsia" w:ascii="宋体" w:hAnsi="宋体" w:cs="宋体"/>
          <w:color w:val="auto"/>
          <w:sz w:val="32"/>
          <w:szCs w:val="32"/>
          <w:highlight w:val="none"/>
        </w:rPr>
      </w:pPr>
    </w:p>
    <w:p w14:paraId="0F5E9590">
      <w:pPr>
        <w:spacing w:line="360" w:lineRule="exact"/>
        <w:jc w:val="center"/>
        <w:rPr>
          <w:rFonts w:hint="eastAsia" w:ascii="宋体" w:hAnsi="宋体" w:cs="宋体"/>
          <w:color w:val="auto"/>
          <w:sz w:val="32"/>
          <w:szCs w:val="32"/>
          <w:highlight w:val="none"/>
        </w:rPr>
      </w:pPr>
    </w:p>
    <w:p w14:paraId="3731F031">
      <w:pPr>
        <w:pStyle w:val="9"/>
        <w:rPr>
          <w:rFonts w:hint="eastAsia" w:ascii="宋体" w:hAnsi="宋体" w:cs="宋体"/>
          <w:color w:val="auto"/>
          <w:sz w:val="32"/>
          <w:szCs w:val="32"/>
          <w:highlight w:val="none"/>
        </w:rPr>
      </w:pPr>
    </w:p>
    <w:p w14:paraId="579C72CB">
      <w:pPr>
        <w:rPr>
          <w:rFonts w:hint="eastAsia" w:ascii="宋体" w:hAnsi="宋体" w:cs="宋体"/>
          <w:color w:val="auto"/>
          <w:sz w:val="32"/>
          <w:szCs w:val="32"/>
          <w:highlight w:val="none"/>
        </w:rPr>
      </w:pPr>
    </w:p>
    <w:p w14:paraId="289E8EE7">
      <w:pPr>
        <w:pStyle w:val="9"/>
        <w:rPr>
          <w:rFonts w:hint="eastAsia" w:ascii="宋体" w:hAnsi="宋体" w:cs="宋体"/>
          <w:color w:val="auto"/>
          <w:sz w:val="32"/>
          <w:szCs w:val="32"/>
          <w:highlight w:val="none"/>
        </w:rPr>
      </w:pPr>
    </w:p>
    <w:p w14:paraId="424FE261">
      <w:pPr>
        <w:rPr>
          <w:rFonts w:hint="eastAsia" w:ascii="宋体" w:hAnsi="宋体" w:cs="宋体"/>
          <w:color w:val="auto"/>
          <w:highlight w:val="none"/>
        </w:rPr>
      </w:pPr>
    </w:p>
    <w:p w14:paraId="3C24D2F3">
      <w:pPr>
        <w:spacing w:line="360" w:lineRule="exact"/>
        <w:jc w:val="center"/>
        <w:rPr>
          <w:rFonts w:hint="eastAsia" w:ascii="宋体" w:hAnsi="宋体" w:cs="宋体"/>
          <w:color w:val="auto"/>
          <w:sz w:val="32"/>
          <w:szCs w:val="32"/>
          <w:highlight w:val="none"/>
        </w:rPr>
      </w:pPr>
    </w:p>
    <w:p w14:paraId="6CA527AA">
      <w:pPr>
        <w:spacing w:line="360" w:lineRule="exact"/>
        <w:jc w:val="center"/>
        <w:rPr>
          <w:rFonts w:hint="eastAsia" w:ascii="宋体" w:hAnsi="宋体" w:cs="宋体"/>
          <w:bCs/>
          <w:color w:val="auto"/>
          <w:sz w:val="44"/>
          <w:szCs w:val="44"/>
          <w:highlight w:val="none"/>
        </w:rPr>
      </w:pPr>
      <w:r>
        <w:rPr>
          <w:rFonts w:hint="eastAsia" w:ascii="宋体" w:hAnsi="宋体" w:cs="宋体"/>
          <w:b/>
          <w:color w:val="auto"/>
          <w:sz w:val="36"/>
          <w:szCs w:val="36"/>
          <w:highlight w:val="none"/>
        </w:rPr>
        <w:t>商务要求响应偏离表格式</w:t>
      </w:r>
    </w:p>
    <w:p w14:paraId="2174CDD8">
      <w:pPr>
        <w:spacing w:line="36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采购项目编号：                 </w:t>
      </w:r>
    </w:p>
    <w:p w14:paraId="77F5AD87">
      <w:pPr>
        <w:spacing w:line="360" w:lineRule="exact"/>
        <w:jc w:val="left"/>
        <w:rPr>
          <w:rFonts w:hint="eastAsia" w:ascii="宋体" w:hAnsi="宋体" w:cs="宋体"/>
          <w:color w:val="auto"/>
          <w:sz w:val="24"/>
          <w:highlight w:val="none"/>
        </w:rPr>
      </w:pPr>
      <w:r>
        <w:rPr>
          <w:rFonts w:hint="eastAsia" w:ascii="宋体" w:hAnsi="宋体" w:cs="宋体"/>
          <w:color w:val="auto"/>
          <w:szCs w:val="21"/>
          <w:highlight w:val="none"/>
          <w:u w:val="single"/>
        </w:rPr>
        <w:t xml:space="preserve">采购项目名称：                 </w:t>
      </w:r>
    </w:p>
    <w:p w14:paraId="19302E91">
      <w:pPr>
        <w:snapToGrid w:val="0"/>
        <w:spacing w:before="50" w:line="520" w:lineRule="exact"/>
        <w:jc w:val="left"/>
        <w:rPr>
          <w:rFonts w:hint="eastAsia" w:ascii="宋体" w:hAnsi="宋体" w:cs="宋体"/>
          <w:color w:val="auto"/>
          <w:szCs w:val="21"/>
          <w:highlight w:val="none"/>
          <w:u w:val="single"/>
        </w:rPr>
      </w:pPr>
    </w:p>
    <w:tbl>
      <w:tblPr>
        <w:tblStyle w:val="16"/>
        <w:tblpPr w:leftFromText="180" w:rightFromText="180" w:vertAnchor="text" w:horzAnchor="margin" w:tblpY="-9"/>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076"/>
        <w:gridCol w:w="2386"/>
      </w:tblGrid>
      <w:tr w14:paraId="731BFA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264471A3">
            <w:pPr>
              <w:snapToGrid w:val="0"/>
              <w:spacing w:before="160" w:beforeLines="5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6BEB511C">
            <w:pPr>
              <w:snapToGrid w:val="0"/>
              <w:spacing w:before="160" w:beforeLines="5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磋商文件商务要求</w:t>
            </w:r>
          </w:p>
        </w:tc>
        <w:tc>
          <w:tcPr>
            <w:tcW w:w="2076" w:type="dxa"/>
            <w:tcBorders>
              <w:top w:val="single" w:color="auto" w:sz="4" w:space="0"/>
              <w:left w:val="single" w:color="auto" w:sz="4" w:space="0"/>
              <w:bottom w:val="single" w:color="auto" w:sz="4" w:space="0"/>
              <w:right w:val="single" w:color="auto" w:sz="4" w:space="0"/>
            </w:tcBorders>
            <w:noWrap w:val="0"/>
            <w:vAlign w:val="center"/>
          </w:tcPr>
          <w:p w14:paraId="7641CFFC">
            <w:pPr>
              <w:snapToGrid w:val="0"/>
              <w:spacing w:before="160" w:beforeLines="5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供应商的响应</w:t>
            </w:r>
          </w:p>
        </w:tc>
        <w:tc>
          <w:tcPr>
            <w:tcW w:w="2386" w:type="dxa"/>
            <w:tcBorders>
              <w:top w:val="single" w:color="auto" w:sz="4" w:space="0"/>
              <w:left w:val="single" w:color="auto" w:sz="4" w:space="0"/>
              <w:bottom w:val="single" w:color="auto" w:sz="4" w:space="0"/>
              <w:right w:val="single" w:color="auto" w:sz="4" w:space="0"/>
            </w:tcBorders>
            <w:noWrap w:val="0"/>
            <w:vAlign w:val="center"/>
          </w:tcPr>
          <w:p w14:paraId="2E7BAC6B">
            <w:pPr>
              <w:snapToGrid w:val="0"/>
              <w:spacing w:before="160" w:beforeLines="5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偏离说明</w:t>
            </w:r>
          </w:p>
        </w:tc>
      </w:tr>
      <w:tr w14:paraId="489281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2336B397">
            <w:pPr>
              <w:spacing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0C4037BB">
            <w:pPr>
              <w:snapToGrid w:val="0"/>
              <w:spacing w:before="160" w:beforeLines="5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noWrap w:val="0"/>
            <w:vAlign w:val="center"/>
          </w:tcPr>
          <w:p w14:paraId="2329594E">
            <w:pPr>
              <w:snapToGrid w:val="0"/>
              <w:spacing w:before="160" w:beforeLines="50" w:line="520" w:lineRule="exact"/>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16487A67">
            <w:pPr>
              <w:snapToGrid w:val="0"/>
              <w:spacing w:before="160" w:beforeLines="50" w:line="520" w:lineRule="exact"/>
              <w:jc w:val="center"/>
              <w:rPr>
                <w:rFonts w:hint="eastAsia" w:ascii="宋体" w:hAnsi="宋体" w:cs="宋体"/>
                <w:color w:val="auto"/>
                <w:szCs w:val="21"/>
                <w:highlight w:val="none"/>
              </w:rPr>
            </w:pPr>
          </w:p>
        </w:tc>
      </w:tr>
      <w:tr w14:paraId="0E931F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39FA132B">
            <w:pPr>
              <w:spacing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18369DE7">
            <w:pPr>
              <w:snapToGrid w:val="0"/>
              <w:spacing w:before="160" w:beforeLines="5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noWrap w:val="0"/>
            <w:vAlign w:val="center"/>
          </w:tcPr>
          <w:p w14:paraId="1EB5350D">
            <w:pPr>
              <w:snapToGrid w:val="0"/>
              <w:spacing w:before="160" w:beforeLines="50" w:line="520" w:lineRule="exact"/>
              <w:ind w:left="43"/>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2BEB7D6F">
            <w:pPr>
              <w:snapToGrid w:val="0"/>
              <w:spacing w:before="160" w:beforeLines="50" w:line="520" w:lineRule="exact"/>
              <w:ind w:left="43"/>
              <w:jc w:val="center"/>
              <w:rPr>
                <w:rFonts w:hint="eastAsia" w:ascii="宋体" w:hAnsi="宋体" w:cs="宋体"/>
                <w:color w:val="auto"/>
                <w:szCs w:val="21"/>
                <w:highlight w:val="none"/>
              </w:rPr>
            </w:pPr>
          </w:p>
        </w:tc>
      </w:tr>
      <w:tr w14:paraId="01A90E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68D05972">
            <w:pPr>
              <w:snapToGrid w:val="0"/>
              <w:spacing w:before="160" w:beforeLines="50"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4CDA807E">
            <w:pPr>
              <w:snapToGrid w:val="0"/>
              <w:spacing w:before="160" w:beforeLines="5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noWrap w:val="0"/>
            <w:vAlign w:val="center"/>
          </w:tcPr>
          <w:p w14:paraId="5FC01F73">
            <w:pPr>
              <w:snapToGrid w:val="0"/>
              <w:spacing w:before="160" w:beforeLines="50" w:line="520" w:lineRule="exact"/>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5D9D10F5">
            <w:pPr>
              <w:snapToGrid w:val="0"/>
              <w:spacing w:before="160" w:beforeLines="50" w:line="520" w:lineRule="exact"/>
              <w:jc w:val="center"/>
              <w:rPr>
                <w:rFonts w:hint="eastAsia" w:ascii="宋体" w:hAnsi="宋体" w:cs="宋体"/>
                <w:color w:val="auto"/>
                <w:szCs w:val="21"/>
                <w:highlight w:val="none"/>
              </w:rPr>
            </w:pPr>
          </w:p>
        </w:tc>
      </w:tr>
      <w:tr w14:paraId="78706E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53E0BFA8">
            <w:pPr>
              <w:snapToGrid w:val="0"/>
              <w:spacing w:before="160" w:beforeLines="50"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35FA9B13">
            <w:pPr>
              <w:snapToGrid w:val="0"/>
              <w:spacing w:before="160" w:beforeLines="5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noWrap w:val="0"/>
            <w:vAlign w:val="center"/>
          </w:tcPr>
          <w:p w14:paraId="6465313D">
            <w:pPr>
              <w:snapToGrid w:val="0"/>
              <w:spacing w:before="160" w:beforeLines="50" w:line="520" w:lineRule="exact"/>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202C6CD0">
            <w:pPr>
              <w:snapToGrid w:val="0"/>
              <w:spacing w:before="160" w:beforeLines="50" w:line="520" w:lineRule="exact"/>
              <w:jc w:val="center"/>
              <w:rPr>
                <w:rFonts w:hint="eastAsia" w:ascii="宋体" w:hAnsi="宋体" w:cs="宋体"/>
                <w:color w:val="auto"/>
                <w:szCs w:val="21"/>
                <w:highlight w:val="none"/>
              </w:rPr>
            </w:pPr>
          </w:p>
        </w:tc>
      </w:tr>
    </w:tbl>
    <w:p w14:paraId="76C580C3">
      <w:pPr>
        <w:spacing w:line="360" w:lineRule="auto"/>
        <w:contextualSpacing/>
        <w:jc w:val="left"/>
        <w:rPr>
          <w:rFonts w:hint="eastAsia" w:ascii="宋体" w:hAnsi="宋体" w:cs="宋体"/>
          <w:color w:val="auto"/>
          <w:kern w:val="0"/>
          <w:sz w:val="24"/>
          <w:highlight w:val="none"/>
        </w:rPr>
      </w:pPr>
      <w:r>
        <w:rPr>
          <w:rFonts w:hint="eastAsia" w:ascii="宋体" w:hAnsi="宋体" w:cs="宋体"/>
          <w:color w:val="auto"/>
          <w:kern w:val="0"/>
          <w:sz w:val="24"/>
          <w:highlight w:val="none"/>
        </w:rPr>
        <w:t>注：</w:t>
      </w:r>
    </w:p>
    <w:p w14:paraId="190E8CAB">
      <w:pPr>
        <w:spacing w:line="360" w:lineRule="auto"/>
        <w:contextualSpacing/>
        <w:jc w:val="left"/>
        <w:rPr>
          <w:rFonts w:hint="eastAsia" w:ascii="宋体" w:hAnsi="宋体" w:cs="宋体"/>
          <w:color w:val="auto"/>
          <w:kern w:val="0"/>
          <w:sz w:val="24"/>
          <w:highlight w:val="none"/>
        </w:rPr>
      </w:pPr>
      <w:r>
        <w:rPr>
          <w:rFonts w:hint="eastAsia" w:ascii="宋体" w:hAnsi="宋体" w:cs="宋体"/>
          <w:color w:val="auto"/>
          <w:kern w:val="0"/>
          <w:sz w:val="24"/>
          <w:highlight w:val="none"/>
        </w:rPr>
        <w:t>1. 说明：应对照磋商文件“第三章 采购需求”中的商务要求逐条作出明确响应，并作出偏离说明。</w:t>
      </w:r>
    </w:p>
    <w:p w14:paraId="76E342D8">
      <w:pPr>
        <w:spacing w:line="360" w:lineRule="auto"/>
        <w:contextualSpacing/>
        <w:jc w:val="left"/>
        <w:rPr>
          <w:rFonts w:hint="eastAsia" w:ascii="宋体" w:hAnsi="宋体" w:cs="宋体"/>
          <w:color w:val="auto"/>
          <w:sz w:val="24"/>
          <w:highlight w:val="none"/>
          <w:u w:val="single"/>
        </w:rPr>
      </w:pPr>
      <w:r>
        <w:rPr>
          <w:rFonts w:hint="eastAsia" w:ascii="宋体" w:hAnsi="宋体" w:cs="宋体"/>
          <w:color w:val="auto"/>
          <w:kern w:val="0"/>
          <w:sz w:val="24"/>
          <w:highlight w:val="none"/>
        </w:rPr>
        <w:t>2.供应商应根据自身的承诺，对照磋商文件要求在“偏离说明”中注明“正偏离”“负偏离”或者“无偏离”。既不属于“正偏离”也不属于“负偏离”即为“无偏离”。</w:t>
      </w:r>
    </w:p>
    <w:p w14:paraId="12809BCF">
      <w:pPr>
        <w:spacing w:line="360" w:lineRule="auto"/>
        <w:ind w:right="-817" w:rightChars="-389"/>
        <w:contextualSpacing/>
        <w:rPr>
          <w:rFonts w:hint="eastAsia" w:ascii="宋体" w:hAnsi="宋体" w:cs="宋体"/>
          <w:color w:val="auto"/>
          <w:sz w:val="24"/>
          <w:highlight w:val="none"/>
        </w:rPr>
      </w:pPr>
    </w:p>
    <w:p w14:paraId="4DB83558">
      <w:pPr>
        <w:spacing w:line="360" w:lineRule="auto"/>
        <w:ind w:right="-817" w:rightChars="-389"/>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法定代表人或者委托代理人（签字或盖章或电子签名）：</w:t>
      </w:r>
    </w:p>
    <w:p w14:paraId="280545B4">
      <w:pPr>
        <w:spacing w:line="360" w:lineRule="auto"/>
        <w:ind w:right="-817" w:rightChars="-389" w:firstLine="2640" w:firstLineChars="1100"/>
        <w:contextualSpacing/>
        <w:rPr>
          <w:rFonts w:hint="eastAsia" w:ascii="宋体" w:hAnsi="宋体" w:cs="宋体"/>
          <w:color w:val="auto"/>
          <w:sz w:val="24"/>
          <w:highlight w:val="none"/>
        </w:rPr>
      </w:pPr>
      <w:r>
        <w:rPr>
          <w:rFonts w:hint="eastAsia" w:ascii="宋体" w:hAnsi="宋体" w:cs="宋体"/>
          <w:color w:val="auto"/>
          <w:sz w:val="24"/>
          <w:highlight w:val="none"/>
        </w:rPr>
        <w:t xml:space="preserve">供应商（公章或电子签章）：      </w:t>
      </w:r>
    </w:p>
    <w:p w14:paraId="1680E6DA">
      <w:pPr>
        <w:spacing w:line="360" w:lineRule="auto"/>
        <w:ind w:right="-817" w:rightChars="-389" w:firstLine="4080" w:firstLineChars="1700"/>
        <w:contextualSpacing/>
        <w:rPr>
          <w:rFonts w:hint="eastAsia" w:ascii="宋体" w:hAnsi="宋体" w:cs="宋体"/>
          <w:color w:val="auto"/>
          <w:sz w:val="24"/>
          <w:highlight w:val="none"/>
        </w:rPr>
      </w:pPr>
      <w:r>
        <w:rPr>
          <w:rFonts w:hint="eastAsia" w:ascii="宋体" w:hAnsi="宋体" w:cs="宋体"/>
          <w:color w:val="auto"/>
          <w:sz w:val="24"/>
          <w:highlight w:val="none"/>
        </w:rPr>
        <w:t>日期：   年   月   日</w:t>
      </w:r>
    </w:p>
    <w:p w14:paraId="2F5E289D">
      <w:pPr>
        <w:spacing w:line="360" w:lineRule="auto"/>
        <w:ind w:right="-817" w:rightChars="-389" w:firstLine="4080" w:firstLineChars="1700"/>
        <w:contextualSpacing/>
        <w:rPr>
          <w:rFonts w:hint="eastAsia" w:ascii="宋体" w:hAnsi="宋体" w:cs="宋体"/>
          <w:color w:val="auto"/>
          <w:sz w:val="24"/>
          <w:highlight w:val="none"/>
        </w:rPr>
      </w:pPr>
      <w:r>
        <w:rPr>
          <w:rFonts w:hint="eastAsia" w:ascii="宋体" w:hAnsi="宋体" w:cs="宋体"/>
          <w:color w:val="auto"/>
          <w:sz w:val="24"/>
          <w:highlight w:val="none"/>
        </w:rPr>
        <w:br w:type="page"/>
      </w:r>
    </w:p>
    <w:p w14:paraId="4384AE54">
      <w:pPr>
        <w:widowControl/>
        <w:kinsoku w:val="0"/>
        <w:autoSpaceDE w:val="0"/>
        <w:autoSpaceDN w:val="0"/>
        <w:adjustRightInd w:val="0"/>
        <w:snapToGrid w:val="0"/>
        <w:spacing w:line="225" w:lineRule="auto"/>
        <w:jc w:val="center"/>
        <w:textAlignment w:val="baseline"/>
        <w:rPr>
          <w:rFonts w:ascii="宋体" w:hAnsi="宋体" w:cs="宋体"/>
          <w:snapToGrid w:val="0"/>
          <w:color w:val="auto"/>
          <w:kern w:val="0"/>
          <w:sz w:val="31"/>
          <w:szCs w:val="31"/>
          <w:highlight w:val="none"/>
        </w:rPr>
      </w:pPr>
      <w:r>
        <w:rPr>
          <w:rFonts w:hint="eastAsia" w:ascii="宋体" w:hAnsi="宋体" w:cs="宋体"/>
          <w:snapToGrid w:val="0"/>
          <w:color w:val="auto"/>
          <w:spacing w:val="9"/>
          <w:kern w:val="0"/>
          <w:sz w:val="31"/>
          <w:szCs w:val="31"/>
          <w:highlight w:val="none"/>
        </w:rPr>
        <w:t>项目实施人员一览表</w:t>
      </w:r>
    </w:p>
    <w:p w14:paraId="69CACCA3">
      <w:pPr>
        <w:widowControl/>
        <w:kinsoku w:val="0"/>
        <w:autoSpaceDE w:val="0"/>
        <w:autoSpaceDN w:val="0"/>
        <w:adjustRightInd w:val="0"/>
        <w:snapToGrid w:val="0"/>
        <w:spacing w:before="78" w:line="219" w:lineRule="auto"/>
        <w:ind w:left="122"/>
        <w:jc w:val="left"/>
        <w:textAlignment w:val="baseline"/>
        <w:rPr>
          <w:rFonts w:ascii="宋体" w:hAnsi="宋体" w:cs="宋体"/>
          <w:snapToGrid w:val="0"/>
          <w:color w:val="auto"/>
          <w:kern w:val="0"/>
          <w:sz w:val="24"/>
          <w:highlight w:val="none"/>
        </w:rPr>
      </w:pPr>
      <w:r>
        <w:rPr>
          <w:rFonts w:ascii="宋体" w:hAnsi="宋体" w:cs="宋体"/>
          <w:snapToGrid w:val="0"/>
          <w:color w:val="auto"/>
          <w:spacing w:val="-2"/>
          <w:kern w:val="0"/>
          <w:sz w:val="24"/>
          <w:highlight w:val="none"/>
        </w:rPr>
        <w:t>采购项目编号：</w:t>
      </w:r>
    </w:p>
    <w:p w14:paraId="7CF57729">
      <w:pPr>
        <w:widowControl/>
        <w:kinsoku w:val="0"/>
        <w:autoSpaceDE w:val="0"/>
        <w:autoSpaceDN w:val="0"/>
        <w:adjustRightInd w:val="0"/>
        <w:snapToGrid w:val="0"/>
        <w:spacing w:before="183" w:line="219" w:lineRule="auto"/>
        <w:ind w:left="122"/>
        <w:jc w:val="left"/>
        <w:textAlignment w:val="baseline"/>
        <w:rPr>
          <w:rFonts w:ascii="宋体" w:hAnsi="宋体" w:cs="宋体"/>
          <w:snapToGrid w:val="0"/>
          <w:color w:val="auto"/>
          <w:kern w:val="0"/>
          <w:sz w:val="24"/>
          <w:highlight w:val="none"/>
        </w:rPr>
      </w:pPr>
      <w:r>
        <w:rPr>
          <w:rFonts w:ascii="宋体" w:hAnsi="宋体" w:cs="宋体"/>
          <w:snapToGrid w:val="0"/>
          <w:color w:val="auto"/>
          <w:spacing w:val="-2"/>
          <w:kern w:val="0"/>
          <w:sz w:val="24"/>
          <w:highlight w:val="none"/>
        </w:rPr>
        <w:t>采购项目名称：</w:t>
      </w:r>
    </w:p>
    <w:p w14:paraId="789707A2">
      <w:pPr>
        <w:widowControl/>
        <w:kinsoku w:val="0"/>
        <w:autoSpaceDE w:val="0"/>
        <w:autoSpaceDN w:val="0"/>
        <w:adjustRightInd w:val="0"/>
        <w:snapToGrid w:val="0"/>
        <w:spacing w:line="68" w:lineRule="exact"/>
        <w:jc w:val="left"/>
        <w:textAlignment w:val="baseline"/>
        <w:rPr>
          <w:rFonts w:ascii="Arial" w:hAnsi="Arial" w:cs="Arial"/>
          <w:snapToGrid w:val="0"/>
          <w:color w:val="auto"/>
          <w:kern w:val="0"/>
          <w:szCs w:val="21"/>
          <w:highlight w:val="none"/>
        </w:rPr>
      </w:pPr>
    </w:p>
    <w:tbl>
      <w:tblPr>
        <w:tblStyle w:val="16"/>
        <w:tblW w:w="9043" w:type="dxa"/>
        <w:tblInd w:w="-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72"/>
        <w:gridCol w:w="1275"/>
        <w:gridCol w:w="1983"/>
        <w:gridCol w:w="1419"/>
        <w:gridCol w:w="1556"/>
        <w:gridCol w:w="1138"/>
      </w:tblGrid>
      <w:tr w14:paraId="2795EE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3" w:hRule="atLeast"/>
        </w:trPr>
        <w:tc>
          <w:tcPr>
            <w:tcW w:w="1672" w:type="dxa"/>
            <w:noWrap w:val="0"/>
            <w:vAlign w:val="top"/>
          </w:tcPr>
          <w:p w14:paraId="6C5F26DB">
            <w:pPr>
              <w:widowControl/>
              <w:kinsoku w:val="0"/>
              <w:autoSpaceDE w:val="0"/>
              <w:autoSpaceDN w:val="0"/>
              <w:adjustRightInd w:val="0"/>
              <w:snapToGrid w:val="0"/>
              <w:spacing w:line="316" w:lineRule="auto"/>
              <w:jc w:val="left"/>
              <w:textAlignment w:val="baseline"/>
              <w:rPr>
                <w:rFonts w:ascii="Arial" w:hAnsi="Arial" w:cs="Arial"/>
                <w:snapToGrid w:val="0"/>
                <w:color w:val="auto"/>
                <w:kern w:val="0"/>
                <w:szCs w:val="21"/>
                <w:highlight w:val="none"/>
              </w:rPr>
            </w:pPr>
          </w:p>
          <w:p w14:paraId="60735F3E">
            <w:pPr>
              <w:widowControl/>
              <w:kinsoku w:val="0"/>
              <w:autoSpaceDE w:val="0"/>
              <w:autoSpaceDN w:val="0"/>
              <w:adjustRightInd w:val="0"/>
              <w:snapToGrid w:val="0"/>
              <w:spacing w:line="316" w:lineRule="auto"/>
              <w:jc w:val="left"/>
              <w:textAlignment w:val="baseline"/>
              <w:rPr>
                <w:rFonts w:ascii="Arial" w:hAnsi="Arial" w:cs="Arial"/>
                <w:snapToGrid w:val="0"/>
                <w:color w:val="auto"/>
                <w:kern w:val="0"/>
                <w:szCs w:val="21"/>
                <w:highlight w:val="none"/>
              </w:rPr>
            </w:pPr>
          </w:p>
          <w:p w14:paraId="3BBBB3FF">
            <w:pPr>
              <w:widowControl/>
              <w:kinsoku w:val="0"/>
              <w:autoSpaceDE w:val="0"/>
              <w:autoSpaceDN w:val="0"/>
              <w:adjustRightInd w:val="0"/>
              <w:snapToGrid w:val="0"/>
              <w:spacing w:line="317" w:lineRule="auto"/>
              <w:jc w:val="left"/>
              <w:textAlignment w:val="baseline"/>
              <w:rPr>
                <w:rFonts w:ascii="Arial" w:hAnsi="Arial" w:cs="Arial"/>
                <w:snapToGrid w:val="0"/>
                <w:color w:val="auto"/>
                <w:kern w:val="0"/>
                <w:szCs w:val="21"/>
                <w:highlight w:val="none"/>
              </w:rPr>
            </w:pPr>
          </w:p>
          <w:p w14:paraId="44B9095A">
            <w:pPr>
              <w:widowControl/>
              <w:kinsoku w:val="0"/>
              <w:autoSpaceDE w:val="0"/>
              <w:autoSpaceDN w:val="0"/>
              <w:adjustRightInd w:val="0"/>
              <w:snapToGrid w:val="0"/>
              <w:spacing w:before="78" w:line="219" w:lineRule="auto"/>
              <w:ind w:left="6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sz w:val="24"/>
                <w:highlight w:val="none"/>
                <w:lang w:eastAsia="en-US"/>
              </w:rPr>
              <w:t>姓名</w:t>
            </w:r>
          </w:p>
        </w:tc>
        <w:tc>
          <w:tcPr>
            <w:tcW w:w="1275" w:type="dxa"/>
            <w:noWrap w:val="0"/>
            <w:vAlign w:val="top"/>
          </w:tcPr>
          <w:p w14:paraId="6E3478D2">
            <w:pPr>
              <w:widowControl/>
              <w:kinsoku w:val="0"/>
              <w:autoSpaceDE w:val="0"/>
              <w:autoSpaceDN w:val="0"/>
              <w:adjustRightInd w:val="0"/>
              <w:snapToGrid w:val="0"/>
              <w:spacing w:line="316" w:lineRule="auto"/>
              <w:jc w:val="left"/>
              <w:textAlignment w:val="baseline"/>
              <w:rPr>
                <w:rFonts w:ascii="Arial" w:hAnsi="Arial" w:cs="Arial"/>
                <w:snapToGrid w:val="0"/>
                <w:color w:val="auto"/>
                <w:kern w:val="0"/>
                <w:szCs w:val="21"/>
                <w:highlight w:val="none"/>
                <w:lang w:eastAsia="en-US"/>
              </w:rPr>
            </w:pPr>
          </w:p>
          <w:p w14:paraId="1598B5C3">
            <w:pPr>
              <w:widowControl/>
              <w:kinsoku w:val="0"/>
              <w:autoSpaceDE w:val="0"/>
              <w:autoSpaceDN w:val="0"/>
              <w:adjustRightInd w:val="0"/>
              <w:snapToGrid w:val="0"/>
              <w:spacing w:line="316" w:lineRule="auto"/>
              <w:jc w:val="left"/>
              <w:textAlignment w:val="baseline"/>
              <w:rPr>
                <w:rFonts w:ascii="Arial" w:hAnsi="Arial" w:cs="Arial"/>
                <w:snapToGrid w:val="0"/>
                <w:color w:val="auto"/>
                <w:kern w:val="0"/>
                <w:szCs w:val="21"/>
                <w:highlight w:val="none"/>
                <w:lang w:eastAsia="en-US"/>
              </w:rPr>
            </w:pPr>
          </w:p>
          <w:p w14:paraId="66489781">
            <w:pPr>
              <w:widowControl/>
              <w:kinsoku w:val="0"/>
              <w:autoSpaceDE w:val="0"/>
              <w:autoSpaceDN w:val="0"/>
              <w:adjustRightInd w:val="0"/>
              <w:snapToGrid w:val="0"/>
              <w:spacing w:line="317" w:lineRule="auto"/>
              <w:jc w:val="left"/>
              <w:textAlignment w:val="baseline"/>
              <w:rPr>
                <w:rFonts w:ascii="Arial" w:hAnsi="Arial" w:cs="Arial"/>
                <w:snapToGrid w:val="0"/>
                <w:color w:val="auto"/>
                <w:kern w:val="0"/>
                <w:szCs w:val="21"/>
                <w:highlight w:val="none"/>
                <w:lang w:eastAsia="en-US"/>
              </w:rPr>
            </w:pPr>
          </w:p>
          <w:p w14:paraId="3B83CAF3">
            <w:pPr>
              <w:widowControl/>
              <w:kinsoku w:val="0"/>
              <w:autoSpaceDE w:val="0"/>
              <w:autoSpaceDN w:val="0"/>
              <w:adjustRightInd w:val="0"/>
              <w:snapToGrid w:val="0"/>
              <w:spacing w:before="78" w:line="219" w:lineRule="auto"/>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6"/>
                <w:kern w:val="0"/>
                <w:sz w:val="24"/>
                <w:highlight w:val="none"/>
                <w:lang w:eastAsia="en-US"/>
              </w:rPr>
              <w:t>职务</w:t>
            </w:r>
          </w:p>
        </w:tc>
        <w:tc>
          <w:tcPr>
            <w:tcW w:w="1983" w:type="dxa"/>
            <w:noWrap w:val="0"/>
            <w:vAlign w:val="top"/>
          </w:tcPr>
          <w:p w14:paraId="79A80951">
            <w:pPr>
              <w:widowControl/>
              <w:kinsoku w:val="0"/>
              <w:autoSpaceDE w:val="0"/>
              <w:autoSpaceDN w:val="0"/>
              <w:adjustRightInd w:val="0"/>
              <w:snapToGrid w:val="0"/>
              <w:spacing w:before="152" w:line="219" w:lineRule="auto"/>
              <w:ind w:left="279"/>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专业技术资格</w:t>
            </w:r>
          </w:p>
          <w:p w14:paraId="7E1F01DE">
            <w:pPr>
              <w:widowControl/>
              <w:kinsoku w:val="0"/>
              <w:autoSpaceDE w:val="0"/>
              <w:autoSpaceDN w:val="0"/>
              <w:adjustRightInd w:val="0"/>
              <w:snapToGrid w:val="0"/>
              <w:spacing w:before="153" w:line="221" w:lineRule="auto"/>
              <w:ind w:left="170"/>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3"/>
                <w:kern w:val="0"/>
                <w:sz w:val="24"/>
                <w:highlight w:val="none"/>
              </w:rPr>
              <w:t>（职称）或者职</w:t>
            </w:r>
          </w:p>
          <w:p w14:paraId="7F0042A3">
            <w:pPr>
              <w:widowControl/>
              <w:kinsoku w:val="0"/>
              <w:autoSpaceDE w:val="0"/>
              <w:autoSpaceDN w:val="0"/>
              <w:adjustRightInd w:val="0"/>
              <w:snapToGrid w:val="0"/>
              <w:spacing w:before="155" w:line="219" w:lineRule="auto"/>
              <w:ind w:left="157"/>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业资格或者执业</w:t>
            </w:r>
          </w:p>
          <w:p w14:paraId="1D243923">
            <w:pPr>
              <w:widowControl/>
              <w:kinsoku w:val="0"/>
              <w:autoSpaceDE w:val="0"/>
              <w:autoSpaceDN w:val="0"/>
              <w:adjustRightInd w:val="0"/>
              <w:snapToGrid w:val="0"/>
              <w:spacing w:before="154" w:line="219" w:lineRule="auto"/>
              <w:ind w:left="169"/>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3"/>
                <w:kern w:val="0"/>
                <w:sz w:val="24"/>
                <w:highlight w:val="none"/>
              </w:rPr>
              <w:t>资格证或者其他</w:t>
            </w:r>
          </w:p>
          <w:p w14:paraId="5DBA945C">
            <w:pPr>
              <w:widowControl/>
              <w:kinsoku w:val="0"/>
              <w:autoSpaceDE w:val="0"/>
              <w:autoSpaceDN w:val="0"/>
              <w:adjustRightInd w:val="0"/>
              <w:snapToGrid w:val="0"/>
              <w:spacing w:before="153" w:line="219" w:lineRule="auto"/>
              <w:ind w:left="75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sz w:val="24"/>
                <w:highlight w:val="none"/>
                <w:lang w:eastAsia="en-US"/>
              </w:rPr>
              <w:t>证书</w:t>
            </w:r>
          </w:p>
        </w:tc>
        <w:tc>
          <w:tcPr>
            <w:tcW w:w="1419" w:type="dxa"/>
            <w:noWrap w:val="0"/>
            <w:vAlign w:val="top"/>
          </w:tcPr>
          <w:p w14:paraId="45834AC0">
            <w:pPr>
              <w:widowControl/>
              <w:kinsoku w:val="0"/>
              <w:autoSpaceDE w:val="0"/>
              <w:autoSpaceDN w:val="0"/>
              <w:adjustRightInd w:val="0"/>
              <w:snapToGrid w:val="0"/>
              <w:spacing w:line="316" w:lineRule="auto"/>
              <w:jc w:val="left"/>
              <w:textAlignment w:val="baseline"/>
              <w:rPr>
                <w:rFonts w:ascii="Arial" w:hAnsi="Arial" w:cs="Arial"/>
                <w:snapToGrid w:val="0"/>
                <w:color w:val="auto"/>
                <w:kern w:val="0"/>
                <w:szCs w:val="21"/>
                <w:highlight w:val="none"/>
                <w:lang w:eastAsia="en-US"/>
              </w:rPr>
            </w:pPr>
          </w:p>
          <w:p w14:paraId="4C437AEC">
            <w:pPr>
              <w:widowControl/>
              <w:kinsoku w:val="0"/>
              <w:autoSpaceDE w:val="0"/>
              <w:autoSpaceDN w:val="0"/>
              <w:adjustRightInd w:val="0"/>
              <w:snapToGrid w:val="0"/>
              <w:spacing w:line="316" w:lineRule="auto"/>
              <w:jc w:val="left"/>
              <w:textAlignment w:val="baseline"/>
              <w:rPr>
                <w:rFonts w:ascii="Arial" w:hAnsi="Arial" w:cs="Arial"/>
                <w:snapToGrid w:val="0"/>
                <w:color w:val="auto"/>
                <w:kern w:val="0"/>
                <w:szCs w:val="21"/>
                <w:highlight w:val="none"/>
                <w:lang w:eastAsia="en-US"/>
              </w:rPr>
            </w:pPr>
          </w:p>
          <w:p w14:paraId="053501AD">
            <w:pPr>
              <w:widowControl/>
              <w:kinsoku w:val="0"/>
              <w:autoSpaceDE w:val="0"/>
              <w:autoSpaceDN w:val="0"/>
              <w:adjustRightInd w:val="0"/>
              <w:snapToGrid w:val="0"/>
              <w:spacing w:line="316" w:lineRule="auto"/>
              <w:jc w:val="left"/>
              <w:textAlignment w:val="baseline"/>
              <w:rPr>
                <w:rFonts w:ascii="Arial" w:hAnsi="Arial" w:cs="Arial"/>
                <w:snapToGrid w:val="0"/>
                <w:color w:val="auto"/>
                <w:kern w:val="0"/>
                <w:szCs w:val="21"/>
                <w:highlight w:val="none"/>
                <w:lang w:eastAsia="en-US"/>
              </w:rPr>
            </w:pPr>
          </w:p>
          <w:p w14:paraId="0083C94D">
            <w:pPr>
              <w:widowControl/>
              <w:kinsoku w:val="0"/>
              <w:autoSpaceDE w:val="0"/>
              <w:autoSpaceDN w:val="0"/>
              <w:adjustRightInd w:val="0"/>
              <w:snapToGrid w:val="0"/>
              <w:spacing w:before="78" w:line="219" w:lineRule="auto"/>
              <w:ind w:left="23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证书编号</w:t>
            </w:r>
          </w:p>
        </w:tc>
        <w:tc>
          <w:tcPr>
            <w:tcW w:w="1556" w:type="dxa"/>
            <w:noWrap w:val="0"/>
            <w:vAlign w:val="top"/>
          </w:tcPr>
          <w:p w14:paraId="1395016E">
            <w:pPr>
              <w:widowControl/>
              <w:kinsoku w:val="0"/>
              <w:autoSpaceDE w:val="0"/>
              <w:autoSpaceDN w:val="0"/>
              <w:adjustRightInd w:val="0"/>
              <w:snapToGrid w:val="0"/>
              <w:spacing w:line="325" w:lineRule="auto"/>
              <w:jc w:val="left"/>
              <w:textAlignment w:val="baseline"/>
              <w:rPr>
                <w:rFonts w:ascii="Arial" w:hAnsi="Arial" w:cs="Arial"/>
                <w:snapToGrid w:val="0"/>
                <w:color w:val="auto"/>
                <w:kern w:val="0"/>
                <w:szCs w:val="21"/>
                <w:highlight w:val="none"/>
                <w:lang w:eastAsia="en-US"/>
              </w:rPr>
            </w:pPr>
          </w:p>
          <w:p w14:paraId="478C7CFB">
            <w:pPr>
              <w:widowControl/>
              <w:kinsoku w:val="0"/>
              <w:autoSpaceDE w:val="0"/>
              <w:autoSpaceDN w:val="0"/>
              <w:adjustRightInd w:val="0"/>
              <w:snapToGrid w:val="0"/>
              <w:spacing w:line="325" w:lineRule="auto"/>
              <w:jc w:val="left"/>
              <w:textAlignment w:val="baseline"/>
              <w:rPr>
                <w:rFonts w:ascii="Arial" w:hAnsi="Arial" w:cs="Arial"/>
                <w:snapToGrid w:val="0"/>
                <w:color w:val="auto"/>
                <w:kern w:val="0"/>
                <w:szCs w:val="21"/>
                <w:highlight w:val="none"/>
                <w:lang w:eastAsia="en-US"/>
              </w:rPr>
            </w:pPr>
          </w:p>
          <w:p w14:paraId="612A606B">
            <w:pPr>
              <w:widowControl/>
              <w:kinsoku w:val="0"/>
              <w:autoSpaceDE w:val="0"/>
              <w:autoSpaceDN w:val="0"/>
              <w:adjustRightInd w:val="0"/>
              <w:snapToGrid w:val="0"/>
              <w:spacing w:before="78" w:line="598" w:lineRule="exact"/>
              <w:ind w:left="18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position w:val="27"/>
                <w:sz w:val="24"/>
                <w:highlight w:val="none"/>
                <w:lang w:eastAsia="en-US"/>
              </w:rPr>
              <w:t>参加本单位</w:t>
            </w:r>
          </w:p>
          <w:p w14:paraId="2F2BA21E">
            <w:pPr>
              <w:widowControl/>
              <w:kinsoku w:val="0"/>
              <w:autoSpaceDE w:val="0"/>
              <w:autoSpaceDN w:val="0"/>
              <w:adjustRightInd w:val="0"/>
              <w:snapToGrid w:val="0"/>
              <w:spacing w:line="220" w:lineRule="auto"/>
              <w:ind w:left="30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工作时间</w:t>
            </w:r>
          </w:p>
        </w:tc>
        <w:tc>
          <w:tcPr>
            <w:tcW w:w="1138" w:type="dxa"/>
            <w:noWrap w:val="0"/>
            <w:vAlign w:val="top"/>
          </w:tcPr>
          <w:p w14:paraId="03026F04">
            <w:pPr>
              <w:widowControl/>
              <w:kinsoku w:val="0"/>
              <w:autoSpaceDE w:val="0"/>
              <w:autoSpaceDN w:val="0"/>
              <w:adjustRightInd w:val="0"/>
              <w:snapToGrid w:val="0"/>
              <w:spacing w:line="243" w:lineRule="auto"/>
              <w:jc w:val="left"/>
              <w:textAlignment w:val="baseline"/>
              <w:rPr>
                <w:rFonts w:ascii="Arial" w:hAnsi="Arial" w:cs="Arial"/>
                <w:snapToGrid w:val="0"/>
                <w:color w:val="auto"/>
                <w:kern w:val="0"/>
                <w:szCs w:val="21"/>
                <w:highlight w:val="none"/>
                <w:lang w:eastAsia="en-US"/>
              </w:rPr>
            </w:pPr>
          </w:p>
          <w:p w14:paraId="197DC8DF">
            <w:pPr>
              <w:widowControl/>
              <w:kinsoku w:val="0"/>
              <w:autoSpaceDE w:val="0"/>
              <w:autoSpaceDN w:val="0"/>
              <w:adjustRightInd w:val="0"/>
              <w:snapToGrid w:val="0"/>
              <w:spacing w:line="243" w:lineRule="auto"/>
              <w:jc w:val="left"/>
              <w:textAlignment w:val="baseline"/>
              <w:rPr>
                <w:rFonts w:ascii="Arial" w:hAnsi="Arial" w:cs="Arial"/>
                <w:snapToGrid w:val="0"/>
                <w:color w:val="auto"/>
                <w:kern w:val="0"/>
                <w:szCs w:val="21"/>
                <w:highlight w:val="none"/>
                <w:lang w:eastAsia="en-US"/>
              </w:rPr>
            </w:pPr>
          </w:p>
          <w:p w14:paraId="41AFD998">
            <w:pPr>
              <w:widowControl/>
              <w:kinsoku w:val="0"/>
              <w:autoSpaceDE w:val="0"/>
              <w:autoSpaceDN w:val="0"/>
              <w:adjustRightInd w:val="0"/>
              <w:snapToGrid w:val="0"/>
              <w:spacing w:line="243" w:lineRule="auto"/>
              <w:jc w:val="left"/>
              <w:textAlignment w:val="baseline"/>
              <w:rPr>
                <w:rFonts w:ascii="Arial" w:hAnsi="Arial" w:cs="Arial"/>
                <w:snapToGrid w:val="0"/>
                <w:color w:val="auto"/>
                <w:kern w:val="0"/>
                <w:szCs w:val="21"/>
                <w:highlight w:val="none"/>
                <w:lang w:eastAsia="en-US"/>
              </w:rPr>
            </w:pPr>
          </w:p>
          <w:p w14:paraId="1C1EF862">
            <w:pPr>
              <w:widowControl/>
              <w:kinsoku w:val="0"/>
              <w:autoSpaceDE w:val="0"/>
              <w:autoSpaceDN w:val="0"/>
              <w:adjustRightInd w:val="0"/>
              <w:snapToGrid w:val="0"/>
              <w:spacing w:before="78" w:line="439" w:lineRule="exact"/>
              <w:ind w:left="22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6"/>
                <w:kern w:val="0"/>
                <w:position w:val="15"/>
                <w:sz w:val="24"/>
                <w:highlight w:val="none"/>
                <w:lang w:eastAsia="en-US"/>
              </w:rPr>
              <w:t>劳动合</w:t>
            </w:r>
          </w:p>
          <w:p w14:paraId="53F9C13A">
            <w:pPr>
              <w:widowControl/>
              <w:kinsoku w:val="0"/>
              <w:autoSpaceDE w:val="0"/>
              <w:autoSpaceDN w:val="0"/>
              <w:adjustRightInd w:val="0"/>
              <w:snapToGrid w:val="0"/>
              <w:spacing w:line="219" w:lineRule="auto"/>
              <w:ind w:left="24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1"/>
                <w:kern w:val="0"/>
                <w:sz w:val="24"/>
                <w:highlight w:val="none"/>
                <w:lang w:eastAsia="en-US"/>
              </w:rPr>
              <w:t>同编号</w:t>
            </w:r>
          </w:p>
        </w:tc>
      </w:tr>
      <w:tr w14:paraId="6B825A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1672" w:type="dxa"/>
            <w:noWrap w:val="0"/>
            <w:vAlign w:val="top"/>
          </w:tcPr>
          <w:p w14:paraId="6066756F">
            <w:pPr>
              <w:widowControl/>
              <w:kinsoku w:val="0"/>
              <w:autoSpaceDE w:val="0"/>
              <w:autoSpaceDN w:val="0"/>
              <w:adjustRightInd w:val="0"/>
              <w:snapToGrid w:val="0"/>
              <w:jc w:val="left"/>
              <w:textAlignment w:val="baseline"/>
              <w:rPr>
                <w:rFonts w:ascii="Arial" w:hAnsi="Arial" w:cs="Arial"/>
                <w:snapToGrid w:val="0"/>
                <w:color w:val="auto"/>
                <w:kern w:val="0"/>
                <w:szCs w:val="21"/>
                <w:highlight w:val="none"/>
                <w:lang w:eastAsia="en-US"/>
              </w:rPr>
            </w:pPr>
          </w:p>
        </w:tc>
        <w:tc>
          <w:tcPr>
            <w:tcW w:w="1275" w:type="dxa"/>
            <w:noWrap w:val="0"/>
            <w:vAlign w:val="top"/>
          </w:tcPr>
          <w:p w14:paraId="06F885E9">
            <w:pPr>
              <w:widowControl/>
              <w:kinsoku w:val="0"/>
              <w:autoSpaceDE w:val="0"/>
              <w:autoSpaceDN w:val="0"/>
              <w:adjustRightInd w:val="0"/>
              <w:snapToGrid w:val="0"/>
              <w:jc w:val="left"/>
              <w:textAlignment w:val="baseline"/>
              <w:rPr>
                <w:rFonts w:ascii="Arial" w:hAnsi="Arial" w:cs="Arial"/>
                <w:snapToGrid w:val="0"/>
                <w:color w:val="auto"/>
                <w:kern w:val="0"/>
                <w:szCs w:val="21"/>
                <w:highlight w:val="none"/>
                <w:lang w:eastAsia="en-US"/>
              </w:rPr>
            </w:pPr>
          </w:p>
        </w:tc>
        <w:tc>
          <w:tcPr>
            <w:tcW w:w="1983" w:type="dxa"/>
            <w:noWrap w:val="0"/>
            <w:vAlign w:val="top"/>
          </w:tcPr>
          <w:p w14:paraId="3598B833">
            <w:pPr>
              <w:widowControl/>
              <w:kinsoku w:val="0"/>
              <w:autoSpaceDE w:val="0"/>
              <w:autoSpaceDN w:val="0"/>
              <w:adjustRightInd w:val="0"/>
              <w:snapToGrid w:val="0"/>
              <w:jc w:val="left"/>
              <w:textAlignment w:val="baseline"/>
              <w:rPr>
                <w:rFonts w:ascii="Arial" w:hAnsi="Arial" w:cs="Arial"/>
                <w:snapToGrid w:val="0"/>
                <w:color w:val="auto"/>
                <w:kern w:val="0"/>
                <w:szCs w:val="21"/>
                <w:highlight w:val="none"/>
                <w:lang w:eastAsia="en-US"/>
              </w:rPr>
            </w:pPr>
          </w:p>
        </w:tc>
        <w:tc>
          <w:tcPr>
            <w:tcW w:w="1419" w:type="dxa"/>
            <w:noWrap w:val="0"/>
            <w:vAlign w:val="top"/>
          </w:tcPr>
          <w:p w14:paraId="6AC4E119">
            <w:pPr>
              <w:widowControl/>
              <w:kinsoku w:val="0"/>
              <w:autoSpaceDE w:val="0"/>
              <w:autoSpaceDN w:val="0"/>
              <w:adjustRightInd w:val="0"/>
              <w:snapToGrid w:val="0"/>
              <w:jc w:val="left"/>
              <w:textAlignment w:val="baseline"/>
              <w:rPr>
                <w:rFonts w:ascii="Arial" w:hAnsi="Arial" w:cs="Arial"/>
                <w:snapToGrid w:val="0"/>
                <w:color w:val="auto"/>
                <w:kern w:val="0"/>
                <w:szCs w:val="21"/>
                <w:highlight w:val="none"/>
                <w:lang w:eastAsia="en-US"/>
              </w:rPr>
            </w:pPr>
          </w:p>
        </w:tc>
        <w:tc>
          <w:tcPr>
            <w:tcW w:w="1556" w:type="dxa"/>
            <w:noWrap w:val="0"/>
            <w:vAlign w:val="top"/>
          </w:tcPr>
          <w:p w14:paraId="41CD1113">
            <w:pPr>
              <w:widowControl/>
              <w:kinsoku w:val="0"/>
              <w:autoSpaceDE w:val="0"/>
              <w:autoSpaceDN w:val="0"/>
              <w:adjustRightInd w:val="0"/>
              <w:snapToGrid w:val="0"/>
              <w:jc w:val="left"/>
              <w:textAlignment w:val="baseline"/>
              <w:rPr>
                <w:rFonts w:ascii="Arial" w:hAnsi="Arial" w:cs="Arial"/>
                <w:snapToGrid w:val="0"/>
                <w:color w:val="auto"/>
                <w:kern w:val="0"/>
                <w:szCs w:val="21"/>
                <w:highlight w:val="none"/>
                <w:lang w:eastAsia="en-US"/>
              </w:rPr>
            </w:pPr>
          </w:p>
        </w:tc>
        <w:tc>
          <w:tcPr>
            <w:tcW w:w="1138" w:type="dxa"/>
            <w:noWrap w:val="0"/>
            <w:vAlign w:val="top"/>
          </w:tcPr>
          <w:p w14:paraId="29E741C2">
            <w:pPr>
              <w:widowControl/>
              <w:kinsoku w:val="0"/>
              <w:autoSpaceDE w:val="0"/>
              <w:autoSpaceDN w:val="0"/>
              <w:adjustRightInd w:val="0"/>
              <w:snapToGrid w:val="0"/>
              <w:jc w:val="left"/>
              <w:textAlignment w:val="baseline"/>
              <w:rPr>
                <w:rFonts w:ascii="Arial" w:hAnsi="Arial" w:cs="Arial"/>
                <w:snapToGrid w:val="0"/>
                <w:color w:val="auto"/>
                <w:kern w:val="0"/>
                <w:szCs w:val="21"/>
                <w:highlight w:val="none"/>
                <w:lang w:eastAsia="en-US"/>
              </w:rPr>
            </w:pPr>
          </w:p>
        </w:tc>
      </w:tr>
      <w:tr w14:paraId="402A16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1672" w:type="dxa"/>
            <w:noWrap w:val="0"/>
            <w:vAlign w:val="top"/>
          </w:tcPr>
          <w:p w14:paraId="6F8F29D6">
            <w:pPr>
              <w:widowControl/>
              <w:kinsoku w:val="0"/>
              <w:autoSpaceDE w:val="0"/>
              <w:autoSpaceDN w:val="0"/>
              <w:adjustRightInd w:val="0"/>
              <w:snapToGrid w:val="0"/>
              <w:jc w:val="left"/>
              <w:textAlignment w:val="baseline"/>
              <w:rPr>
                <w:rFonts w:ascii="Arial" w:hAnsi="Arial" w:cs="Arial"/>
                <w:snapToGrid w:val="0"/>
                <w:color w:val="auto"/>
                <w:kern w:val="0"/>
                <w:szCs w:val="21"/>
                <w:highlight w:val="none"/>
                <w:lang w:eastAsia="en-US"/>
              </w:rPr>
            </w:pPr>
          </w:p>
        </w:tc>
        <w:tc>
          <w:tcPr>
            <w:tcW w:w="1275" w:type="dxa"/>
            <w:noWrap w:val="0"/>
            <w:vAlign w:val="top"/>
          </w:tcPr>
          <w:p w14:paraId="627C8F46">
            <w:pPr>
              <w:widowControl/>
              <w:kinsoku w:val="0"/>
              <w:autoSpaceDE w:val="0"/>
              <w:autoSpaceDN w:val="0"/>
              <w:adjustRightInd w:val="0"/>
              <w:snapToGrid w:val="0"/>
              <w:jc w:val="left"/>
              <w:textAlignment w:val="baseline"/>
              <w:rPr>
                <w:rFonts w:ascii="Arial" w:hAnsi="Arial" w:cs="Arial"/>
                <w:snapToGrid w:val="0"/>
                <w:color w:val="auto"/>
                <w:kern w:val="0"/>
                <w:szCs w:val="21"/>
                <w:highlight w:val="none"/>
                <w:lang w:eastAsia="en-US"/>
              </w:rPr>
            </w:pPr>
          </w:p>
        </w:tc>
        <w:tc>
          <w:tcPr>
            <w:tcW w:w="1983" w:type="dxa"/>
            <w:noWrap w:val="0"/>
            <w:vAlign w:val="top"/>
          </w:tcPr>
          <w:p w14:paraId="0F0E587E">
            <w:pPr>
              <w:widowControl/>
              <w:kinsoku w:val="0"/>
              <w:autoSpaceDE w:val="0"/>
              <w:autoSpaceDN w:val="0"/>
              <w:adjustRightInd w:val="0"/>
              <w:snapToGrid w:val="0"/>
              <w:jc w:val="left"/>
              <w:textAlignment w:val="baseline"/>
              <w:rPr>
                <w:rFonts w:ascii="Arial" w:hAnsi="Arial" w:cs="Arial"/>
                <w:snapToGrid w:val="0"/>
                <w:color w:val="auto"/>
                <w:kern w:val="0"/>
                <w:szCs w:val="21"/>
                <w:highlight w:val="none"/>
                <w:lang w:eastAsia="en-US"/>
              </w:rPr>
            </w:pPr>
          </w:p>
        </w:tc>
        <w:tc>
          <w:tcPr>
            <w:tcW w:w="1419" w:type="dxa"/>
            <w:noWrap w:val="0"/>
            <w:vAlign w:val="top"/>
          </w:tcPr>
          <w:p w14:paraId="58C270F2">
            <w:pPr>
              <w:widowControl/>
              <w:kinsoku w:val="0"/>
              <w:autoSpaceDE w:val="0"/>
              <w:autoSpaceDN w:val="0"/>
              <w:adjustRightInd w:val="0"/>
              <w:snapToGrid w:val="0"/>
              <w:jc w:val="left"/>
              <w:textAlignment w:val="baseline"/>
              <w:rPr>
                <w:rFonts w:ascii="Arial" w:hAnsi="Arial" w:cs="Arial"/>
                <w:snapToGrid w:val="0"/>
                <w:color w:val="auto"/>
                <w:kern w:val="0"/>
                <w:szCs w:val="21"/>
                <w:highlight w:val="none"/>
                <w:lang w:eastAsia="en-US"/>
              </w:rPr>
            </w:pPr>
          </w:p>
        </w:tc>
        <w:tc>
          <w:tcPr>
            <w:tcW w:w="1556" w:type="dxa"/>
            <w:noWrap w:val="0"/>
            <w:vAlign w:val="top"/>
          </w:tcPr>
          <w:p w14:paraId="55012522">
            <w:pPr>
              <w:widowControl/>
              <w:kinsoku w:val="0"/>
              <w:autoSpaceDE w:val="0"/>
              <w:autoSpaceDN w:val="0"/>
              <w:adjustRightInd w:val="0"/>
              <w:snapToGrid w:val="0"/>
              <w:jc w:val="left"/>
              <w:textAlignment w:val="baseline"/>
              <w:rPr>
                <w:rFonts w:ascii="Arial" w:hAnsi="Arial" w:cs="Arial"/>
                <w:snapToGrid w:val="0"/>
                <w:color w:val="auto"/>
                <w:kern w:val="0"/>
                <w:szCs w:val="21"/>
                <w:highlight w:val="none"/>
                <w:lang w:eastAsia="en-US"/>
              </w:rPr>
            </w:pPr>
          </w:p>
        </w:tc>
        <w:tc>
          <w:tcPr>
            <w:tcW w:w="1138" w:type="dxa"/>
            <w:noWrap w:val="0"/>
            <w:vAlign w:val="top"/>
          </w:tcPr>
          <w:p w14:paraId="07E5C2A6">
            <w:pPr>
              <w:widowControl/>
              <w:kinsoku w:val="0"/>
              <w:autoSpaceDE w:val="0"/>
              <w:autoSpaceDN w:val="0"/>
              <w:adjustRightInd w:val="0"/>
              <w:snapToGrid w:val="0"/>
              <w:jc w:val="left"/>
              <w:textAlignment w:val="baseline"/>
              <w:rPr>
                <w:rFonts w:ascii="Arial" w:hAnsi="Arial" w:cs="Arial"/>
                <w:snapToGrid w:val="0"/>
                <w:color w:val="auto"/>
                <w:kern w:val="0"/>
                <w:szCs w:val="21"/>
                <w:highlight w:val="none"/>
                <w:lang w:eastAsia="en-US"/>
              </w:rPr>
            </w:pPr>
          </w:p>
        </w:tc>
      </w:tr>
      <w:tr w14:paraId="46B95A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672" w:type="dxa"/>
            <w:noWrap w:val="0"/>
            <w:vAlign w:val="top"/>
          </w:tcPr>
          <w:p w14:paraId="61CE7667">
            <w:pPr>
              <w:widowControl/>
              <w:kinsoku w:val="0"/>
              <w:autoSpaceDE w:val="0"/>
              <w:autoSpaceDN w:val="0"/>
              <w:adjustRightInd w:val="0"/>
              <w:snapToGrid w:val="0"/>
              <w:jc w:val="left"/>
              <w:textAlignment w:val="baseline"/>
              <w:rPr>
                <w:rFonts w:ascii="Arial" w:hAnsi="Arial" w:cs="Arial"/>
                <w:snapToGrid w:val="0"/>
                <w:color w:val="auto"/>
                <w:kern w:val="0"/>
                <w:szCs w:val="21"/>
                <w:highlight w:val="none"/>
                <w:lang w:eastAsia="en-US"/>
              </w:rPr>
            </w:pPr>
          </w:p>
        </w:tc>
        <w:tc>
          <w:tcPr>
            <w:tcW w:w="1275" w:type="dxa"/>
            <w:noWrap w:val="0"/>
            <w:vAlign w:val="top"/>
          </w:tcPr>
          <w:p w14:paraId="7330BFAE">
            <w:pPr>
              <w:widowControl/>
              <w:kinsoku w:val="0"/>
              <w:autoSpaceDE w:val="0"/>
              <w:autoSpaceDN w:val="0"/>
              <w:adjustRightInd w:val="0"/>
              <w:snapToGrid w:val="0"/>
              <w:jc w:val="left"/>
              <w:textAlignment w:val="baseline"/>
              <w:rPr>
                <w:rFonts w:ascii="Arial" w:hAnsi="Arial" w:cs="Arial"/>
                <w:snapToGrid w:val="0"/>
                <w:color w:val="auto"/>
                <w:kern w:val="0"/>
                <w:szCs w:val="21"/>
                <w:highlight w:val="none"/>
                <w:lang w:eastAsia="en-US"/>
              </w:rPr>
            </w:pPr>
          </w:p>
        </w:tc>
        <w:tc>
          <w:tcPr>
            <w:tcW w:w="1983" w:type="dxa"/>
            <w:noWrap w:val="0"/>
            <w:vAlign w:val="top"/>
          </w:tcPr>
          <w:p w14:paraId="2ADC77E0">
            <w:pPr>
              <w:widowControl/>
              <w:kinsoku w:val="0"/>
              <w:autoSpaceDE w:val="0"/>
              <w:autoSpaceDN w:val="0"/>
              <w:adjustRightInd w:val="0"/>
              <w:snapToGrid w:val="0"/>
              <w:jc w:val="left"/>
              <w:textAlignment w:val="baseline"/>
              <w:rPr>
                <w:rFonts w:ascii="Arial" w:hAnsi="Arial" w:cs="Arial"/>
                <w:snapToGrid w:val="0"/>
                <w:color w:val="auto"/>
                <w:kern w:val="0"/>
                <w:szCs w:val="21"/>
                <w:highlight w:val="none"/>
                <w:lang w:eastAsia="en-US"/>
              </w:rPr>
            </w:pPr>
          </w:p>
        </w:tc>
        <w:tc>
          <w:tcPr>
            <w:tcW w:w="1419" w:type="dxa"/>
            <w:noWrap w:val="0"/>
            <w:vAlign w:val="top"/>
          </w:tcPr>
          <w:p w14:paraId="1054F853">
            <w:pPr>
              <w:widowControl/>
              <w:kinsoku w:val="0"/>
              <w:autoSpaceDE w:val="0"/>
              <w:autoSpaceDN w:val="0"/>
              <w:adjustRightInd w:val="0"/>
              <w:snapToGrid w:val="0"/>
              <w:jc w:val="left"/>
              <w:textAlignment w:val="baseline"/>
              <w:rPr>
                <w:rFonts w:ascii="Arial" w:hAnsi="Arial" w:cs="Arial"/>
                <w:snapToGrid w:val="0"/>
                <w:color w:val="auto"/>
                <w:kern w:val="0"/>
                <w:szCs w:val="21"/>
                <w:highlight w:val="none"/>
                <w:lang w:eastAsia="en-US"/>
              </w:rPr>
            </w:pPr>
          </w:p>
        </w:tc>
        <w:tc>
          <w:tcPr>
            <w:tcW w:w="1556" w:type="dxa"/>
            <w:noWrap w:val="0"/>
            <w:vAlign w:val="top"/>
          </w:tcPr>
          <w:p w14:paraId="3CAB3F27">
            <w:pPr>
              <w:widowControl/>
              <w:kinsoku w:val="0"/>
              <w:autoSpaceDE w:val="0"/>
              <w:autoSpaceDN w:val="0"/>
              <w:adjustRightInd w:val="0"/>
              <w:snapToGrid w:val="0"/>
              <w:jc w:val="left"/>
              <w:textAlignment w:val="baseline"/>
              <w:rPr>
                <w:rFonts w:ascii="Arial" w:hAnsi="Arial" w:cs="Arial"/>
                <w:snapToGrid w:val="0"/>
                <w:color w:val="auto"/>
                <w:kern w:val="0"/>
                <w:szCs w:val="21"/>
                <w:highlight w:val="none"/>
                <w:lang w:eastAsia="en-US"/>
              </w:rPr>
            </w:pPr>
          </w:p>
        </w:tc>
        <w:tc>
          <w:tcPr>
            <w:tcW w:w="1138" w:type="dxa"/>
            <w:noWrap w:val="0"/>
            <w:vAlign w:val="top"/>
          </w:tcPr>
          <w:p w14:paraId="5BD12731">
            <w:pPr>
              <w:widowControl/>
              <w:kinsoku w:val="0"/>
              <w:autoSpaceDE w:val="0"/>
              <w:autoSpaceDN w:val="0"/>
              <w:adjustRightInd w:val="0"/>
              <w:snapToGrid w:val="0"/>
              <w:jc w:val="left"/>
              <w:textAlignment w:val="baseline"/>
              <w:rPr>
                <w:rFonts w:ascii="Arial" w:hAnsi="Arial" w:cs="Arial"/>
                <w:snapToGrid w:val="0"/>
                <w:color w:val="auto"/>
                <w:kern w:val="0"/>
                <w:szCs w:val="21"/>
                <w:highlight w:val="none"/>
                <w:lang w:eastAsia="en-US"/>
              </w:rPr>
            </w:pPr>
          </w:p>
        </w:tc>
      </w:tr>
    </w:tbl>
    <w:p w14:paraId="30966D9E">
      <w:pPr>
        <w:widowControl/>
        <w:kinsoku w:val="0"/>
        <w:autoSpaceDE w:val="0"/>
        <w:autoSpaceDN w:val="0"/>
        <w:adjustRightInd w:val="0"/>
        <w:snapToGrid w:val="0"/>
        <w:spacing w:line="304" w:lineRule="auto"/>
        <w:jc w:val="left"/>
        <w:textAlignment w:val="baseline"/>
        <w:rPr>
          <w:rFonts w:ascii="Arial" w:hAnsi="Arial" w:cs="Arial"/>
          <w:snapToGrid w:val="0"/>
          <w:color w:val="auto"/>
          <w:kern w:val="0"/>
          <w:szCs w:val="21"/>
          <w:highlight w:val="none"/>
          <w:lang w:eastAsia="en-US"/>
        </w:rPr>
      </w:pPr>
    </w:p>
    <w:p w14:paraId="1F2C1AB3">
      <w:pPr>
        <w:widowControl/>
        <w:kinsoku w:val="0"/>
        <w:autoSpaceDE w:val="0"/>
        <w:autoSpaceDN w:val="0"/>
        <w:adjustRightInd w:val="0"/>
        <w:snapToGrid w:val="0"/>
        <w:spacing w:line="305" w:lineRule="auto"/>
        <w:jc w:val="left"/>
        <w:textAlignment w:val="baseline"/>
        <w:rPr>
          <w:rFonts w:ascii="Arial" w:hAnsi="Arial" w:cs="Arial"/>
          <w:snapToGrid w:val="0"/>
          <w:color w:val="auto"/>
          <w:kern w:val="0"/>
          <w:szCs w:val="21"/>
          <w:highlight w:val="none"/>
          <w:lang w:eastAsia="en-US"/>
        </w:rPr>
      </w:pPr>
    </w:p>
    <w:p w14:paraId="38B757FB">
      <w:pPr>
        <w:widowControl/>
        <w:kinsoku w:val="0"/>
        <w:autoSpaceDE w:val="0"/>
        <w:autoSpaceDN w:val="0"/>
        <w:adjustRightInd w:val="0"/>
        <w:snapToGrid w:val="0"/>
        <w:spacing w:before="78" w:line="224" w:lineRule="auto"/>
        <w:ind w:left="12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sz w:val="24"/>
          <w:highlight w:val="none"/>
          <w:lang w:eastAsia="en-US"/>
        </w:rPr>
        <w:t>注：</w:t>
      </w:r>
    </w:p>
    <w:p w14:paraId="69A79682">
      <w:pPr>
        <w:widowControl/>
        <w:kinsoku w:val="0"/>
        <w:autoSpaceDE w:val="0"/>
        <w:autoSpaceDN w:val="0"/>
        <w:adjustRightInd w:val="0"/>
        <w:snapToGrid w:val="0"/>
        <w:spacing w:before="230" w:line="518" w:lineRule="exact"/>
        <w:ind w:left="140"/>
        <w:jc w:val="left"/>
        <w:textAlignment w:val="baseline"/>
        <w:rPr>
          <w:rFonts w:ascii="宋体" w:hAnsi="宋体" w:cs="宋体"/>
          <w:snapToGrid w:val="0"/>
          <w:color w:val="auto"/>
          <w:kern w:val="0"/>
          <w:sz w:val="24"/>
          <w:highlight w:val="none"/>
        </w:rPr>
      </w:pPr>
      <w:r>
        <w:rPr>
          <w:rFonts w:ascii="宋体" w:hAnsi="宋体" w:cs="宋体"/>
          <w:snapToGrid w:val="0"/>
          <w:color w:val="auto"/>
          <w:spacing w:val="-1"/>
          <w:kern w:val="0"/>
          <w:position w:val="21"/>
          <w:sz w:val="24"/>
          <w:highlight w:val="none"/>
        </w:rPr>
        <w:t>1.</w:t>
      </w:r>
      <w:r>
        <w:rPr>
          <w:rFonts w:hint="eastAsia" w:ascii="宋体" w:hAnsi="宋体" w:cs="宋体"/>
          <w:snapToGrid w:val="0"/>
          <w:color w:val="auto"/>
          <w:spacing w:val="-1"/>
          <w:kern w:val="0"/>
          <w:position w:val="21"/>
          <w:sz w:val="24"/>
          <w:highlight w:val="none"/>
        </w:rPr>
        <w:t>在填写时，如本表格不适合供应商的实际情况，可根据本表格式自行制表填写。</w:t>
      </w:r>
    </w:p>
    <w:p w14:paraId="5BA89091">
      <w:pPr>
        <w:widowControl/>
        <w:kinsoku w:val="0"/>
        <w:autoSpaceDE w:val="0"/>
        <w:autoSpaceDN w:val="0"/>
        <w:adjustRightInd w:val="0"/>
        <w:snapToGrid w:val="0"/>
        <w:spacing w:before="1" w:line="218" w:lineRule="auto"/>
        <w:ind w:left="125"/>
        <w:jc w:val="left"/>
        <w:textAlignment w:val="baseline"/>
        <w:rPr>
          <w:rFonts w:ascii="宋体" w:hAnsi="宋体" w:cs="宋体"/>
          <w:snapToGrid w:val="0"/>
          <w:color w:val="auto"/>
          <w:kern w:val="0"/>
          <w:sz w:val="24"/>
          <w:highlight w:val="none"/>
        </w:rPr>
      </w:pPr>
      <w:r>
        <w:rPr>
          <w:rFonts w:ascii="宋体" w:hAnsi="宋体" w:cs="宋体"/>
          <w:snapToGrid w:val="0"/>
          <w:color w:val="auto"/>
          <w:spacing w:val="-1"/>
          <w:kern w:val="0"/>
          <w:sz w:val="24"/>
          <w:highlight w:val="none"/>
        </w:rPr>
        <w:t>2.</w:t>
      </w:r>
      <w:r>
        <w:rPr>
          <w:rFonts w:hint="eastAsia" w:ascii="宋体" w:hAnsi="宋体" w:cs="宋体"/>
          <w:snapToGrid w:val="0"/>
          <w:color w:val="auto"/>
          <w:spacing w:val="-1"/>
          <w:kern w:val="0"/>
          <w:sz w:val="24"/>
          <w:highlight w:val="none"/>
        </w:rPr>
        <w:t>供应商应当附本表所列证书的复印件并加盖供应商电子签章。</w:t>
      </w:r>
    </w:p>
    <w:p w14:paraId="13D5944F">
      <w:pPr>
        <w:widowControl/>
        <w:kinsoku w:val="0"/>
        <w:autoSpaceDE w:val="0"/>
        <w:autoSpaceDN w:val="0"/>
        <w:adjustRightInd w:val="0"/>
        <w:snapToGrid w:val="0"/>
        <w:spacing w:line="243" w:lineRule="auto"/>
        <w:jc w:val="left"/>
        <w:textAlignment w:val="baseline"/>
        <w:rPr>
          <w:rFonts w:ascii="Arial" w:hAnsi="Arial" w:cs="Arial"/>
          <w:snapToGrid w:val="0"/>
          <w:color w:val="auto"/>
          <w:kern w:val="0"/>
          <w:szCs w:val="21"/>
          <w:highlight w:val="none"/>
        </w:rPr>
      </w:pPr>
    </w:p>
    <w:p w14:paraId="30673EDE">
      <w:pPr>
        <w:widowControl/>
        <w:kinsoku w:val="0"/>
        <w:autoSpaceDE w:val="0"/>
        <w:autoSpaceDN w:val="0"/>
        <w:adjustRightInd w:val="0"/>
        <w:snapToGrid w:val="0"/>
        <w:spacing w:line="244" w:lineRule="auto"/>
        <w:jc w:val="left"/>
        <w:textAlignment w:val="baseline"/>
        <w:rPr>
          <w:rFonts w:ascii="Arial" w:hAnsi="Arial" w:cs="Arial"/>
          <w:snapToGrid w:val="0"/>
          <w:color w:val="auto"/>
          <w:kern w:val="0"/>
          <w:szCs w:val="21"/>
          <w:highlight w:val="none"/>
        </w:rPr>
      </w:pPr>
    </w:p>
    <w:p w14:paraId="3D437471">
      <w:pPr>
        <w:widowControl/>
        <w:kinsoku w:val="0"/>
        <w:autoSpaceDE w:val="0"/>
        <w:autoSpaceDN w:val="0"/>
        <w:adjustRightInd w:val="0"/>
        <w:snapToGrid w:val="0"/>
        <w:spacing w:line="244" w:lineRule="auto"/>
        <w:jc w:val="left"/>
        <w:textAlignment w:val="baseline"/>
        <w:rPr>
          <w:rFonts w:ascii="Arial" w:hAnsi="Arial" w:cs="Arial"/>
          <w:snapToGrid w:val="0"/>
          <w:color w:val="auto"/>
          <w:kern w:val="0"/>
          <w:szCs w:val="21"/>
          <w:highlight w:val="none"/>
        </w:rPr>
      </w:pPr>
    </w:p>
    <w:p w14:paraId="24C88B61">
      <w:pPr>
        <w:widowControl/>
        <w:kinsoku w:val="0"/>
        <w:autoSpaceDE w:val="0"/>
        <w:autoSpaceDN w:val="0"/>
        <w:adjustRightInd w:val="0"/>
        <w:snapToGrid w:val="0"/>
        <w:spacing w:line="244" w:lineRule="auto"/>
        <w:jc w:val="left"/>
        <w:textAlignment w:val="baseline"/>
        <w:rPr>
          <w:rFonts w:ascii="Arial" w:hAnsi="Arial" w:cs="Arial"/>
          <w:snapToGrid w:val="0"/>
          <w:color w:val="auto"/>
          <w:kern w:val="0"/>
          <w:szCs w:val="21"/>
          <w:highlight w:val="none"/>
        </w:rPr>
      </w:pPr>
    </w:p>
    <w:p w14:paraId="3AE22926">
      <w:pPr>
        <w:widowControl/>
        <w:kinsoku w:val="0"/>
        <w:autoSpaceDE w:val="0"/>
        <w:autoSpaceDN w:val="0"/>
        <w:adjustRightInd w:val="0"/>
        <w:snapToGrid w:val="0"/>
        <w:spacing w:line="244" w:lineRule="auto"/>
        <w:jc w:val="left"/>
        <w:textAlignment w:val="baseline"/>
        <w:rPr>
          <w:rFonts w:ascii="Arial" w:hAnsi="Arial" w:cs="Arial"/>
          <w:snapToGrid w:val="0"/>
          <w:color w:val="auto"/>
          <w:kern w:val="0"/>
          <w:szCs w:val="21"/>
          <w:highlight w:val="none"/>
        </w:rPr>
      </w:pPr>
    </w:p>
    <w:p w14:paraId="1298BAC3">
      <w:pPr>
        <w:widowControl/>
        <w:kinsoku w:val="0"/>
        <w:autoSpaceDE w:val="0"/>
        <w:autoSpaceDN w:val="0"/>
        <w:adjustRightInd w:val="0"/>
        <w:snapToGrid w:val="0"/>
        <w:spacing w:line="244" w:lineRule="auto"/>
        <w:jc w:val="left"/>
        <w:textAlignment w:val="baseline"/>
        <w:rPr>
          <w:rFonts w:ascii="Arial" w:hAnsi="Arial" w:cs="Arial"/>
          <w:snapToGrid w:val="0"/>
          <w:color w:val="auto"/>
          <w:kern w:val="0"/>
          <w:szCs w:val="21"/>
          <w:highlight w:val="none"/>
        </w:rPr>
      </w:pPr>
    </w:p>
    <w:p w14:paraId="5CD66ED1">
      <w:pPr>
        <w:widowControl/>
        <w:kinsoku w:val="0"/>
        <w:autoSpaceDE w:val="0"/>
        <w:autoSpaceDN w:val="0"/>
        <w:adjustRightInd w:val="0"/>
        <w:snapToGrid w:val="0"/>
        <w:spacing w:line="244" w:lineRule="auto"/>
        <w:jc w:val="left"/>
        <w:textAlignment w:val="baseline"/>
        <w:rPr>
          <w:rFonts w:ascii="Arial" w:hAnsi="Arial" w:cs="Arial"/>
          <w:snapToGrid w:val="0"/>
          <w:color w:val="auto"/>
          <w:kern w:val="0"/>
          <w:szCs w:val="21"/>
          <w:highlight w:val="none"/>
        </w:rPr>
      </w:pPr>
    </w:p>
    <w:p w14:paraId="1FDEB44D">
      <w:pPr>
        <w:widowControl/>
        <w:kinsoku w:val="0"/>
        <w:autoSpaceDE w:val="0"/>
        <w:autoSpaceDN w:val="0"/>
        <w:adjustRightInd w:val="0"/>
        <w:snapToGrid w:val="0"/>
        <w:spacing w:before="79" w:line="401" w:lineRule="auto"/>
        <w:ind w:left="123"/>
        <w:jc w:val="righ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法定代表人或者委托代理人（</w:t>
      </w:r>
      <w:r>
        <w:rPr>
          <w:rFonts w:hint="eastAsia" w:ascii="宋体" w:hAnsi="宋体" w:cs="宋体"/>
          <w:color w:val="auto"/>
          <w:sz w:val="24"/>
          <w:highlight w:val="none"/>
        </w:rPr>
        <w:t>签字或盖章或电子签名</w:t>
      </w:r>
      <w:r>
        <w:rPr>
          <w:rFonts w:hint="eastAsia" w:ascii="宋体" w:hAnsi="宋体" w:cs="宋体"/>
          <w:snapToGrid w:val="0"/>
          <w:color w:val="auto"/>
          <w:spacing w:val="4"/>
          <w:kern w:val="0"/>
          <w:sz w:val="24"/>
          <w:highlight w:val="none"/>
        </w:rPr>
        <w:t>）：</w:t>
      </w:r>
    </w:p>
    <w:p w14:paraId="70A11A5B">
      <w:pPr>
        <w:widowControl/>
        <w:kinsoku w:val="0"/>
        <w:autoSpaceDE w:val="0"/>
        <w:autoSpaceDN w:val="0"/>
        <w:adjustRightInd w:val="0"/>
        <w:snapToGrid w:val="0"/>
        <w:spacing w:before="1" w:line="218" w:lineRule="auto"/>
        <w:ind w:left="122"/>
        <w:jc w:val="center"/>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 xml:space="preserve">       供应商名称（电子签章</w:t>
      </w:r>
      <w:r>
        <w:rPr>
          <w:rFonts w:hint="eastAsia" w:ascii="宋体" w:hAnsi="宋体" w:cs="宋体"/>
          <w:snapToGrid w:val="0"/>
          <w:color w:val="auto"/>
          <w:spacing w:val="2"/>
          <w:kern w:val="0"/>
          <w:sz w:val="24"/>
          <w:highlight w:val="none"/>
        </w:rPr>
        <w:t>）：</w:t>
      </w:r>
    </w:p>
    <w:p w14:paraId="2D805E88">
      <w:pPr>
        <w:widowControl/>
        <w:kinsoku w:val="0"/>
        <w:autoSpaceDE w:val="0"/>
        <w:autoSpaceDN w:val="0"/>
        <w:adjustRightInd w:val="0"/>
        <w:snapToGrid w:val="0"/>
        <w:spacing w:before="234" w:line="220" w:lineRule="auto"/>
        <w:ind w:left="164" w:right="392"/>
        <w:jc w:val="center"/>
        <w:textAlignment w:val="baseline"/>
        <w:rPr>
          <w:rFonts w:ascii="宋体" w:hAnsi="宋体" w:cs="宋体"/>
          <w:snapToGrid w:val="0"/>
          <w:color w:val="auto"/>
          <w:kern w:val="0"/>
          <w:sz w:val="24"/>
          <w:highlight w:val="none"/>
        </w:rPr>
      </w:pPr>
      <w:r>
        <w:rPr>
          <w:rFonts w:hint="eastAsia" w:ascii="宋体" w:hAnsi="宋体" w:cs="宋体"/>
          <w:snapToGrid w:val="0"/>
          <w:color w:val="auto"/>
          <w:spacing w:val="-22"/>
          <w:kern w:val="0"/>
          <w:sz w:val="24"/>
          <w:highlight w:val="none"/>
        </w:rPr>
        <w:t xml:space="preserve">                                                       日 期 ：</w:t>
      </w:r>
    </w:p>
    <w:p w14:paraId="577292FF">
      <w:pPr>
        <w:pStyle w:val="22"/>
        <w:rPr>
          <w:color w:val="auto"/>
          <w:highlight w:val="none"/>
        </w:rPr>
      </w:pPr>
    </w:p>
    <w:p w14:paraId="2E603739">
      <w:pPr>
        <w:pStyle w:val="3"/>
        <w:rPr>
          <w:rFonts w:hint="eastAsia"/>
          <w:color w:val="auto"/>
          <w:highlight w:val="none"/>
        </w:rPr>
      </w:pPr>
    </w:p>
    <w:p w14:paraId="57D61701">
      <w:pPr>
        <w:adjustRightInd w:val="0"/>
        <w:snapToGrid w:val="0"/>
        <w:spacing w:line="520" w:lineRule="exact"/>
        <w:ind w:firstLine="7040" w:firstLineChars="1600"/>
        <w:jc w:val="center"/>
        <w:rPr>
          <w:rFonts w:hint="eastAsia" w:ascii="宋体" w:hAnsi="宋体" w:cs="宋体"/>
          <w:bCs/>
          <w:color w:val="auto"/>
          <w:sz w:val="44"/>
          <w:szCs w:val="44"/>
          <w:highlight w:val="none"/>
        </w:rPr>
      </w:pPr>
    </w:p>
    <w:p w14:paraId="6769672B">
      <w:pPr>
        <w:adjustRightInd w:val="0"/>
        <w:snapToGrid w:val="0"/>
        <w:spacing w:line="520" w:lineRule="exact"/>
        <w:ind w:firstLine="7040" w:firstLineChars="1600"/>
        <w:jc w:val="center"/>
        <w:rPr>
          <w:rFonts w:hint="eastAsia" w:ascii="宋体" w:hAnsi="宋体" w:cs="宋体"/>
          <w:bCs/>
          <w:color w:val="auto"/>
          <w:sz w:val="44"/>
          <w:szCs w:val="44"/>
          <w:highlight w:val="none"/>
        </w:rPr>
      </w:pPr>
    </w:p>
    <w:p w14:paraId="06071EB7">
      <w:pPr>
        <w:adjustRightInd w:val="0"/>
        <w:snapToGrid w:val="0"/>
        <w:spacing w:line="520" w:lineRule="exact"/>
        <w:ind w:firstLine="7040" w:firstLineChars="1600"/>
        <w:jc w:val="center"/>
        <w:rPr>
          <w:rFonts w:hint="eastAsia" w:ascii="宋体" w:hAnsi="宋体" w:cs="宋体"/>
          <w:bCs/>
          <w:color w:val="auto"/>
          <w:sz w:val="44"/>
          <w:szCs w:val="44"/>
          <w:highlight w:val="none"/>
        </w:rPr>
      </w:pPr>
    </w:p>
    <w:p w14:paraId="0C71C354">
      <w:pPr>
        <w:spacing w:line="300" w:lineRule="auto"/>
        <w:rPr>
          <w:rFonts w:hint="eastAsia" w:ascii="宋体" w:hAnsi="宋体" w:cs="宋体"/>
          <w:color w:val="auto"/>
          <w:szCs w:val="21"/>
          <w:highlight w:val="none"/>
          <w:u w:val="single"/>
        </w:rPr>
      </w:pPr>
    </w:p>
    <w:p w14:paraId="13697782">
      <w:pPr>
        <w:spacing w:line="300" w:lineRule="auto"/>
        <w:rPr>
          <w:rFonts w:hint="eastAsia" w:ascii="宋体" w:hAnsi="宋体" w:cs="宋体"/>
          <w:color w:val="auto"/>
          <w:szCs w:val="21"/>
          <w:highlight w:val="none"/>
        </w:rPr>
      </w:pPr>
      <w:r>
        <w:rPr>
          <w:rFonts w:hint="eastAsia" w:ascii="宋体" w:hAnsi="宋体" w:cs="宋体"/>
          <w:b/>
          <w:bCs/>
          <w:color w:val="auto"/>
          <w:sz w:val="24"/>
          <w:highlight w:val="none"/>
        </w:rPr>
        <w:t>其他文书、文件格式</w:t>
      </w:r>
    </w:p>
    <w:p w14:paraId="0E066BE2">
      <w:pPr>
        <w:jc w:val="center"/>
        <w:rPr>
          <w:rFonts w:hint="eastAsia" w:ascii="宋体" w:hAnsi="宋体" w:cs="宋体"/>
          <w:color w:val="auto"/>
          <w:sz w:val="44"/>
          <w:szCs w:val="44"/>
          <w:highlight w:val="none"/>
        </w:rPr>
      </w:pPr>
      <w:bookmarkStart w:id="48" w:name="_Toc71365926"/>
      <w:r>
        <w:rPr>
          <w:rFonts w:hint="eastAsia" w:ascii="宋体" w:hAnsi="宋体" w:cs="宋体"/>
          <w:color w:val="auto"/>
          <w:sz w:val="44"/>
          <w:szCs w:val="44"/>
          <w:highlight w:val="none"/>
        </w:rPr>
        <w:t>中小企业声明函（服务）</w:t>
      </w:r>
      <w:bookmarkEnd w:id="48"/>
    </w:p>
    <w:p w14:paraId="0E0671F8">
      <w:pPr>
        <w:spacing w:before="2" w:line="500" w:lineRule="exact"/>
        <w:ind w:firstLine="708" w:firstLineChars="294"/>
        <w:rPr>
          <w:rFonts w:hint="eastAsia" w:ascii="宋体" w:hAnsi="宋体" w:cs="宋体"/>
          <w:b/>
          <w:bCs/>
          <w:color w:val="auto"/>
          <w:sz w:val="24"/>
          <w:highlight w:val="none"/>
        </w:rPr>
      </w:pPr>
    </w:p>
    <w:p w14:paraId="1AE4EECC">
      <w:pPr>
        <w:pStyle w:val="9"/>
        <w:spacing w:line="500" w:lineRule="exact"/>
        <w:ind w:right="142" w:firstLine="705" w:firstLineChars="294"/>
        <w:rPr>
          <w:rFonts w:hint="eastAsia" w:ascii="宋体" w:hAnsi="宋体" w:cs="宋体"/>
          <w:color w:val="auto"/>
          <w:sz w:val="24"/>
          <w:highlight w:val="none"/>
        </w:rPr>
      </w:pPr>
      <w:r>
        <w:rPr>
          <w:rFonts w:hint="eastAsia" w:ascii="宋体" w:hAnsi="宋体" w:cs="宋体"/>
          <w:color w:val="auto"/>
          <w:sz w:val="24"/>
          <w:highlight w:val="none"/>
        </w:rPr>
        <w:t>本公司（联合体）郑重声明，根据《政府采购促进中小企业发展管理办法》（财库﹝2020﹞46号）的规定，本公司（联合体）参加</w:t>
      </w:r>
      <w:r>
        <w:rPr>
          <w:rFonts w:hint="eastAsia" w:ascii="宋体" w:hAnsi="宋体" w:cs="宋体"/>
          <w:color w:val="auto"/>
          <w:sz w:val="24"/>
          <w:highlight w:val="none"/>
          <w:u w:val="single"/>
        </w:rPr>
        <w:t>（单位名称）</w:t>
      </w:r>
      <w:r>
        <w:rPr>
          <w:rFonts w:hint="eastAsia" w:ascii="宋体" w:hAnsi="宋体" w:cs="宋体"/>
          <w:color w:val="auto"/>
          <w:sz w:val="24"/>
          <w:highlight w:val="none"/>
        </w:rPr>
        <w:t>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采购活动，服务全部由符合政策要求的中小企业承接。相关企业（含联合体中的中小企业、签订分包意向协议的中小企业）的具体情况如下：</w:t>
      </w:r>
    </w:p>
    <w:p w14:paraId="76569F29">
      <w:pPr>
        <w:tabs>
          <w:tab w:val="left" w:pos="1384"/>
          <w:tab w:val="left" w:pos="4562"/>
          <w:tab w:val="left" w:pos="6803"/>
        </w:tabs>
        <w:spacing w:before="13" w:line="500" w:lineRule="exact"/>
        <w:ind w:right="142" w:firstLine="772" w:firstLineChars="322"/>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；承接企业为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150474C0">
      <w:pPr>
        <w:tabs>
          <w:tab w:val="left" w:pos="1065"/>
          <w:tab w:val="left" w:pos="4262"/>
          <w:tab w:val="left" w:pos="6477"/>
        </w:tabs>
        <w:spacing w:before="20" w:line="500" w:lineRule="exact"/>
        <w:ind w:right="84" w:firstLine="772" w:firstLineChars="322"/>
        <w:rPr>
          <w:rFonts w:hint="eastAsia" w:ascii="宋体" w:hAnsi="宋体" w:cs="宋体"/>
          <w:color w:val="auto"/>
          <w:sz w:val="24"/>
          <w:highlight w:val="none"/>
          <w:u w:val="single"/>
        </w:rPr>
      </w:pPr>
      <w:r>
        <w:rPr>
          <w:rFonts w:hint="eastAsia" w:ascii="宋体" w:hAnsi="宋体" w:cs="宋体"/>
          <w:color w:val="auto"/>
          <w:sz w:val="24"/>
          <w:highlight w:val="none"/>
        </w:rPr>
        <w:t>2.</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；承接企业为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08959330">
      <w:pPr>
        <w:pStyle w:val="9"/>
        <w:spacing w:before="34" w:line="500" w:lineRule="exact"/>
        <w:ind w:right="142" w:firstLine="705" w:firstLineChars="294"/>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229024DF">
      <w:pPr>
        <w:pStyle w:val="9"/>
        <w:spacing w:before="34" w:line="500" w:lineRule="exact"/>
        <w:ind w:right="142" w:firstLine="705" w:firstLineChars="294"/>
        <w:rPr>
          <w:rFonts w:hint="eastAsia"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14:paraId="443F8065">
      <w:pPr>
        <w:pStyle w:val="9"/>
        <w:spacing w:before="25" w:line="500" w:lineRule="exact"/>
        <w:ind w:right="142" w:firstLine="705" w:firstLineChars="294"/>
        <w:rPr>
          <w:rFonts w:hint="eastAsia"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14:paraId="350B4740">
      <w:pPr>
        <w:pStyle w:val="9"/>
        <w:spacing w:before="56" w:line="500" w:lineRule="exact"/>
        <w:ind w:right="1808" w:firstLine="705" w:firstLineChars="294"/>
        <w:rPr>
          <w:rFonts w:hint="eastAsia" w:ascii="宋体" w:hAnsi="宋体" w:cs="宋体"/>
          <w:color w:val="auto"/>
          <w:sz w:val="24"/>
          <w:highlight w:val="none"/>
        </w:rPr>
      </w:pPr>
    </w:p>
    <w:p w14:paraId="343C50F1">
      <w:pPr>
        <w:pStyle w:val="9"/>
        <w:spacing w:before="56" w:line="500" w:lineRule="exact"/>
        <w:ind w:right="650" w:firstLine="5625" w:firstLineChars="2344"/>
        <w:rPr>
          <w:rFonts w:hint="eastAsia" w:ascii="宋体" w:hAnsi="宋体" w:cs="宋体"/>
          <w:color w:val="auto"/>
          <w:sz w:val="24"/>
          <w:highlight w:val="none"/>
        </w:rPr>
      </w:pPr>
      <w:r>
        <w:rPr>
          <w:rFonts w:hint="eastAsia" w:ascii="宋体" w:hAnsi="宋体" w:cs="宋体"/>
          <w:color w:val="auto"/>
          <w:sz w:val="24"/>
          <w:highlight w:val="none"/>
          <w:lang w:eastAsia="zh-CN"/>
        </w:rPr>
        <w:t>企业名称（章）</w:t>
      </w:r>
      <w:r>
        <w:rPr>
          <w:rFonts w:hint="eastAsia" w:ascii="宋体" w:hAnsi="宋体" w:cs="宋体"/>
          <w:color w:val="auto"/>
          <w:sz w:val="24"/>
          <w:highlight w:val="none"/>
        </w:rPr>
        <w:t xml:space="preserve">： </w:t>
      </w:r>
    </w:p>
    <w:p w14:paraId="621521A8">
      <w:pPr>
        <w:pStyle w:val="9"/>
        <w:spacing w:before="56" w:line="500" w:lineRule="exact"/>
        <w:ind w:right="1808" w:firstLine="5625" w:firstLineChars="2344"/>
        <w:rPr>
          <w:rFonts w:hint="eastAsia" w:ascii="宋体" w:hAnsi="宋体" w:cs="宋体"/>
          <w:color w:val="auto"/>
          <w:sz w:val="24"/>
          <w:highlight w:val="none"/>
        </w:rPr>
      </w:pPr>
      <w:r>
        <w:rPr>
          <w:rFonts w:hint="eastAsia" w:ascii="宋体" w:hAnsi="宋体" w:cs="宋体"/>
          <w:color w:val="auto"/>
          <w:sz w:val="24"/>
          <w:highlight w:val="none"/>
        </w:rPr>
        <w:t>日 期：</w:t>
      </w:r>
    </w:p>
    <w:p w14:paraId="02C4F998">
      <w:pPr>
        <w:spacing w:line="520" w:lineRule="exact"/>
        <w:jc w:val="left"/>
        <w:rPr>
          <w:rFonts w:hint="eastAsia" w:ascii="宋体" w:hAnsi="宋体" w:cs="宋体"/>
          <w:color w:val="auto"/>
          <w:sz w:val="24"/>
          <w:highlight w:val="none"/>
        </w:rPr>
      </w:pPr>
      <w:r>
        <w:rPr>
          <w:rFonts w:hint="eastAsia" w:ascii="宋体" w:hAnsi="宋体" w:cs="宋体"/>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607EC707">
      <w:pPr>
        <w:spacing w:line="520" w:lineRule="exact"/>
        <w:jc w:val="center"/>
        <w:rPr>
          <w:rFonts w:hint="eastAsia" w:ascii="宋体" w:hAnsi="宋体" w:cs="宋体"/>
          <w:color w:val="auto"/>
          <w:sz w:val="24"/>
          <w:highlight w:val="none"/>
        </w:rPr>
      </w:pPr>
      <w:r>
        <w:rPr>
          <w:rFonts w:hint="eastAsia" w:ascii="宋体" w:hAnsi="宋体" w:cs="宋体"/>
          <w:color w:val="auto"/>
          <w:sz w:val="24"/>
          <w:highlight w:val="none"/>
        </w:rPr>
        <w:br w:type="page"/>
      </w:r>
    </w:p>
    <w:p w14:paraId="7CA3BFD0">
      <w:pPr>
        <w:spacing w:line="520" w:lineRule="exact"/>
        <w:jc w:val="center"/>
        <w:rPr>
          <w:rFonts w:hint="eastAsia" w:ascii="宋体" w:hAnsi="宋体" w:cs="宋体"/>
          <w:color w:val="auto"/>
          <w:sz w:val="24"/>
          <w:highlight w:val="none"/>
        </w:rPr>
      </w:pPr>
    </w:p>
    <w:p w14:paraId="4F32757E">
      <w:pPr>
        <w:spacing w:line="520" w:lineRule="exact"/>
        <w:jc w:val="center"/>
        <w:rPr>
          <w:rFonts w:hint="eastAsia" w:ascii="宋体" w:hAnsi="宋体" w:cs="宋体"/>
          <w:color w:val="auto"/>
          <w:sz w:val="32"/>
          <w:szCs w:val="32"/>
          <w:highlight w:val="none"/>
        </w:rPr>
      </w:pPr>
      <w:r>
        <w:rPr>
          <w:rFonts w:hint="eastAsia" w:ascii="宋体" w:hAnsi="宋体" w:cs="宋体"/>
          <w:color w:val="auto"/>
          <w:sz w:val="44"/>
          <w:szCs w:val="44"/>
          <w:highlight w:val="none"/>
        </w:rPr>
        <w:t>残疾人福利性单位声明函</w:t>
      </w:r>
    </w:p>
    <w:p w14:paraId="21697C95">
      <w:pPr>
        <w:spacing w:line="360" w:lineRule="auto"/>
        <w:contextualSpacing/>
        <w:rPr>
          <w:rFonts w:hint="eastAsia" w:ascii="宋体" w:hAnsi="宋体" w:cs="宋体"/>
          <w:color w:val="auto"/>
          <w:sz w:val="32"/>
          <w:szCs w:val="32"/>
          <w:highlight w:val="none"/>
        </w:rPr>
      </w:pPr>
    </w:p>
    <w:p w14:paraId="4BBA1E85">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单位的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571A7E52">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65661E8E">
      <w:pPr>
        <w:spacing w:line="360" w:lineRule="auto"/>
        <w:contextualSpacing/>
        <w:rPr>
          <w:rFonts w:hint="eastAsia" w:ascii="宋体" w:hAnsi="宋体" w:cs="宋体"/>
          <w:color w:val="auto"/>
          <w:sz w:val="24"/>
          <w:highlight w:val="none"/>
        </w:rPr>
      </w:pPr>
    </w:p>
    <w:p w14:paraId="46F43AB9">
      <w:pPr>
        <w:spacing w:line="360" w:lineRule="auto"/>
        <w:contextualSpacing/>
        <w:rPr>
          <w:rFonts w:hint="eastAsia" w:ascii="宋体" w:hAnsi="宋体" w:cs="宋体"/>
          <w:color w:val="auto"/>
          <w:sz w:val="24"/>
          <w:highlight w:val="none"/>
        </w:rPr>
      </w:pPr>
    </w:p>
    <w:p w14:paraId="5A20B61C">
      <w:pPr>
        <w:spacing w:line="360" w:lineRule="auto"/>
        <w:contextualSpacing/>
        <w:rPr>
          <w:rFonts w:hint="eastAsia" w:ascii="宋体" w:hAnsi="宋体" w:cs="宋体"/>
          <w:color w:val="auto"/>
          <w:sz w:val="24"/>
          <w:highlight w:val="none"/>
        </w:rPr>
      </w:pPr>
    </w:p>
    <w:p w14:paraId="3D8CF0B1">
      <w:pPr>
        <w:spacing w:line="360" w:lineRule="auto"/>
        <w:ind w:firstLine="3600" w:firstLineChars="1500"/>
        <w:contextualSpacing/>
        <w:rPr>
          <w:rFonts w:hint="eastAsia" w:ascii="宋体" w:hAnsi="宋体" w:cs="宋体"/>
          <w:color w:val="auto"/>
          <w:sz w:val="24"/>
          <w:highlight w:val="none"/>
        </w:rPr>
      </w:pPr>
      <w:r>
        <w:rPr>
          <w:rFonts w:hint="eastAsia" w:ascii="宋体" w:hAnsi="宋体" w:cs="宋体"/>
          <w:color w:val="auto"/>
          <w:sz w:val="24"/>
          <w:highlight w:val="none"/>
        </w:rPr>
        <w:t>供应商（公章或电子签章）：</w:t>
      </w:r>
    </w:p>
    <w:p w14:paraId="107E4762">
      <w:pPr>
        <w:spacing w:line="360" w:lineRule="auto"/>
        <w:ind w:firstLine="3600" w:firstLineChars="1500"/>
        <w:contextualSpacing/>
        <w:rPr>
          <w:rFonts w:hint="eastAsia" w:ascii="宋体" w:hAnsi="宋体" w:cs="宋体"/>
          <w:color w:val="auto"/>
          <w:sz w:val="24"/>
          <w:highlight w:val="none"/>
        </w:rPr>
      </w:pPr>
      <w:r>
        <w:rPr>
          <w:rFonts w:hint="eastAsia" w:ascii="宋体" w:hAnsi="宋体" w:cs="宋体"/>
          <w:color w:val="auto"/>
          <w:sz w:val="24"/>
          <w:highlight w:val="none"/>
        </w:rPr>
        <w:t>日  期：</w:t>
      </w:r>
    </w:p>
    <w:p w14:paraId="586A83D6">
      <w:pPr>
        <w:spacing w:line="360" w:lineRule="auto"/>
        <w:contextualSpacing/>
        <w:rPr>
          <w:rFonts w:hint="eastAsia" w:ascii="宋体" w:hAnsi="宋体" w:cs="宋体"/>
          <w:color w:val="auto"/>
          <w:sz w:val="24"/>
          <w:highlight w:val="none"/>
        </w:rPr>
      </w:pPr>
    </w:p>
    <w:p w14:paraId="79CBA889">
      <w:pPr>
        <w:spacing w:line="360" w:lineRule="auto"/>
        <w:contextualSpacing/>
        <w:rPr>
          <w:rFonts w:hint="eastAsia" w:ascii="宋体" w:hAnsi="宋体" w:cs="宋体"/>
          <w:color w:val="auto"/>
          <w:sz w:val="24"/>
          <w:highlight w:val="none"/>
        </w:rPr>
      </w:pPr>
    </w:p>
    <w:p w14:paraId="18240B94">
      <w:pPr>
        <w:spacing w:line="360" w:lineRule="auto"/>
        <w:contextualSpacing/>
        <w:rPr>
          <w:rFonts w:hint="eastAsia" w:ascii="宋体" w:hAnsi="宋体" w:cs="宋体"/>
          <w:color w:val="auto"/>
          <w:sz w:val="24"/>
          <w:highlight w:val="none"/>
        </w:rPr>
      </w:pPr>
    </w:p>
    <w:p w14:paraId="33E848E4">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注：请根据自己的真实情况出具《残疾人福利性单位声明函》。依法享受中小企业优惠政策的，采购人或者采购代理机构在公告成交结果时，同时公告其《残疾人福利性单位声明函》，接受社会监督。</w:t>
      </w:r>
    </w:p>
    <w:p w14:paraId="6A43B75E">
      <w:pPr>
        <w:spacing w:line="360" w:lineRule="auto"/>
        <w:contextualSpacing/>
        <w:rPr>
          <w:rFonts w:hint="eastAsia" w:ascii="宋体" w:hAnsi="宋体" w:cs="宋体"/>
          <w:color w:val="auto"/>
          <w:sz w:val="24"/>
          <w:highlight w:val="none"/>
        </w:rPr>
      </w:pPr>
    </w:p>
    <w:p w14:paraId="4C338A81">
      <w:pPr>
        <w:spacing w:line="520" w:lineRule="exact"/>
        <w:rPr>
          <w:rFonts w:hint="eastAsia" w:ascii="宋体" w:hAnsi="宋体" w:cs="宋体"/>
          <w:color w:val="auto"/>
          <w:sz w:val="32"/>
          <w:szCs w:val="32"/>
          <w:highlight w:val="none"/>
        </w:rPr>
      </w:pPr>
    </w:p>
    <w:p w14:paraId="10FE6DFF">
      <w:pPr>
        <w:spacing w:line="520" w:lineRule="exact"/>
        <w:rPr>
          <w:rFonts w:hint="eastAsia" w:ascii="宋体" w:hAnsi="宋体" w:cs="宋体"/>
          <w:color w:val="auto"/>
          <w:sz w:val="32"/>
          <w:szCs w:val="32"/>
          <w:highlight w:val="none"/>
        </w:rPr>
      </w:pPr>
    </w:p>
    <w:p w14:paraId="10A88443">
      <w:pPr>
        <w:spacing w:line="520" w:lineRule="exact"/>
        <w:rPr>
          <w:rFonts w:hint="eastAsia" w:ascii="宋体" w:hAnsi="宋体" w:cs="宋体"/>
          <w:color w:val="auto"/>
          <w:sz w:val="32"/>
          <w:szCs w:val="32"/>
          <w:highlight w:val="none"/>
        </w:rPr>
      </w:pPr>
    </w:p>
    <w:p w14:paraId="7436C66F">
      <w:pPr>
        <w:spacing w:line="520" w:lineRule="exact"/>
        <w:rPr>
          <w:rFonts w:hint="eastAsia" w:ascii="宋体" w:hAnsi="宋体" w:cs="宋体"/>
          <w:color w:val="auto"/>
          <w:sz w:val="32"/>
          <w:szCs w:val="32"/>
          <w:highlight w:val="none"/>
        </w:rPr>
      </w:pPr>
    </w:p>
    <w:p w14:paraId="0BC81406">
      <w:pPr>
        <w:spacing w:line="520" w:lineRule="exact"/>
        <w:rPr>
          <w:rFonts w:hint="eastAsia" w:ascii="宋体" w:hAnsi="宋体" w:cs="宋体"/>
          <w:color w:val="auto"/>
          <w:sz w:val="32"/>
          <w:szCs w:val="32"/>
          <w:highlight w:val="none"/>
        </w:rPr>
      </w:pPr>
    </w:p>
    <w:p w14:paraId="35AB02BD">
      <w:pPr>
        <w:spacing w:line="520" w:lineRule="exact"/>
        <w:rPr>
          <w:rFonts w:hint="eastAsia" w:ascii="宋体" w:hAnsi="宋体" w:cs="宋体"/>
          <w:color w:val="auto"/>
          <w:sz w:val="32"/>
          <w:szCs w:val="32"/>
          <w:highlight w:val="none"/>
        </w:rPr>
      </w:pPr>
    </w:p>
    <w:p w14:paraId="4E4E6188">
      <w:pPr>
        <w:spacing w:line="520" w:lineRule="exact"/>
        <w:rPr>
          <w:rFonts w:hint="eastAsia" w:ascii="宋体" w:hAnsi="宋体" w:cs="宋体"/>
          <w:color w:val="auto"/>
          <w:sz w:val="32"/>
          <w:szCs w:val="32"/>
          <w:highlight w:val="none"/>
        </w:rPr>
      </w:pPr>
    </w:p>
    <w:p w14:paraId="16E312F9">
      <w:pPr>
        <w:spacing w:line="360" w:lineRule="auto"/>
        <w:jc w:val="center"/>
        <w:rPr>
          <w:rFonts w:hint="eastAsia" w:ascii="宋体" w:hAnsi="宋体" w:cs="宋体"/>
          <w:b/>
          <w:bCs/>
          <w:color w:val="auto"/>
          <w:sz w:val="32"/>
          <w:szCs w:val="32"/>
          <w:highlight w:val="none"/>
        </w:rPr>
      </w:pPr>
      <w:r>
        <w:rPr>
          <w:rFonts w:hint="eastAsia" w:ascii="宋体" w:hAnsi="宋体" w:cs="宋体"/>
          <w:color w:val="auto"/>
          <w:sz w:val="44"/>
          <w:szCs w:val="44"/>
          <w:highlight w:val="none"/>
        </w:rPr>
        <w:t>质疑函（格式）</w:t>
      </w:r>
    </w:p>
    <w:p w14:paraId="24A37EAB">
      <w:pPr>
        <w:pStyle w:val="12"/>
        <w:spacing w:line="360" w:lineRule="auto"/>
        <w:ind w:firstLine="482" w:firstLineChars="200"/>
        <w:contextualSpacing/>
        <w:rPr>
          <w:rFonts w:hint="eastAsia" w:hAnsi="宋体" w:cs="宋体"/>
          <w:b/>
          <w:bCs/>
          <w:color w:val="auto"/>
          <w:sz w:val="24"/>
          <w:szCs w:val="24"/>
          <w:highlight w:val="none"/>
        </w:rPr>
      </w:pPr>
      <w:r>
        <w:rPr>
          <w:rFonts w:hint="eastAsia" w:hAnsi="宋体" w:cs="宋体"/>
          <w:b/>
          <w:bCs/>
          <w:color w:val="auto"/>
          <w:sz w:val="24"/>
          <w:szCs w:val="24"/>
          <w:highlight w:val="none"/>
        </w:rPr>
        <w:t>一、质疑供应商基本信息：</w:t>
      </w:r>
    </w:p>
    <w:p w14:paraId="44358736">
      <w:pPr>
        <w:pStyle w:val="12"/>
        <w:spacing w:line="360" w:lineRule="auto"/>
        <w:ind w:firstLine="480" w:firstLineChars="200"/>
        <w:contextualSpacing/>
        <w:rPr>
          <w:rFonts w:hint="eastAsia" w:hAnsi="宋体" w:cs="宋体"/>
          <w:bCs/>
          <w:color w:val="auto"/>
          <w:sz w:val="24"/>
          <w:szCs w:val="24"/>
          <w:highlight w:val="none"/>
          <w:u w:val="single"/>
        </w:rPr>
      </w:pPr>
      <w:r>
        <w:rPr>
          <w:rFonts w:hint="eastAsia" w:hAnsi="宋体" w:cs="宋体"/>
          <w:bCs/>
          <w:color w:val="auto"/>
          <w:sz w:val="24"/>
          <w:szCs w:val="24"/>
          <w:highlight w:val="none"/>
        </w:rPr>
        <w:t>质疑供应商：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39C74F4D">
      <w:pPr>
        <w:pStyle w:val="12"/>
        <w:spacing w:line="360" w:lineRule="auto"/>
        <w:ind w:firstLine="480" w:firstLineChars="200"/>
        <w:contextualSpacing/>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604294A4">
      <w:pPr>
        <w:pStyle w:val="12"/>
        <w:spacing w:line="360" w:lineRule="auto"/>
        <w:ind w:firstLine="480" w:firstLineChars="200"/>
        <w:contextualSpacing/>
        <w:rPr>
          <w:rFonts w:hint="eastAsia"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3AC487E6">
      <w:pPr>
        <w:pStyle w:val="12"/>
        <w:spacing w:line="360" w:lineRule="auto"/>
        <w:ind w:firstLine="480" w:firstLineChars="200"/>
        <w:contextualSpacing/>
        <w:rPr>
          <w:rFonts w:hint="eastAsia" w:hAnsi="宋体" w:cs="宋体"/>
          <w:bCs/>
          <w:color w:val="auto"/>
          <w:sz w:val="24"/>
          <w:szCs w:val="24"/>
          <w:highlight w:val="non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p>
    <w:p w14:paraId="5F6BAD9D">
      <w:pPr>
        <w:pStyle w:val="12"/>
        <w:spacing w:line="360" w:lineRule="auto"/>
        <w:ind w:firstLine="480" w:firstLineChars="200"/>
        <w:contextualSpacing/>
        <w:rPr>
          <w:rFonts w:hint="eastAsia" w:hAnsi="宋体" w:cs="宋体"/>
          <w:bCs/>
          <w:color w:val="auto"/>
          <w:sz w:val="24"/>
          <w:szCs w:val="24"/>
          <w:highlight w:val="none"/>
          <w:u w:val="singl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09FB931C">
      <w:pPr>
        <w:pStyle w:val="12"/>
        <w:spacing w:line="360" w:lineRule="auto"/>
        <w:ind w:firstLine="480" w:firstLineChars="200"/>
        <w:contextualSpacing/>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00FB1446">
      <w:pPr>
        <w:pStyle w:val="12"/>
        <w:spacing w:line="360" w:lineRule="auto"/>
        <w:ind w:firstLine="482" w:firstLineChars="200"/>
        <w:contextualSpacing/>
        <w:rPr>
          <w:rFonts w:hint="eastAsia" w:hAnsi="宋体" w:cs="宋体"/>
          <w:b/>
          <w:bCs/>
          <w:color w:val="auto"/>
          <w:sz w:val="24"/>
          <w:szCs w:val="24"/>
          <w:highlight w:val="none"/>
        </w:rPr>
      </w:pPr>
      <w:r>
        <w:rPr>
          <w:rFonts w:hint="eastAsia" w:hAnsi="宋体" w:cs="宋体"/>
          <w:b/>
          <w:bCs/>
          <w:color w:val="auto"/>
          <w:sz w:val="24"/>
          <w:szCs w:val="24"/>
          <w:highlight w:val="none"/>
        </w:rPr>
        <w:t>二、质疑项目基本情况：</w:t>
      </w:r>
    </w:p>
    <w:p w14:paraId="2AD3B3C8">
      <w:pPr>
        <w:pStyle w:val="12"/>
        <w:spacing w:line="360" w:lineRule="auto"/>
        <w:ind w:left="25" w:leftChars="12" w:firstLine="472" w:firstLineChars="197"/>
        <w:contextualSpacing/>
        <w:rPr>
          <w:rFonts w:hint="eastAsia"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50793CEF">
      <w:pPr>
        <w:pStyle w:val="12"/>
        <w:spacing w:line="360" w:lineRule="auto"/>
        <w:ind w:left="25" w:leftChars="12" w:firstLine="472" w:firstLineChars="197"/>
        <w:contextualSpacing/>
        <w:rPr>
          <w:rFonts w:hint="eastAsia"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548ADC9B">
      <w:pPr>
        <w:pStyle w:val="12"/>
        <w:spacing w:line="360" w:lineRule="auto"/>
        <w:ind w:left="25" w:leftChars="12" w:firstLine="472" w:firstLineChars="197"/>
        <w:contextualSpacing/>
        <w:rPr>
          <w:rFonts w:hint="eastAsia" w:hAnsi="宋体" w:cs="宋体"/>
          <w:color w:val="auto"/>
          <w:sz w:val="24"/>
          <w:szCs w:val="24"/>
          <w:highlight w:val="non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7FF92E4B">
      <w:pPr>
        <w:pStyle w:val="12"/>
        <w:spacing w:line="360" w:lineRule="auto"/>
        <w:ind w:left="25" w:leftChars="12" w:firstLine="472" w:firstLineChars="197"/>
        <w:contextualSpacing/>
        <w:rPr>
          <w:rFonts w:hint="eastAsia" w:hAnsi="宋体" w:cs="宋体"/>
          <w:color w:val="auto"/>
          <w:sz w:val="24"/>
          <w:szCs w:val="24"/>
          <w:highlight w:val="none"/>
        </w:rPr>
      </w:pPr>
      <w:r>
        <w:rPr>
          <w:rFonts w:hint="eastAsia" w:hAnsi="宋体" w:cs="宋体"/>
          <w:color w:val="auto"/>
          <w:sz w:val="24"/>
          <w:szCs w:val="24"/>
          <w:highlight w:val="none"/>
        </w:rPr>
        <w:t>质疑事项：</w:t>
      </w:r>
    </w:p>
    <w:p w14:paraId="2B8EFBCB">
      <w:pPr>
        <w:pStyle w:val="12"/>
        <w:spacing w:line="360" w:lineRule="auto"/>
        <w:ind w:left="25" w:leftChars="12" w:firstLine="352" w:firstLineChars="147"/>
        <w:contextualSpacing/>
        <w:rPr>
          <w:rFonts w:hint="eastAsia" w:hAnsi="宋体" w:cs="宋体"/>
          <w:color w:val="auto"/>
          <w:sz w:val="24"/>
          <w:szCs w:val="24"/>
          <w:highlight w:val="none"/>
        </w:rPr>
      </w:pPr>
      <w:r>
        <w:rPr>
          <w:rFonts w:hint="eastAsia" w:hAnsi="宋体" w:cs="宋体"/>
          <w:color w:val="auto"/>
          <w:sz w:val="24"/>
          <w:szCs w:val="24"/>
          <w:highlight w:val="none"/>
        </w:rPr>
        <w:t>□采购文件   采购文件获取日期：</w:t>
      </w:r>
      <w:r>
        <w:rPr>
          <w:rFonts w:hint="eastAsia" w:hAnsi="宋体" w:cs="宋体"/>
          <w:bCs/>
          <w:color w:val="auto"/>
          <w:sz w:val="24"/>
          <w:szCs w:val="24"/>
          <w:highlight w:val="none"/>
          <w:u w:val="single"/>
        </w:rPr>
        <w:t xml:space="preserve">                                   </w:t>
      </w:r>
    </w:p>
    <w:p w14:paraId="4DA8F0DE">
      <w:pPr>
        <w:pStyle w:val="12"/>
        <w:spacing w:line="360" w:lineRule="auto"/>
        <w:ind w:left="25" w:leftChars="12" w:firstLine="352" w:firstLineChars="147"/>
        <w:contextualSpacing/>
        <w:rPr>
          <w:rFonts w:hint="eastAsia" w:hAnsi="宋体" w:cs="宋体"/>
          <w:color w:val="auto"/>
          <w:sz w:val="24"/>
          <w:szCs w:val="24"/>
          <w:highlight w:val="none"/>
        </w:rPr>
      </w:pPr>
      <w:r>
        <w:rPr>
          <w:rFonts w:hint="eastAsia" w:hAnsi="宋体" w:cs="宋体"/>
          <w:color w:val="auto"/>
          <w:sz w:val="24"/>
          <w:szCs w:val="24"/>
          <w:highlight w:val="none"/>
        </w:rPr>
        <w:t xml:space="preserve">□采购过程   </w:t>
      </w:r>
    </w:p>
    <w:p w14:paraId="7181725D">
      <w:pPr>
        <w:pStyle w:val="12"/>
        <w:spacing w:line="360" w:lineRule="auto"/>
        <w:ind w:left="25" w:leftChars="12" w:firstLine="352" w:firstLineChars="147"/>
        <w:contextualSpacing/>
        <w:rPr>
          <w:rFonts w:hint="eastAsia" w:hAnsi="宋体" w:cs="宋体"/>
          <w:bCs/>
          <w:color w:val="auto"/>
          <w:sz w:val="24"/>
          <w:szCs w:val="24"/>
          <w:highlight w:val="none"/>
          <w:u w:val="single"/>
        </w:rPr>
      </w:pPr>
      <w:r>
        <w:rPr>
          <w:rFonts w:hint="eastAsia" w:hAnsi="宋体" w:cs="宋体"/>
          <w:color w:val="auto"/>
          <w:sz w:val="24"/>
          <w:szCs w:val="24"/>
          <w:highlight w:val="none"/>
        </w:rPr>
        <w:t xml:space="preserve">□成交结果   </w:t>
      </w:r>
    </w:p>
    <w:p w14:paraId="3CD20486">
      <w:pPr>
        <w:pStyle w:val="12"/>
        <w:spacing w:line="360" w:lineRule="auto"/>
        <w:ind w:left="25" w:leftChars="12" w:firstLine="472" w:firstLineChars="196"/>
        <w:contextualSpacing/>
        <w:rPr>
          <w:rFonts w:hint="eastAsia" w:hAnsi="宋体" w:cs="宋体"/>
          <w:b/>
          <w:color w:val="auto"/>
          <w:sz w:val="24"/>
          <w:szCs w:val="24"/>
          <w:highlight w:val="none"/>
        </w:rPr>
      </w:pPr>
      <w:r>
        <w:rPr>
          <w:rFonts w:hint="eastAsia" w:hAnsi="宋体" w:cs="宋体"/>
          <w:b/>
          <w:color w:val="auto"/>
          <w:sz w:val="24"/>
          <w:szCs w:val="24"/>
          <w:highlight w:val="none"/>
        </w:rPr>
        <w:t>三、质疑事项具体内容</w:t>
      </w:r>
    </w:p>
    <w:p w14:paraId="1592D874">
      <w:pPr>
        <w:pStyle w:val="12"/>
        <w:spacing w:line="360" w:lineRule="auto"/>
        <w:ind w:left="25" w:leftChars="12" w:firstLine="472" w:firstLineChars="197"/>
        <w:contextualSpacing/>
        <w:rPr>
          <w:rFonts w:hint="eastAsia" w:hAnsi="宋体" w:cs="宋体"/>
          <w:color w:val="auto"/>
          <w:sz w:val="24"/>
          <w:szCs w:val="24"/>
          <w:highlight w:val="none"/>
        </w:rPr>
      </w:pPr>
      <w:r>
        <w:rPr>
          <w:rFonts w:hint="eastAsia" w:hAnsi="宋体" w:cs="宋体"/>
          <w:color w:val="auto"/>
          <w:sz w:val="24"/>
          <w:szCs w:val="24"/>
          <w:highlight w:val="none"/>
        </w:rPr>
        <w:t>质疑事项1：</w:t>
      </w:r>
      <w:r>
        <w:rPr>
          <w:rFonts w:hint="eastAsia" w:hAnsi="宋体" w:cs="宋体"/>
          <w:bCs/>
          <w:color w:val="auto"/>
          <w:sz w:val="24"/>
          <w:szCs w:val="24"/>
          <w:highlight w:val="none"/>
          <w:u w:val="single"/>
        </w:rPr>
        <w:t xml:space="preserve">                                                                    </w:t>
      </w:r>
    </w:p>
    <w:p w14:paraId="5486AC74">
      <w:pPr>
        <w:pStyle w:val="12"/>
        <w:spacing w:line="360" w:lineRule="auto"/>
        <w:ind w:left="25" w:leftChars="12" w:firstLine="472" w:firstLineChars="197"/>
        <w:contextualSpacing/>
        <w:rPr>
          <w:rFonts w:hint="eastAsia" w:hAnsi="宋体" w:cs="宋体"/>
          <w:color w:val="auto"/>
          <w:sz w:val="24"/>
          <w:szCs w:val="24"/>
          <w:highlight w:val="none"/>
        </w:rPr>
      </w:pPr>
      <w:r>
        <w:rPr>
          <w:rFonts w:hint="eastAsia" w:hAnsi="宋体" w:cs="宋体"/>
          <w:color w:val="auto"/>
          <w:sz w:val="24"/>
          <w:szCs w:val="24"/>
          <w:highlight w:val="none"/>
        </w:rPr>
        <w:t>事实依据：</w:t>
      </w:r>
      <w:r>
        <w:rPr>
          <w:rFonts w:hint="eastAsia" w:hAnsi="宋体" w:cs="宋体"/>
          <w:bCs/>
          <w:color w:val="auto"/>
          <w:sz w:val="24"/>
          <w:szCs w:val="24"/>
          <w:highlight w:val="none"/>
          <w:u w:val="single"/>
        </w:rPr>
        <w:t xml:space="preserve">                                                                      </w:t>
      </w:r>
    </w:p>
    <w:p w14:paraId="25CB155D">
      <w:pPr>
        <w:pStyle w:val="12"/>
        <w:spacing w:line="360" w:lineRule="auto"/>
        <w:ind w:left="25" w:leftChars="12" w:firstLine="472" w:firstLineChars="197"/>
        <w:contextualSpacing/>
        <w:rPr>
          <w:rFonts w:hint="eastAsia" w:hAnsi="宋体" w:cs="宋体"/>
          <w:color w:val="auto"/>
          <w:sz w:val="24"/>
          <w:szCs w:val="24"/>
          <w:highlight w:val="none"/>
        </w:rPr>
      </w:pPr>
      <w:r>
        <w:rPr>
          <w:rFonts w:hint="eastAsia" w:hAnsi="宋体" w:cs="宋体"/>
          <w:color w:val="auto"/>
          <w:sz w:val="24"/>
          <w:szCs w:val="24"/>
          <w:highlight w:val="none"/>
        </w:rPr>
        <w:t>法律依据：</w:t>
      </w:r>
      <w:r>
        <w:rPr>
          <w:rFonts w:hint="eastAsia" w:hAnsi="宋体" w:cs="宋体"/>
          <w:color w:val="auto"/>
          <w:sz w:val="24"/>
          <w:szCs w:val="24"/>
          <w:highlight w:val="none"/>
          <w:u w:val="single"/>
        </w:rPr>
        <w:t xml:space="preserve">                                                        </w:t>
      </w:r>
      <w:r>
        <w:rPr>
          <w:rFonts w:hint="eastAsia" w:hAnsi="宋体" w:cs="宋体"/>
          <w:bCs/>
          <w:color w:val="auto"/>
          <w:sz w:val="24"/>
          <w:szCs w:val="24"/>
          <w:highlight w:val="none"/>
          <w:u w:val="single"/>
        </w:rPr>
        <w:t xml:space="preserve">               </w:t>
      </w:r>
    </w:p>
    <w:p w14:paraId="2D253C2A">
      <w:pPr>
        <w:pStyle w:val="12"/>
        <w:spacing w:line="360" w:lineRule="auto"/>
        <w:ind w:left="25" w:leftChars="12" w:firstLine="472" w:firstLineChars="197"/>
        <w:contextualSpacing/>
        <w:rPr>
          <w:rFonts w:hint="eastAsia" w:hAnsi="宋体" w:cs="宋体"/>
          <w:color w:val="auto"/>
          <w:sz w:val="24"/>
          <w:szCs w:val="24"/>
          <w:highlight w:val="none"/>
        </w:rPr>
      </w:pPr>
      <w:r>
        <w:rPr>
          <w:rFonts w:hint="eastAsia" w:hAnsi="宋体" w:cs="宋体"/>
          <w:color w:val="auto"/>
          <w:sz w:val="24"/>
          <w:szCs w:val="24"/>
          <w:highlight w:val="none"/>
        </w:rPr>
        <w:t>质疑事项2</w:t>
      </w:r>
    </w:p>
    <w:p w14:paraId="1BB2B7A6">
      <w:pPr>
        <w:pStyle w:val="12"/>
        <w:spacing w:line="360" w:lineRule="auto"/>
        <w:ind w:left="25" w:leftChars="12" w:firstLine="472" w:firstLineChars="197"/>
        <w:contextualSpacing/>
        <w:rPr>
          <w:rFonts w:hint="eastAsia" w:hAnsi="宋体" w:cs="宋体"/>
          <w:color w:val="auto"/>
          <w:sz w:val="24"/>
          <w:szCs w:val="24"/>
          <w:highlight w:val="none"/>
        </w:rPr>
      </w:pPr>
      <w:r>
        <w:rPr>
          <w:rFonts w:hint="eastAsia" w:hAnsi="宋体" w:cs="宋体"/>
          <w:color w:val="auto"/>
          <w:sz w:val="24"/>
          <w:szCs w:val="24"/>
          <w:highlight w:val="none"/>
        </w:rPr>
        <w:t>……</w:t>
      </w:r>
    </w:p>
    <w:p w14:paraId="4A2E4B0E">
      <w:pPr>
        <w:pStyle w:val="12"/>
        <w:spacing w:line="360" w:lineRule="auto"/>
        <w:ind w:left="25" w:leftChars="12" w:firstLine="472" w:firstLineChars="197"/>
        <w:contextualSpacing/>
        <w:rPr>
          <w:rFonts w:hint="eastAsia" w:hAnsi="宋体" w:cs="宋体"/>
          <w:color w:val="auto"/>
          <w:sz w:val="24"/>
          <w:szCs w:val="24"/>
          <w:highlight w:val="none"/>
        </w:rPr>
      </w:pPr>
      <w:r>
        <w:rPr>
          <w:rFonts w:hint="eastAsia" w:hAnsi="宋体" w:cs="宋体"/>
          <w:color w:val="auto"/>
          <w:sz w:val="24"/>
          <w:szCs w:val="24"/>
          <w:highlight w:val="none"/>
        </w:rPr>
        <w:t>四、与质疑事项相关的质疑请求：</w:t>
      </w:r>
    </w:p>
    <w:p w14:paraId="093818FF">
      <w:pPr>
        <w:pStyle w:val="12"/>
        <w:spacing w:line="360" w:lineRule="auto"/>
        <w:ind w:left="25" w:leftChars="12" w:firstLine="472" w:firstLineChars="197"/>
        <w:contextualSpacing/>
        <w:rPr>
          <w:rFonts w:hint="eastAsia"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07D3D908">
      <w:pPr>
        <w:pStyle w:val="12"/>
        <w:spacing w:line="360" w:lineRule="auto"/>
        <w:ind w:left="25" w:leftChars="12" w:firstLine="472" w:firstLineChars="197"/>
        <w:contextualSpacing/>
        <w:rPr>
          <w:rFonts w:hint="eastAsia" w:hAnsi="宋体" w:cs="宋体"/>
          <w:color w:val="auto"/>
          <w:sz w:val="24"/>
          <w:szCs w:val="24"/>
          <w:highlight w:val="none"/>
        </w:rPr>
      </w:pPr>
      <w:r>
        <w:rPr>
          <w:rFonts w:hint="eastAsia" w:hAnsi="宋体" w:cs="宋体"/>
          <w:color w:val="auto"/>
          <w:sz w:val="24"/>
          <w:szCs w:val="24"/>
          <w:highlight w:val="none"/>
        </w:rPr>
        <w:t>签字（</w:t>
      </w:r>
      <w:r>
        <w:rPr>
          <w:rFonts w:hint="eastAsia" w:hAnsi="宋体" w:cs="宋体"/>
          <w:color w:val="auto"/>
          <w:sz w:val="24"/>
          <w:szCs w:val="24"/>
          <w:highlight w:val="none"/>
          <w:lang w:eastAsia="zh-CN"/>
        </w:rPr>
        <w:t>签</w:t>
      </w:r>
      <w:r>
        <w:rPr>
          <w:rFonts w:hint="eastAsia" w:hAnsi="宋体" w:cs="宋体"/>
          <w:color w:val="auto"/>
          <w:sz w:val="24"/>
          <w:szCs w:val="24"/>
          <w:highlight w:val="none"/>
        </w:rPr>
        <w:t>章）：                                       公章：</w:t>
      </w:r>
    </w:p>
    <w:p w14:paraId="37C38021">
      <w:pPr>
        <w:pStyle w:val="12"/>
        <w:spacing w:line="360" w:lineRule="auto"/>
        <w:ind w:firstLine="480" w:firstLineChars="200"/>
        <w:contextualSpacing/>
        <w:rPr>
          <w:rFonts w:hint="eastAsia" w:hAnsi="宋体" w:cs="宋体"/>
          <w:b/>
          <w:color w:val="auto"/>
          <w:sz w:val="24"/>
          <w:szCs w:val="24"/>
          <w:highlight w:val="none"/>
        </w:rPr>
      </w:pPr>
      <w:r>
        <w:rPr>
          <w:rFonts w:hint="eastAsia" w:hAnsi="宋体" w:cs="宋体"/>
          <w:color w:val="auto"/>
          <w:sz w:val="24"/>
          <w:szCs w:val="24"/>
          <w:highlight w:val="none"/>
        </w:rPr>
        <w:t>日期：</w:t>
      </w:r>
    </w:p>
    <w:p w14:paraId="4BB7E21D">
      <w:pPr>
        <w:pStyle w:val="12"/>
        <w:spacing w:line="360" w:lineRule="auto"/>
        <w:contextualSpacing/>
        <w:rPr>
          <w:rFonts w:hint="eastAsia" w:hAnsi="宋体" w:cs="宋体"/>
          <w:b/>
          <w:color w:val="auto"/>
          <w:sz w:val="24"/>
          <w:szCs w:val="24"/>
          <w:highlight w:val="none"/>
        </w:rPr>
      </w:pPr>
      <w:r>
        <w:rPr>
          <w:rFonts w:hint="eastAsia" w:hAnsi="宋体" w:cs="宋体"/>
          <w:b/>
          <w:color w:val="auto"/>
          <w:sz w:val="24"/>
          <w:szCs w:val="24"/>
          <w:highlight w:val="none"/>
        </w:rPr>
        <w:t>说明：</w:t>
      </w:r>
    </w:p>
    <w:p w14:paraId="5F674FF9">
      <w:pPr>
        <w:pStyle w:val="12"/>
        <w:spacing w:line="360" w:lineRule="auto"/>
        <w:ind w:left="25" w:leftChars="12" w:firstLine="354" w:firstLineChars="147"/>
        <w:contextualSpacing/>
        <w:rPr>
          <w:rFonts w:hint="eastAsia" w:hAnsi="宋体" w:cs="宋体"/>
          <w:b/>
          <w:bCs/>
          <w:color w:val="auto"/>
          <w:sz w:val="24"/>
          <w:szCs w:val="24"/>
          <w:highlight w:val="none"/>
        </w:rPr>
      </w:pPr>
      <w:r>
        <w:rPr>
          <w:rFonts w:hint="eastAsia" w:hAnsi="宋体" w:cs="宋体"/>
          <w:b/>
          <w:color w:val="auto"/>
          <w:sz w:val="24"/>
          <w:szCs w:val="24"/>
          <w:highlight w:val="none"/>
        </w:rPr>
        <w:t>1.供应商提出质疑时，应提交质疑函和必要的证明材料</w:t>
      </w:r>
      <w:r>
        <w:rPr>
          <w:rFonts w:hint="eastAsia" w:hAnsi="宋体" w:cs="宋体"/>
          <w:b/>
          <w:bCs/>
          <w:color w:val="auto"/>
          <w:sz w:val="24"/>
          <w:szCs w:val="24"/>
          <w:highlight w:val="none"/>
        </w:rPr>
        <w:t>。</w:t>
      </w:r>
    </w:p>
    <w:p w14:paraId="7DCCF44A">
      <w:pPr>
        <w:pStyle w:val="12"/>
        <w:spacing w:line="360" w:lineRule="auto"/>
        <w:ind w:left="25" w:leftChars="12" w:firstLine="354" w:firstLineChars="147"/>
        <w:contextualSpacing/>
        <w:rPr>
          <w:rFonts w:hint="eastAsia" w:hAnsi="宋体" w:cs="宋体"/>
          <w:b/>
          <w:color w:val="auto"/>
          <w:sz w:val="24"/>
          <w:szCs w:val="24"/>
          <w:highlight w:val="none"/>
        </w:rPr>
      </w:pPr>
      <w:r>
        <w:rPr>
          <w:rFonts w:hint="eastAsia" w:hAnsi="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37042DC">
      <w:pPr>
        <w:pStyle w:val="12"/>
        <w:spacing w:line="360" w:lineRule="auto"/>
        <w:ind w:left="25" w:leftChars="12" w:firstLine="354" w:firstLineChars="147"/>
        <w:contextualSpacing/>
        <w:rPr>
          <w:rFonts w:hint="eastAsia" w:hAnsi="宋体" w:cs="宋体"/>
          <w:b/>
          <w:color w:val="auto"/>
          <w:sz w:val="24"/>
          <w:szCs w:val="24"/>
          <w:highlight w:val="none"/>
        </w:rPr>
      </w:pPr>
      <w:r>
        <w:rPr>
          <w:rFonts w:hint="eastAsia" w:hAnsi="宋体" w:cs="宋体"/>
          <w:b/>
          <w:color w:val="auto"/>
          <w:sz w:val="24"/>
          <w:szCs w:val="24"/>
          <w:highlight w:val="none"/>
        </w:rPr>
        <w:t>3.质疑函的质疑事项应具体、明确，并有必要的事实依据和法律依据。</w:t>
      </w:r>
    </w:p>
    <w:p w14:paraId="68C39B58">
      <w:pPr>
        <w:pStyle w:val="12"/>
        <w:spacing w:line="360" w:lineRule="auto"/>
        <w:ind w:left="25" w:leftChars="12" w:firstLine="354" w:firstLineChars="147"/>
        <w:contextualSpacing/>
        <w:rPr>
          <w:rFonts w:hint="eastAsia" w:hAnsi="宋体" w:cs="宋体"/>
          <w:b/>
          <w:color w:val="auto"/>
          <w:sz w:val="24"/>
          <w:szCs w:val="24"/>
          <w:highlight w:val="none"/>
        </w:rPr>
      </w:pPr>
      <w:r>
        <w:rPr>
          <w:rFonts w:hint="eastAsia" w:hAnsi="宋体" w:cs="宋体"/>
          <w:b/>
          <w:color w:val="auto"/>
          <w:sz w:val="24"/>
          <w:szCs w:val="24"/>
          <w:highlight w:val="none"/>
        </w:rPr>
        <w:t>4.质疑函的质疑请求应与质疑事项相关。</w:t>
      </w:r>
    </w:p>
    <w:p w14:paraId="0BB4F71C">
      <w:pPr>
        <w:pStyle w:val="12"/>
        <w:spacing w:line="360" w:lineRule="auto"/>
        <w:ind w:left="25" w:leftChars="12" w:firstLine="354" w:firstLineChars="147"/>
        <w:contextualSpacing/>
        <w:rPr>
          <w:rFonts w:hint="eastAsia" w:hAnsi="宋体" w:cs="宋体"/>
          <w:b/>
          <w:color w:val="auto"/>
          <w:highlight w:val="none"/>
        </w:rPr>
      </w:pPr>
      <w:r>
        <w:rPr>
          <w:rFonts w:hint="eastAsia" w:hAnsi="宋体" w:cs="宋体"/>
          <w:b/>
          <w:color w:val="auto"/>
          <w:sz w:val="24"/>
          <w:szCs w:val="24"/>
          <w:highlight w:val="none"/>
        </w:rPr>
        <w:t>5.质疑供应商为法人或者其他组织的，质疑函应由法定代表人、主要负责人，或者其授权代表签字或者盖章，并加盖公章。</w:t>
      </w:r>
    </w:p>
    <w:p w14:paraId="6B8076D3">
      <w:pPr>
        <w:pStyle w:val="12"/>
        <w:snapToGrid w:val="0"/>
        <w:rPr>
          <w:rFonts w:hint="eastAsia" w:hAnsi="宋体" w:cs="宋体"/>
          <w:b/>
          <w:color w:val="auto"/>
          <w:sz w:val="24"/>
          <w:szCs w:val="24"/>
          <w:highlight w:val="none"/>
        </w:rPr>
      </w:pPr>
    </w:p>
    <w:p w14:paraId="10EACB06">
      <w:pPr>
        <w:rPr>
          <w:rFonts w:hint="eastAsia" w:ascii="宋体" w:hAnsi="宋体" w:cs="宋体"/>
          <w:color w:val="auto"/>
          <w:sz w:val="32"/>
          <w:szCs w:val="40"/>
          <w:highlight w:val="none"/>
        </w:rPr>
      </w:pPr>
    </w:p>
    <w:p w14:paraId="53FED9DA">
      <w:pPr>
        <w:rPr>
          <w:rFonts w:hint="eastAsia" w:ascii="宋体" w:hAnsi="宋体" w:cs="宋体"/>
          <w:color w:val="auto"/>
          <w:sz w:val="32"/>
          <w:szCs w:val="40"/>
          <w:highlight w:val="none"/>
        </w:rPr>
      </w:pPr>
    </w:p>
    <w:p w14:paraId="52057546">
      <w:pPr>
        <w:rPr>
          <w:rFonts w:hint="eastAsia" w:ascii="宋体" w:hAnsi="宋体" w:cs="宋体"/>
          <w:color w:val="auto"/>
          <w:sz w:val="32"/>
          <w:szCs w:val="40"/>
          <w:highlight w:val="none"/>
        </w:rPr>
      </w:pPr>
    </w:p>
    <w:p w14:paraId="60E9C3A5">
      <w:pPr>
        <w:rPr>
          <w:rFonts w:hint="eastAsia" w:ascii="宋体" w:hAnsi="宋体" w:cs="宋体"/>
          <w:color w:val="auto"/>
          <w:sz w:val="32"/>
          <w:szCs w:val="40"/>
          <w:highlight w:val="none"/>
        </w:rPr>
      </w:pPr>
    </w:p>
    <w:p w14:paraId="0C589593">
      <w:pPr>
        <w:rPr>
          <w:rFonts w:hint="eastAsia" w:ascii="宋体" w:hAnsi="宋体" w:cs="宋体"/>
          <w:color w:val="auto"/>
          <w:sz w:val="32"/>
          <w:szCs w:val="40"/>
          <w:highlight w:val="none"/>
        </w:rPr>
      </w:pPr>
    </w:p>
    <w:p w14:paraId="00F12E1C">
      <w:pPr>
        <w:rPr>
          <w:rFonts w:hint="eastAsia" w:ascii="宋体" w:hAnsi="宋体" w:cs="宋体"/>
          <w:color w:val="auto"/>
          <w:sz w:val="32"/>
          <w:szCs w:val="40"/>
          <w:highlight w:val="none"/>
        </w:rPr>
      </w:pPr>
    </w:p>
    <w:p w14:paraId="7FC7030B">
      <w:pPr>
        <w:rPr>
          <w:rFonts w:hint="eastAsia" w:ascii="宋体" w:hAnsi="宋体" w:cs="宋体"/>
          <w:color w:val="auto"/>
          <w:sz w:val="32"/>
          <w:szCs w:val="40"/>
          <w:highlight w:val="none"/>
        </w:rPr>
      </w:pPr>
    </w:p>
    <w:p w14:paraId="58F95F6B">
      <w:pPr>
        <w:rPr>
          <w:rFonts w:hint="eastAsia" w:ascii="宋体" w:hAnsi="宋体" w:cs="宋体"/>
          <w:color w:val="auto"/>
          <w:sz w:val="32"/>
          <w:szCs w:val="40"/>
          <w:highlight w:val="none"/>
        </w:rPr>
      </w:pPr>
    </w:p>
    <w:p w14:paraId="05E55D8D">
      <w:pPr>
        <w:rPr>
          <w:rFonts w:hint="eastAsia" w:ascii="宋体" w:hAnsi="宋体" w:cs="宋体"/>
          <w:color w:val="auto"/>
          <w:sz w:val="32"/>
          <w:szCs w:val="40"/>
          <w:highlight w:val="none"/>
        </w:rPr>
      </w:pPr>
    </w:p>
    <w:p w14:paraId="377DB081">
      <w:pPr>
        <w:rPr>
          <w:rFonts w:hint="eastAsia" w:ascii="宋体" w:hAnsi="宋体" w:cs="宋体"/>
          <w:color w:val="auto"/>
          <w:sz w:val="32"/>
          <w:szCs w:val="40"/>
          <w:highlight w:val="none"/>
        </w:rPr>
      </w:pPr>
    </w:p>
    <w:p w14:paraId="14802900">
      <w:pPr>
        <w:rPr>
          <w:rFonts w:hint="eastAsia" w:ascii="宋体" w:hAnsi="宋体" w:cs="宋体"/>
          <w:color w:val="auto"/>
          <w:sz w:val="32"/>
          <w:szCs w:val="40"/>
          <w:highlight w:val="none"/>
        </w:rPr>
      </w:pPr>
    </w:p>
    <w:p w14:paraId="75352076">
      <w:pPr>
        <w:rPr>
          <w:rFonts w:hint="eastAsia" w:ascii="宋体" w:hAnsi="宋体" w:cs="宋体"/>
          <w:color w:val="auto"/>
          <w:sz w:val="32"/>
          <w:szCs w:val="40"/>
          <w:highlight w:val="none"/>
        </w:rPr>
      </w:pPr>
    </w:p>
    <w:p w14:paraId="2CA78E65">
      <w:pPr>
        <w:rPr>
          <w:rFonts w:hint="eastAsia" w:ascii="宋体" w:hAnsi="宋体" w:cs="宋体"/>
          <w:color w:val="auto"/>
          <w:sz w:val="32"/>
          <w:szCs w:val="40"/>
          <w:highlight w:val="none"/>
        </w:rPr>
      </w:pPr>
    </w:p>
    <w:p w14:paraId="2575E76B">
      <w:pPr>
        <w:rPr>
          <w:rFonts w:hint="eastAsia" w:ascii="宋体" w:hAnsi="宋体" w:cs="宋体"/>
          <w:color w:val="auto"/>
          <w:sz w:val="32"/>
          <w:szCs w:val="40"/>
          <w:highlight w:val="none"/>
        </w:rPr>
      </w:pPr>
    </w:p>
    <w:p w14:paraId="504224F5">
      <w:pPr>
        <w:pStyle w:val="3"/>
        <w:rPr>
          <w:rFonts w:hint="eastAsia" w:ascii="宋体" w:hAnsi="宋体" w:eastAsia="宋体" w:cs="宋体"/>
          <w:color w:val="auto"/>
          <w:sz w:val="44"/>
          <w:szCs w:val="44"/>
          <w:highlight w:val="none"/>
        </w:rPr>
      </w:pPr>
      <w:r>
        <w:rPr>
          <w:rFonts w:hint="eastAsia"/>
          <w:color w:val="auto"/>
          <w:highlight w:val="none"/>
        </w:rPr>
        <w:br w:type="page"/>
      </w:r>
    </w:p>
    <w:p w14:paraId="651C946F">
      <w:pPr>
        <w:spacing w:line="360" w:lineRule="auto"/>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投诉书（格式）</w:t>
      </w:r>
    </w:p>
    <w:p w14:paraId="6F8B7473">
      <w:pPr>
        <w:pStyle w:val="12"/>
        <w:snapToGrid w:val="0"/>
        <w:spacing w:line="360" w:lineRule="auto"/>
        <w:ind w:firstLine="482" w:firstLineChars="200"/>
        <w:rPr>
          <w:rFonts w:hint="eastAsia" w:hAnsi="宋体" w:cs="宋体"/>
          <w:b/>
          <w:bCs/>
          <w:color w:val="auto"/>
          <w:sz w:val="24"/>
          <w:szCs w:val="24"/>
          <w:highlight w:val="none"/>
        </w:rPr>
      </w:pPr>
      <w:r>
        <w:rPr>
          <w:rFonts w:hint="eastAsia" w:hAnsi="宋体" w:cs="宋体"/>
          <w:b/>
          <w:bCs/>
          <w:color w:val="auto"/>
          <w:sz w:val="24"/>
          <w:szCs w:val="24"/>
          <w:highlight w:val="none"/>
        </w:rPr>
        <w:t>一、投诉相关主体基本情况：</w:t>
      </w:r>
    </w:p>
    <w:p w14:paraId="3AE4B2F7">
      <w:pPr>
        <w:pStyle w:val="12"/>
        <w:snapToGrid w:val="0"/>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4FFEDF3A">
      <w:pPr>
        <w:pStyle w:val="12"/>
        <w:snapToGrid w:val="0"/>
        <w:spacing w:line="360" w:lineRule="auto"/>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9FA3F28">
      <w:pPr>
        <w:pStyle w:val="12"/>
        <w:snapToGrid w:val="0"/>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法定代表人/主要负责人：</w:t>
      </w:r>
      <w:r>
        <w:rPr>
          <w:rFonts w:hint="eastAsia" w:hAnsi="宋体" w:cs="宋体"/>
          <w:bCs/>
          <w:color w:val="auto"/>
          <w:sz w:val="24"/>
          <w:szCs w:val="24"/>
          <w:highlight w:val="none"/>
          <w:u w:val="single"/>
        </w:rPr>
        <w:t xml:space="preserve">                                                         </w:t>
      </w:r>
    </w:p>
    <w:p w14:paraId="08546F67">
      <w:pPr>
        <w:pStyle w:val="12"/>
        <w:snapToGrid w:val="0"/>
        <w:spacing w:line="360" w:lineRule="auto"/>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792D8253">
      <w:pPr>
        <w:pStyle w:val="12"/>
        <w:snapToGrid w:val="0"/>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07E4F8D0">
      <w:pPr>
        <w:pStyle w:val="12"/>
        <w:snapToGrid w:val="0"/>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0E91396E">
      <w:pPr>
        <w:pStyle w:val="12"/>
        <w:snapToGrid w:val="0"/>
        <w:spacing w:line="360" w:lineRule="auto"/>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3A6C2D58">
      <w:pPr>
        <w:pStyle w:val="12"/>
        <w:snapToGrid w:val="0"/>
        <w:spacing w:line="360" w:lineRule="auto"/>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被投诉人1：</w:t>
      </w:r>
    </w:p>
    <w:p w14:paraId="7643737D">
      <w:pPr>
        <w:pStyle w:val="12"/>
        <w:snapToGrid w:val="0"/>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0F401809">
      <w:pPr>
        <w:pStyle w:val="12"/>
        <w:snapToGrid w:val="0"/>
        <w:spacing w:line="360" w:lineRule="auto"/>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46996487">
      <w:pPr>
        <w:pStyle w:val="12"/>
        <w:snapToGrid w:val="0"/>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22905459">
      <w:pPr>
        <w:pStyle w:val="12"/>
        <w:snapToGrid w:val="0"/>
        <w:spacing w:line="360" w:lineRule="auto"/>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被投诉人2：</w:t>
      </w:r>
    </w:p>
    <w:p w14:paraId="728646CE">
      <w:pPr>
        <w:pStyle w:val="12"/>
        <w:snapToGrid w:val="0"/>
        <w:spacing w:line="360" w:lineRule="auto"/>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w:t>
      </w:r>
    </w:p>
    <w:p w14:paraId="6C3EEA28">
      <w:pPr>
        <w:pStyle w:val="12"/>
        <w:snapToGrid w:val="0"/>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相关供应商：</w:t>
      </w:r>
      <w:r>
        <w:rPr>
          <w:rFonts w:hint="eastAsia" w:hAnsi="宋体" w:cs="宋体"/>
          <w:bCs/>
          <w:color w:val="auto"/>
          <w:sz w:val="24"/>
          <w:szCs w:val="24"/>
          <w:highlight w:val="none"/>
          <w:u w:val="single"/>
        </w:rPr>
        <w:t xml:space="preserve">                                                                       </w:t>
      </w:r>
    </w:p>
    <w:p w14:paraId="3B7782AA">
      <w:pPr>
        <w:pStyle w:val="12"/>
        <w:snapToGrid w:val="0"/>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p>
    <w:p w14:paraId="04C0E2D2">
      <w:pPr>
        <w:pStyle w:val="12"/>
        <w:snapToGrid w:val="0"/>
        <w:spacing w:line="360" w:lineRule="auto"/>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65C4DBFD">
      <w:pPr>
        <w:pStyle w:val="12"/>
        <w:snapToGrid w:val="0"/>
        <w:spacing w:line="360" w:lineRule="auto"/>
        <w:ind w:firstLine="482" w:firstLineChars="200"/>
        <w:rPr>
          <w:rFonts w:hint="eastAsia" w:hAnsi="宋体" w:cs="宋体"/>
          <w:b/>
          <w:bCs/>
          <w:color w:val="auto"/>
          <w:sz w:val="24"/>
          <w:szCs w:val="24"/>
          <w:highlight w:val="none"/>
        </w:rPr>
      </w:pPr>
      <w:r>
        <w:rPr>
          <w:rFonts w:hint="eastAsia" w:hAnsi="宋体" w:cs="宋体"/>
          <w:b/>
          <w:bCs/>
          <w:color w:val="auto"/>
          <w:sz w:val="24"/>
          <w:szCs w:val="24"/>
          <w:highlight w:val="none"/>
        </w:rPr>
        <w:t>二、投诉项目基本情况：</w:t>
      </w:r>
    </w:p>
    <w:p w14:paraId="3DD124E3">
      <w:pPr>
        <w:pStyle w:val="12"/>
        <w:spacing w:line="360" w:lineRule="auto"/>
        <w:ind w:left="25" w:leftChars="12" w:firstLine="472" w:firstLineChars="197"/>
        <w:rPr>
          <w:rFonts w:hint="eastAsia"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16CE4B19">
      <w:pPr>
        <w:pStyle w:val="12"/>
        <w:spacing w:line="360" w:lineRule="auto"/>
        <w:ind w:left="25" w:leftChars="12" w:firstLine="472" w:firstLineChars="197"/>
        <w:rPr>
          <w:rFonts w:hint="eastAsia"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01F3112F">
      <w:pPr>
        <w:pStyle w:val="12"/>
        <w:spacing w:line="360" w:lineRule="auto"/>
        <w:ind w:left="25" w:leftChars="12" w:firstLine="472" w:firstLineChars="197"/>
        <w:rPr>
          <w:rFonts w:hint="eastAsia" w:hAnsi="宋体" w:cs="宋体"/>
          <w:bCs/>
          <w:color w:val="auto"/>
          <w:sz w:val="24"/>
          <w:szCs w:val="24"/>
          <w:highlight w:val="none"/>
          <w:u w:val="singl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6DDB088D">
      <w:pPr>
        <w:pStyle w:val="12"/>
        <w:spacing w:line="360" w:lineRule="auto"/>
        <w:ind w:left="25" w:leftChars="12" w:firstLine="472" w:firstLineChars="197"/>
        <w:rPr>
          <w:rFonts w:hint="eastAsia" w:hAnsi="宋体" w:cs="宋体"/>
          <w:bCs/>
          <w:color w:val="auto"/>
          <w:sz w:val="24"/>
          <w:szCs w:val="24"/>
          <w:highlight w:val="none"/>
          <w:u w:val="single"/>
        </w:rPr>
      </w:pPr>
      <w:r>
        <w:rPr>
          <w:rFonts w:hint="eastAsia" w:hAnsi="宋体" w:cs="宋体"/>
          <w:color w:val="auto"/>
          <w:sz w:val="24"/>
          <w:szCs w:val="24"/>
          <w:highlight w:val="none"/>
        </w:rPr>
        <w:t>代理机构名称：</w:t>
      </w:r>
      <w:r>
        <w:rPr>
          <w:rFonts w:hint="eastAsia" w:hAnsi="宋体" w:cs="宋体"/>
          <w:bCs/>
          <w:color w:val="auto"/>
          <w:sz w:val="24"/>
          <w:szCs w:val="24"/>
          <w:highlight w:val="none"/>
          <w:u w:val="single"/>
        </w:rPr>
        <w:t xml:space="preserve">                                                                      </w:t>
      </w:r>
    </w:p>
    <w:p w14:paraId="2A9DC891">
      <w:pPr>
        <w:pStyle w:val="12"/>
        <w:spacing w:line="360" w:lineRule="auto"/>
        <w:ind w:left="25" w:leftChars="12" w:firstLine="472" w:firstLineChars="197"/>
        <w:rPr>
          <w:rFonts w:hint="eastAsia" w:hAnsi="宋体" w:cs="宋体"/>
          <w:bCs/>
          <w:color w:val="auto"/>
          <w:sz w:val="24"/>
          <w:szCs w:val="24"/>
          <w:highlight w:val="none"/>
          <w:u w:val="single"/>
        </w:rPr>
      </w:pPr>
      <w:r>
        <w:rPr>
          <w:rFonts w:hint="eastAsia" w:hAnsi="宋体" w:cs="宋体"/>
          <w:bCs/>
          <w:color w:val="auto"/>
          <w:sz w:val="24"/>
          <w:szCs w:val="24"/>
          <w:highlight w:val="none"/>
        </w:rPr>
        <w:t>采购文件公告：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08143642">
      <w:pPr>
        <w:pStyle w:val="12"/>
        <w:spacing w:line="360" w:lineRule="auto"/>
        <w:ind w:left="25" w:leftChars="12" w:firstLine="472" w:firstLineChars="197"/>
        <w:rPr>
          <w:rFonts w:hint="eastAsia" w:hAnsi="宋体" w:cs="宋体"/>
          <w:b/>
          <w:color w:val="auto"/>
          <w:sz w:val="24"/>
          <w:szCs w:val="24"/>
          <w:highlight w:val="none"/>
        </w:rPr>
      </w:pPr>
      <w:r>
        <w:rPr>
          <w:rFonts w:hint="eastAsia" w:hAnsi="宋体" w:cs="宋体"/>
          <w:bCs/>
          <w:color w:val="auto"/>
          <w:sz w:val="24"/>
          <w:szCs w:val="24"/>
          <w:highlight w:val="none"/>
        </w:rPr>
        <w:t>采购结果公告：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49D5FA68">
      <w:pPr>
        <w:pStyle w:val="12"/>
        <w:spacing w:line="360" w:lineRule="auto"/>
        <w:ind w:left="25" w:leftChars="12" w:firstLine="472" w:firstLineChars="196"/>
        <w:rPr>
          <w:rFonts w:hint="eastAsia" w:hAnsi="宋体" w:cs="宋体"/>
          <w:b/>
          <w:color w:val="auto"/>
          <w:sz w:val="24"/>
          <w:szCs w:val="24"/>
          <w:highlight w:val="none"/>
        </w:rPr>
      </w:pPr>
      <w:r>
        <w:rPr>
          <w:rFonts w:hint="eastAsia" w:hAnsi="宋体" w:cs="宋体"/>
          <w:b/>
          <w:color w:val="auto"/>
          <w:sz w:val="24"/>
          <w:szCs w:val="24"/>
          <w:highlight w:val="none"/>
        </w:rPr>
        <w:t>三、质疑基本情况</w:t>
      </w:r>
    </w:p>
    <w:p w14:paraId="22D9C33E">
      <w:pPr>
        <w:pStyle w:val="12"/>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投诉人于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日，向</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提出质疑，质疑事项为：</w:t>
      </w:r>
    </w:p>
    <w:p w14:paraId="3BFBF045">
      <w:pPr>
        <w:pStyle w:val="12"/>
        <w:spacing w:line="360" w:lineRule="auto"/>
        <w:ind w:firstLine="241"/>
        <w:rPr>
          <w:rFonts w:hint="eastAsia" w:hAnsi="宋体" w:cs="宋体"/>
          <w:bCs/>
          <w:color w:val="auto"/>
          <w:sz w:val="24"/>
          <w:szCs w:val="24"/>
          <w:highlight w:val="none"/>
          <w:u w:val="single"/>
        </w:rPr>
      </w:pP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48545D6A">
      <w:pPr>
        <w:pStyle w:val="12"/>
        <w:spacing w:line="360" w:lineRule="auto"/>
        <w:ind w:firstLine="241"/>
        <w:rPr>
          <w:rFonts w:hint="eastAsia"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17CCA9B0">
      <w:pPr>
        <w:pStyle w:val="12"/>
        <w:spacing w:line="360" w:lineRule="auto"/>
        <w:ind w:firstLine="480" w:firstLineChars="200"/>
        <w:rPr>
          <w:rFonts w:hint="eastAsia" w:hAnsi="宋体" w:cs="宋体"/>
          <w:color w:val="auto"/>
          <w:sz w:val="24"/>
          <w:szCs w:val="24"/>
          <w:highlight w:val="none"/>
        </w:rPr>
      </w:pPr>
      <w:r>
        <w:rPr>
          <w:rFonts w:hint="eastAsia" w:hAnsi="宋体" w:cs="宋体"/>
          <w:bCs/>
          <w:color w:val="auto"/>
          <w:sz w:val="24"/>
          <w:szCs w:val="24"/>
          <w:highlight w:val="none"/>
          <w:u w:val="single"/>
        </w:rPr>
        <w:t>采购人/代理机构</w:t>
      </w:r>
      <w:r>
        <w:rPr>
          <w:rFonts w:hint="eastAsia" w:hAnsi="宋体" w:cs="宋体"/>
          <w:bCs/>
          <w:color w:val="auto"/>
          <w:sz w:val="24"/>
          <w:szCs w:val="24"/>
          <w:highlight w:val="none"/>
        </w:rPr>
        <w:t>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w:t>
      </w:r>
      <w:r>
        <w:rPr>
          <w:rFonts w:hint="eastAsia" w:hAnsi="宋体" w:cs="宋体"/>
          <w:bCs/>
          <w:color w:val="auto"/>
          <w:sz w:val="24"/>
          <w:szCs w:val="24"/>
          <w:highlight w:val="none"/>
        </w:rPr>
        <w:t xml:space="preserve">就质疑事项作出了答复/没有在法定期限内作出答复。                                                                                             </w:t>
      </w:r>
    </w:p>
    <w:p w14:paraId="0BD7D463">
      <w:pPr>
        <w:pStyle w:val="12"/>
        <w:spacing w:line="360" w:lineRule="auto"/>
        <w:ind w:left="25" w:leftChars="12" w:firstLine="472" w:firstLineChars="196"/>
        <w:rPr>
          <w:rFonts w:hint="eastAsia" w:hAnsi="宋体" w:cs="宋体"/>
          <w:b/>
          <w:color w:val="auto"/>
          <w:sz w:val="24"/>
          <w:szCs w:val="24"/>
          <w:highlight w:val="none"/>
        </w:rPr>
      </w:pPr>
      <w:r>
        <w:rPr>
          <w:rFonts w:hint="eastAsia" w:hAnsi="宋体" w:cs="宋体"/>
          <w:b/>
          <w:color w:val="auto"/>
          <w:sz w:val="24"/>
          <w:szCs w:val="24"/>
          <w:highlight w:val="none"/>
        </w:rPr>
        <w:t>四、投诉事项具体内容</w:t>
      </w:r>
    </w:p>
    <w:p w14:paraId="5946B8A9">
      <w:pPr>
        <w:pStyle w:val="12"/>
        <w:spacing w:line="360" w:lineRule="auto"/>
        <w:ind w:left="25" w:leftChars="12" w:firstLine="472" w:firstLineChars="197"/>
        <w:rPr>
          <w:rFonts w:hint="eastAsia" w:hAnsi="宋体" w:cs="宋体"/>
          <w:bCs/>
          <w:color w:val="auto"/>
          <w:sz w:val="24"/>
          <w:szCs w:val="24"/>
          <w:highlight w:val="none"/>
          <w:u w:val="single"/>
        </w:rPr>
      </w:pPr>
      <w:r>
        <w:rPr>
          <w:rFonts w:hint="eastAsia" w:hAnsi="宋体" w:cs="宋体"/>
          <w:color w:val="auto"/>
          <w:sz w:val="24"/>
          <w:szCs w:val="24"/>
          <w:highlight w:val="none"/>
        </w:rPr>
        <w:t>投诉事项1：</w:t>
      </w:r>
      <w:r>
        <w:rPr>
          <w:rFonts w:hint="eastAsia" w:hAnsi="宋体" w:cs="宋体"/>
          <w:bCs/>
          <w:color w:val="auto"/>
          <w:sz w:val="24"/>
          <w:szCs w:val="24"/>
          <w:highlight w:val="none"/>
          <w:u w:val="single"/>
        </w:rPr>
        <w:t xml:space="preserve">                                                                           </w:t>
      </w:r>
    </w:p>
    <w:p w14:paraId="20B9A5AF">
      <w:pPr>
        <w:pStyle w:val="12"/>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事实依据：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5598B9CC">
      <w:pPr>
        <w:pStyle w:val="12"/>
        <w:spacing w:line="360" w:lineRule="auto"/>
        <w:ind w:left="25" w:leftChars="12" w:firstLine="472" w:firstLineChars="197"/>
        <w:rPr>
          <w:rFonts w:hint="eastAsia" w:hAnsi="宋体" w:cs="宋体"/>
          <w:color w:val="auto"/>
          <w:sz w:val="24"/>
          <w:szCs w:val="24"/>
          <w:highlight w:val="none"/>
        </w:rPr>
      </w:pPr>
      <w:r>
        <w:rPr>
          <w:rFonts w:hint="eastAsia" w:hAnsi="宋体" w:cs="宋体"/>
          <w:bCs/>
          <w:color w:val="auto"/>
          <w:sz w:val="24"/>
          <w:szCs w:val="24"/>
          <w:highlight w:val="none"/>
          <w:u w:val="single"/>
        </w:rPr>
        <w:t xml:space="preserve">                                                                                        </w:t>
      </w:r>
    </w:p>
    <w:p w14:paraId="2B592FE4">
      <w:pPr>
        <w:pStyle w:val="12"/>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rPr>
        <w:t>法律依据：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769A0FAF">
      <w:pPr>
        <w:pStyle w:val="12"/>
        <w:spacing w:line="360" w:lineRule="auto"/>
        <w:ind w:left="25" w:leftChars="12" w:firstLine="352" w:firstLineChars="147"/>
        <w:rPr>
          <w:rFonts w:hint="eastAsia"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0A9EB534">
      <w:pPr>
        <w:pStyle w:val="12"/>
        <w:spacing w:line="360" w:lineRule="auto"/>
        <w:ind w:left="25" w:leftChars="12" w:firstLine="472" w:firstLineChars="197"/>
        <w:rPr>
          <w:rFonts w:hint="eastAsia" w:hAnsi="宋体" w:cs="宋体"/>
          <w:bCs/>
          <w:color w:val="auto"/>
          <w:sz w:val="24"/>
          <w:szCs w:val="24"/>
          <w:highlight w:val="none"/>
        </w:rPr>
      </w:pPr>
      <w:r>
        <w:rPr>
          <w:rFonts w:hint="eastAsia" w:hAnsi="宋体" w:cs="宋体"/>
          <w:color w:val="auto"/>
          <w:sz w:val="24"/>
          <w:szCs w:val="24"/>
          <w:highlight w:val="none"/>
        </w:rPr>
        <w:t xml:space="preserve">投诉事项2  </w:t>
      </w:r>
      <w:r>
        <w:rPr>
          <w:rFonts w:hint="eastAsia" w:hAnsi="宋体" w:cs="宋体"/>
          <w:bCs/>
          <w:color w:val="auto"/>
          <w:sz w:val="24"/>
          <w:szCs w:val="24"/>
          <w:highlight w:val="none"/>
        </w:rPr>
        <w:t xml:space="preserve">   </w:t>
      </w:r>
    </w:p>
    <w:p w14:paraId="3D3BD09E">
      <w:pPr>
        <w:pStyle w:val="12"/>
        <w:spacing w:line="360" w:lineRule="auto"/>
        <w:ind w:left="25" w:leftChars="12" w:firstLine="472" w:firstLineChars="197"/>
        <w:rPr>
          <w:rFonts w:hint="eastAsia" w:hAnsi="宋体" w:cs="宋体"/>
          <w:bCs/>
          <w:color w:val="auto"/>
          <w:sz w:val="24"/>
          <w:szCs w:val="24"/>
          <w:highlight w:val="none"/>
        </w:rPr>
      </w:pPr>
      <w:r>
        <w:rPr>
          <w:rFonts w:hint="eastAsia" w:hAnsi="宋体" w:cs="宋体"/>
          <w:bCs/>
          <w:color w:val="auto"/>
          <w:sz w:val="24"/>
          <w:szCs w:val="24"/>
          <w:highlight w:val="none"/>
        </w:rPr>
        <w:t>……</w:t>
      </w:r>
    </w:p>
    <w:p w14:paraId="767CC205">
      <w:pPr>
        <w:pStyle w:val="12"/>
        <w:spacing w:line="360" w:lineRule="auto"/>
        <w:ind w:left="25" w:leftChars="12" w:firstLine="472" w:firstLineChars="196"/>
        <w:rPr>
          <w:rFonts w:hint="eastAsia" w:hAnsi="宋体" w:cs="宋体"/>
          <w:b/>
          <w:color w:val="auto"/>
          <w:sz w:val="24"/>
          <w:szCs w:val="24"/>
          <w:highlight w:val="none"/>
        </w:rPr>
      </w:pPr>
      <w:r>
        <w:rPr>
          <w:rFonts w:hint="eastAsia" w:hAnsi="宋体" w:cs="宋体"/>
          <w:b/>
          <w:color w:val="auto"/>
          <w:sz w:val="24"/>
          <w:szCs w:val="24"/>
          <w:highlight w:val="none"/>
        </w:rPr>
        <w:t>五、与投诉事项相关的投诉请求：</w:t>
      </w:r>
    </w:p>
    <w:p w14:paraId="5DA8DCBC">
      <w:pPr>
        <w:pStyle w:val="12"/>
        <w:spacing w:line="360" w:lineRule="auto"/>
        <w:ind w:left="25" w:leftChars="12" w:firstLine="472" w:firstLineChars="197"/>
        <w:rPr>
          <w:rFonts w:hint="eastAsia"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61EC9373">
      <w:pPr>
        <w:pStyle w:val="12"/>
        <w:spacing w:line="360" w:lineRule="auto"/>
        <w:ind w:left="25" w:leftChars="12" w:firstLine="472" w:firstLineChars="197"/>
        <w:rPr>
          <w:rFonts w:hint="eastAsia" w:hAnsi="宋体" w:cs="宋体"/>
          <w:color w:val="auto"/>
          <w:sz w:val="24"/>
          <w:szCs w:val="24"/>
          <w:highlight w:val="none"/>
        </w:rPr>
      </w:pPr>
      <w:r>
        <w:rPr>
          <w:rFonts w:hint="eastAsia" w:hAnsi="宋体" w:cs="宋体"/>
          <w:color w:val="auto"/>
          <w:sz w:val="24"/>
          <w:szCs w:val="24"/>
          <w:highlight w:val="none"/>
        </w:rPr>
        <w:t>签字（</w:t>
      </w:r>
      <w:r>
        <w:rPr>
          <w:rFonts w:hint="eastAsia" w:hAnsi="宋体" w:cs="宋体"/>
          <w:color w:val="auto"/>
          <w:sz w:val="24"/>
          <w:szCs w:val="24"/>
          <w:highlight w:val="none"/>
          <w:lang w:eastAsia="zh-CN"/>
        </w:rPr>
        <w:t>签</w:t>
      </w:r>
      <w:r>
        <w:rPr>
          <w:rFonts w:hint="eastAsia" w:hAnsi="宋体" w:cs="宋体"/>
          <w:color w:val="auto"/>
          <w:sz w:val="24"/>
          <w:szCs w:val="24"/>
          <w:highlight w:val="none"/>
        </w:rPr>
        <w:t>章）：                                       公章：</w:t>
      </w:r>
    </w:p>
    <w:p w14:paraId="2DCAA638">
      <w:pPr>
        <w:pStyle w:val="12"/>
        <w:spacing w:line="360" w:lineRule="auto"/>
        <w:ind w:left="25" w:leftChars="12" w:firstLine="472" w:firstLineChars="197"/>
        <w:rPr>
          <w:rFonts w:hint="eastAsia" w:hAnsi="宋体" w:cs="宋体"/>
          <w:color w:val="auto"/>
          <w:sz w:val="24"/>
          <w:szCs w:val="24"/>
          <w:highlight w:val="none"/>
        </w:rPr>
      </w:pPr>
      <w:r>
        <w:rPr>
          <w:rFonts w:hint="eastAsia" w:hAnsi="宋体" w:cs="宋体"/>
          <w:color w:val="auto"/>
          <w:sz w:val="24"/>
          <w:szCs w:val="24"/>
          <w:highlight w:val="none"/>
        </w:rPr>
        <w:t>日期：</w:t>
      </w:r>
    </w:p>
    <w:p w14:paraId="76BD6EEF">
      <w:pPr>
        <w:pStyle w:val="12"/>
        <w:spacing w:line="360" w:lineRule="auto"/>
        <w:ind w:left="25" w:leftChars="12" w:firstLine="472" w:firstLineChars="197"/>
        <w:rPr>
          <w:rFonts w:hint="eastAsia" w:hAnsi="宋体" w:cs="宋体"/>
          <w:b/>
          <w:color w:val="auto"/>
          <w:sz w:val="24"/>
          <w:szCs w:val="24"/>
          <w:highlight w:val="none"/>
        </w:rPr>
      </w:pPr>
      <w:r>
        <w:rPr>
          <w:rFonts w:hint="eastAsia" w:hAnsi="宋体" w:cs="宋体"/>
          <w:bCs/>
          <w:color w:val="auto"/>
          <w:sz w:val="24"/>
          <w:szCs w:val="24"/>
          <w:highlight w:val="none"/>
        </w:rPr>
        <w:t xml:space="preserve">                                                                                 </w:t>
      </w:r>
    </w:p>
    <w:p w14:paraId="1FB22788">
      <w:pPr>
        <w:pStyle w:val="12"/>
        <w:snapToGrid w:val="0"/>
        <w:spacing w:line="360" w:lineRule="auto"/>
        <w:rPr>
          <w:rFonts w:hint="eastAsia" w:hAnsi="宋体" w:cs="宋体"/>
          <w:b/>
          <w:color w:val="auto"/>
          <w:sz w:val="24"/>
          <w:szCs w:val="24"/>
          <w:highlight w:val="none"/>
        </w:rPr>
      </w:pPr>
      <w:r>
        <w:rPr>
          <w:rFonts w:hint="eastAsia" w:hAnsi="宋体" w:cs="宋体"/>
          <w:b/>
          <w:color w:val="auto"/>
          <w:sz w:val="24"/>
          <w:szCs w:val="24"/>
          <w:highlight w:val="none"/>
        </w:rPr>
        <w:t>说明：</w:t>
      </w:r>
    </w:p>
    <w:p w14:paraId="2AB2CE53">
      <w:pPr>
        <w:pStyle w:val="12"/>
        <w:spacing w:line="360" w:lineRule="auto"/>
        <w:ind w:left="25" w:leftChars="12" w:firstLine="354" w:firstLineChars="147"/>
        <w:rPr>
          <w:rFonts w:hint="eastAsia" w:hAnsi="宋体" w:cs="宋体"/>
          <w:b/>
          <w:bCs/>
          <w:color w:val="auto"/>
          <w:sz w:val="24"/>
          <w:szCs w:val="24"/>
          <w:highlight w:val="none"/>
        </w:rPr>
      </w:pPr>
      <w:r>
        <w:rPr>
          <w:rFonts w:hint="eastAsia" w:hAnsi="宋体" w:cs="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cs="宋体"/>
          <w:b/>
          <w:bCs/>
          <w:color w:val="auto"/>
          <w:sz w:val="24"/>
          <w:szCs w:val="24"/>
          <w:highlight w:val="none"/>
        </w:rPr>
        <w:t>。</w:t>
      </w:r>
    </w:p>
    <w:p w14:paraId="37891F06">
      <w:pPr>
        <w:pStyle w:val="12"/>
        <w:spacing w:line="360" w:lineRule="auto"/>
        <w:ind w:left="25" w:leftChars="12" w:firstLine="354" w:firstLineChars="147"/>
        <w:rPr>
          <w:rFonts w:hint="eastAsia" w:hAnsi="宋体" w:cs="宋体"/>
          <w:b/>
          <w:color w:val="auto"/>
          <w:sz w:val="24"/>
          <w:szCs w:val="24"/>
          <w:highlight w:val="none"/>
        </w:rPr>
      </w:pPr>
      <w:r>
        <w:rPr>
          <w:rFonts w:hint="eastAsia" w:hAnsi="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7102A62A">
      <w:pPr>
        <w:pStyle w:val="12"/>
        <w:spacing w:line="360" w:lineRule="auto"/>
        <w:ind w:left="25" w:leftChars="12" w:firstLine="354" w:firstLineChars="147"/>
        <w:rPr>
          <w:rFonts w:hint="eastAsia" w:hAnsi="宋体" w:cs="宋体"/>
          <w:b/>
          <w:color w:val="auto"/>
          <w:sz w:val="24"/>
          <w:szCs w:val="24"/>
          <w:highlight w:val="none"/>
        </w:rPr>
      </w:pPr>
      <w:r>
        <w:rPr>
          <w:rFonts w:hint="eastAsia" w:hAnsi="宋体" w:cs="宋体"/>
          <w:b/>
          <w:color w:val="auto"/>
          <w:sz w:val="24"/>
          <w:szCs w:val="24"/>
          <w:highlight w:val="none"/>
        </w:rPr>
        <w:t>3.投诉书应简要列明质疑事项，质疑函、质疑答复等作为附件材料提供。</w:t>
      </w:r>
    </w:p>
    <w:p w14:paraId="7ABED086">
      <w:pPr>
        <w:pStyle w:val="12"/>
        <w:spacing w:line="360" w:lineRule="auto"/>
        <w:ind w:left="25" w:leftChars="12" w:firstLine="354" w:firstLineChars="147"/>
        <w:rPr>
          <w:rFonts w:hint="eastAsia" w:hAnsi="宋体" w:cs="宋体"/>
          <w:b/>
          <w:color w:val="auto"/>
          <w:sz w:val="24"/>
          <w:szCs w:val="24"/>
          <w:highlight w:val="none"/>
        </w:rPr>
      </w:pPr>
      <w:r>
        <w:rPr>
          <w:rFonts w:hint="eastAsia" w:hAnsi="宋体" w:cs="宋体"/>
          <w:b/>
          <w:color w:val="auto"/>
          <w:sz w:val="24"/>
          <w:szCs w:val="24"/>
          <w:highlight w:val="none"/>
        </w:rPr>
        <w:t>4.投诉书的投诉事项应具体、明确，并有必要的事实依据和法律依据。</w:t>
      </w:r>
    </w:p>
    <w:p w14:paraId="53307A38">
      <w:pPr>
        <w:pStyle w:val="12"/>
        <w:spacing w:line="360" w:lineRule="auto"/>
        <w:ind w:left="25" w:leftChars="12" w:firstLine="354" w:firstLineChars="147"/>
        <w:rPr>
          <w:rFonts w:hint="eastAsia" w:hAnsi="宋体" w:cs="宋体"/>
          <w:b/>
          <w:color w:val="auto"/>
          <w:sz w:val="24"/>
          <w:szCs w:val="24"/>
          <w:highlight w:val="none"/>
        </w:rPr>
      </w:pPr>
      <w:r>
        <w:rPr>
          <w:rFonts w:hint="eastAsia" w:hAnsi="宋体" w:cs="宋体"/>
          <w:b/>
          <w:color w:val="auto"/>
          <w:sz w:val="24"/>
          <w:szCs w:val="24"/>
          <w:highlight w:val="none"/>
        </w:rPr>
        <w:t>5.投诉书的投诉请求应与投诉事项相关。</w:t>
      </w:r>
    </w:p>
    <w:p w14:paraId="4A0B5DEF">
      <w:pPr>
        <w:pStyle w:val="12"/>
        <w:spacing w:line="360" w:lineRule="auto"/>
        <w:ind w:left="25" w:leftChars="12" w:firstLine="354" w:firstLineChars="147"/>
        <w:rPr>
          <w:rFonts w:hint="eastAsia" w:hAnsi="宋体" w:cs="宋体"/>
          <w:b/>
          <w:color w:val="auto"/>
          <w:highlight w:val="none"/>
        </w:rPr>
      </w:pPr>
      <w:r>
        <w:rPr>
          <w:rFonts w:hint="eastAsia" w:hAnsi="宋体" w:cs="宋体"/>
          <w:b/>
          <w:color w:val="auto"/>
          <w:sz w:val="24"/>
          <w:szCs w:val="24"/>
          <w:highlight w:val="none"/>
        </w:rPr>
        <w:t>6.投诉人为法人或者其他组织的，投诉书应由法定代表人、主要负责人，或者其授权代表签字或者盖章，并加盖公章。</w:t>
      </w:r>
    </w:p>
    <w:p w14:paraId="4CC04383">
      <w:pPr>
        <w:spacing w:line="520" w:lineRule="exact"/>
        <w:jc w:val="center"/>
        <w:rPr>
          <w:rFonts w:hint="eastAsia" w:ascii="宋体" w:hAnsi="宋体" w:cs="宋体"/>
          <w:color w:val="auto"/>
          <w:sz w:val="32"/>
          <w:szCs w:val="32"/>
          <w:highlight w:val="none"/>
        </w:rPr>
      </w:pPr>
    </w:p>
    <w:p w14:paraId="60EE56B8">
      <w:pPr>
        <w:pStyle w:val="2"/>
        <w:spacing w:line="520" w:lineRule="exact"/>
        <w:jc w:val="center"/>
        <w:rPr>
          <w:rFonts w:hint="eastAsia" w:ascii="宋体" w:hAnsi="宋体" w:cs="宋体"/>
          <w:color w:val="auto"/>
          <w:highlight w:val="none"/>
        </w:rPr>
      </w:pPr>
      <w:bookmarkStart w:id="49" w:name="_Toc11528"/>
      <w:r>
        <w:rPr>
          <w:rFonts w:hint="eastAsia" w:ascii="宋体" w:hAnsi="宋体" w:cs="宋体"/>
          <w:color w:val="auto"/>
          <w:highlight w:val="none"/>
        </w:rPr>
        <w:t>第六章 合同文本</w:t>
      </w:r>
      <w:bookmarkEnd w:id="49"/>
    </w:p>
    <w:p w14:paraId="101B317E">
      <w:pPr>
        <w:spacing w:line="520" w:lineRule="exact"/>
        <w:jc w:val="center"/>
        <w:rPr>
          <w:rFonts w:hint="eastAsia" w:ascii="宋体" w:hAnsi="宋体" w:cs="宋体"/>
          <w:color w:val="auto"/>
          <w:sz w:val="32"/>
          <w:szCs w:val="32"/>
          <w:highlight w:val="none"/>
        </w:rPr>
      </w:pPr>
    </w:p>
    <w:p w14:paraId="2FB3D836">
      <w:pPr>
        <w:snapToGrid w:val="0"/>
        <w:spacing w:line="380" w:lineRule="exact"/>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广西壮族自治区政府采购合同（格式）</w:t>
      </w:r>
    </w:p>
    <w:p w14:paraId="2B9DBBA8">
      <w:pPr>
        <w:pStyle w:val="23"/>
        <w:rPr>
          <w:rFonts w:hint="eastAsia" w:ascii="宋体" w:hAnsi="宋体" w:cs="宋体"/>
          <w:color w:val="auto"/>
          <w:highlight w:val="none"/>
        </w:rPr>
      </w:pPr>
    </w:p>
    <w:p w14:paraId="1CC85881">
      <w:pPr>
        <w:spacing w:line="360" w:lineRule="auto"/>
        <w:ind w:right="800"/>
        <w:rPr>
          <w:rFonts w:hint="eastAsia" w:ascii="宋体" w:hAnsi="宋体" w:cs="宋体"/>
          <w:bCs/>
          <w:color w:val="auto"/>
          <w:szCs w:val="21"/>
          <w:highlight w:val="none"/>
          <w:u w:val="single"/>
        </w:rPr>
      </w:pPr>
      <w:r>
        <w:rPr>
          <w:rFonts w:hint="eastAsia" w:ascii="宋体" w:hAnsi="宋体" w:cs="宋体"/>
          <w:color w:val="auto"/>
          <w:szCs w:val="21"/>
          <w:highlight w:val="none"/>
        </w:rPr>
        <w:t>采购计划号：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bCs/>
          <w:color w:val="auto"/>
          <w:szCs w:val="21"/>
          <w:highlight w:val="none"/>
        </w:rPr>
        <w:t>合同编号：</w:t>
      </w:r>
      <w:r>
        <w:rPr>
          <w:rFonts w:hint="eastAsia" w:ascii="宋体" w:hAnsi="宋体" w:cs="宋体"/>
          <w:color w:val="auto"/>
          <w:szCs w:val="21"/>
          <w:highlight w:val="none"/>
          <w:u w:val="single"/>
        </w:rPr>
        <w:t xml:space="preserve">                  </w:t>
      </w:r>
    </w:p>
    <w:p w14:paraId="0D9DBB3A">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采购人（甲方）：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供应商（乙方）：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0B0CB849">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项目编号：</w:t>
      </w:r>
      <w:r>
        <w:rPr>
          <w:rFonts w:hint="eastAsia" w:ascii="宋体" w:hAnsi="宋体" w:cs="宋体"/>
          <w:color w:val="auto"/>
          <w:szCs w:val="21"/>
          <w:highlight w:val="none"/>
          <w:u w:val="single"/>
        </w:rPr>
        <w:t xml:space="preserve">                          </w:t>
      </w:r>
    </w:p>
    <w:p w14:paraId="4E5EE180">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签订地点：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签订时间：</w:t>
      </w:r>
      <w:r>
        <w:rPr>
          <w:rFonts w:hint="eastAsia" w:ascii="宋体" w:hAnsi="宋体" w:cs="宋体"/>
          <w:color w:val="auto"/>
          <w:szCs w:val="21"/>
          <w:highlight w:val="none"/>
          <w:u w:val="single"/>
        </w:rPr>
        <w:t xml:space="preserve">                        </w:t>
      </w:r>
    </w:p>
    <w:p w14:paraId="09C20F0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本合同为中小企业预留合同：</w:t>
      </w:r>
      <w:r>
        <w:rPr>
          <w:rFonts w:hint="eastAsia" w:ascii="宋体" w:hAnsi="宋体" w:cs="宋体"/>
          <w:color w:val="auto"/>
          <w:szCs w:val="21"/>
          <w:highlight w:val="none"/>
          <w:u w:val="single"/>
        </w:rPr>
        <w:t>（是/否）</w:t>
      </w:r>
      <w:r>
        <w:rPr>
          <w:rFonts w:hint="eastAsia" w:ascii="宋体" w:hAnsi="宋体" w:cs="宋体"/>
          <w:color w:val="auto"/>
          <w:szCs w:val="21"/>
          <w:highlight w:val="none"/>
        </w:rPr>
        <w:t>。</w:t>
      </w:r>
    </w:p>
    <w:p w14:paraId="55A9642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根据《中华人民共和国政府采购法》、《中华人民共和国民法典》等法律、法规规定，按照采购文件规定条款和乙方响应文件及其承诺，甲乙双方签订本合同。</w:t>
      </w:r>
    </w:p>
    <w:p w14:paraId="2C48AD3D">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第一条　合同标的</w:t>
      </w:r>
    </w:p>
    <w:p w14:paraId="1768CC7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1、项目一览表</w:t>
      </w:r>
    </w:p>
    <w:tbl>
      <w:tblPr>
        <w:tblStyle w:val="16"/>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993"/>
        <w:gridCol w:w="1975"/>
        <w:gridCol w:w="965"/>
        <w:gridCol w:w="1200"/>
        <w:gridCol w:w="2507"/>
      </w:tblGrid>
      <w:tr w14:paraId="583D8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59BA81D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993" w:type="dxa"/>
            <w:tcBorders>
              <w:top w:val="single" w:color="auto" w:sz="4" w:space="0"/>
              <w:left w:val="single" w:color="auto" w:sz="4" w:space="0"/>
              <w:bottom w:val="single" w:color="auto" w:sz="4" w:space="0"/>
              <w:right w:val="single" w:color="auto" w:sz="4" w:space="0"/>
            </w:tcBorders>
            <w:noWrap w:val="0"/>
            <w:vAlign w:val="center"/>
          </w:tcPr>
          <w:p w14:paraId="38F3653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服务名称</w:t>
            </w:r>
          </w:p>
        </w:tc>
        <w:tc>
          <w:tcPr>
            <w:tcW w:w="1975" w:type="dxa"/>
            <w:tcBorders>
              <w:top w:val="single" w:color="auto" w:sz="4" w:space="0"/>
              <w:left w:val="single" w:color="auto" w:sz="4" w:space="0"/>
              <w:bottom w:val="single" w:color="auto" w:sz="4" w:space="0"/>
              <w:right w:val="single" w:color="auto" w:sz="4" w:space="0"/>
            </w:tcBorders>
            <w:noWrap w:val="0"/>
            <w:vAlign w:val="center"/>
          </w:tcPr>
          <w:p w14:paraId="06AC68C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标的内容</w:t>
            </w:r>
          </w:p>
        </w:tc>
        <w:tc>
          <w:tcPr>
            <w:tcW w:w="965" w:type="dxa"/>
            <w:tcBorders>
              <w:top w:val="single" w:color="auto" w:sz="4" w:space="0"/>
              <w:left w:val="single" w:color="auto" w:sz="4" w:space="0"/>
              <w:bottom w:val="single" w:color="auto" w:sz="4" w:space="0"/>
              <w:right w:val="single" w:color="auto" w:sz="4" w:space="0"/>
            </w:tcBorders>
            <w:noWrap w:val="0"/>
            <w:vAlign w:val="center"/>
          </w:tcPr>
          <w:p w14:paraId="2B1BE39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1B925E6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单位</w:t>
            </w:r>
          </w:p>
        </w:tc>
        <w:tc>
          <w:tcPr>
            <w:tcW w:w="2507" w:type="dxa"/>
            <w:tcBorders>
              <w:top w:val="single" w:color="auto" w:sz="4" w:space="0"/>
              <w:left w:val="single" w:color="auto" w:sz="4" w:space="0"/>
              <w:bottom w:val="single" w:color="auto" w:sz="4" w:space="0"/>
              <w:right w:val="single" w:color="auto" w:sz="4" w:space="0"/>
            </w:tcBorders>
            <w:noWrap w:val="0"/>
            <w:vAlign w:val="center"/>
          </w:tcPr>
          <w:p w14:paraId="02D264F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折扣系数</w:t>
            </w:r>
          </w:p>
        </w:tc>
      </w:tr>
      <w:tr w14:paraId="5387B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5D4A5A61">
            <w:pPr>
              <w:spacing w:line="360" w:lineRule="auto"/>
              <w:jc w:val="center"/>
              <w:rPr>
                <w:rFonts w:hint="eastAsia" w:ascii="宋体" w:hAnsi="宋体" w:cs="宋体"/>
                <w:color w:val="auto"/>
                <w:szCs w:val="21"/>
                <w:highlight w:val="none"/>
              </w:rPr>
            </w:pPr>
          </w:p>
        </w:tc>
        <w:tc>
          <w:tcPr>
            <w:tcW w:w="1993" w:type="dxa"/>
            <w:tcBorders>
              <w:top w:val="single" w:color="auto" w:sz="4" w:space="0"/>
              <w:left w:val="single" w:color="auto" w:sz="4" w:space="0"/>
              <w:bottom w:val="single" w:color="auto" w:sz="4" w:space="0"/>
              <w:right w:val="single" w:color="auto" w:sz="4" w:space="0"/>
            </w:tcBorders>
            <w:noWrap w:val="0"/>
            <w:vAlign w:val="center"/>
          </w:tcPr>
          <w:p w14:paraId="16F08B26">
            <w:pPr>
              <w:spacing w:line="360" w:lineRule="auto"/>
              <w:jc w:val="center"/>
              <w:rPr>
                <w:rFonts w:hint="eastAsia" w:ascii="宋体" w:hAnsi="宋体" w:cs="宋体"/>
                <w:color w:val="auto"/>
                <w:szCs w:val="21"/>
                <w:highlight w:val="none"/>
              </w:rPr>
            </w:pPr>
          </w:p>
        </w:tc>
        <w:tc>
          <w:tcPr>
            <w:tcW w:w="1975" w:type="dxa"/>
            <w:tcBorders>
              <w:top w:val="single" w:color="auto" w:sz="4" w:space="0"/>
              <w:left w:val="single" w:color="auto" w:sz="4" w:space="0"/>
              <w:bottom w:val="single" w:color="auto" w:sz="4" w:space="0"/>
              <w:right w:val="single" w:color="auto" w:sz="4" w:space="0"/>
            </w:tcBorders>
            <w:noWrap w:val="0"/>
            <w:vAlign w:val="center"/>
          </w:tcPr>
          <w:p w14:paraId="1E005B7E">
            <w:pPr>
              <w:spacing w:line="360" w:lineRule="auto"/>
              <w:jc w:val="center"/>
              <w:rPr>
                <w:rFonts w:hint="eastAsia" w:ascii="宋体" w:hAnsi="宋体" w:cs="宋体"/>
                <w:color w:val="auto"/>
                <w:szCs w:val="21"/>
                <w:highlight w:val="none"/>
              </w:rPr>
            </w:pPr>
          </w:p>
        </w:tc>
        <w:tc>
          <w:tcPr>
            <w:tcW w:w="965" w:type="dxa"/>
            <w:tcBorders>
              <w:top w:val="single" w:color="auto" w:sz="4" w:space="0"/>
              <w:left w:val="single" w:color="auto" w:sz="4" w:space="0"/>
              <w:bottom w:val="single" w:color="auto" w:sz="4" w:space="0"/>
              <w:right w:val="single" w:color="auto" w:sz="4" w:space="0"/>
            </w:tcBorders>
            <w:noWrap w:val="0"/>
            <w:vAlign w:val="center"/>
          </w:tcPr>
          <w:p w14:paraId="25202ED2">
            <w:pPr>
              <w:spacing w:line="360" w:lineRule="auto"/>
              <w:jc w:val="center"/>
              <w:rPr>
                <w:rFonts w:hint="eastAsia" w:ascii="宋体" w:hAnsi="宋体" w:cs="宋体"/>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7A8DE59B">
            <w:pPr>
              <w:spacing w:line="360" w:lineRule="auto"/>
              <w:jc w:val="center"/>
              <w:rPr>
                <w:rFonts w:hint="eastAsia" w:ascii="宋体" w:hAnsi="宋体" w:cs="宋体"/>
                <w:color w:val="auto"/>
                <w:szCs w:val="21"/>
                <w:highlight w:val="none"/>
              </w:rPr>
            </w:pPr>
          </w:p>
        </w:tc>
        <w:tc>
          <w:tcPr>
            <w:tcW w:w="2507" w:type="dxa"/>
            <w:tcBorders>
              <w:top w:val="single" w:color="auto" w:sz="4" w:space="0"/>
              <w:left w:val="single" w:color="auto" w:sz="4" w:space="0"/>
              <w:bottom w:val="single" w:color="auto" w:sz="4" w:space="0"/>
              <w:right w:val="single" w:color="auto" w:sz="4" w:space="0"/>
            </w:tcBorders>
            <w:noWrap w:val="0"/>
            <w:vAlign w:val="center"/>
          </w:tcPr>
          <w:p w14:paraId="76A2F8F5">
            <w:pPr>
              <w:spacing w:line="360" w:lineRule="auto"/>
              <w:jc w:val="center"/>
              <w:rPr>
                <w:rFonts w:hint="eastAsia" w:ascii="宋体" w:hAnsi="宋体" w:cs="宋体"/>
                <w:color w:val="auto"/>
                <w:szCs w:val="21"/>
                <w:highlight w:val="none"/>
              </w:rPr>
            </w:pPr>
          </w:p>
        </w:tc>
      </w:tr>
      <w:tr w14:paraId="696A0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6"/>
            <w:tcBorders>
              <w:top w:val="single" w:color="auto" w:sz="4" w:space="0"/>
              <w:left w:val="single" w:color="auto" w:sz="4" w:space="0"/>
              <w:bottom w:val="single" w:color="auto" w:sz="4" w:space="0"/>
              <w:right w:val="single" w:color="auto" w:sz="4" w:space="0"/>
            </w:tcBorders>
            <w:noWrap w:val="0"/>
            <w:vAlign w:val="center"/>
          </w:tcPr>
          <w:p w14:paraId="0B3A99A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详见开标一览表</w:t>
            </w:r>
          </w:p>
        </w:tc>
      </w:tr>
    </w:tbl>
    <w:p w14:paraId="38644146">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、供货价格须包含品种的成本、运输、装卸、搬运、保险、利润、税金、质保期售后服务、雇员费、合同实施过程中的应预见和或不可预见等费用总和。所产生的费用由中标人负责。</w:t>
      </w:r>
    </w:p>
    <w:p w14:paraId="1A722122">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 xml:space="preserve">、供应价格确定标准：采购人及学校采购代表根据原料市场价格情况在贵港市区如华隆、永盛等大型超市经过调查得出的市场批发均价设定为 X，签订的合同折扣率设定为Y%，则原料供货单价为 X×Y%（例如：市场批发均价 X＝100 元，合同折扣率 Y%=97%，原料供货单价=100×0.97＝97 元），不认可该供货价的投标人视为自动放弃中标权利，由下一中标候选人递补。 </w:t>
      </w:r>
    </w:p>
    <w:p w14:paraId="0E076313">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、学校能自主采购的商品种类及数量，由学校的实际需要决定，同时受上级的有关政策影响，因此采购金额是预估值，仅供参考，不能作为学校承诺的最低采购数量看待。</w:t>
      </w:r>
    </w:p>
    <w:p w14:paraId="295A5D4D">
      <w:pPr>
        <w:spacing w:line="360" w:lineRule="auto"/>
        <w:rPr>
          <w:rFonts w:hint="eastAsia"/>
          <w:color w:val="auto"/>
          <w:highlight w:val="yellow"/>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、不论竞标结果如何，竞标人均应自行承担所有与竞标有关的全部费用。</w:t>
      </w:r>
    </w:p>
    <w:p w14:paraId="47D51601">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第二条　质量保证</w:t>
      </w:r>
    </w:p>
    <w:p w14:paraId="196B9E56">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1、乙方供应的食材或货物必须达到国家标准；乙方提供食材或货物样本，并提供相应主管部门出具的有效产品合格证件（检验报告）等，经甲方确认，按样本供货。</w:t>
      </w:r>
    </w:p>
    <w:p w14:paraId="240FCA1A">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2、乙方成交前未购买食品安全责任保险的，在签订合同后一个月内必须到相关的保险公司进行投保，投保险种为食品安全责任保险，否则甲方有权终止合同。</w:t>
      </w:r>
    </w:p>
    <w:p w14:paraId="2CEA7020">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3、甲方负责定期或不定期组织市场监管、卫健委等部门进行食品质量卫生监督检查，以确保所供食材或货物质量。</w:t>
      </w:r>
    </w:p>
    <w:p w14:paraId="13AD8452">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第三条　权利保证</w:t>
      </w:r>
    </w:p>
    <w:p w14:paraId="5EEAE009">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1、乙方应保证所提供服务在使用时不会侵犯任何第三方的专利权、商标权、工业设计权等知识产权及其他合法权利，且所有权、处分权等没有受到任何限制。</w:t>
      </w:r>
    </w:p>
    <w:p w14:paraId="4139E726">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318C08DD">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第四条　交付和验收</w:t>
      </w:r>
    </w:p>
    <w:p w14:paraId="1E2B0C8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1、服务期限：</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；服务地点：</w:t>
      </w:r>
      <w:r>
        <w:rPr>
          <w:rFonts w:hint="eastAsia" w:ascii="宋体" w:hAnsi="宋体" w:cs="宋体"/>
          <w:color w:val="auto"/>
          <w:szCs w:val="21"/>
          <w:highlight w:val="none"/>
          <w:u w:val="single"/>
        </w:rPr>
        <w:t xml:space="preserve"> 甲方指定地点 </w:t>
      </w:r>
      <w:r>
        <w:rPr>
          <w:rFonts w:hint="eastAsia" w:ascii="宋体" w:hAnsi="宋体" w:cs="宋体"/>
          <w:color w:val="auto"/>
          <w:szCs w:val="21"/>
          <w:highlight w:val="none"/>
        </w:rPr>
        <w:t>；交货方式：一般供货要求：</w:t>
      </w:r>
      <w:r>
        <w:rPr>
          <w:rFonts w:hint="eastAsia" w:ascii="宋体" w:hAnsi="宋体" w:cs="宋体"/>
          <w:color w:val="auto"/>
          <w:szCs w:val="21"/>
          <w:highlight w:val="none"/>
          <w:u w:val="single"/>
        </w:rPr>
        <w:t>甲方提前一周向乙方预订货物的品种和数量，乙方按甲方所报的数量并按原提供的食材或货物样本按时、按要求送到甲方指定的地点，运费及装卸费由乙方承担</w:t>
      </w:r>
      <w:r>
        <w:rPr>
          <w:rFonts w:hint="eastAsia" w:ascii="宋体" w:hAnsi="宋体" w:cs="宋体"/>
          <w:color w:val="auto"/>
          <w:szCs w:val="21"/>
          <w:highlight w:val="none"/>
        </w:rPr>
        <w:t>。</w:t>
      </w:r>
    </w:p>
    <w:p w14:paraId="1C883FF5">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2、乙方应按响应文件的承诺向甲方提供相应的服务，并提供所服务内容的相关技术资料。</w:t>
      </w:r>
    </w:p>
    <w:p w14:paraId="610EB12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3、乙方提供不符合响应文件和本合同规定的服务成果，甲方有权拒绝接受。</w:t>
      </w:r>
    </w:p>
    <w:p w14:paraId="15F9B95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乙方完成服务后应及时书面通知甲方进行验收，甲方应在收到通知后七个工作日内进行验收，逾期不开始验收的，乙方可视同验收合格。验收合格后由甲乙双方签署验收单并加盖甲方公章，甲乙双方各执一份。</w:t>
      </w:r>
    </w:p>
    <w:p w14:paraId="3A199AC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5、甲乙双方应按照《广西壮族自治区政府采购项目履约验收管理办法》、双方合同、响应文件验收。</w:t>
      </w:r>
    </w:p>
    <w:p w14:paraId="3570472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6、甲方在初步验收或者最终验收过程中如发现乙方提供的服务成果不满足响应文件及本合同规定的，可暂缓向乙方付款，直到乙方及时完善并提交相应的服务成果且经甲方验收合格后，方可办理付款。</w:t>
      </w:r>
    </w:p>
    <w:p w14:paraId="46FF785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7、甲方验收时以书面形式提出异议的，乙方应自收到甲方书面异议后五个工作日内及时予以解决，否则甲方有权不出具服务验收合格单。</w:t>
      </w:r>
    </w:p>
    <w:p w14:paraId="60364C19">
      <w:pPr>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第五条  售后服务及培训</w:t>
      </w:r>
    </w:p>
    <w:p w14:paraId="657AEF81">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1、乙方应按照国家有关法律法规和本合同所附的《服务响应表》要求为甲方提供相应的售后服务。</w:t>
      </w:r>
    </w:p>
    <w:p w14:paraId="41A2114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2、甲方应提供必要测试条件（如场地、电源、水源等）。</w:t>
      </w:r>
    </w:p>
    <w:p w14:paraId="18F1283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3、乙方负责甲方有关人员的培训。培训时间、地点：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2087BE7D">
      <w:pPr>
        <w:snapToGrid w:val="0"/>
        <w:spacing w:line="360" w:lineRule="auto"/>
        <w:ind w:firstLine="422" w:firstLineChars="200"/>
        <w:rPr>
          <w:rFonts w:hint="eastAsia" w:ascii="宋体" w:hAnsi="宋体" w:cs="宋体"/>
          <w:color w:val="auto"/>
          <w:szCs w:val="21"/>
          <w:highlight w:val="none"/>
          <w:u w:val="single"/>
        </w:rPr>
      </w:pPr>
      <w:r>
        <w:rPr>
          <w:rFonts w:hint="eastAsia" w:ascii="宋体" w:hAnsi="宋体" w:cs="宋体"/>
          <w:b/>
          <w:color w:val="auto"/>
          <w:szCs w:val="21"/>
          <w:highlight w:val="none"/>
        </w:rPr>
        <w:t>第六条　付款方式</w:t>
      </w:r>
    </w:p>
    <w:p w14:paraId="57227472">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一般情况下采购人按月进行结算，采购资金由采购人财务账户转入中标供应商账户。每月25日前，中标供应商向采购人开具上一月度供货相应数额的发票（农副产品免税的除外），采购人收到发票后30个工作日内支付。特殊情况，需临时改变结算方式，双方可通过协商解决。</w:t>
      </w:r>
    </w:p>
    <w:p w14:paraId="2E9CBBDB">
      <w:pPr>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第七条　履约保证金</w:t>
      </w:r>
    </w:p>
    <w:p w14:paraId="1B5A8D4C">
      <w:pPr>
        <w:spacing w:line="360" w:lineRule="auto"/>
        <w:ind w:firstLine="210" w:firstLineChars="100"/>
        <w:rPr>
          <w:rFonts w:hint="eastAsia" w:ascii="宋体" w:hAnsi="宋体" w:cs="宋体"/>
          <w:color w:val="auto"/>
          <w:highlight w:val="none"/>
        </w:rPr>
      </w:pPr>
      <w:r>
        <w:rPr>
          <w:rFonts w:hint="eastAsia" w:ascii="宋体" w:hAnsi="宋体" w:cs="宋体"/>
          <w:color w:val="auto"/>
          <w:highlight w:val="none"/>
        </w:rPr>
        <w:t>履约保证金金额：采购预算金额的2%。</w:t>
      </w:r>
    </w:p>
    <w:p w14:paraId="14880CC0">
      <w:pPr>
        <w:spacing w:line="360" w:lineRule="auto"/>
        <w:ind w:firstLine="210" w:firstLineChars="100"/>
        <w:rPr>
          <w:rFonts w:hint="eastAsia" w:ascii="宋体" w:hAnsi="宋体" w:cs="宋体"/>
          <w:color w:val="auto"/>
          <w:highlight w:val="none"/>
        </w:rPr>
      </w:pPr>
      <w:r>
        <w:rPr>
          <w:rFonts w:hint="eastAsia" w:ascii="宋体" w:hAnsi="宋体" w:cs="宋体"/>
          <w:color w:val="auto"/>
          <w:highlight w:val="none"/>
        </w:rPr>
        <w:t>履约保证金递交方式：银行转账、支票、汇票、本票等非现金方式。</w:t>
      </w:r>
    </w:p>
    <w:p w14:paraId="782C6271">
      <w:pPr>
        <w:spacing w:line="360" w:lineRule="auto"/>
        <w:ind w:firstLine="210" w:firstLineChars="100"/>
        <w:rPr>
          <w:rFonts w:hint="eastAsia" w:ascii="宋体" w:hAnsi="宋体" w:cs="宋体"/>
          <w:color w:val="auto"/>
          <w:highlight w:val="none"/>
        </w:rPr>
      </w:pPr>
      <w:r>
        <w:rPr>
          <w:rFonts w:hint="eastAsia" w:ascii="宋体" w:hAnsi="宋体" w:cs="宋体"/>
          <w:color w:val="auto"/>
          <w:highlight w:val="none"/>
        </w:rPr>
        <w:t>履约保证金退付方式、时间及条件：</w:t>
      </w:r>
    </w:p>
    <w:p w14:paraId="484F1DF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合同签订前，乙方按采购预算金额的2%向甲方指定账户交纳履约保证金。乙方按照合同要求完成服务工作，合同期满，经甲方验收合格后，履约保证金全额退回（不计利息）。</w:t>
      </w:r>
    </w:p>
    <w:p w14:paraId="6D1DFDD3">
      <w:pPr>
        <w:pStyle w:val="12"/>
        <w:spacing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履约保证金指定账户：</w:t>
      </w:r>
    </w:p>
    <w:p w14:paraId="7948245C">
      <w:pPr>
        <w:pStyle w:val="12"/>
        <w:spacing w:line="360" w:lineRule="auto"/>
        <w:ind w:firstLine="420" w:firstLineChars="200"/>
        <w:contextualSpacing/>
        <w:rPr>
          <w:rFonts w:hint="eastAsia" w:hAnsi="宋体" w:cs="宋体"/>
          <w:color w:val="auto"/>
          <w:sz w:val="21"/>
          <w:highlight w:val="none"/>
          <w:lang w:eastAsia="zh-CN"/>
        </w:rPr>
      </w:pPr>
      <w:r>
        <w:rPr>
          <w:rFonts w:hint="eastAsia" w:hAnsi="宋体" w:cs="宋体"/>
          <w:color w:val="auto"/>
          <w:sz w:val="21"/>
          <w:highlight w:val="none"/>
        </w:rPr>
        <w:t>账户全称：</w:t>
      </w:r>
      <w:r>
        <w:rPr>
          <w:rFonts w:hint="eastAsia" w:hAnsi="宋体" w:cs="宋体"/>
          <w:color w:val="auto"/>
          <w:sz w:val="21"/>
          <w:highlight w:val="none"/>
          <w:lang w:val="en-US" w:eastAsia="zh-CN"/>
        </w:rPr>
        <w:t xml:space="preserve"> </w:t>
      </w:r>
    </w:p>
    <w:p w14:paraId="419E5D2D">
      <w:pPr>
        <w:pStyle w:val="12"/>
        <w:spacing w:line="360" w:lineRule="auto"/>
        <w:ind w:firstLine="420" w:firstLineChars="200"/>
        <w:contextualSpacing/>
        <w:rPr>
          <w:rFonts w:hint="eastAsia" w:hAnsi="宋体" w:cs="宋体"/>
          <w:color w:val="auto"/>
          <w:sz w:val="21"/>
          <w:highlight w:val="none"/>
          <w:lang w:eastAsia="zh-CN"/>
        </w:rPr>
      </w:pPr>
      <w:r>
        <w:rPr>
          <w:rFonts w:hint="eastAsia" w:hAnsi="宋体" w:cs="宋体"/>
          <w:color w:val="auto"/>
          <w:sz w:val="21"/>
          <w:highlight w:val="none"/>
        </w:rPr>
        <w:t>账  号：</w:t>
      </w:r>
      <w:r>
        <w:rPr>
          <w:rFonts w:hint="eastAsia" w:hAnsi="宋体" w:cs="宋体"/>
          <w:color w:val="auto"/>
          <w:sz w:val="21"/>
          <w:highlight w:val="none"/>
          <w:lang w:val="en-US" w:eastAsia="zh-CN"/>
        </w:rPr>
        <w:t xml:space="preserve"> </w:t>
      </w:r>
    </w:p>
    <w:p w14:paraId="6CAF43E9">
      <w:pPr>
        <w:pStyle w:val="12"/>
        <w:spacing w:line="360" w:lineRule="auto"/>
        <w:ind w:firstLine="420" w:firstLineChars="200"/>
        <w:contextualSpacing/>
        <w:rPr>
          <w:rFonts w:hint="eastAsia" w:hAnsi="宋体" w:cs="宋体"/>
          <w:color w:val="auto"/>
          <w:highlight w:val="none"/>
        </w:rPr>
      </w:pPr>
      <w:r>
        <w:rPr>
          <w:rFonts w:hint="eastAsia" w:hAnsi="宋体" w:cs="宋体"/>
          <w:color w:val="auto"/>
          <w:sz w:val="21"/>
          <w:highlight w:val="none"/>
        </w:rPr>
        <w:t>开户行：</w:t>
      </w:r>
      <w:r>
        <w:rPr>
          <w:rFonts w:hint="eastAsia" w:hAnsi="宋体" w:cs="宋体"/>
          <w:color w:val="auto"/>
          <w:sz w:val="21"/>
          <w:highlight w:val="none"/>
          <w:lang w:val="en-US" w:eastAsia="zh-CN"/>
        </w:rPr>
        <w:t xml:space="preserve"> </w:t>
      </w:r>
    </w:p>
    <w:p w14:paraId="7C906120">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第八条  税费</w:t>
      </w:r>
    </w:p>
    <w:p w14:paraId="56B05C8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本合同执行中相关的一切税费均由乙方负担，合同另有约定的除外。</w:t>
      </w:r>
    </w:p>
    <w:p w14:paraId="40B22ABB">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第九条　违约责任</w:t>
      </w:r>
    </w:p>
    <w:p w14:paraId="06521478">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1、因食用乙方提供的食材或货物而中毒的；</w:t>
      </w:r>
    </w:p>
    <w:p w14:paraId="51DE354D">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2、不按时或拒不交货的；</w:t>
      </w:r>
    </w:p>
    <w:p w14:paraId="26B3B058">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3、供应的食材或货物不对样本，并经有关部门检验证实不达国家标准以上，乙方又不同意退换的；</w:t>
      </w:r>
    </w:p>
    <w:p w14:paraId="6E2C770B">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4、因违法经营被市场监管、税务、卫健委等部门处罚的；</w:t>
      </w:r>
    </w:p>
    <w:p w14:paraId="46CB57BF">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第十条  不可抗力事件处理</w:t>
      </w:r>
    </w:p>
    <w:p w14:paraId="33FC189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1、在合同有效期内，任何一方因不可抗力事件导致不能履行合同，则合同履行期可延长，其延长期与不可抗力影响期相同。</w:t>
      </w:r>
    </w:p>
    <w:p w14:paraId="3ED7333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2、不可抗力事件发生后，应立即通知对方，并寄送有关权威机构出具的证明。</w:t>
      </w:r>
    </w:p>
    <w:p w14:paraId="2889466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3、不可抗力事件延续一百二十天以上，双方应通过友好协商，确定是否继续履行合同。</w:t>
      </w:r>
    </w:p>
    <w:p w14:paraId="4D27A5CC">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第十一条  合同争议解决</w:t>
      </w:r>
    </w:p>
    <w:p w14:paraId="5555350D">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1、因服务质量问题发生争议的，应邀请国家认可的质量检测机构进行鉴定。服务符合标准的，鉴定费由甲方承担；服务不符合标准的，鉴定费由乙方承担。</w:t>
      </w:r>
    </w:p>
    <w:p w14:paraId="1104F9E0">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2、因履行本合同引起的或者与本合同有关的争议，甲乙双方应首先通过友好协商解决，如果协商不能解决，可向甲方所在地有管辖权的人民法院提起诉讼。</w:t>
      </w:r>
    </w:p>
    <w:p w14:paraId="57A2FBCF">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3、诉讼期间，本合同继续履行。</w:t>
      </w:r>
    </w:p>
    <w:p w14:paraId="4902F294">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第十二条  合同生效及其它</w:t>
      </w:r>
    </w:p>
    <w:p w14:paraId="1D0A58F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1、合同经双方法定代表人或者授权代表签字并加盖单位公章后生效（委托代理人签字的需后附授权委托书，格式自拟）。</w:t>
      </w:r>
    </w:p>
    <w:p w14:paraId="07B2824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2、合同执行中涉及采购资金和采购内容修改或者补充的，须经监督部门审批，并签书面补充协议报监督部门备案，方可作为主合同不可分割的一部分。</w:t>
      </w:r>
    </w:p>
    <w:p w14:paraId="1DD7175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3、本合同未尽事宜，遵照《中华人民共和国民法典》有关条文执行。</w:t>
      </w:r>
    </w:p>
    <w:p w14:paraId="6C654C01">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第十三条　合同的变更、终止与转让</w:t>
      </w:r>
    </w:p>
    <w:p w14:paraId="64D9069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1、除《中华人民共和国政府采购法》第五十条规定的情形外，本合同一经签订，甲乙双方不得擅自变更、中止或者终止。</w:t>
      </w:r>
    </w:p>
    <w:p w14:paraId="21256DC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2、乙方不得擅自转让其应履行的合同义务。</w:t>
      </w:r>
    </w:p>
    <w:p w14:paraId="0A51EA88">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第十四条　签订本合同依据</w:t>
      </w:r>
    </w:p>
    <w:p w14:paraId="68A75BE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1、成交通知书；</w:t>
      </w:r>
    </w:p>
    <w:p w14:paraId="2226E99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2、开标一览表；</w:t>
      </w:r>
    </w:p>
    <w:p w14:paraId="642E111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3、技术要求响应偏离表和商务要求响应偏离表；</w:t>
      </w:r>
    </w:p>
    <w:p w14:paraId="23496BF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4、技术服务方案；</w:t>
      </w:r>
    </w:p>
    <w:p w14:paraId="69B3602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5、响应文件中的其他相关文件。</w:t>
      </w:r>
    </w:p>
    <w:p w14:paraId="37131F0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6、上述合同文件互相补充和解释。如果合同文件之间存在矛盾或者不一致之处，以上述文件的排列顺序在先者为准。</w:t>
      </w:r>
    </w:p>
    <w:p w14:paraId="0A9348E1">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第十五条　</w:t>
      </w:r>
      <w:r>
        <w:rPr>
          <w:rFonts w:hint="eastAsia" w:ascii="宋体" w:hAnsi="宋体" w:cs="宋体"/>
          <w:color w:val="auto"/>
          <w:szCs w:val="21"/>
          <w:highlight w:val="none"/>
        </w:rPr>
        <w:t>本合同一式四份，具有同等法律效力甲乙双方各二份（可根据需要另增加）。</w:t>
      </w:r>
    </w:p>
    <w:p w14:paraId="343561F1">
      <w:pPr>
        <w:spacing w:line="360" w:lineRule="auto"/>
        <w:ind w:firstLine="420" w:firstLineChars="200"/>
        <w:rPr>
          <w:rFonts w:ascii="宋体" w:hAnsi="宋体" w:cs="宋体"/>
          <w:color w:val="auto"/>
          <w:szCs w:val="21"/>
          <w:highlight w:val="none"/>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323E8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noWrap w:val="0"/>
            <w:vAlign w:val="center"/>
          </w:tcPr>
          <w:p w14:paraId="2DE15BB3">
            <w:pPr>
              <w:snapToGrid w:val="0"/>
              <w:spacing w:line="360" w:lineRule="auto"/>
              <w:rPr>
                <w:rFonts w:ascii="宋体" w:hAnsi="宋体"/>
                <w:color w:val="auto"/>
                <w:szCs w:val="21"/>
                <w:highlight w:val="none"/>
              </w:rPr>
            </w:pPr>
            <w:r>
              <w:rPr>
                <w:rFonts w:hint="eastAsia" w:ascii="宋体" w:hAnsi="宋体"/>
                <w:color w:val="auto"/>
                <w:szCs w:val="21"/>
                <w:highlight w:val="none"/>
              </w:rPr>
              <w:t xml:space="preserve">甲方（章）           </w:t>
            </w:r>
          </w:p>
          <w:p w14:paraId="3684B80B">
            <w:pPr>
              <w:snapToGrid w:val="0"/>
              <w:spacing w:line="360" w:lineRule="auto"/>
              <w:rPr>
                <w:rFonts w:ascii="宋体" w:hAnsi="宋体"/>
                <w:color w:val="auto"/>
                <w:szCs w:val="21"/>
                <w:highlight w:val="none"/>
              </w:rPr>
            </w:pPr>
          </w:p>
          <w:p w14:paraId="080225C1">
            <w:pPr>
              <w:snapToGrid w:val="0"/>
              <w:spacing w:line="360" w:lineRule="auto"/>
              <w:ind w:firstLine="945" w:firstLineChars="450"/>
              <w:jc w:val="right"/>
              <w:rPr>
                <w:rFonts w:ascii="宋体" w:hAnsi="宋体"/>
                <w:color w:val="auto"/>
                <w:szCs w:val="21"/>
                <w:highlight w:val="none"/>
              </w:rPr>
            </w:pPr>
            <w:r>
              <w:rPr>
                <w:rFonts w:hint="eastAsia" w:ascii="宋体" w:hAnsi="宋体"/>
                <w:color w:val="auto"/>
                <w:szCs w:val="21"/>
                <w:highlight w:val="none"/>
              </w:rPr>
              <w:t>年   月   日</w:t>
            </w:r>
          </w:p>
        </w:tc>
        <w:tc>
          <w:tcPr>
            <w:tcW w:w="4517" w:type="dxa"/>
            <w:noWrap w:val="0"/>
            <w:vAlign w:val="center"/>
          </w:tcPr>
          <w:p w14:paraId="1FA5F2D3">
            <w:pPr>
              <w:snapToGrid w:val="0"/>
              <w:spacing w:line="360" w:lineRule="auto"/>
              <w:rPr>
                <w:rFonts w:ascii="宋体" w:hAnsi="宋体"/>
                <w:color w:val="auto"/>
                <w:szCs w:val="21"/>
                <w:highlight w:val="none"/>
              </w:rPr>
            </w:pPr>
            <w:r>
              <w:rPr>
                <w:rFonts w:hint="eastAsia" w:ascii="宋体" w:hAnsi="宋体"/>
                <w:color w:val="auto"/>
                <w:szCs w:val="21"/>
                <w:highlight w:val="none"/>
              </w:rPr>
              <w:t xml:space="preserve">乙方（章）              </w:t>
            </w:r>
          </w:p>
          <w:p w14:paraId="78AC507B">
            <w:pPr>
              <w:snapToGrid w:val="0"/>
              <w:spacing w:line="360" w:lineRule="auto"/>
              <w:rPr>
                <w:rFonts w:ascii="宋体" w:hAnsi="宋体"/>
                <w:color w:val="auto"/>
                <w:szCs w:val="21"/>
                <w:highlight w:val="none"/>
              </w:rPr>
            </w:pPr>
          </w:p>
          <w:p w14:paraId="3E36E141">
            <w:pPr>
              <w:snapToGrid w:val="0"/>
              <w:spacing w:line="360" w:lineRule="auto"/>
              <w:jc w:val="right"/>
              <w:rPr>
                <w:rFonts w:ascii="宋体" w:hAnsi="宋体"/>
                <w:color w:val="auto"/>
                <w:szCs w:val="21"/>
                <w:highlight w:val="none"/>
              </w:rPr>
            </w:pPr>
            <w:r>
              <w:rPr>
                <w:rFonts w:hint="eastAsia" w:ascii="宋体" w:hAnsi="宋体"/>
                <w:color w:val="auto"/>
                <w:szCs w:val="21"/>
                <w:highlight w:val="none"/>
              </w:rPr>
              <w:t xml:space="preserve"> 年   月   日</w:t>
            </w:r>
          </w:p>
        </w:tc>
      </w:tr>
      <w:tr w14:paraId="6846D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16" w:type="dxa"/>
            <w:noWrap w:val="0"/>
            <w:vAlign w:val="center"/>
          </w:tcPr>
          <w:p w14:paraId="67C99055">
            <w:pPr>
              <w:snapToGrid w:val="0"/>
              <w:spacing w:line="360" w:lineRule="auto"/>
              <w:rPr>
                <w:rFonts w:ascii="宋体" w:hAnsi="宋体"/>
                <w:color w:val="auto"/>
                <w:szCs w:val="21"/>
                <w:highlight w:val="none"/>
              </w:rPr>
            </w:pPr>
            <w:r>
              <w:rPr>
                <w:rFonts w:hint="eastAsia" w:ascii="宋体" w:hAnsi="宋体"/>
                <w:color w:val="auto"/>
                <w:szCs w:val="21"/>
                <w:highlight w:val="none"/>
              </w:rPr>
              <w:t>单位地址：</w:t>
            </w:r>
          </w:p>
        </w:tc>
        <w:tc>
          <w:tcPr>
            <w:tcW w:w="4517" w:type="dxa"/>
            <w:noWrap w:val="0"/>
            <w:vAlign w:val="center"/>
          </w:tcPr>
          <w:p w14:paraId="7A72799C">
            <w:pPr>
              <w:snapToGrid w:val="0"/>
              <w:spacing w:line="360" w:lineRule="auto"/>
              <w:rPr>
                <w:rFonts w:ascii="宋体" w:hAnsi="宋体"/>
                <w:color w:val="auto"/>
                <w:szCs w:val="21"/>
                <w:highlight w:val="none"/>
              </w:rPr>
            </w:pPr>
            <w:r>
              <w:rPr>
                <w:rFonts w:hint="eastAsia" w:ascii="宋体" w:hAnsi="宋体"/>
                <w:color w:val="auto"/>
                <w:szCs w:val="21"/>
                <w:highlight w:val="none"/>
              </w:rPr>
              <w:t>单位地址：</w:t>
            </w:r>
          </w:p>
        </w:tc>
      </w:tr>
      <w:tr w14:paraId="2916B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4516" w:type="dxa"/>
            <w:noWrap w:val="0"/>
            <w:vAlign w:val="top"/>
          </w:tcPr>
          <w:p w14:paraId="750C6D4F">
            <w:pPr>
              <w:snapToGrid w:val="0"/>
              <w:spacing w:line="360" w:lineRule="auto"/>
              <w:rPr>
                <w:rFonts w:ascii="宋体" w:hAnsi="宋体"/>
                <w:color w:val="auto"/>
                <w:szCs w:val="21"/>
                <w:highlight w:val="none"/>
              </w:rPr>
            </w:pPr>
            <w:r>
              <w:rPr>
                <w:rFonts w:hint="eastAsia" w:ascii="宋体" w:hAnsi="宋体"/>
                <w:color w:val="auto"/>
                <w:szCs w:val="21"/>
                <w:highlight w:val="none"/>
              </w:rPr>
              <w:t>法定代表人或者委托代理人：</w:t>
            </w:r>
          </w:p>
        </w:tc>
        <w:tc>
          <w:tcPr>
            <w:tcW w:w="4517" w:type="dxa"/>
            <w:noWrap w:val="0"/>
            <w:vAlign w:val="top"/>
          </w:tcPr>
          <w:p w14:paraId="280C532E">
            <w:pPr>
              <w:snapToGrid w:val="0"/>
              <w:spacing w:line="360" w:lineRule="auto"/>
              <w:rPr>
                <w:rFonts w:ascii="宋体" w:hAnsi="宋体"/>
                <w:color w:val="auto"/>
                <w:szCs w:val="21"/>
                <w:highlight w:val="none"/>
              </w:rPr>
            </w:pPr>
            <w:r>
              <w:rPr>
                <w:rFonts w:hint="eastAsia" w:ascii="宋体" w:hAnsi="宋体"/>
                <w:color w:val="auto"/>
                <w:szCs w:val="21"/>
                <w:highlight w:val="none"/>
              </w:rPr>
              <w:t>法定代表人或者委托代理人：</w:t>
            </w:r>
          </w:p>
        </w:tc>
      </w:tr>
      <w:tr w14:paraId="5B652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4516" w:type="dxa"/>
            <w:noWrap w:val="0"/>
            <w:vAlign w:val="center"/>
          </w:tcPr>
          <w:p w14:paraId="1A3C1D52">
            <w:pPr>
              <w:snapToGrid w:val="0"/>
              <w:spacing w:line="360" w:lineRule="auto"/>
              <w:rPr>
                <w:rFonts w:ascii="宋体" w:hAnsi="宋体"/>
                <w:color w:val="auto"/>
                <w:szCs w:val="21"/>
                <w:highlight w:val="none"/>
              </w:rPr>
            </w:pPr>
            <w:r>
              <w:rPr>
                <w:rFonts w:hint="eastAsia" w:ascii="宋体" w:hAnsi="宋体"/>
                <w:color w:val="auto"/>
                <w:szCs w:val="21"/>
                <w:highlight w:val="none"/>
              </w:rPr>
              <w:t>电话：</w:t>
            </w:r>
          </w:p>
        </w:tc>
        <w:tc>
          <w:tcPr>
            <w:tcW w:w="4517" w:type="dxa"/>
            <w:noWrap w:val="0"/>
            <w:vAlign w:val="center"/>
          </w:tcPr>
          <w:p w14:paraId="6CD7F800">
            <w:pPr>
              <w:snapToGrid w:val="0"/>
              <w:spacing w:line="360" w:lineRule="auto"/>
              <w:rPr>
                <w:rFonts w:ascii="宋体" w:hAnsi="宋体"/>
                <w:color w:val="auto"/>
                <w:szCs w:val="21"/>
                <w:highlight w:val="none"/>
              </w:rPr>
            </w:pPr>
            <w:r>
              <w:rPr>
                <w:rFonts w:hint="eastAsia" w:ascii="宋体" w:hAnsi="宋体"/>
                <w:color w:val="auto"/>
                <w:szCs w:val="21"/>
                <w:highlight w:val="none"/>
              </w:rPr>
              <w:t>电话：</w:t>
            </w:r>
          </w:p>
        </w:tc>
      </w:tr>
      <w:tr w14:paraId="5D23E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4516" w:type="dxa"/>
            <w:noWrap w:val="0"/>
            <w:vAlign w:val="center"/>
          </w:tcPr>
          <w:p w14:paraId="529B8378">
            <w:pPr>
              <w:snapToGrid w:val="0"/>
              <w:spacing w:line="360" w:lineRule="auto"/>
              <w:rPr>
                <w:rFonts w:ascii="宋体" w:hAnsi="宋体"/>
                <w:color w:val="auto"/>
                <w:szCs w:val="21"/>
                <w:highlight w:val="none"/>
              </w:rPr>
            </w:pPr>
            <w:r>
              <w:rPr>
                <w:rFonts w:hint="eastAsia" w:ascii="宋体" w:hAnsi="宋体"/>
                <w:color w:val="auto"/>
                <w:szCs w:val="21"/>
                <w:highlight w:val="none"/>
              </w:rPr>
              <w:t>电子邮箱：</w:t>
            </w:r>
          </w:p>
        </w:tc>
        <w:tc>
          <w:tcPr>
            <w:tcW w:w="4517" w:type="dxa"/>
            <w:noWrap w:val="0"/>
            <w:vAlign w:val="center"/>
          </w:tcPr>
          <w:p w14:paraId="36A7570E">
            <w:pPr>
              <w:snapToGrid w:val="0"/>
              <w:spacing w:line="360" w:lineRule="auto"/>
              <w:rPr>
                <w:rFonts w:ascii="宋体" w:hAnsi="宋体"/>
                <w:color w:val="auto"/>
                <w:szCs w:val="21"/>
                <w:highlight w:val="none"/>
              </w:rPr>
            </w:pPr>
            <w:r>
              <w:rPr>
                <w:rFonts w:hint="eastAsia" w:ascii="宋体" w:hAnsi="宋体"/>
                <w:color w:val="auto"/>
                <w:szCs w:val="21"/>
                <w:highlight w:val="none"/>
              </w:rPr>
              <w:t>电子邮箱：</w:t>
            </w:r>
          </w:p>
        </w:tc>
      </w:tr>
      <w:tr w14:paraId="0044A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noWrap w:val="0"/>
            <w:vAlign w:val="center"/>
          </w:tcPr>
          <w:p w14:paraId="1AD45438">
            <w:pPr>
              <w:snapToGrid w:val="0"/>
              <w:spacing w:line="360" w:lineRule="auto"/>
              <w:rPr>
                <w:rFonts w:ascii="宋体" w:hAnsi="宋体"/>
                <w:color w:val="auto"/>
                <w:szCs w:val="21"/>
                <w:highlight w:val="none"/>
              </w:rPr>
            </w:pPr>
            <w:r>
              <w:rPr>
                <w:rFonts w:hint="eastAsia" w:ascii="宋体" w:hAnsi="宋体"/>
                <w:color w:val="auto"/>
                <w:szCs w:val="21"/>
                <w:highlight w:val="none"/>
              </w:rPr>
              <w:t>开户银行：</w:t>
            </w:r>
          </w:p>
        </w:tc>
        <w:tc>
          <w:tcPr>
            <w:tcW w:w="4517" w:type="dxa"/>
            <w:noWrap w:val="0"/>
            <w:vAlign w:val="center"/>
          </w:tcPr>
          <w:p w14:paraId="376CA085">
            <w:pPr>
              <w:snapToGrid w:val="0"/>
              <w:spacing w:line="360" w:lineRule="auto"/>
              <w:rPr>
                <w:rFonts w:ascii="宋体" w:hAnsi="宋体"/>
                <w:color w:val="auto"/>
                <w:szCs w:val="21"/>
                <w:highlight w:val="none"/>
              </w:rPr>
            </w:pPr>
            <w:r>
              <w:rPr>
                <w:rFonts w:hint="eastAsia" w:ascii="宋体" w:hAnsi="宋体"/>
                <w:color w:val="auto"/>
                <w:szCs w:val="21"/>
                <w:highlight w:val="none"/>
              </w:rPr>
              <w:t>开户银行：</w:t>
            </w:r>
          </w:p>
        </w:tc>
      </w:tr>
      <w:tr w14:paraId="78931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4516" w:type="dxa"/>
            <w:noWrap w:val="0"/>
            <w:vAlign w:val="center"/>
          </w:tcPr>
          <w:p w14:paraId="7B17719C">
            <w:pPr>
              <w:snapToGrid w:val="0"/>
              <w:spacing w:line="360" w:lineRule="auto"/>
              <w:rPr>
                <w:rFonts w:ascii="宋体" w:hAnsi="宋体"/>
                <w:color w:val="auto"/>
                <w:szCs w:val="21"/>
                <w:highlight w:val="none"/>
              </w:rPr>
            </w:pPr>
            <w:r>
              <w:rPr>
                <w:rFonts w:hint="eastAsia" w:ascii="宋体" w:hAnsi="宋体"/>
                <w:color w:val="auto"/>
                <w:szCs w:val="21"/>
                <w:highlight w:val="none"/>
              </w:rPr>
              <w:t>账号：</w:t>
            </w:r>
          </w:p>
        </w:tc>
        <w:tc>
          <w:tcPr>
            <w:tcW w:w="4517" w:type="dxa"/>
            <w:noWrap w:val="0"/>
            <w:vAlign w:val="center"/>
          </w:tcPr>
          <w:p w14:paraId="64DFC5E6">
            <w:pPr>
              <w:snapToGrid w:val="0"/>
              <w:spacing w:line="360" w:lineRule="auto"/>
              <w:rPr>
                <w:rFonts w:ascii="宋体" w:hAnsi="宋体"/>
                <w:color w:val="auto"/>
                <w:szCs w:val="21"/>
                <w:highlight w:val="none"/>
              </w:rPr>
            </w:pPr>
            <w:r>
              <w:rPr>
                <w:rFonts w:hint="eastAsia" w:ascii="宋体" w:hAnsi="宋体"/>
                <w:color w:val="auto"/>
                <w:szCs w:val="21"/>
                <w:highlight w:val="none"/>
              </w:rPr>
              <w:t>账号：</w:t>
            </w:r>
          </w:p>
        </w:tc>
      </w:tr>
      <w:tr w14:paraId="02508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noWrap w:val="0"/>
            <w:vAlign w:val="center"/>
          </w:tcPr>
          <w:p w14:paraId="6C484E5F">
            <w:pPr>
              <w:snapToGrid w:val="0"/>
              <w:spacing w:line="360" w:lineRule="auto"/>
              <w:rPr>
                <w:rFonts w:ascii="宋体" w:hAnsi="宋体"/>
                <w:color w:val="auto"/>
                <w:szCs w:val="21"/>
                <w:highlight w:val="none"/>
              </w:rPr>
            </w:pPr>
            <w:r>
              <w:rPr>
                <w:rFonts w:hint="eastAsia" w:ascii="宋体" w:hAnsi="宋体"/>
                <w:color w:val="auto"/>
                <w:szCs w:val="21"/>
                <w:highlight w:val="none"/>
              </w:rPr>
              <w:t>邮政编码：</w:t>
            </w:r>
          </w:p>
        </w:tc>
        <w:tc>
          <w:tcPr>
            <w:tcW w:w="4517" w:type="dxa"/>
            <w:noWrap w:val="0"/>
            <w:vAlign w:val="center"/>
          </w:tcPr>
          <w:p w14:paraId="15AB40EF">
            <w:pPr>
              <w:snapToGrid w:val="0"/>
              <w:spacing w:line="360" w:lineRule="auto"/>
              <w:rPr>
                <w:rFonts w:ascii="宋体" w:hAnsi="宋体"/>
                <w:color w:val="auto"/>
                <w:szCs w:val="21"/>
                <w:highlight w:val="none"/>
              </w:rPr>
            </w:pPr>
            <w:r>
              <w:rPr>
                <w:rFonts w:hint="eastAsia" w:ascii="宋体" w:hAnsi="宋体"/>
                <w:color w:val="auto"/>
                <w:szCs w:val="21"/>
                <w:highlight w:val="none"/>
              </w:rPr>
              <w:t>邮政编码：</w:t>
            </w:r>
          </w:p>
        </w:tc>
      </w:tr>
    </w:tbl>
    <w:p w14:paraId="55040447">
      <w:pPr>
        <w:ind w:right="420" w:firstLine="5670" w:firstLineChars="2700"/>
        <w:rPr>
          <w:rFonts w:hint="eastAsia" w:ascii="宋体" w:hAnsi="宋体" w:cs="宋体"/>
          <w:color w:val="auto"/>
          <w:highlight w:val="none"/>
        </w:rPr>
      </w:pPr>
    </w:p>
    <w:p w14:paraId="6A2BE450">
      <w:pPr>
        <w:spacing w:line="500" w:lineRule="exact"/>
        <w:rPr>
          <w:rFonts w:hint="eastAsia" w:ascii="宋体" w:hAnsi="宋体" w:cs="宋体"/>
          <w:b/>
          <w:color w:val="auto"/>
          <w:sz w:val="32"/>
          <w:szCs w:val="32"/>
          <w:highlight w:val="none"/>
        </w:rPr>
      </w:pPr>
    </w:p>
    <w:p w14:paraId="5E1944CB"/>
    <w:sectPr>
      <w:footerReference r:id="rId8" w:type="first"/>
      <w:headerReference r:id="rId6" w:type="default"/>
      <w:footerReference r:id="rId7" w:type="default"/>
      <w:pgSz w:w="11906" w:h="16838"/>
      <w:pgMar w:top="1134" w:right="1134" w:bottom="1134" w:left="1134" w:header="851" w:footer="992" w:gutter="0"/>
      <w:pgNumType w:fmt="decimal" w:start="1"/>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C1C66">
    <w:pPr>
      <w:pStyle w:val="13"/>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21B5EF5">
                          <w:pPr>
                            <w:pStyle w:val="1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321B5EF5">
                    <w:pPr>
                      <w:pStyle w:val="13"/>
                    </w:pPr>
                    <w:r>
                      <w:fldChar w:fldCharType="begin"/>
                    </w:r>
                    <w:r>
                      <w:instrText xml:space="preserve"> PAGE  \* MERGEFORMAT </w:instrText>
                    </w:r>
                    <w:r>
                      <w:fldChar w:fldCharType="separate"/>
                    </w:r>
                    <w:r>
                      <w:t>1</w:t>
                    </w:r>
                    <w:r>
                      <w:fldChar w:fldCharType="end"/>
                    </w:r>
                  </w:p>
                </w:txbxContent>
              </v:textbox>
            </v:shape>
          </w:pict>
        </mc:Fallback>
      </mc:AlternateContent>
    </w:r>
  </w:p>
  <w:p w14:paraId="29CC8A1B">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843F9">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7F22F">
    <w:pPr>
      <w:spacing w:line="176" w:lineRule="auto"/>
      <w:ind w:left="489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1F77853">
                          <w:pPr>
                            <w:pStyle w:val="13"/>
                          </w:pPr>
                          <w:r>
                            <w:fldChar w:fldCharType="begin"/>
                          </w:r>
                          <w:r>
                            <w:instrText xml:space="preserve"> PAGE  \* MERGEFORMAT </w:instrText>
                          </w:r>
                          <w:r>
                            <w:fldChar w:fldCharType="separate"/>
                          </w:r>
                          <w:r>
                            <w:t>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1F77853">
                    <w:pPr>
                      <w:pStyle w:val="1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6FCAC">
    <w:pPr>
      <w:pStyle w:val="1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1C9C28">
                          <w:pPr>
                            <w:pStyle w:val="13"/>
                          </w:pPr>
                          <w:r>
                            <w:fldChar w:fldCharType="begin"/>
                          </w:r>
                          <w:r>
                            <w:instrText xml:space="preserve"> PAGE  \* MERGEFORMAT </w:instrText>
                          </w:r>
                          <w:r>
                            <w:fldChar w:fldCharType="separate"/>
                          </w:r>
                          <w:r>
                            <w:t>87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51C9C28">
                    <w:pPr>
                      <w:pStyle w:val="13"/>
                    </w:pPr>
                    <w:r>
                      <w:fldChar w:fldCharType="begin"/>
                    </w:r>
                    <w:r>
                      <w:instrText xml:space="preserve"> PAGE  \* MERGEFORMAT </w:instrText>
                    </w:r>
                    <w:r>
                      <w:fldChar w:fldCharType="separate"/>
                    </w:r>
                    <w:r>
                      <w:t>87</w:t>
                    </w:r>
                    <w:r>
                      <w:fldChar w:fldCharType="end"/>
                    </w:r>
                  </w:p>
                </w:txbxContent>
              </v:textbox>
            </v:shape>
          </w:pict>
        </mc:Fallback>
      </mc:AlternateContent>
    </w:r>
  </w:p>
  <w:p w14:paraId="3E05DED4">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3844B">
    <w:pPr>
      <w:pStyle w:val="13"/>
      <w:tabs>
        <w:tab w:val="clear" w:pos="4153"/>
      </w:tabs>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6190EED">
                          <w:pPr>
                            <w:pStyle w:val="1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16190EED">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61469">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7ED97E"/>
    <w:multiLevelType w:val="singleLevel"/>
    <w:tmpl w:val="897ED97E"/>
    <w:lvl w:ilvl="0" w:tentative="0">
      <w:start w:val="1"/>
      <w:numFmt w:val="decimal"/>
      <w:pStyle w:val="5"/>
      <w:lvlText w:val="%1."/>
      <w:lvlJc w:val="left"/>
      <w:pPr>
        <w:tabs>
          <w:tab w:val="left" w:pos="360"/>
        </w:tabs>
        <w:ind w:left="360" w:hanging="360"/>
      </w:pPr>
    </w:lvl>
  </w:abstractNum>
  <w:abstractNum w:abstractNumId="1">
    <w:nsid w:val="EB8CEB78"/>
    <w:multiLevelType w:val="singleLevel"/>
    <w:tmpl w:val="EB8CEB78"/>
    <w:lvl w:ilvl="0" w:tentative="0">
      <w:start w:val="3"/>
      <w:numFmt w:val="chineseCounting"/>
      <w:suff w:val="space"/>
      <w:lvlText w:val="第%1章"/>
      <w:lvlJc w:val="left"/>
      <w:rPr>
        <w:rFonts w:hint="eastAsia"/>
      </w:rPr>
    </w:lvl>
  </w:abstractNum>
  <w:abstractNum w:abstractNumId="2">
    <w:nsid w:val="7EFFCA5F"/>
    <w:multiLevelType w:val="singleLevel"/>
    <w:tmpl w:val="7EFFCA5F"/>
    <w:lvl w:ilvl="0" w:tentative="0">
      <w:start w:val="1"/>
      <w:numFmt w:val="chineseCounting"/>
      <w:suff w:val="space"/>
      <w:lvlText w:val="第%1章"/>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97518F"/>
    <w:rsid w:val="1B22505A"/>
    <w:rsid w:val="3B6137EC"/>
    <w:rsid w:val="40F47908"/>
    <w:rsid w:val="52B101D8"/>
    <w:rsid w:val="5E975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3">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4">
    <w:name w:val="index 8"/>
    <w:basedOn w:val="1"/>
    <w:next w:val="1"/>
    <w:qFormat/>
    <w:uiPriority w:val="0"/>
    <w:pPr>
      <w:ind w:left="2940"/>
    </w:pPr>
  </w:style>
  <w:style w:type="paragraph" w:styleId="5">
    <w:name w:val="List Number"/>
    <w:basedOn w:val="1"/>
    <w:qFormat/>
    <w:uiPriority w:val="0"/>
    <w:pPr>
      <w:numPr>
        <w:ilvl w:val="0"/>
        <w:numId w:val="1"/>
      </w:numPr>
    </w:pPr>
  </w:style>
  <w:style w:type="paragraph" w:styleId="6">
    <w:name w:val="Normal Indent"/>
    <w:basedOn w:val="1"/>
    <w:qFormat/>
    <w:uiPriority w:val="0"/>
    <w:pPr>
      <w:ind w:firstLine="420"/>
    </w:pPr>
    <w:rPr>
      <w:szCs w:val="20"/>
    </w:rPr>
  </w:style>
  <w:style w:type="paragraph" w:styleId="7">
    <w:name w:val="annotation text"/>
    <w:basedOn w:val="1"/>
    <w:qFormat/>
    <w:uiPriority w:val="0"/>
    <w:pPr>
      <w:jc w:val="left"/>
    </w:pPr>
  </w:style>
  <w:style w:type="paragraph" w:styleId="8">
    <w:name w:val="Body Text 3"/>
    <w:basedOn w:val="1"/>
    <w:unhideWhenUsed/>
    <w:qFormat/>
    <w:uiPriority w:val="99"/>
    <w:pPr>
      <w:spacing w:after="120"/>
    </w:pPr>
    <w:rPr>
      <w:sz w:val="16"/>
      <w:szCs w:val="16"/>
    </w:rPr>
  </w:style>
  <w:style w:type="paragraph" w:styleId="9">
    <w:name w:val="Body Text"/>
    <w:basedOn w:val="1"/>
    <w:unhideWhenUsed/>
    <w:qFormat/>
    <w:uiPriority w:val="0"/>
    <w:pPr>
      <w:spacing w:after="120"/>
    </w:pPr>
  </w:style>
  <w:style w:type="paragraph" w:styleId="10">
    <w:name w:val="Body Text Indent"/>
    <w:basedOn w:val="1"/>
    <w:qFormat/>
    <w:uiPriority w:val="0"/>
    <w:pPr>
      <w:ind w:firstLine="830" w:firstLineChars="352"/>
    </w:pPr>
    <w:rPr>
      <w:rFonts w:ascii="仿宋_GB2312" w:eastAsia="仿宋_GB2312"/>
      <w:kern w:val="0"/>
      <w:sz w:val="32"/>
      <w:szCs w:val="20"/>
    </w:rPr>
  </w:style>
  <w:style w:type="paragraph" w:styleId="11">
    <w:name w:val="List 2"/>
    <w:basedOn w:val="1"/>
    <w:unhideWhenUsed/>
    <w:qFormat/>
    <w:uiPriority w:val="99"/>
    <w:pPr>
      <w:ind w:left="100" w:leftChars="200" w:hanging="200" w:hangingChars="200"/>
      <w:contextualSpacing/>
    </w:pPr>
  </w:style>
  <w:style w:type="paragraph" w:styleId="12">
    <w:name w:val="Plain Text"/>
    <w:basedOn w:val="1"/>
    <w:next w:val="4"/>
    <w:qFormat/>
    <w:uiPriority w:val="0"/>
    <w:rPr>
      <w:rFonts w:ascii="宋体" w:hAnsi="Courier New"/>
      <w:kern w:val="0"/>
      <w:sz w:val="20"/>
      <w:szCs w:val="21"/>
    </w:rPr>
  </w:style>
  <w:style w:type="paragraph" w:styleId="13">
    <w:name w:val="footer"/>
    <w:basedOn w:val="1"/>
    <w:next w:val="1"/>
    <w:unhideWhenUsed/>
    <w:qFormat/>
    <w:uiPriority w:val="99"/>
    <w:pPr>
      <w:tabs>
        <w:tab w:val="center" w:pos="4153"/>
        <w:tab w:val="right" w:pos="8306"/>
      </w:tabs>
      <w:snapToGrid w:val="0"/>
      <w:jc w:val="left"/>
    </w:pPr>
    <w:rPr>
      <w:kern w:val="0"/>
      <w:sz w:val="18"/>
      <w:szCs w:val="18"/>
    </w:rPr>
  </w:style>
  <w:style w:type="paragraph" w:styleId="14">
    <w:name w:val="header"/>
    <w:basedOn w:val="1"/>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15">
    <w:name w:val="toc 2"/>
    <w:basedOn w:val="1"/>
    <w:next w:val="1"/>
    <w:unhideWhenUsed/>
    <w:qFormat/>
    <w:uiPriority w:val="39"/>
    <w:pPr>
      <w:tabs>
        <w:tab w:val="right" w:leader="dot" w:pos="8296"/>
      </w:tabs>
      <w:ind w:left="420" w:leftChars="200"/>
    </w:pPr>
  </w:style>
  <w:style w:type="paragraph" w:customStyle="1" w:styleId="18">
    <w:name w:val="标4"/>
    <w:basedOn w:val="1"/>
    <w:qFormat/>
    <w:uiPriority w:val="0"/>
    <w:pPr>
      <w:adjustRightInd w:val="0"/>
      <w:spacing w:before="240" w:after="360" w:line="240" w:lineRule="exact"/>
      <w:outlineLvl w:val="3"/>
    </w:pPr>
    <w:rPr>
      <w:rFonts w:ascii="Arial" w:hAnsi="Arial" w:cs="Arial"/>
      <w:b/>
      <w:bCs/>
      <w:kern w:val="24"/>
    </w:rPr>
  </w:style>
  <w:style w:type="paragraph" w:customStyle="1" w:styleId="19">
    <w:name w:val="正文2"/>
    <w:basedOn w:val="1"/>
    <w:qFormat/>
    <w:uiPriority w:val="0"/>
    <w:pPr>
      <w:adjustRightInd w:val="0"/>
      <w:spacing w:before="156" w:line="360" w:lineRule="auto"/>
      <w:ind w:firstLine="510" w:firstLineChars="200"/>
    </w:pPr>
    <w:rPr>
      <w:sz w:val="24"/>
      <w:szCs w:val="20"/>
    </w:rPr>
  </w:style>
  <w:style w:type="paragraph" w:customStyle="1" w:styleId="20">
    <w:name w:val="Table Text"/>
    <w:basedOn w:val="1"/>
    <w:semiHidden/>
    <w:qFormat/>
    <w:uiPriority w:val="0"/>
    <w:rPr>
      <w:rFonts w:ascii="宋体" w:hAnsi="宋体" w:eastAsia="宋体" w:cs="宋体"/>
      <w:sz w:val="21"/>
      <w:szCs w:val="21"/>
      <w:lang w:val="en-US" w:eastAsia="en-US" w:bidi="ar-SA"/>
    </w:rPr>
  </w:style>
  <w:style w:type="table" w:customStyle="1" w:styleId="21">
    <w:name w:val="Table Normal"/>
    <w:unhideWhenUsed/>
    <w:qFormat/>
    <w:uiPriority w:val="0"/>
    <w:rPr>
      <w:lang w:val="en-US" w:eastAsia="zh-CN" w:bidi="ar-SA"/>
    </w:rPr>
    <w:tblPr>
      <w:tblCellMar>
        <w:top w:w="0" w:type="dxa"/>
        <w:left w:w="0" w:type="dxa"/>
        <w:bottom w:w="0" w:type="dxa"/>
        <w:right w:w="0" w:type="dxa"/>
      </w:tblCellMar>
    </w:tblPr>
  </w:style>
  <w:style w:type="paragraph" w:customStyle="1" w:styleId="22">
    <w:name w:val="正文-公1"/>
    <w:basedOn w:val="1"/>
    <w:qFormat/>
    <w:uiPriority w:val="99"/>
    <w:pPr>
      <w:ind w:firstLine="200"/>
    </w:pPr>
  </w:style>
  <w:style w:type="paragraph" w:customStyle="1" w:styleId="23">
    <w:name w:val="Default"/>
    <w:qFormat/>
    <w:uiPriority w:val="0"/>
    <w:pPr>
      <w:widowControl w:val="0"/>
      <w:autoSpaceDE w:val="0"/>
      <w:autoSpaceDN w:val="0"/>
      <w:adjustRightInd w:val="0"/>
    </w:pPr>
    <w:rPr>
      <w:rFonts w:ascii="Times New Roman" w:hAnsi="Times New Roman" w:eastAsia="宋体" w:cs="Calibri"/>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69</Pages>
  <Words>6360</Words>
  <Characters>7060</Characters>
  <Lines>0</Lines>
  <Paragraphs>0</Paragraphs>
  <TotalTime>4</TotalTime>
  <ScaleCrop>false</ScaleCrop>
  <LinksUpToDate>false</LinksUpToDate>
  <CharactersWithSpaces>7138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2026-08-14T08:22:00Z</dcterms:created>
  <dc:creator>TAOTAO</dc:creator>
  <cp:lastModifiedBy>Administrator</cp:lastModifiedBy>
  <dcterms:modified xsi:type="dcterms:W3CDTF">2026-08-14T11:05:07Z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58FD6CCEF34E424D814A7F953F5BC9E6_11</vt:lpwstr>
  </property>
  <property fmtid="{D5CDD505-2E9C-101B-9397-08002B2CF9AE}" pid="4" name="KSOTemplateDocerSaveRecord">
    <vt:lpwstr>eyJoZGlkIjoiODE1YzdiMDM4YmZmZjY5ZTdkMzEwODQ1NGM1Mzg1NGEiLCJ1c2VySWQiOiIyNzM3MjE1MTAifQ==</vt:lpwstr>
  </property>
</Properties>
</file>