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p>
    <w:p>
      <w:pPr>
        <w:spacing w:before="156" w:beforeLines="50"/>
        <w:jc w:val="center"/>
        <w:rPr>
          <w:rFonts w:ascii="仿宋_GB2312" w:hAnsi="宋体" w:eastAsia="仿宋_GB2312"/>
          <w:sz w:val="72"/>
          <w:szCs w:val="72"/>
        </w:rPr>
      </w:pPr>
      <w:r>
        <w:rPr>
          <w:rFonts w:hint="eastAsia" w:ascii="仿宋_GB2312" w:hAnsi="宋体" w:eastAsia="仿宋_GB2312"/>
          <w:sz w:val="72"/>
          <w:szCs w:val="72"/>
        </w:rPr>
        <w:t>公开招标采购文件</w:t>
      </w: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pStyle w:val="29"/>
        <w:snapToGrid w:val="0"/>
        <w:spacing w:before="120" w:after="120" w:line="360" w:lineRule="auto"/>
        <w:ind w:firstLine="1042" w:firstLineChars="346"/>
        <w:rPr>
          <w:rFonts w:ascii="仿宋_GB2312" w:hAnsi="宋体" w:eastAsia="仿宋_GB2312"/>
          <w:b/>
          <w:bCs/>
          <w:sz w:val="30"/>
          <w:szCs w:val="30"/>
        </w:rPr>
      </w:pPr>
    </w:p>
    <w:p>
      <w:pPr>
        <w:ind w:firstLine="1273" w:firstLineChars="423"/>
        <w:rPr>
          <w:rFonts w:hint="eastAsia" w:ascii="仿宋_GB2312" w:hAnsi="宋体" w:eastAsia="仿宋_GB2312"/>
          <w:b/>
          <w:bCs/>
          <w:sz w:val="30"/>
          <w:szCs w:val="30"/>
          <w:lang w:val="en" w:eastAsia="zh-CN"/>
        </w:rPr>
      </w:pPr>
      <w:r>
        <w:rPr>
          <w:rFonts w:hint="eastAsia" w:ascii="仿宋_GB2312" w:hAnsi="宋体" w:eastAsia="仿宋_GB2312"/>
          <w:b/>
          <w:bCs/>
          <w:sz w:val="30"/>
          <w:szCs w:val="30"/>
        </w:rPr>
        <w:t>项目编号：</w:t>
      </w:r>
      <w:r>
        <w:rPr>
          <w:rFonts w:hint="eastAsia" w:ascii="仿宋_GB2312" w:hAnsi="宋体" w:eastAsia="仿宋_GB2312"/>
          <w:b/>
          <w:bCs/>
          <w:sz w:val="30"/>
          <w:szCs w:val="30"/>
          <w:lang w:val="en" w:eastAsia="zh-CN"/>
        </w:rPr>
        <w:t>GXZC2026-G1-002393-JYZX</w:t>
      </w:r>
    </w:p>
    <w:p>
      <w:pPr>
        <w:snapToGrid w:val="0"/>
        <w:spacing w:before="156" w:beforeLines="50" w:line="360" w:lineRule="auto"/>
        <w:ind w:firstLine="1273" w:firstLineChars="423"/>
        <w:rPr>
          <w:rFonts w:ascii="仿宋_GB2312" w:hAnsi="宋体" w:eastAsia="仿宋_GB2312"/>
          <w:b/>
          <w:sz w:val="30"/>
          <w:szCs w:val="72"/>
        </w:rPr>
      </w:pPr>
    </w:p>
    <w:p>
      <w:pPr>
        <w:ind w:firstLine="1273" w:firstLineChars="423"/>
        <w:rPr>
          <w:rFonts w:hint="eastAsia" w:ascii="仿宋_GB2312" w:hAnsi="宋体" w:eastAsia="仿宋_GB2312"/>
          <w:b/>
          <w:sz w:val="30"/>
          <w:szCs w:val="72"/>
          <w:lang w:val="en" w:eastAsia="zh-CN"/>
        </w:rPr>
      </w:pPr>
      <w:r>
        <w:rPr>
          <w:rFonts w:hint="eastAsia" w:ascii="仿宋_GB2312" w:hAnsi="宋体" w:eastAsia="仿宋_GB2312"/>
          <w:b/>
          <w:sz w:val="30"/>
          <w:szCs w:val="72"/>
        </w:rPr>
        <w:t>项目名称：</w:t>
      </w:r>
      <w:r>
        <w:rPr>
          <w:rFonts w:hint="default" w:ascii="仿宋_GB2312" w:hAnsi="宋体" w:eastAsia="仿宋_GB2312"/>
          <w:b/>
          <w:sz w:val="30"/>
          <w:szCs w:val="72"/>
          <w:lang w:val="en"/>
        </w:rPr>
        <w:t>2025年广西大型医用设备</w:t>
      </w:r>
      <w:r>
        <w:rPr>
          <w:rFonts w:hint="eastAsia" w:ascii="仿宋_GB2312" w:hAnsi="宋体" w:eastAsia="仿宋_GB2312"/>
          <w:b/>
          <w:sz w:val="30"/>
          <w:szCs w:val="72"/>
          <w:lang w:val="en" w:eastAsia="zh-CN"/>
        </w:rPr>
        <w:t>（</w:t>
      </w:r>
      <w:r>
        <w:rPr>
          <w:rFonts w:hint="eastAsia" w:ascii="仿宋_GB2312" w:hAnsi="宋体" w:eastAsia="仿宋_GB2312"/>
          <w:b/>
          <w:sz w:val="30"/>
          <w:szCs w:val="72"/>
          <w:lang w:val="en" w:eastAsia="zh"/>
        </w:rPr>
        <w:t>医用直线加速器</w:t>
      </w:r>
      <w:r>
        <w:rPr>
          <w:rFonts w:hint="eastAsia" w:ascii="仿宋_GB2312" w:hAnsi="宋体" w:eastAsia="仿宋_GB2312"/>
          <w:b/>
          <w:sz w:val="30"/>
          <w:szCs w:val="72"/>
          <w:lang w:val="en" w:eastAsia="zh-CN"/>
        </w:rPr>
        <w:t>）</w:t>
      </w:r>
    </w:p>
    <w:p>
      <w:pPr>
        <w:ind w:firstLine="1273" w:firstLineChars="423"/>
        <w:rPr>
          <w:rFonts w:hint="default" w:ascii="仿宋_GB2312" w:hAnsi="宋体" w:eastAsia="仿宋_GB2312"/>
          <w:b/>
          <w:spacing w:val="-8"/>
          <w:sz w:val="30"/>
          <w:szCs w:val="48"/>
          <w:lang w:val="en"/>
        </w:rPr>
      </w:pPr>
      <w:r>
        <w:rPr>
          <w:rFonts w:hint="eastAsia" w:ascii="仿宋_GB2312" w:hAnsi="宋体" w:eastAsia="仿宋_GB2312"/>
          <w:b/>
          <w:sz w:val="30"/>
          <w:szCs w:val="72"/>
          <w:lang w:val="en-US" w:eastAsia="zh-CN"/>
        </w:rPr>
        <w:t xml:space="preserve">          </w:t>
      </w:r>
      <w:r>
        <w:rPr>
          <w:rFonts w:hint="default" w:ascii="仿宋_GB2312" w:hAnsi="宋体" w:eastAsia="仿宋_GB2312"/>
          <w:b/>
          <w:sz w:val="30"/>
          <w:szCs w:val="72"/>
          <w:lang w:val="en"/>
        </w:rPr>
        <w:t>集中采购</w:t>
      </w:r>
    </w:p>
    <w:p>
      <w:pPr>
        <w:snapToGrid w:val="0"/>
        <w:spacing w:before="156" w:beforeLines="50" w:line="360" w:lineRule="auto"/>
        <w:ind w:firstLine="1273" w:firstLineChars="423"/>
        <w:rPr>
          <w:rFonts w:ascii="仿宋_GB2312" w:hAnsi="宋体" w:eastAsia="仿宋_GB2312"/>
          <w:b/>
          <w:sz w:val="30"/>
          <w:szCs w:val="72"/>
        </w:rPr>
      </w:pPr>
    </w:p>
    <w:p>
      <w:pPr>
        <w:snapToGrid w:val="0"/>
        <w:spacing w:before="156" w:beforeLines="50" w:line="360" w:lineRule="auto"/>
        <w:ind w:firstLine="1273" w:firstLineChars="423"/>
        <w:rPr>
          <w:rFonts w:ascii="仿宋_GB2312" w:hAnsi="宋体" w:eastAsia="仿宋_GB2312"/>
          <w:b/>
          <w:spacing w:val="-8"/>
          <w:sz w:val="30"/>
          <w:szCs w:val="48"/>
          <w:lang w:val="en"/>
        </w:rPr>
      </w:pPr>
      <w:r>
        <w:rPr>
          <w:rFonts w:hint="eastAsia" w:ascii="仿宋_GB2312" w:hAnsi="宋体" w:eastAsia="仿宋_GB2312"/>
          <w:b/>
          <w:sz w:val="30"/>
          <w:szCs w:val="72"/>
        </w:rPr>
        <w:t>采购单位：</w:t>
      </w:r>
      <w:r>
        <w:rPr>
          <w:rFonts w:hint="eastAsia" w:ascii="仿宋_GB2312" w:hAnsi="宋体" w:eastAsia="仿宋_GB2312"/>
          <w:b/>
          <w:sz w:val="30"/>
          <w:szCs w:val="72"/>
          <w:lang w:eastAsia="zh"/>
        </w:rPr>
        <w:t>广西医科大学第一附属医院</w:t>
      </w:r>
      <w:r>
        <w:rPr>
          <w:rFonts w:hint="eastAsia" w:ascii="仿宋_GB2312" w:hAnsi="宋体" w:eastAsia="仿宋_GB2312"/>
          <w:b/>
          <w:sz w:val="30"/>
          <w:szCs w:val="72"/>
        </w:rPr>
        <w:t>等</w:t>
      </w:r>
      <w:r>
        <w:rPr>
          <w:rFonts w:hint="eastAsia" w:ascii="仿宋_GB2312" w:hAnsi="宋体" w:eastAsia="仿宋_GB2312"/>
          <w:b/>
          <w:color w:val="auto"/>
          <w:sz w:val="30"/>
          <w:szCs w:val="72"/>
          <w:lang w:val="en-US" w:eastAsia="zh-CN"/>
        </w:rPr>
        <w:t>3</w:t>
      </w:r>
      <w:r>
        <w:rPr>
          <w:rFonts w:hint="eastAsia" w:ascii="仿宋_GB2312" w:hAnsi="宋体" w:eastAsia="仿宋_GB2312"/>
          <w:b/>
          <w:sz w:val="30"/>
          <w:szCs w:val="72"/>
        </w:rPr>
        <w:t>家</w:t>
      </w:r>
      <w:r>
        <w:rPr>
          <w:rFonts w:ascii="仿宋_GB2312" w:hAnsi="宋体" w:eastAsia="仿宋_GB2312"/>
          <w:b/>
          <w:sz w:val="30"/>
          <w:szCs w:val="72"/>
          <w:lang w:val="en"/>
        </w:rPr>
        <w:t>医</w:t>
      </w:r>
      <w:r>
        <w:rPr>
          <w:rFonts w:hint="eastAsia" w:ascii="仿宋_GB2312" w:hAnsi="宋体" w:eastAsia="仿宋_GB2312"/>
          <w:b/>
          <w:sz w:val="30"/>
          <w:szCs w:val="72"/>
          <w:lang w:val="en"/>
        </w:rPr>
        <w:t>疗机构</w:t>
      </w: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rPr>
          <w:rFonts w:ascii="仿宋_GB2312" w:hAnsi="宋体" w:eastAsia="仿宋_GB2312"/>
          <w:b/>
          <w:sz w:val="30"/>
          <w:szCs w:val="72"/>
        </w:rPr>
      </w:pPr>
    </w:p>
    <w:p>
      <w:pPr>
        <w:snapToGrid w:val="0"/>
        <w:spacing w:before="156" w:beforeLines="50" w:line="360" w:lineRule="auto"/>
        <w:jc w:val="center"/>
        <w:rPr>
          <w:rFonts w:ascii="仿宋_GB2312" w:hAnsi="宋体" w:eastAsia="仿宋_GB2312"/>
          <w:b/>
          <w:sz w:val="30"/>
          <w:szCs w:val="72"/>
          <w:lang w:val="en"/>
        </w:rPr>
      </w:pPr>
      <w:r>
        <w:rPr>
          <w:rFonts w:ascii="仿宋_GB2312" w:hAnsi="宋体" w:eastAsia="仿宋_GB2312"/>
          <w:b/>
          <w:sz w:val="30"/>
          <w:szCs w:val="72"/>
          <w:lang w:val="en"/>
        </w:rPr>
        <w:t>广西壮族自治区公共资源交易中心</w:t>
      </w:r>
    </w:p>
    <w:p>
      <w:pPr>
        <w:snapToGrid w:val="0"/>
        <w:spacing w:before="156" w:beforeLines="50" w:line="360" w:lineRule="auto"/>
        <w:jc w:val="center"/>
        <w:rPr>
          <w:rFonts w:ascii="隶书" w:eastAsia="隶书"/>
          <w:sz w:val="44"/>
          <w:lang w:val="en"/>
        </w:rPr>
      </w:pPr>
      <w:r>
        <w:rPr>
          <w:rFonts w:hint="eastAsia" w:ascii="仿宋_GB2312" w:hAnsi="宋体" w:eastAsia="仿宋_GB2312"/>
          <w:b/>
          <w:sz w:val="30"/>
          <w:szCs w:val="72"/>
        </w:rPr>
        <w:t>202</w:t>
      </w:r>
      <w:r>
        <w:rPr>
          <w:rFonts w:hint="eastAsia" w:ascii="仿宋_GB2312" w:hAnsi="宋体" w:eastAsia="仿宋_GB2312"/>
          <w:b/>
          <w:sz w:val="30"/>
          <w:szCs w:val="72"/>
          <w:lang w:val="en-US" w:eastAsia="zh"/>
        </w:rPr>
        <w:t>6</w:t>
      </w:r>
      <w:r>
        <w:rPr>
          <w:rFonts w:hint="eastAsia" w:ascii="仿宋_GB2312" w:hAnsi="宋体" w:eastAsia="仿宋_GB2312"/>
          <w:b/>
          <w:sz w:val="30"/>
          <w:szCs w:val="72"/>
        </w:rPr>
        <w:t>年</w:t>
      </w:r>
      <w:r>
        <w:rPr>
          <w:rFonts w:hint="eastAsia" w:ascii="仿宋_GB2312" w:hAnsi="宋体" w:eastAsia="仿宋_GB2312"/>
          <w:b/>
          <w:sz w:val="30"/>
          <w:szCs w:val="72"/>
          <w:lang w:val="en-US" w:eastAsia="zh-CN"/>
        </w:rPr>
        <w:t>8</w:t>
      </w:r>
      <w:r>
        <w:rPr>
          <w:rFonts w:ascii="仿宋_GB2312" w:hAnsi="宋体" w:eastAsia="仿宋_GB2312"/>
          <w:b/>
          <w:sz w:val="30"/>
          <w:szCs w:val="72"/>
          <w:lang w:val="en"/>
        </w:rPr>
        <w:t>月</w:t>
      </w:r>
    </w:p>
    <w:p>
      <w:pPr>
        <w:pStyle w:val="29"/>
        <w:jc w:val="center"/>
        <w:rPr>
          <w:rFonts w:ascii="隶书" w:eastAsia="隶书"/>
          <w:sz w:val="44"/>
        </w:rPr>
        <w:sectPr>
          <w:headerReference r:id="rId3" w:type="first"/>
          <w:footerReference r:id="rId4" w:type="even"/>
          <w:pgSz w:w="11906" w:h="16838"/>
          <w:pgMar w:top="1134" w:right="1134" w:bottom="1134" w:left="1134" w:header="851" w:footer="1531" w:gutter="0"/>
          <w:pgNumType w:fmt="decimal" w:start="0"/>
          <w:cols w:space="720" w:num="1"/>
          <w:docGrid w:type="lines" w:linePitch="312" w:charSpace="0"/>
        </w:sectPr>
      </w:pPr>
    </w:p>
    <w:p>
      <w:pPr>
        <w:pStyle w:val="29"/>
        <w:jc w:val="center"/>
        <w:rPr>
          <w:rFonts w:ascii="隶书" w:eastAsia="隶书"/>
          <w:b/>
          <w:bCs/>
          <w:sz w:val="44"/>
        </w:rPr>
      </w:pPr>
      <w:r>
        <w:rPr>
          <w:rFonts w:hint="eastAsia" w:ascii="隶书" w:eastAsia="隶书"/>
          <w:b/>
          <w:bCs/>
          <w:sz w:val="44"/>
        </w:rPr>
        <w:t>目   录</w:t>
      </w:r>
    </w:p>
    <w:p>
      <w:pPr>
        <w:pStyle w:val="37"/>
        <w:tabs>
          <w:tab w:val="right" w:leader="dot" w:pos="9638"/>
          <w:tab w:val="clear" w:pos="8296"/>
          <w:tab w:val="clear" w:pos="8398"/>
        </w:tabs>
        <w:ind w:firstLine="0" w:firstLineChars="0"/>
        <w:rPr>
          <w:rFonts w:ascii="宋体" w:eastAsia="宋体" w:cs="宋体"/>
          <w:b/>
          <w:bCs w:val="0"/>
          <w:sz w:val="28"/>
          <w:szCs w:val="28"/>
        </w:rPr>
      </w:pPr>
    </w:p>
    <w:p>
      <w:pPr>
        <w:pStyle w:val="37"/>
        <w:tabs>
          <w:tab w:val="right" w:leader="dot" w:pos="9638"/>
          <w:tab w:val="clear" w:pos="8296"/>
          <w:tab w:val="clear" w:pos="8398"/>
        </w:tabs>
        <w:ind w:firstLine="0" w:firstLineChars="0"/>
        <w:rPr>
          <w:rFonts w:ascii="宋体" w:eastAsia="宋体" w:cs="宋体"/>
          <w:b/>
          <w:bCs w:val="0"/>
          <w:sz w:val="28"/>
          <w:szCs w:val="28"/>
        </w:rPr>
      </w:pP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TOC \o "1-3" \h \z \u </w:instrText>
      </w:r>
      <w:r>
        <w:rPr>
          <w:rFonts w:hint="eastAsia" w:ascii="宋体" w:eastAsia="宋体" w:cs="宋体"/>
          <w:b/>
          <w:bCs w:val="0"/>
          <w:sz w:val="28"/>
          <w:szCs w:val="28"/>
        </w:rPr>
        <w:fldChar w:fldCharType="separate"/>
      </w:r>
      <w:r>
        <w:fldChar w:fldCharType="begin"/>
      </w:r>
      <w:r>
        <w:instrText xml:space="preserve"> HYPERLINK \l "_Toc667630650" </w:instrText>
      </w:r>
      <w:r>
        <w:fldChar w:fldCharType="separate"/>
      </w:r>
      <w:r>
        <w:rPr>
          <w:rFonts w:hint="eastAsia" w:ascii="宋体" w:eastAsia="宋体" w:cs="宋体"/>
          <w:b/>
          <w:bCs w:val="0"/>
          <w:sz w:val="28"/>
          <w:szCs w:val="28"/>
        </w:rPr>
        <w:t>第一章  公开招标公告</w:t>
      </w:r>
      <w:r>
        <w:rPr>
          <w:rFonts w:hint="eastAsia" w:ascii="宋体" w:eastAsia="宋体" w:cs="宋体"/>
          <w:b/>
          <w:bCs w:val="0"/>
          <w:sz w:val="28"/>
          <w:szCs w:val="28"/>
        </w:rPr>
        <w:tab/>
      </w:r>
      <w:r>
        <w:rPr>
          <w:rFonts w:hint="eastAsia" w:ascii="宋体" w:eastAsia="宋体" w:cs="宋体"/>
          <w:b/>
          <w:bCs w:val="0"/>
          <w:sz w:val="28"/>
          <w:szCs w:val="28"/>
        </w:rPr>
        <w:fldChar w:fldCharType="begin"/>
      </w:r>
      <w:r>
        <w:rPr>
          <w:rFonts w:hint="eastAsia" w:ascii="宋体" w:eastAsia="宋体" w:cs="宋体"/>
          <w:b/>
          <w:bCs w:val="0"/>
          <w:sz w:val="28"/>
          <w:szCs w:val="28"/>
        </w:rPr>
        <w:instrText xml:space="preserve"> PAGEREF _Toc667630650 </w:instrText>
      </w:r>
      <w:r>
        <w:rPr>
          <w:rFonts w:hint="eastAsia" w:ascii="宋体" w:eastAsia="宋体" w:cs="宋体"/>
          <w:b/>
          <w:bCs w:val="0"/>
          <w:sz w:val="28"/>
          <w:szCs w:val="28"/>
        </w:rPr>
        <w:fldChar w:fldCharType="separate"/>
      </w:r>
      <w:r>
        <w:rPr>
          <w:rFonts w:hint="eastAsia" w:ascii="宋体" w:eastAsia="宋体" w:cs="宋体"/>
          <w:b/>
          <w:bCs w:val="0"/>
          <w:sz w:val="28"/>
          <w:szCs w:val="28"/>
        </w:rPr>
        <w:t>2</w:t>
      </w:r>
      <w:r>
        <w:rPr>
          <w:rFonts w:hint="eastAsia" w:ascii="宋体" w:eastAsia="宋体" w:cs="宋体"/>
          <w:b/>
          <w:bCs w:val="0"/>
          <w:sz w:val="28"/>
          <w:szCs w:val="28"/>
        </w:rPr>
        <w:fldChar w:fldCharType="end"/>
      </w:r>
      <w:r>
        <w:rPr>
          <w:rFonts w:hint="eastAsia" w:ascii="宋体" w:eastAsia="宋体" w:cs="宋体"/>
          <w:b/>
          <w:bCs w:val="0"/>
          <w:sz w:val="28"/>
          <w:szCs w:val="28"/>
        </w:rPr>
        <w:fldChar w:fldCharType="end"/>
      </w:r>
    </w:p>
    <w:p>
      <w:pPr>
        <w:pStyle w:val="37"/>
        <w:tabs>
          <w:tab w:val="right" w:leader="dot" w:pos="9638"/>
          <w:tab w:val="clear" w:pos="8296"/>
          <w:tab w:val="clear" w:pos="8398"/>
        </w:tabs>
        <w:ind w:firstLine="0" w:firstLineChars="0"/>
        <w:rPr>
          <w:rFonts w:hint="eastAsia" w:ascii="宋体" w:eastAsia="宋体" w:cs="宋体"/>
          <w:b/>
          <w:bCs w:val="0"/>
          <w:sz w:val="28"/>
          <w:szCs w:val="28"/>
          <w:lang w:eastAsia="zh-CN"/>
        </w:rPr>
      </w:pPr>
      <w:r>
        <w:fldChar w:fldCharType="begin"/>
      </w:r>
      <w:r>
        <w:instrText xml:space="preserve"> HYPERLINK \l "_Toc2015667557" </w:instrText>
      </w:r>
      <w:r>
        <w:fldChar w:fldCharType="separate"/>
      </w:r>
      <w:r>
        <w:rPr>
          <w:rFonts w:hint="eastAsia" w:ascii="宋体" w:eastAsia="宋体" w:cs="宋体"/>
          <w:b/>
          <w:bCs w:val="0"/>
          <w:sz w:val="28"/>
          <w:szCs w:val="28"/>
        </w:rPr>
        <w:t>第二章  招标项目采购需求</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7</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"_Toc1999517464" </w:instrText>
      </w:r>
      <w:r>
        <w:fldChar w:fldCharType="separate"/>
      </w:r>
      <w:r>
        <w:rPr>
          <w:rFonts w:hint="eastAsia" w:ascii="宋体" w:eastAsia="宋体" w:cs="宋体"/>
          <w:b/>
          <w:bCs w:val="0"/>
          <w:sz w:val="28"/>
          <w:szCs w:val="28"/>
        </w:rPr>
        <w:t>第三章  投标人须知</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52</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"_Toc1211477353" </w:instrText>
      </w:r>
      <w:r>
        <w:fldChar w:fldCharType="separate"/>
      </w:r>
      <w:r>
        <w:rPr>
          <w:rFonts w:hint="eastAsia" w:ascii="宋体" w:eastAsia="宋体" w:cs="宋体"/>
          <w:b/>
          <w:bCs w:val="0"/>
          <w:sz w:val="28"/>
          <w:szCs w:val="28"/>
        </w:rPr>
        <w:t xml:space="preserve">第四章  </w:t>
      </w:r>
      <w:r>
        <w:rPr>
          <w:rFonts w:hint="eastAsia" w:ascii="宋体" w:eastAsia="宋体" w:cs="宋体"/>
          <w:b/>
          <w:bCs w:val="0"/>
          <w:sz w:val="28"/>
          <w:szCs w:val="28"/>
          <w:lang w:eastAsia="zh-CN"/>
        </w:rPr>
        <w:t>评标方法及评分标准</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66</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"_Toc1413232859" </w:instrText>
      </w:r>
      <w:r>
        <w:fldChar w:fldCharType="separate"/>
      </w:r>
      <w:r>
        <w:rPr>
          <w:rFonts w:hint="eastAsia" w:ascii="宋体" w:eastAsia="宋体" w:cs="宋体"/>
          <w:b/>
          <w:bCs w:val="0"/>
          <w:sz w:val="28"/>
          <w:szCs w:val="28"/>
        </w:rPr>
        <w:t>第五章  政府采购合同主要条款</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76</w:t>
      </w:r>
    </w:p>
    <w:p>
      <w:pPr>
        <w:pStyle w:val="37"/>
        <w:tabs>
          <w:tab w:val="right" w:leader="dot" w:pos="9638"/>
          <w:tab w:val="clear" w:pos="8296"/>
          <w:tab w:val="clear" w:pos="8398"/>
        </w:tabs>
        <w:ind w:firstLine="0" w:firstLineChars="0"/>
        <w:rPr>
          <w:rFonts w:hint="default" w:ascii="宋体" w:eastAsia="宋体" w:cs="宋体"/>
          <w:b/>
          <w:bCs w:val="0"/>
          <w:sz w:val="28"/>
          <w:szCs w:val="28"/>
          <w:lang w:val="en-US" w:eastAsia="zh-CN"/>
        </w:rPr>
      </w:pPr>
      <w:r>
        <w:fldChar w:fldCharType="begin"/>
      </w:r>
      <w:r>
        <w:instrText xml:space="preserve"> HYPERLINK \l "_Toc1303339480" </w:instrText>
      </w:r>
      <w:r>
        <w:fldChar w:fldCharType="separate"/>
      </w:r>
      <w:r>
        <w:rPr>
          <w:rFonts w:hint="eastAsia" w:ascii="宋体" w:eastAsia="宋体" w:cs="宋体"/>
          <w:b/>
          <w:bCs w:val="0"/>
          <w:sz w:val="28"/>
          <w:szCs w:val="28"/>
        </w:rPr>
        <w:t>第六章　投标文件格式</w:t>
      </w:r>
      <w:r>
        <w:rPr>
          <w:rFonts w:hint="eastAsia" w:ascii="宋体" w:eastAsia="宋体" w:cs="宋体"/>
          <w:b/>
          <w:bCs w:val="0"/>
          <w:sz w:val="28"/>
          <w:szCs w:val="28"/>
        </w:rPr>
        <w:tab/>
      </w:r>
      <w:r>
        <w:rPr>
          <w:rFonts w:hint="eastAsia" w:ascii="宋体" w:eastAsia="宋体" w:cs="宋体"/>
          <w:b/>
          <w:bCs w:val="0"/>
          <w:sz w:val="28"/>
          <w:szCs w:val="28"/>
        </w:rPr>
        <w:fldChar w:fldCharType="end"/>
      </w:r>
      <w:r>
        <w:rPr>
          <w:rFonts w:hint="eastAsia" w:ascii="宋体" w:eastAsia="宋体" w:cs="宋体"/>
          <w:b/>
          <w:bCs w:val="0"/>
          <w:sz w:val="28"/>
          <w:szCs w:val="28"/>
          <w:lang w:val="en-US" w:eastAsia="zh-CN"/>
        </w:rPr>
        <w:t>85</w:t>
      </w:r>
    </w:p>
    <w:p>
      <w:pPr>
        <w:pStyle w:val="29"/>
        <w:spacing w:before="120" w:after="120" w:line="500" w:lineRule="exact"/>
        <w:jc w:val="center"/>
        <w:rPr>
          <w:rFonts w:ascii="仿宋_GB2312" w:hAnsi="宋体" w:eastAsia="仿宋_GB2312"/>
          <w:sz w:val="44"/>
          <w:szCs w:val="44"/>
        </w:rPr>
      </w:pPr>
      <w:r>
        <w:rPr>
          <w:rFonts w:hint="eastAsia" w:hAnsi="宋体" w:cs="宋体"/>
          <w:b/>
          <w:sz w:val="28"/>
          <w:szCs w:val="28"/>
        </w:rPr>
        <w:fldChar w:fldCharType="end"/>
      </w:r>
    </w:p>
    <w:p>
      <w:pPr>
        <w:spacing w:before="156" w:beforeLines="50" w:line="480" w:lineRule="exact"/>
        <w:rPr>
          <w:rFonts w:ascii="仿宋_GB2312" w:hAnsi="宋体" w:eastAsia="仿宋_GB2312"/>
          <w:sz w:val="30"/>
        </w:rPr>
      </w:pPr>
    </w:p>
    <w:p>
      <w:pPr>
        <w:pStyle w:val="591"/>
        <w:widowControl w:val="0"/>
        <w:ind w:firstLine="883"/>
        <w:jc w:val="center"/>
        <w:rPr>
          <w:rFonts w:ascii="仿宋_GB2312" w:hAnsi="宋体" w:eastAsia="仿宋_GB2312"/>
          <w:b/>
          <w:sz w:val="44"/>
          <w:szCs w:val="44"/>
        </w:rPr>
      </w:pPr>
      <w:r>
        <w:rPr>
          <w:rFonts w:ascii="仿宋_GB2312" w:hAnsi="宋体" w:eastAsia="仿宋_GB2312"/>
          <w:b/>
          <w:sz w:val="44"/>
          <w:szCs w:val="44"/>
        </w:rPr>
        <w:br w:type="page"/>
      </w: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883"/>
        <w:jc w:val="center"/>
        <w:rPr>
          <w:rFonts w:ascii="仿宋_GB2312" w:hAnsi="宋体" w:eastAsia="仿宋_GB2312"/>
          <w:b/>
          <w:sz w:val="44"/>
          <w:szCs w:val="44"/>
        </w:rPr>
      </w:pPr>
    </w:p>
    <w:p>
      <w:pPr>
        <w:pStyle w:val="591"/>
        <w:widowControl w:val="0"/>
        <w:ind w:firstLine="0" w:firstLineChars="0"/>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591"/>
        <w:widowControl w:val="0"/>
        <w:ind w:firstLine="0" w:firstLineChars="0"/>
        <w:jc w:val="center"/>
        <w:rPr>
          <w:rFonts w:ascii="仿宋_GB2312" w:hAnsi="宋体" w:eastAsia="仿宋_GB2312"/>
          <w:b/>
          <w:sz w:val="44"/>
          <w:szCs w:val="44"/>
        </w:rPr>
      </w:pPr>
    </w:p>
    <w:p>
      <w:pPr>
        <w:pStyle w:val="3"/>
        <w:jc w:val="center"/>
      </w:pPr>
      <w:bookmarkStart w:id="0" w:name="_Toc667630650"/>
      <w:r>
        <w:rPr>
          <w:rFonts w:hint="eastAsia"/>
        </w:rPr>
        <w:t>第一章  公开招标公告</w:t>
      </w:r>
      <w:bookmarkEnd w:id="0"/>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widowControl w:val="0"/>
        <w:spacing w:line="300" w:lineRule="exact"/>
        <w:ind w:firstLine="640"/>
        <w:jc w:val="center"/>
        <w:rPr>
          <w:rFonts w:ascii="黑体" w:hAnsi="宋体" w:eastAsia="黑体"/>
          <w:sz w:val="32"/>
          <w:szCs w:val="32"/>
        </w:rPr>
      </w:pPr>
    </w:p>
    <w:p>
      <w:pPr>
        <w:pStyle w:val="591"/>
        <w:pageBreakBefore/>
        <w:widowControl w:val="0"/>
        <w:spacing w:line="480" w:lineRule="exact"/>
        <w:ind w:firstLine="0" w:firstLineChars="0"/>
        <w:jc w:val="center"/>
        <w:rPr>
          <w:rFonts w:ascii="宋体" w:hAnsi="宋体" w:cs="宋体"/>
          <w:szCs w:val="21"/>
        </w:rPr>
      </w:pPr>
      <w:r>
        <w:rPr>
          <w:rFonts w:hint="eastAsia" w:ascii="黑体" w:hAnsi="宋体" w:eastAsia="黑体"/>
          <w:sz w:val="32"/>
          <w:szCs w:val="32"/>
        </w:rPr>
        <w:t>公开招标公告</w:t>
      </w:r>
      <w:bookmarkStart w:id="1" w:name="_Toc35393790"/>
      <w:bookmarkStart w:id="2" w:name="_Toc35393621"/>
      <w:bookmarkStart w:id="3" w:name="_Toc28359002"/>
      <w:bookmarkStart w:id="4" w:name="_Toc28359079"/>
      <w:bookmarkStart w:id="5" w:name="_Hlk24379207"/>
      <w:r>
        <w:rPr>
          <w:rFonts w:ascii="宋体" w:hAnsi="宋体" w:cs="宋体"/>
          <w:szCs w:val="21"/>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 xml:space="preserve"> 项目概况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ascii="宋体" w:hAnsi="宋体" w:cs="宋体"/>
          <w:kern w:val="0"/>
          <w:szCs w:val="21"/>
        </w:rPr>
      </w:pP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医用直线加速器</w:t>
      </w:r>
      <w:r>
        <w:rPr>
          <w:rFonts w:hint="default" w:ascii="宋体" w:hAnsi="宋体" w:cs="宋体"/>
          <w:b w:val="0"/>
          <w:sz w:val="21"/>
          <w:szCs w:val="18"/>
          <w:lang w:val="en"/>
        </w:rPr>
        <w:t>)集中采购</w:t>
      </w:r>
      <w:r>
        <w:rPr>
          <w:rFonts w:hint="eastAsia" w:ascii="宋体" w:hAnsi="宋体" w:cs="宋体"/>
          <w:kern w:val="0"/>
          <w:szCs w:val="21"/>
        </w:rPr>
        <w:t>项目的潜在投标人应在广西政府采购云平台（网址：http://www.gcy.zfcg.gxzf.gov.cn）获取招标文件，并于</w:t>
      </w:r>
      <w:r>
        <w:rPr>
          <w:rFonts w:hint="eastAsia" w:ascii="宋体" w:hAnsi="宋体" w:cs="宋体"/>
          <w:kern w:val="0"/>
          <w:szCs w:val="21"/>
          <w:lang w:eastAsia="zh-CN"/>
        </w:rPr>
        <w:t>2026年9月11日 10:00</w:t>
      </w:r>
      <w:r>
        <w:rPr>
          <w:rFonts w:hint="eastAsia" w:ascii="宋体" w:hAnsi="宋体" w:cs="宋体"/>
          <w:kern w:val="0"/>
          <w:szCs w:val="21"/>
        </w:rPr>
        <w:t>（北京时间）前递交投标文件。</w:t>
      </w:r>
    </w:p>
    <w:bookmarkEnd w:id="1"/>
    <w:bookmarkEnd w:id="2"/>
    <w:bookmarkEnd w:id="3"/>
    <w:bookmarkEnd w:id="4"/>
    <w:bookmarkEnd w:id="5"/>
    <w:p>
      <w:pPr>
        <w:pStyle w:val="50"/>
        <w:spacing w:before="255" w:beforeAutospacing="0" w:after="255" w:afterAutospacing="0" w:line="300" w:lineRule="atLeast"/>
        <w:jc w:val="both"/>
        <w:rPr>
          <w:rFonts w:cs="宋体"/>
          <w:sz w:val="21"/>
          <w:szCs w:val="21"/>
        </w:rPr>
      </w:pPr>
      <w:bookmarkStart w:id="6" w:name="_Toc28359009"/>
      <w:bookmarkStart w:id="7" w:name="_Toc28359086"/>
      <w:r>
        <w:rPr>
          <w:rStyle w:val="58"/>
          <w:rFonts w:hint="eastAsia" w:cs="宋体"/>
          <w:sz w:val="21"/>
          <w:szCs w:val="21"/>
        </w:rPr>
        <w:t>一、项目基本情况</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项目编号：</w:t>
      </w:r>
      <w:r>
        <w:rPr>
          <w:rFonts w:hint="eastAsia" w:cs="宋体"/>
          <w:sz w:val="21"/>
          <w:szCs w:val="21"/>
          <w:lang w:val="en" w:eastAsia="zh-CN"/>
        </w:rPr>
        <w:t>GXZC2026-G1-002393-JYZX</w:t>
      </w:r>
      <w:r>
        <w:rPr>
          <w:rFonts w:hint="eastAsia" w:cs="宋体"/>
          <w:sz w:val="21"/>
          <w:szCs w:val="21"/>
        </w:rPr>
        <w:t> </w:t>
      </w:r>
    </w:p>
    <w:p>
      <w:pPr>
        <w:pStyle w:val="50"/>
        <w:spacing w:before="75" w:beforeAutospacing="0" w:after="75" w:afterAutospacing="0" w:line="300" w:lineRule="atLeast"/>
        <w:rPr>
          <w:rFonts w:cs="宋体"/>
          <w:sz w:val="21"/>
          <w:szCs w:val="18"/>
          <w:lang w:val="en"/>
        </w:rPr>
      </w:pPr>
      <w:r>
        <w:rPr>
          <w:rFonts w:hint="eastAsia" w:cs="宋体"/>
          <w:sz w:val="21"/>
          <w:szCs w:val="21"/>
        </w:rPr>
        <w:t xml:space="preserve">    项目名称：</w:t>
      </w:r>
      <w:r>
        <w:rPr>
          <w:rFonts w:hint="default" w:cs="宋体"/>
          <w:b w:val="0"/>
          <w:sz w:val="21"/>
          <w:szCs w:val="18"/>
          <w:lang w:val="en"/>
        </w:rPr>
        <w:t>2025年广西大型医用设备(</w:t>
      </w:r>
      <w:r>
        <w:rPr>
          <w:rFonts w:hint="eastAsia" w:cs="宋体"/>
          <w:b w:val="0"/>
          <w:sz w:val="21"/>
          <w:szCs w:val="18"/>
          <w:lang w:val="en" w:eastAsia="zh"/>
        </w:rPr>
        <w:t>医用直线加速器</w:t>
      </w:r>
      <w:r>
        <w:rPr>
          <w:rFonts w:hint="default" w:cs="宋体"/>
          <w:b w:val="0"/>
          <w:sz w:val="21"/>
          <w:szCs w:val="18"/>
          <w:lang w:val="en"/>
        </w:rPr>
        <w:t>)集中采购</w:t>
      </w:r>
    </w:p>
    <w:p>
      <w:pPr>
        <w:pStyle w:val="50"/>
        <w:spacing w:before="75" w:beforeAutospacing="0" w:after="75" w:afterAutospacing="0" w:line="300" w:lineRule="atLeast"/>
        <w:rPr>
          <w:rFonts w:cs="宋体"/>
          <w:sz w:val="21"/>
          <w:szCs w:val="21"/>
        </w:rPr>
      </w:pPr>
      <w:r>
        <w:rPr>
          <w:rFonts w:hint="eastAsia" w:cs="宋体"/>
          <w:sz w:val="21"/>
          <w:szCs w:val="21"/>
        </w:rPr>
        <w:t xml:space="preserve">    预算总金额（元）</w:t>
      </w:r>
      <w:r>
        <w:rPr>
          <w:rFonts w:hint="eastAsia" w:cs="宋体"/>
          <w:sz w:val="21"/>
          <w:szCs w:val="21"/>
          <w:lang w:eastAsia="zh-CN"/>
        </w:rPr>
        <w:t>：</w:t>
      </w:r>
      <w:r>
        <w:rPr>
          <w:rFonts w:hint="eastAsia" w:cs="宋体"/>
          <w:sz w:val="21"/>
          <w:szCs w:val="21"/>
          <w:highlight w:val="none"/>
          <w:lang w:val="en-US" w:eastAsia="zh-CN"/>
        </w:rPr>
        <w:t>7600</w:t>
      </w:r>
      <w:r>
        <w:rPr>
          <w:rFonts w:hint="eastAsia" w:cs="宋体"/>
          <w:sz w:val="21"/>
          <w:szCs w:val="21"/>
          <w:highlight w:val="none"/>
          <w:lang w:val="en-US" w:eastAsia="zh"/>
        </w:rPr>
        <w:t>0000</w:t>
      </w:r>
    </w:p>
    <w:p>
      <w:pPr>
        <w:pStyle w:val="50"/>
        <w:spacing w:before="75" w:beforeAutospacing="0" w:after="75" w:afterAutospacing="0" w:line="300" w:lineRule="atLeast"/>
        <w:rPr>
          <w:rFonts w:cs="宋体"/>
          <w:sz w:val="21"/>
          <w:szCs w:val="21"/>
        </w:rPr>
      </w:pPr>
      <w:r>
        <w:rPr>
          <w:rFonts w:hint="eastAsia" w:cs="宋体"/>
          <w:sz w:val="21"/>
          <w:szCs w:val="21"/>
        </w:rPr>
        <w:t xml:space="preserve">    采购需求：</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标项一</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医用直线加速器(分标1)</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CN"/>
        </w:rPr>
        <w:t>30000000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医用直线加速器</w:t>
      </w:r>
      <w:r>
        <w:rPr>
          <w:rFonts w:hint="eastAsia" w:cs="宋体"/>
          <w:sz w:val="21"/>
          <w:szCs w:val="21"/>
          <w:shd w:val="clear"/>
          <w:lang w:val="en-US" w:eastAsia="zh-CN"/>
        </w:rPr>
        <w:t xml:space="preserve"> 1套</w:t>
      </w:r>
      <w:r>
        <w:rPr>
          <w:rFonts w:hint="eastAsia" w:cs="宋体"/>
          <w:sz w:val="21"/>
          <w:szCs w:val="21"/>
          <w:shd w:val="clear"/>
        </w:rPr>
        <w:t>。</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30000000</w:t>
      </w:r>
      <w:r>
        <w:rPr>
          <w:rFonts w:hint="eastAsia" w:cs="宋体"/>
          <w:sz w:val="21"/>
          <w:szCs w:val="21"/>
          <w:lang w:val="en-US" w:eastAsia="zh-CN"/>
        </w:rPr>
        <w:t>.00元</w:t>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合同履约期限：</w:t>
      </w:r>
      <w:r>
        <w:rPr>
          <w:rFonts w:hint="eastAsia" w:ascii="宋体" w:hAnsi="宋体" w:eastAsia="宋体" w:cs="宋体"/>
          <w:sz w:val="21"/>
          <w:szCs w:val="21"/>
          <w:shd w:val="clear"/>
        </w:rPr>
        <w:t>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w:t>
      </w:r>
      <w:r>
        <w:rPr>
          <w:rFonts w:hint="eastAsia" w:ascii="宋体" w:hAnsi="宋体" w:eastAsia="宋体" w:cs="宋体"/>
          <w:sz w:val="21"/>
          <w:szCs w:val="21"/>
          <w:shd w:val="clear"/>
        </w:rPr>
        <w:t>否</w:t>
      </w:r>
      <w:r>
        <w:rPr>
          <w:rFonts w:hint="eastAsia" w:cs="宋体"/>
          <w:sz w:val="21"/>
          <w:szCs w:val="21"/>
          <w:shd w:val="clear"/>
        </w:rPr>
        <w:t>）接受联合体投标</w:t>
      </w:r>
      <w:r>
        <w:rPr>
          <w:rFonts w:hint="eastAsia" w:cs="宋体"/>
          <w:sz w:val="21"/>
          <w:szCs w:val="21"/>
          <w:shd w:val="clear"/>
        </w:rPr>
        <w:br w:type="textWrapping"/>
      </w:r>
      <w:r>
        <w:rPr>
          <w:rFonts w:hint="eastAsia" w:cs="宋体"/>
          <w:sz w:val="21"/>
          <w:szCs w:val="21"/>
          <w:shd w:val="clear"/>
        </w:rPr>
        <w:t xml:space="preserve">  </w:t>
      </w:r>
    </w:p>
    <w:p>
      <w:pPr>
        <w:pStyle w:val="50"/>
        <w:spacing w:before="75" w:beforeAutospacing="0" w:after="75" w:afterAutospacing="0" w:line="300" w:lineRule="atLeast"/>
        <w:ind w:firstLine="420" w:firstLineChars="200"/>
        <w:rPr>
          <w:rFonts w:hint="eastAsia" w:eastAsia="宋体" w:cs="宋体"/>
          <w:sz w:val="21"/>
          <w:szCs w:val="21"/>
          <w:shd w:val="clear"/>
          <w:lang w:val="en-US" w:eastAsia="zh-CN"/>
        </w:rPr>
      </w:pPr>
      <w:r>
        <w:rPr>
          <w:rFonts w:hint="eastAsia" w:cs="宋体"/>
          <w:sz w:val="21"/>
          <w:szCs w:val="21"/>
          <w:shd w:val="clear"/>
        </w:rPr>
        <w:t>标项二</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医用直线加速器(分标2)</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预算金额（元）</w:t>
      </w:r>
      <w:r>
        <w:rPr>
          <w:rFonts w:hint="eastAsia" w:cs="宋体"/>
          <w:sz w:val="21"/>
          <w:szCs w:val="21"/>
          <w:shd w:val="clear"/>
          <w:lang w:eastAsia="zh-CN"/>
        </w:rPr>
        <w:t>：</w:t>
      </w:r>
      <w:r>
        <w:rPr>
          <w:rFonts w:hint="eastAsia" w:cs="宋体"/>
          <w:sz w:val="21"/>
          <w:szCs w:val="21"/>
          <w:shd w:val="clear"/>
          <w:lang w:val="en-US" w:eastAsia="zh"/>
        </w:rPr>
        <w:t>2500</w:t>
      </w:r>
      <w:r>
        <w:rPr>
          <w:rFonts w:hint="eastAsia" w:cs="宋体"/>
          <w:sz w:val="21"/>
          <w:szCs w:val="21"/>
          <w:shd w:val="clear"/>
          <w:lang w:val="en-US" w:eastAsia="zh-CN"/>
        </w:rPr>
        <w:t>0000</w:t>
      </w:r>
      <w:r>
        <w:rPr>
          <w:rFonts w:hint="eastAsia" w:cs="宋体"/>
          <w:sz w:val="21"/>
          <w:szCs w:val="21"/>
          <w:highlight w:val="yellow"/>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医用直线加速器</w:t>
      </w:r>
      <w:r>
        <w:rPr>
          <w:rFonts w:hint="eastAsia" w:cs="宋体"/>
          <w:sz w:val="21"/>
          <w:szCs w:val="21"/>
          <w:shd w:val="clear"/>
          <w:lang w:val="en-US" w:eastAsia="zh-CN"/>
        </w:rPr>
        <w:t xml:space="preserve"> 1套</w:t>
      </w:r>
      <w:r>
        <w:rPr>
          <w:rFonts w:hint="eastAsia" w:cs="宋体"/>
          <w:sz w:val="21"/>
          <w:szCs w:val="21"/>
          <w:shd w:val="clear"/>
        </w:rPr>
        <w:t>。</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25000000.00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line="300" w:lineRule="atLeast"/>
        <w:rPr>
          <w:rFonts w:hint="eastAsia" w:cs="宋体"/>
          <w:sz w:val="21"/>
          <w:szCs w:val="21"/>
          <w:shd w:val="clear"/>
          <w:lang w:val="en-US" w:eastAsia="zh-CN"/>
        </w:rPr>
      </w:pPr>
      <w:r>
        <w:rPr>
          <w:rFonts w:hint="eastAsia" w:cs="宋体"/>
          <w:sz w:val="21"/>
          <w:szCs w:val="21"/>
          <w:shd w:val="clear"/>
          <w:lang w:val="en-US" w:eastAsia="zh-CN"/>
        </w:rPr>
        <w:t xml:space="preserve">  </w:t>
      </w:r>
    </w:p>
    <w:p>
      <w:pPr>
        <w:pStyle w:val="50"/>
        <w:spacing w:before="75" w:beforeAutospacing="0" w:after="75" w:afterAutospacing="0" w:line="300" w:lineRule="atLeast"/>
        <w:ind w:firstLine="420" w:firstLineChars="200"/>
        <w:rPr>
          <w:rFonts w:cs="宋体"/>
          <w:sz w:val="21"/>
          <w:szCs w:val="21"/>
        </w:rPr>
      </w:pPr>
      <w:r>
        <w:rPr>
          <w:rFonts w:hint="eastAsia" w:cs="宋体"/>
          <w:sz w:val="21"/>
          <w:szCs w:val="21"/>
          <w:shd w:val="clear"/>
        </w:rPr>
        <w:t>标项</w:t>
      </w:r>
      <w:r>
        <w:rPr>
          <w:rFonts w:hint="eastAsia" w:cs="宋体"/>
          <w:sz w:val="21"/>
          <w:szCs w:val="21"/>
          <w:shd w:val="clear"/>
          <w:lang w:eastAsia="zh-CN"/>
        </w:rPr>
        <w:t>三</w:t>
      </w:r>
      <w:r>
        <w:rPr>
          <w:rFonts w:hint="eastAsia" w:cs="宋体"/>
          <w:sz w:val="21"/>
          <w:szCs w:val="21"/>
          <w:shd w:val="clear"/>
        </w:rPr>
        <w:br w:type="textWrapping"/>
      </w:r>
      <w:r>
        <w:rPr>
          <w:rFonts w:hint="eastAsia" w:cs="宋体"/>
          <w:sz w:val="21"/>
          <w:szCs w:val="21"/>
          <w:shd w:val="clear"/>
        </w:rPr>
        <w:t xml:space="preserve">    标项名称：</w:t>
      </w:r>
      <w:r>
        <w:rPr>
          <w:rFonts w:hint="eastAsia" w:cs="宋体"/>
          <w:b w:val="0"/>
          <w:bCs w:val="0"/>
          <w:sz w:val="21"/>
          <w:szCs w:val="21"/>
          <w:lang w:eastAsia="zh"/>
        </w:rPr>
        <w:t>医用直线加速器(分标</w:t>
      </w:r>
      <w:r>
        <w:rPr>
          <w:rFonts w:hint="eastAsia" w:cs="宋体"/>
          <w:b w:val="0"/>
          <w:bCs w:val="0"/>
          <w:sz w:val="21"/>
          <w:szCs w:val="21"/>
          <w:lang w:val="en-US" w:eastAsia="zh"/>
        </w:rPr>
        <w:t>3</w:t>
      </w:r>
      <w:r>
        <w:rPr>
          <w:rFonts w:hint="eastAsia" w:cs="宋体"/>
          <w:b w:val="0"/>
          <w:bCs w:val="0"/>
          <w:sz w:val="21"/>
          <w:szCs w:val="21"/>
          <w:lang w:eastAsia="zh"/>
        </w:rPr>
        <w:t>)</w:t>
      </w:r>
      <w:r>
        <w:rPr>
          <w:rFonts w:hint="eastAsia" w:cs="宋体"/>
          <w:sz w:val="21"/>
          <w:szCs w:val="21"/>
          <w:shd w:val="clear"/>
        </w:rPr>
        <w:br w:type="textWrapping"/>
      </w:r>
      <w:r>
        <w:rPr>
          <w:rFonts w:hint="eastAsia" w:cs="宋体"/>
          <w:sz w:val="21"/>
          <w:szCs w:val="21"/>
          <w:shd w:val="clear"/>
        </w:rPr>
        <w:t xml:space="preserve">    数量:</w:t>
      </w:r>
      <w:r>
        <w:rPr>
          <w:rFonts w:hint="eastAsia" w:cs="宋体"/>
          <w:sz w:val="21"/>
          <w:szCs w:val="21"/>
          <w:shd w:val="clear"/>
          <w:lang w:val="en-US" w:eastAsia="zh-CN"/>
        </w:rPr>
        <w:t>1</w:t>
      </w:r>
      <w:r>
        <w:rPr>
          <w:rFonts w:hint="eastAsia" w:cs="宋体"/>
          <w:sz w:val="21"/>
          <w:szCs w:val="21"/>
          <w:shd w:val="clear"/>
        </w:rPr>
        <w:br w:type="textWrapping"/>
      </w:r>
      <w:r>
        <w:rPr>
          <w:rFonts w:hint="eastAsia" w:cs="宋体"/>
          <w:sz w:val="21"/>
          <w:szCs w:val="21"/>
          <w:shd w:val="clear"/>
        </w:rPr>
        <w:t xml:space="preserve">    预算金额（元）</w:t>
      </w:r>
      <w:r>
        <w:rPr>
          <w:rFonts w:hint="eastAsia" w:cs="宋体"/>
          <w:sz w:val="21"/>
          <w:szCs w:val="21"/>
          <w:shd w:val="clear"/>
          <w:lang w:eastAsia="zh-CN"/>
        </w:rPr>
        <w:t>：</w:t>
      </w:r>
      <w:r>
        <w:rPr>
          <w:rFonts w:hint="eastAsia" w:cs="宋体"/>
          <w:sz w:val="21"/>
          <w:szCs w:val="21"/>
          <w:highlight w:val="none"/>
          <w:shd w:val="clear"/>
          <w:lang w:val="en-US" w:eastAsia="zh-CN"/>
        </w:rPr>
        <w:t>21000000</w:t>
      </w:r>
      <w:r>
        <w:rPr>
          <w:rFonts w:hint="eastAsia" w:cs="宋体"/>
          <w:sz w:val="21"/>
          <w:szCs w:val="21"/>
          <w:shd w:val="clear"/>
        </w:rPr>
        <w:br w:type="textWrapping"/>
      </w:r>
      <w:r>
        <w:rPr>
          <w:rFonts w:hint="eastAsia" w:cs="宋体"/>
          <w:sz w:val="21"/>
          <w:szCs w:val="21"/>
          <w:shd w:val="clear"/>
        </w:rPr>
        <w:t xml:space="preserve">    简要规格描述或项目基本概况介绍、用途：</w:t>
      </w:r>
      <w:r>
        <w:rPr>
          <w:rFonts w:hint="eastAsia" w:cs="宋体"/>
          <w:b w:val="0"/>
          <w:bCs w:val="0"/>
          <w:sz w:val="21"/>
          <w:szCs w:val="21"/>
          <w:lang w:eastAsia="zh"/>
        </w:rPr>
        <w:t>医用直线加速器</w:t>
      </w:r>
      <w:r>
        <w:rPr>
          <w:rFonts w:hint="eastAsia" w:cs="宋体"/>
          <w:b w:val="0"/>
          <w:bCs w:val="0"/>
          <w:sz w:val="21"/>
          <w:szCs w:val="21"/>
          <w:lang w:val="en-US" w:eastAsia="zh"/>
        </w:rPr>
        <w:t xml:space="preserve"> </w:t>
      </w:r>
      <w:r>
        <w:rPr>
          <w:rFonts w:hint="eastAsia" w:cs="宋体"/>
          <w:b w:val="0"/>
          <w:bCs w:val="0"/>
          <w:sz w:val="21"/>
          <w:szCs w:val="21"/>
          <w:lang w:val="en-US" w:eastAsia="zh-CN"/>
        </w:rPr>
        <w:t>1套</w:t>
      </w:r>
      <w:r>
        <w:rPr>
          <w:rFonts w:hint="eastAsia" w:cs="宋体"/>
          <w:sz w:val="21"/>
          <w:szCs w:val="21"/>
          <w:shd w:val="clear"/>
        </w:rPr>
        <w:t>。</w:t>
      </w:r>
    </w:p>
    <w:p>
      <w:pPr>
        <w:pStyle w:val="50"/>
        <w:spacing w:before="75" w:beforeAutospacing="0" w:after="75" w:afterAutospacing="0" w:line="300" w:lineRule="atLeast"/>
        <w:rPr>
          <w:rFonts w:hint="eastAsia" w:eastAsia="宋体" w:cs="宋体"/>
          <w:sz w:val="21"/>
          <w:szCs w:val="21"/>
          <w:shd w:val="clear"/>
          <w:lang w:val="en-US" w:eastAsia="zh-CN"/>
        </w:rPr>
      </w:pPr>
      <w:r>
        <w:rPr>
          <w:rFonts w:hint="eastAsia" w:cs="宋体"/>
          <w:sz w:val="21"/>
          <w:szCs w:val="21"/>
          <w:shd w:val="clear"/>
        </w:rPr>
        <w:t xml:space="preserve">    最高限价（</w:t>
      </w:r>
      <w:r>
        <w:rPr>
          <w:rFonts w:hint="eastAsia" w:cs="宋体"/>
          <w:sz w:val="21"/>
          <w:szCs w:val="21"/>
          <w:shd w:val="clear"/>
          <w:lang w:val="en-US" w:eastAsia="zh-CN"/>
        </w:rPr>
        <w:t>如有</w:t>
      </w:r>
      <w:r>
        <w:rPr>
          <w:rFonts w:hint="eastAsia" w:cs="宋体"/>
          <w:sz w:val="21"/>
          <w:szCs w:val="21"/>
          <w:shd w:val="clear"/>
        </w:rPr>
        <w:t>）：</w:t>
      </w:r>
      <w:r>
        <w:rPr>
          <w:rFonts w:hint="eastAsia" w:cs="宋体"/>
          <w:sz w:val="21"/>
          <w:szCs w:val="21"/>
          <w:shd w:val="clear"/>
          <w:lang w:val="en-US" w:eastAsia="zh-CN"/>
        </w:rPr>
        <w:t>21000000.00</w:t>
      </w:r>
      <w:r>
        <w:rPr>
          <w:rFonts w:hint="eastAsia" w:cs="宋体"/>
          <w:sz w:val="21"/>
          <w:szCs w:val="21"/>
          <w:lang w:val="en-US" w:eastAsia="zh-CN"/>
        </w:rPr>
        <w:t>元</w:t>
      </w:r>
    </w:p>
    <w:p>
      <w:pPr>
        <w:pStyle w:val="50"/>
        <w:spacing w:before="75" w:beforeAutospacing="0" w:after="75" w:afterAutospacing="0" w:line="300" w:lineRule="atLeast"/>
        <w:rPr>
          <w:rFonts w:hint="eastAsia" w:cs="宋体"/>
          <w:sz w:val="21"/>
          <w:szCs w:val="21"/>
          <w:shd w:val="clear"/>
        </w:rPr>
      </w:pPr>
      <w:r>
        <w:rPr>
          <w:rFonts w:hint="eastAsia" w:cs="宋体"/>
          <w:sz w:val="21"/>
          <w:szCs w:val="21"/>
          <w:shd w:val="clear"/>
        </w:rPr>
        <w:t xml:space="preserve">    合同履约期限：自合同签订之日起至合同履约完成之日。</w:t>
      </w:r>
    </w:p>
    <w:p>
      <w:pPr>
        <w:pStyle w:val="50"/>
        <w:spacing w:before="75" w:beforeAutospacing="0" w:after="75" w:afterAutospacing="0" w:line="300" w:lineRule="atLeast"/>
        <w:ind w:firstLine="420" w:firstLineChars="200"/>
        <w:rPr>
          <w:rFonts w:hint="eastAsia" w:cs="宋体"/>
          <w:sz w:val="21"/>
          <w:szCs w:val="21"/>
          <w:shd w:val="clear"/>
        </w:rPr>
      </w:pPr>
      <w:r>
        <w:rPr>
          <w:rFonts w:hint="eastAsia" w:cs="宋体"/>
          <w:sz w:val="21"/>
          <w:szCs w:val="21"/>
          <w:shd w:val="clear"/>
        </w:rPr>
        <w:t>本标项（否）接受联合体投标</w:t>
      </w:r>
    </w:p>
    <w:p>
      <w:pPr>
        <w:pStyle w:val="50"/>
        <w:spacing w:before="75" w:beforeAutospacing="0" w:after="75" w:afterAutospacing="0"/>
        <w:ind w:firstLine="420"/>
        <w:rPr>
          <w:rFonts w:hint="eastAsia" w:cs="宋体"/>
          <w:sz w:val="21"/>
          <w:szCs w:val="21"/>
          <w:shd w:val="clear" w:color="auto" w:fill="F7F7F7"/>
        </w:rPr>
      </w:pPr>
    </w:p>
    <w:p>
      <w:pPr>
        <w:pStyle w:val="50"/>
        <w:spacing w:before="75" w:beforeAutospacing="0" w:after="75" w:afterAutospacing="0" w:line="300" w:lineRule="atLeast"/>
        <w:rPr>
          <w:rFonts w:cs="宋体"/>
          <w:sz w:val="21"/>
          <w:szCs w:val="21"/>
        </w:rPr>
      </w:pPr>
      <w:r>
        <w:rPr>
          <w:rStyle w:val="58"/>
          <w:rFonts w:hint="eastAsia" w:cs="宋体"/>
          <w:sz w:val="21"/>
          <w:szCs w:val="21"/>
        </w:rPr>
        <w:t>二、申请人的资格要求：</w:t>
      </w:r>
    </w:p>
    <w:p>
      <w:pPr>
        <w:pStyle w:val="50"/>
        <w:spacing w:before="75" w:beforeAutospacing="0" w:after="75" w:afterAutospacing="0" w:line="300" w:lineRule="atLeast"/>
        <w:rPr>
          <w:rFonts w:cs="宋体"/>
          <w:sz w:val="21"/>
          <w:szCs w:val="21"/>
        </w:rPr>
      </w:pPr>
      <w:r>
        <w:rPr>
          <w:rFonts w:hint="eastAsia" w:cs="宋体"/>
          <w:sz w:val="21"/>
          <w:szCs w:val="21"/>
        </w:rPr>
        <w:t xml:space="preserve">   1.满足《中华人民共和国政府采购法》第二十二条规定；</w:t>
      </w:r>
    </w:p>
    <w:p>
      <w:pPr>
        <w:pStyle w:val="50"/>
        <w:spacing w:before="75" w:beforeAutospacing="0" w:after="75" w:afterAutospacing="0" w:line="300" w:lineRule="atLeast"/>
        <w:rPr>
          <w:rStyle w:val="351"/>
          <w:rFonts w:cs="宋体"/>
          <w:sz w:val="21"/>
          <w:szCs w:val="21"/>
        </w:rPr>
      </w:pPr>
      <w:r>
        <w:rPr>
          <w:rFonts w:hint="eastAsia" w:cs="宋体"/>
          <w:sz w:val="21"/>
          <w:szCs w:val="21"/>
        </w:rPr>
        <w:t xml:space="preserve">   2.落实政府采购政策需满足的资格要求：</w:t>
      </w:r>
      <w:r>
        <w:rPr>
          <w:rFonts w:hint="eastAsia" w:cs="宋体"/>
          <w:sz w:val="21"/>
          <w:szCs w:val="21"/>
          <w:lang w:val="en-US" w:eastAsia="zh-CN"/>
        </w:rPr>
        <w:t>分标1、2、3：无</w:t>
      </w:r>
    </w:p>
    <w:p>
      <w:pPr>
        <w:pStyle w:val="50"/>
        <w:spacing w:before="75" w:beforeAutospacing="0" w:after="75" w:afterAutospacing="0" w:line="300" w:lineRule="atLeast"/>
        <w:rPr>
          <w:rFonts w:hint="eastAsia" w:cs="宋体"/>
          <w:sz w:val="21"/>
          <w:szCs w:val="21"/>
        </w:rPr>
      </w:pPr>
      <w:r>
        <w:rPr>
          <w:rFonts w:hint="eastAsia" w:cs="宋体"/>
          <w:sz w:val="21"/>
          <w:szCs w:val="21"/>
        </w:rPr>
        <w:t xml:space="preserve">   3.本项目的特定资格要求：</w:t>
      </w:r>
    </w:p>
    <w:p>
      <w:pPr>
        <w:pStyle w:val="50"/>
        <w:spacing w:before="75" w:beforeAutospacing="0" w:after="75" w:afterAutospacing="0" w:line="300" w:lineRule="atLeast"/>
        <w:ind w:firstLine="420" w:firstLineChars="200"/>
        <w:rPr>
          <w:rFonts w:hint="eastAsia" w:cs="宋体"/>
          <w:sz w:val="21"/>
          <w:szCs w:val="21"/>
        </w:rPr>
      </w:pPr>
      <w:r>
        <w:rPr>
          <w:rFonts w:hint="eastAsia" w:cs="宋体"/>
          <w:sz w:val="21"/>
          <w:szCs w:val="21"/>
          <w:lang w:val="en-US" w:eastAsia="zh-CN"/>
        </w:rPr>
        <w:t>分标1</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p>
    <w:p>
      <w:pPr>
        <w:pStyle w:val="50"/>
        <w:spacing w:before="75" w:beforeAutospacing="0" w:after="75" w:afterAutospacing="0" w:line="300" w:lineRule="atLeast"/>
        <w:ind w:firstLine="420" w:firstLineChars="200"/>
        <w:rPr>
          <w:rFonts w:hint="eastAsia" w:cs="宋体"/>
          <w:sz w:val="21"/>
          <w:szCs w:val="21"/>
          <w:lang w:eastAsia="zh-CN"/>
        </w:rPr>
      </w:pPr>
      <w:r>
        <w:rPr>
          <w:rFonts w:hint="eastAsia" w:cs="宋体"/>
          <w:sz w:val="21"/>
          <w:szCs w:val="21"/>
        </w:rPr>
        <w:t>进口产品生产企业在我国境内的注册代理人可直接投标或授权一家国内代理商（提供有效的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；代理商投标须提供生产企业或注册代理人开具的授权书）代理投标，视同为生产企业。</w:t>
      </w:r>
      <w:r>
        <w:rPr>
          <w:rFonts w:hint="eastAsia" w:cs="宋体"/>
          <w:sz w:val="21"/>
          <w:szCs w:val="21"/>
          <w:lang w:eastAsia="zh-CN"/>
        </w:rPr>
        <w:t>（</w:t>
      </w:r>
      <w:r>
        <w:rPr>
          <w:rFonts w:hint="eastAsia" w:cs="宋体"/>
          <w:sz w:val="21"/>
          <w:szCs w:val="21"/>
          <w:lang w:val="en-US" w:eastAsia="zh-CN"/>
        </w:rPr>
        <w:t>若投标产品已免于辐射安全监管并进行豁免备案，供应商仅需提供备案证明。</w:t>
      </w:r>
      <w:r>
        <w:rPr>
          <w:rFonts w:hint="eastAsia" w:cs="宋体"/>
          <w:sz w:val="21"/>
          <w:szCs w:val="21"/>
          <w:lang w:eastAsia="zh-CN"/>
        </w:rPr>
        <w:t>）</w:t>
      </w:r>
    </w:p>
    <w:p>
      <w:pPr>
        <w:pStyle w:val="50"/>
        <w:spacing w:before="75" w:beforeAutospacing="0" w:after="75" w:afterAutospacing="0" w:line="300" w:lineRule="atLeast"/>
        <w:ind w:firstLine="420" w:firstLineChars="200"/>
        <w:rPr>
          <w:rFonts w:hint="eastAsia" w:cs="宋体"/>
          <w:sz w:val="21"/>
          <w:szCs w:val="21"/>
        </w:rPr>
      </w:pPr>
      <w:r>
        <w:rPr>
          <w:rFonts w:hint="eastAsia" w:cs="宋体"/>
          <w:sz w:val="21"/>
          <w:szCs w:val="21"/>
          <w:lang w:val="en-US" w:eastAsia="zh-CN"/>
        </w:rPr>
        <w:t>分标2</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p>
    <w:p>
      <w:pPr>
        <w:pStyle w:val="50"/>
        <w:spacing w:before="75" w:beforeAutospacing="0" w:after="75" w:afterAutospacing="0" w:line="300" w:lineRule="atLeast"/>
        <w:ind w:firstLine="420" w:firstLineChars="200"/>
        <w:rPr>
          <w:rFonts w:hint="eastAsia" w:cs="宋体"/>
          <w:sz w:val="21"/>
          <w:szCs w:val="21"/>
          <w:lang w:eastAsia="zh-CN"/>
        </w:rPr>
      </w:pPr>
      <w:r>
        <w:rPr>
          <w:rFonts w:hint="eastAsia" w:cs="宋体"/>
          <w:sz w:val="21"/>
          <w:szCs w:val="21"/>
        </w:rPr>
        <w:t>进口产品生产企业在我国境内的注册代理人可直接投标或授权一家国内代理商（提供有效的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；代理商投标须提供生产企业或注册代理人开具的授权书）代理投标，视同为生产企业。</w:t>
      </w:r>
      <w:r>
        <w:rPr>
          <w:rFonts w:hint="eastAsia" w:cs="宋体"/>
          <w:sz w:val="21"/>
          <w:szCs w:val="21"/>
          <w:lang w:eastAsia="zh-CN"/>
        </w:rPr>
        <w:t>（</w:t>
      </w:r>
      <w:r>
        <w:rPr>
          <w:rFonts w:hint="eastAsia" w:cs="宋体"/>
          <w:sz w:val="21"/>
          <w:szCs w:val="21"/>
          <w:lang w:val="en-US" w:eastAsia="zh-CN"/>
        </w:rPr>
        <w:t>若投标产品已免于辐射安全监管并进行豁免备案，供应商仅需提供备案证明。</w:t>
      </w:r>
      <w:r>
        <w:rPr>
          <w:rFonts w:hint="eastAsia" w:cs="宋体"/>
          <w:sz w:val="21"/>
          <w:szCs w:val="21"/>
          <w:lang w:eastAsia="zh-CN"/>
        </w:rPr>
        <w:t>）</w:t>
      </w:r>
    </w:p>
    <w:p>
      <w:pPr>
        <w:pStyle w:val="50"/>
        <w:spacing w:before="75" w:beforeAutospacing="0" w:after="75" w:afterAutospacing="0" w:line="300" w:lineRule="atLeast"/>
        <w:ind w:firstLine="420" w:firstLineChars="200"/>
        <w:jc w:val="left"/>
        <w:rPr>
          <w:rFonts w:hint="eastAsia" w:cs="宋体"/>
          <w:sz w:val="21"/>
          <w:szCs w:val="21"/>
          <w:lang w:eastAsia="zh-CN"/>
        </w:rPr>
      </w:pPr>
      <w:r>
        <w:rPr>
          <w:rFonts w:hint="eastAsia" w:cs="宋体"/>
          <w:sz w:val="21"/>
          <w:szCs w:val="21"/>
          <w:lang w:val="en-US" w:eastAsia="zh-CN"/>
        </w:rPr>
        <w:t>分标3</w:t>
      </w:r>
      <w:r>
        <w:rPr>
          <w:rFonts w:hint="eastAsia" w:cs="宋体"/>
          <w:sz w:val="21"/>
          <w:szCs w:val="21"/>
        </w:rPr>
        <w:t>供应商为取得所投产品</w:t>
      </w:r>
      <w:r>
        <w:rPr>
          <w:rFonts w:hint="eastAsia" w:cs="宋体"/>
          <w:sz w:val="21"/>
          <w:szCs w:val="21"/>
          <w:lang w:eastAsia="zh-CN"/>
        </w:rPr>
        <w:t>有效的</w:t>
      </w:r>
      <w:r>
        <w:rPr>
          <w:rFonts w:hint="eastAsia" w:cs="宋体"/>
          <w:b/>
          <w:bCs/>
          <w:sz w:val="21"/>
          <w:szCs w:val="21"/>
        </w:rPr>
        <w:t>医疗器械生产许可证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的生产企业；生产企业（或生产企业所在的集团公司）在中国关境内设立的具有独立法人资格的仅销售本生产企业（或生产企业所在的集团公司）产品的贸易公司（提供加盖公章的</w:t>
      </w:r>
      <w:r>
        <w:rPr>
          <w:rFonts w:hint="eastAsia" w:cs="宋体"/>
          <w:b/>
          <w:bCs/>
          <w:sz w:val="21"/>
          <w:szCs w:val="21"/>
        </w:rPr>
        <w:t>关系证明材料</w:t>
      </w:r>
      <w:r>
        <w:rPr>
          <w:rFonts w:hint="eastAsia" w:cs="宋体"/>
          <w:sz w:val="21"/>
          <w:szCs w:val="21"/>
          <w:lang w:eastAsia="zh-CN"/>
        </w:rPr>
        <w:t>、</w:t>
      </w:r>
      <w:r>
        <w:rPr>
          <w:rFonts w:hint="eastAsia" w:cs="宋体"/>
          <w:sz w:val="21"/>
          <w:szCs w:val="21"/>
        </w:rPr>
        <w:t>有效的</w:t>
      </w:r>
      <w:r>
        <w:rPr>
          <w:rFonts w:hint="eastAsia" w:cs="宋体"/>
          <w:b/>
          <w:bCs/>
          <w:sz w:val="21"/>
          <w:szCs w:val="21"/>
        </w:rPr>
        <w:t>医疗器械经营许可证</w:t>
      </w:r>
      <w:r>
        <w:rPr>
          <w:rFonts w:hint="eastAsia" w:cs="宋体"/>
          <w:sz w:val="21"/>
          <w:szCs w:val="21"/>
          <w:lang w:eastAsia="zh-CN"/>
        </w:rPr>
        <w:t>和</w:t>
      </w:r>
      <w:r>
        <w:rPr>
          <w:rFonts w:hint="eastAsia" w:ascii="宋体" w:hAnsi="宋体" w:eastAsia="宋体" w:cs="宋体"/>
          <w:b/>
          <w:bCs/>
          <w:color w:val="auto"/>
          <w:sz w:val="21"/>
          <w:szCs w:val="21"/>
          <w:highlight w:val="none"/>
          <w:lang w:val="en-US" w:eastAsia="zh-CN"/>
        </w:rPr>
        <w:t>辐射安全许可证</w:t>
      </w:r>
      <w:r>
        <w:rPr>
          <w:rFonts w:hint="eastAsia" w:cs="宋体"/>
          <w:sz w:val="21"/>
          <w:szCs w:val="21"/>
        </w:rPr>
        <w:t>）也可以参加投标，视同为生产企业</w:t>
      </w:r>
      <w:r>
        <w:rPr>
          <w:rFonts w:hint="eastAsia" w:cs="宋体"/>
          <w:sz w:val="21"/>
          <w:szCs w:val="21"/>
          <w:lang w:eastAsia="zh-CN"/>
        </w:rPr>
        <w:t>。（</w:t>
      </w:r>
      <w:r>
        <w:rPr>
          <w:rFonts w:hint="eastAsia" w:cs="宋体"/>
          <w:sz w:val="21"/>
          <w:szCs w:val="21"/>
          <w:lang w:val="en-US" w:eastAsia="zh-CN"/>
        </w:rPr>
        <w:t>若投标产品已免于辐射安全监管并进行豁免备案，供应商仅需提供备案证明。</w:t>
      </w:r>
      <w:r>
        <w:rPr>
          <w:rFonts w:hint="eastAsia" w:cs="宋体"/>
          <w:sz w:val="21"/>
          <w:szCs w:val="21"/>
          <w:lang w:eastAsia="zh-CN"/>
        </w:rPr>
        <w:t>）</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三、获取招标文件</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时间：</w:t>
      </w:r>
      <w:r>
        <w:rPr>
          <w:rStyle w:val="184"/>
          <w:rFonts w:hint="eastAsia" w:cs="宋体"/>
          <w:b/>
          <w:bCs/>
          <w:sz w:val="21"/>
          <w:szCs w:val="21"/>
        </w:rPr>
        <w:t>202</w:t>
      </w:r>
      <w:r>
        <w:rPr>
          <w:rStyle w:val="184"/>
          <w:rFonts w:hint="eastAsia" w:cs="宋体"/>
          <w:b/>
          <w:bCs/>
          <w:sz w:val="21"/>
          <w:szCs w:val="21"/>
          <w:lang w:val="en-US" w:eastAsia="zh"/>
        </w:rPr>
        <w:t>6</w:t>
      </w:r>
      <w:r>
        <w:rPr>
          <w:rStyle w:val="184"/>
          <w:rFonts w:hint="eastAsia" w:cs="宋体"/>
          <w:b/>
          <w:bCs/>
          <w:sz w:val="21"/>
          <w:szCs w:val="21"/>
        </w:rPr>
        <w:t>年</w:t>
      </w:r>
      <w:r>
        <w:rPr>
          <w:rStyle w:val="184"/>
          <w:rFonts w:hint="eastAsia" w:cs="宋体"/>
          <w:b/>
          <w:bCs/>
          <w:sz w:val="21"/>
          <w:szCs w:val="21"/>
          <w:lang w:val="en-US" w:eastAsia="zh-CN"/>
        </w:rPr>
        <w:t>8</w:t>
      </w:r>
      <w:r>
        <w:rPr>
          <w:rStyle w:val="184"/>
          <w:rFonts w:cs="宋体"/>
          <w:b/>
          <w:bCs/>
          <w:sz w:val="21"/>
          <w:szCs w:val="21"/>
          <w:lang w:val="en"/>
        </w:rPr>
        <w:t>月</w:t>
      </w:r>
      <w:r>
        <w:rPr>
          <w:rStyle w:val="184"/>
          <w:rFonts w:hint="eastAsia" w:cs="宋体"/>
          <w:b/>
          <w:bCs/>
          <w:sz w:val="21"/>
          <w:szCs w:val="21"/>
          <w:lang w:val="en-US" w:eastAsia="zh-CN"/>
        </w:rPr>
        <w:t>21</w:t>
      </w:r>
      <w:r>
        <w:rPr>
          <w:rStyle w:val="184"/>
          <w:rFonts w:hint="eastAsia" w:cs="宋体"/>
          <w:b/>
          <w:bCs/>
          <w:sz w:val="21"/>
          <w:szCs w:val="21"/>
        </w:rPr>
        <w:t>日</w:t>
      </w:r>
      <w:r>
        <w:rPr>
          <w:rFonts w:hint="eastAsia" w:cs="宋体"/>
          <w:b/>
          <w:bCs/>
          <w:sz w:val="21"/>
          <w:szCs w:val="21"/>
        </w:rPr>
        <w:t>至</w:t>
      </w:r>
      <w:r>
        <w:rPr>
          <w:rStyle w:val="315"/>
          <w:rFonts w:hint="eastAsia" w:cs="宋体"/>
          <w:b/>
          <w:bCs/>
          <w:sz w:val="21"/>
          <w:szCs w:val="21"/>
        </w:rPr>
        <w:t>202</w:t>
      </w:r>
      <w:r>
        <w:rPr>
          <w:rStyle w:val="315"/>
          <w:rFonts w:hint="eastAsia" w:cs="宋体"/>
          <w:b/>
          <w:bCs/>
          <w:sz w:val="21"/>
          <w:szCs w:val="21"/>
          <w:lang w:val="en-US" w:eastAsia="zh"/>
        </w:rPr>
        <w:t>6</w:t>
      </w:r>
      <w:r>
        <w:rPr>
          <w:rStyle w:val="315"/>
          <w:rFonts w:hint="eastAsia" w:cs="宋体"/>
          <w:b/>
          <w:bCs/>
          <w:sz w:val="21"/>
          <w:szCs w:val="21"/>
        </w:rPr>
        <w:t>年</w:t>
      </w:r>
      <w:r>
        <w:rPr>
          <w:rStyle w:val="315"/>
          <w:rFonts w:hint="eastAsia" w:cs="宋体"/>
          <w:b/>
          <w:bCs/>
          <w:sz w:val="21"/>
          <w:szCs w:val="21"/>
          <w:lang w:val="en-US" w:eastAsia="zh-CN"/>
        </w:rPr>
        <w:t>8</w:t>
      </w:r>
      <w:r>
        <w:rPr>
          <w:rStyle w:val="315"/>
          <w:rFonts w:hint="eastAsia" w:cs="宋体"/>
          <w:b/>
          <w:bCs/>
          <w:sz w:val="21"/>
          <w:szCs w:val="21"/>
        </w:rPr>
        <w:t>月</w:t>
      </w:r>
      <w:r>
        <w:rPr>
          <w:rStyle w:val="315"/>
          <w:rFonts w:hint="eastAsia" w:cs="宋体"/>
          <w:b/>
          <w:bCs/>
          <w:sz w:val="21"/>
          <w:szCs w:val="21"/>
          <w:lang w:val="en-US" w:eastAsia="zh-CN"/>
        </w:rPr>
        <w:t>28</w:t>
      </w:r>
      <w:r>
        <w:rPr>
          <w:rStyle w:val="315"/>
          <w:rFonts w:hint="eastAsia" w:cs="宋体"/>
          <w:b/>
          <w:bCs/>
          <w:sz w:val="21"/>
          <w:szCs w:val="21"/>
        </w:rPr>
        <w:t>日</w:t>
      </w:r>
      <w:r>
        <w:rPr>
          <w:rFonts w:hint="eastAsia" w:cs="宋体"/>
          <w:b/>
          <w:bCs/>
          <w:sz w:val="21"/>
          <w:szCs w:val="21"/>
        </w:rPr>
        <w:t>，每天上午</w:t>
      </w:r>
      <w:r>
        <w:rPr>
          <w:rStyle w:val="259"/>
          <w:rFonts w:hint="eastAsia" w:cs="宋体"/>
          <w:b/>
          <w:bCs/>
          <w:sz w:val="21"/>
          <w:szCs w:val="21"/>
        </w:rPr>
        <w:t>00:00至12:00</w:t>
      </w:r>
      <w:r>
        <w:rPr>
          <w:rFonts w:hint="eastAsia" w:cs="宋体"/>
          <w:b/>
          <w:bCs/>
          <w:sz w:val="21"/>
          <w:szCs w:val="21"/>
        </w:rPr>
        <w:t>，下午</w:t>
      </w:r>
      <w:r>
        <w:rPr>
          <w:rStyle w:val="368"/>
          <w:rFonts w:hint="eastAsia" w:cs="宋体"/>
          <w:b/>
          <w:bCs/>
          <w:sz w:val="21"/>
          <w:szCs w:val="21"/>
        </w:rPr>
        <w:t>12:00至23:59</w:t>
      </w:r>
      <w:r>
        <w:rPr>
          <w:rFonts w:hint="eastAsia" w:cs="宋体"/>
          <w:b/>
          <w:bCs/>
          <w:sz w:val="21"/>
          <w:szCs w:val="21"/>
        </w:rPr>
        <w:t>（北京时间，法定节假日除外）</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地点（网址）：</w:t>
      </w:r>
      <w:r>
        <w:rPr>
          <w:rStyle w:val="159"/>
          <w:rFonts w:hint="eastAsia" w:cs="宋体"/>
          <w:sz w:val="21"/>
          <w:szCs w:val="21"/>
        </w:rPr>
        <w:t>广西政府采购云平台（网址：http://www.gcy.zfcg.gxzf.gov.cn）</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方式：</w:t>
      </w:r>
      <w:r>
        <w:rPr>
          <w:rStyle w:val="366"/>
          <w:rFonts w:hint="eastAsia" w:cs="宋体"/>
          <w:sz w:val="21"/>
          <w:szCs w:val="21"/>
        </w:rPr>
        <w:t>登录广西政府采购云平台（网址：http://www.gcy.zfcg.gxzf.gov.cn）进行报名并获取采购文件；未注册的供应商可在广西政府采购云平台完成注册后再行报名。如在操作过程中遇到问题或需技术支持，请致电政采云客服热线：95763。</w:t>
      </w:r>
      <w:r>
        <w:rPr>
          <w:rStyle w:val="366"/>
          <w:rFonts w:hint="eastAsia" w:cs="宋体"/>
          <w:sz w:val="21"/>
          <w:szCs w:val="21"/>
        </w:rPr>
        <w:br w:type="textWrapping"/>
      </w:r>
      <w:r>
        <w:rPr>
          <w:rStyle w:val="366"/>
          <w:rFonts w:hint="eastAsia" w:cs="宋体"/>
          <w:sz w:val="21"/>
          <w:szCs w:val="21"/>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lang w:val="en-US" w:eastAsia="zh-CN"/>
        </w:rPr>
        <w:t xml:space="preserve"> </w:t>
      </w:r>
      <w:r>
        <w:rPr>
          <w:rFonts w:hint="eastAsia" w:cs="宋体"/>
          <w:sz w:val="21"/>
          <w:szCs w:val="21"/>
        </w:rPr>
        <w:t>售价（元）：</w:t>
      </w:r>
      <w:r>
        <w:rPr>
          <w:rStyle w:val="227"/>
          <w:rFonts w:hint="eastAsia" w:cs="宋体"/>
          <w:sz w:val="21"/>
          <w:szCs w:val="21"/>
        </w:rPr>
        <w:t>0</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四、提交投标文件截止时间、开标时间和地点</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提交投标文件截止时间：</w:t>
      </w:r>
      <w:r>
        <w:rPr>
          <w:rStyle w:val="254"/>
          <w:rFonts w:hint="eastAsia" w:cs="宋体"/>
          <w:sz w:val="21"/>
          <w:szCs w:val="21"/>
          <w:lang w:eastAsia="zh-CN"/>
        </w:rPr>
        <w:t>2026年9月11日 10:00</w:t>
      </w:r>
      <w:r>
        <w:rPr>
          <w:rFonts w:hint="eastAsia" w:cs="宋体"/>
          <w:sz w:val="21"/>
          <w:szCs w:val="21"/>
        </w:rPr>
        <w:t>（北京时间）</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投标地点（网址）：</w:t>
      </w:r>
      <w:r>
        <w:rPr>
          <w:rStyle w:val="192"/>
          <w:rFonts w:hint="eastAsia" w:cs="宋体"/>
          <w:sz w:val="21"/>
          <w:szCs w:val="21"/>
        </w:rPr>
        <w:t>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开标时间：</w:t>
      </w:r>
      <w:r>
        <w:rPr>
          <w:rStyle w:val="254"/>
          <w:rFonts w:hint="eastAsia" w:cs="宋体"/>
          <w:sz w:val="21"/>
          <w:szCs w:val="21"/>
          <w:lang w:eastAsia="zh-CN"/>
        </w:rPr>
        <w:t>2026年9月11日 10:00</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开标地点：</w:t>
      </w:r>
      <w:r>
        <w:rPr>
          <w:rFonts w:hint="eastAsia" w:cs="宋体"/>
          <w:sz w:val="21"/>
          <w:szCs w:val="21"/>
          <w:lang w:val="en-US" w:eastAsia="zh-CN"/>
        </w:rPr>
        <w:t>广西壮族自治区南宁市青秀区星湖路22号开标楼2楼203GXJY-K203</w:t>
      </w:r>
      <w:r>
        <w:rPr>
          <w:rFonts w:hint="eastAsia" w:cs="宋体"/>
          <w:sz w:val="21"/>
          <w:szCs w:val="21"/>
        </w:rPr>
        <w:t>  </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五、公告期限</w:t>
      </w:r>
      <w:r>
        <w:rPr>
          <w:rFonts w:hint="eastAsia" w:cs="宋体"/>
          <w:sz w:val="21"/>
          <w:szCs w:val="21"/>
        </w:rPr>
        <w:t> </w:t>
      </w:r>
    </w:p>
    <w:p>
      <w:pPr>
        <w:pStyle w:val="50"/>
        <w:spacing w:before="75" w:beforeAutospacing="0" w:after="75" w:afterAutospacing="0"/>
        <w:rPr>
          <w:rFonts w:cs="宋体"/>
          <w:sz w:val="21"/>
          <w:szCs w:val="21"/>
        </w:rPr>
      </w:pPr>
      <w:r>
        <w:rPr>
          <w:rFonts w:hint="eastAsia" w:cs="宋体"/>
          <w:sz w:val="21"/>
          <w:szCs w:val="21"/>
        </w:rPr>
        <w:t xml:space="preserve">  </w:t>
      </w:r>
      <w:r>
        <w:rPr>
          <w:rFonts w:hint="eastAsia" w:cs="宋体"/>
          <w:sz w:val="21"/>
          <w:szCs w:val="21"/>
          <w:lang w:val="en-US" w:eastAsia="zh-CN"/>
        </w:rPr>
        <w:t xml:space="preserve">  </w:t>
      </w:r>
      <w:r>
        <w:rPr>
          <w:rFonts w:hint="eastAsia" w:cs="宋体"/>
          <w:sz w:val="21"/>
          <w:szCs w:val="21"/>
        </w:rPr>
        <w:t>自本公告发布之日起5个工作日。</w:t>
      </w:r>
    </w:p>
    <w:p>
      <w:pPr>
        <w:pStyle w:val="50"/>
        <w:spacing w:before="255" w:beforeAutospacing="0" w:after="255" w:afterAutospacing="0" w:line="300" w:lineRule="atLeast"/>
        <w:jc w:val="both"/>
        <w:rPr>
          <w:rFonts w:cs="宋体"/>
          <w:sz w:val="21"/>
          <w:szCs w:val="21"/>
        </w:rPr>
      </w:pPr>
      <w:r>
        <w:rPr>
          <w:rStyle w:val="58"/>
          <w:rFonts w:hint="eastAsia" w:cs="宋体"/>
          <w:sz w:val="21"/>
          <w:szCs w:val="21"/>
        </w:rPr>
        <w:t>六、其他补充事宜</w:t>
      </w:r>
    </w:p>
    <w:p>
      <w:pPr>
        <w:pStyle w:val="50"/>
        <w:spacing w:before="75" w:beforeAutospacing="0" w:after="75" w:afterAutospacing="0" w:line="315" w:lineRule="atLeast"/>
        <w:rPr>
          <w:rFonts w:hint="eastAsia" w:cs="宋体"/>
          <w:sz w:val="21"/>
          <w:szCs w:val="21"/>
        </w:rPr>
      </w:pPr>
      <w:r>
        <w:rPr>
          <w:rFonts w:hint="eastAsia" w:cs="宋体"/>
          <w:sz w:val="21"/>
          <w:szCs w:val="21"/>
        </w:rPr>
        <w:t> </w:t>
      </w:r>
      <w:r>
        <w:rPr>
          <w:rStyle w:val="265"/>
          <w:rFonts w:hint="eastAsia" w:cs="宋体"/>
          <w:sz w:val="21"/>
          <w:szCs w:val="21"/>
        </w:rPr>
        <w:t>1.投标保证金（人民币）：</w:t>
      </w:r>
      <w:r>
        <w:rPr>
          <w:rStyle w:val="265"/>
          <w:rFonts w:hint="eastAsia" w:cs="宋体"/>
          <w:b/>
          <w:bCs/>
          <w:sz w:val="21"/>
          <w:szCs w:val="21"/>
          <w:lang w:eastAsia="zh-CN"/>
        </w:rPr>
        <w:t>分标</w:t>
      </w:r>
      <w:r>
        <w:rPr>
          <w:rStyle w:val="265"/>
          <w:rFonts w:hint="eastAsia" w:cs="宋体"/>
          <w:b/>
          <w:bCs/>
          <w:sz w:val="21"/>
          <w:szCs w:val="21"/>
          <w:lang w:val="en-US" w:eastAsia="zh-CN"/>
        </w:rPr>
        <w:t>1</w:t>
      </w:r>
      <w:r>
        <w:rPr>
          <w:rStyle w:val="265"/>
          <w:rFonts w:hint="eastAsia" w:cs="宋体"/>
          <w:sz w:val="21"/>
          <w:szCs w:val="21"/>
          <w:lang w:val="en-US" w:eastAsia="zh-CN"/>
        </w:rPr>
        <w:t>：</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30</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2：</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25</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b/>
          <w:bCs/>
          <w:color w:val="auto"/>
          <w:sz w:val="21"/>
          <w:szCs w:val="21"/>
          <w:lang w:eastAsia="zh-CN"/>
        </w:rPr>
        <w:t>；分标</w:t>
      </w:r>
      <w:r>
        <w:rPr>
          <w:rStyle w:val="265"/>
          <w:rFonts w:hint="eastAsia" w:cs="宋体"/>
          <w:b/>
          <w:bCs/>
          <w:color w:val="auto"/>
          <w:sz w:val="21"/>
          <w:szCs w:val="21"/>
          <w:lang w:val="en-US" w:eastAsia="zh-CN"/>
        </w:rPr>
        <w:t>3：</w:t>
      </w:r>
      <w:r>
        <w:rPr>
          <w:rFonts w:hint="eastAsia" w:hAnsi="宋体" w:cs="宋体"/>
          <w:b/>
          <w:bCs/>
          <w:color w:val="auto"/>
          <w:kern w:val="0"/>
          <w:sz w:val="21"/>
          <w:szCs w:val="21"/>
          <w:highlight w:val="none"/>
          <w:u w:val="single"/>
        </w:rPr>
        <w:t xml:space="preserve"> </w:t>
      </w:r>
      <w:r>
        <w:rPr>
          <w:rFonts w:hint="eastAsia" w:cs="宋体"/>
          <w:b/>
          <w:bCs/>
          <w:color w:val="auto"/>
          <w:kern w:val="0"/>
          <w:sz w:val="21"/>
          <w:szCs w:val="21"/>
          <w:highlight w:val="none"/>
          <w:u w:val="single"/>
          <w:lang w:val="en-US" w:eastAsia="zh-CN"/>
        </w:rPr>
        <w:t>21</w:t>
      </w:r>
      <w:r>
        <w:rPr>
          <w:rFonts w:hint="eastAsia" w:hAnsi="宋体" w:cs="宋体"/>
          <w:b/>
          <w:bCs/>
          <w:color w:val="auto"/>
          <w:kern w:val="0"/>
          <w:sz w:val="21"/>
          <w:szCs w:val="21"/>
          <w:highlight w:val="none"/>
          <w:u w:val="single"/>
          <w:lang w:val="en-US" w:eastAsia="zh-CN"/>
        </w:rPr>
        <w:t xml:space="preserve"> </w:t>
      </w:r>
      <w:r>
        <w:rPr>
          <w:rStyle w:val="265"/>
          <w:rFonts w:hint="eastAsia" w:cs="宋体"/>
          <w:b/>
          <w:bCs/>
          <w:color w:val="auto"/>
          <w:sz w:val="21"/>
          <w:szCs w:val="21"/>
        </w:rPr>
        <w:t>万元</w:t>
      </w:r>
      <w:r>
        <w:rPr>
          <w:rStyle w:val="265"/>
          <w:rFonts w:hint="eastAsia" w:cs="宋体"/>
          <w:sz w:val="21"/>
          <w:szCs w:val="21"/>
        </w:rPr>
        <w:t>。(必须足额交纳)  </w:t>
      </w:r>
      <w:r>
        <w:rPr>
          <w:rStyle w:val="265"/>
          <w:rFonts w:hint="eastAsia" w:cs="宋体"/>
          <w:sz w:val="21"/>
          <w:szCs w:val="21"/>
        </w:rPr>
        <w:br w:type="textWrapping"/>
      </w:r>
      <w:r>
        <w:rPr>
          <w:rStyle w:val="265"/>
          <w:rFonts w:hint="eastAsia" w:cs="宋体"/>
          <w:sz w:val="21"/>
          <w:szCs w:val="21"/>
        </w:rPr>
        <w:t>（1）投标保证金交纳形式：支票、汇票、本票、网上银行或者金融、担保机构出具的保函等非现金形式。</w:t>
      </w:r>
      <w:r>
        <w:rPr>
          <w:rStyle w:val="265"/>
          <w:rFonts w:hint="eastAsia" w:cs="宋体"/>
          <w:sz w:val="21"/>
          <w:szCs w:val="21"/>
        </w:rPr>
        <w:br w:type="textWrapping"/>
      </w:r>
      <w:r>
        <w:rPr>
          <w:rStyle w:val="265"/>
          <w:rFonts w:hint="eastAsia" w:cs="宋体"/>
          <w:sz w:val="21"/>
          <w:szCs w:val="21"/>
        </w:rPr>
        <w:t>（2）采用网上银行转账形式的，投标人应于提交投标文件截止时间前将投标保证金交至以下账户。</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color w:val="auto"/>
          <w:sz w:val="21"/>
          <w:szCs w:val="21"/>
        </w:rPr>
        <w:t>开户名称：</w:t>
      </w:r>
      <w:r>
        <w:rPr>
          <w:rStyle w:val="265"/>
          <w:rFonts w:cs="宋体"/>
          <w:color w:val="auto"/>
          <w:sz w:val="21"/>
          <w:szCs w:val="21"/>
          <w:lang w:val="en"/>
        </w:rPr>
        <w:t>广西壮族自治区公共资源交易中心</w:t>
      </w:r>
      <w:r>
        <w:rPr>
          <w:rStyle w:val="265"/>
          <w:rFonts w:hint="eastAsia" w:cs="宋体"/>
          <w:color w:val="auto"/>
          <w:sz w:val="21"/>
          <w:szCs w:val="21"/>
        </w:rPr>
        <w:t>；</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sz w:val="21"/>
          <w:szCs w:val="21"/>
        </w:rPr>
        <w:t>开户银行：</w:t>
      </w:r>
      <w:r>
        <w:rPr>
          <w:rStyle w:val="168"/>
          <w:rFonts w:hint="eastAsia"/>
          <w:sz w:val="21"/>
          <w:szCs w:val="21"/>
        </w:rPr>
        <w:t>中国农业银行股份有限公司南宁万象支行</w:t>
      </w:r>
      <w:r>
        <w:rPr>
          <w:rStyle w:val="265"/>
          <w:rFonts w:hint="eastAsia" w:cs="宋体"/>
          <w:sz w:val="21"/>
          <w:szCs w:val="21"/>
        </w:rPr>
        <w:t>；</w:t>
      </w:r>
      <w:r>
        <w:rPr>
          <w:rStyle w:val="265"/>
          <w:rFonts w:hint="eastAsia" w:cs="宋体"/>
          <w:sz w:val="21"/>
          <w:szCs w:val="21"/>
        </w:rPr>
        <w:br w:type="textWrapping"/>
      </w:r>
      <w:r>
        <w:rPr>
          <w:rStyle w:val="265"/>
          <w:rFonts w:hint="eastAsia" w:cs="宋体"/>
          <w:sz w:val="21"/>
          <w:szCs w:val="21"/>
        </w:rPr>
        <w:t xml:space="preserve"> </w:t>
      </w:r>
      <w:r>
        <w:rPr>
          <w:rStyle w:val="265"/>
          <w:rFonts w:hint="eastAsia" w:cs="宋体"/>
          <w:sz w:val="21"/>
          <w:szCs w:val="21"/>
          <w:lang w:val="en-US" w:eastAsia="zh-CN"/>
        </w:rPr>
        <w:t xml:space="preserve">    </w:t>
      </w:r>
      <w:r>
        <w:rPr>
          <w:rStyle w:val="265"/>
          <w:rFonts w:hint="eastAsia" w:cs="宋体"/>
          <w:sz w:val="21"/>
          <w:szCs w:val="21"/>
        </w:rPr>
        <w:t>银行账号</w:t>
      </w:r>
      <w:r>
        <w:rPr>
          <w:rStyle w:val="265"/>
          <w:rFonts w:hint="eastAsia" w:cs="宋体"/>
          <w:sz w:val="21"/>
          <w:szCs w:val="21"/>
          <w:highlight w:val="none"/>
        </w:rPr>
        <w:t>：</w:t>
      </w:r>
      <w:r>
        <w:rPr>
          <w:rStyle w:val="168"/>
          <w:rFonts w:hint="eastAsia"/>
          <w:sz w:val="21"/>
          <w:szCs w:val="21"/>
          <w:highlight w:val="none"/>
        </w:rPr>
        <w:t>200173010400147820000001301</w:t>
      </w:r>
      <w:r>
        <w:rPr>
          <w:rStyle w:val="265"/>
          <w:rFonts w:hint="eastAsia" w:cs="宋体"/>
          <w:sz w:val="21"/>
          <w:szCs w:val="21"/>
          <w:highlight w:val="yellow"/>
        </w:rPr>
        <w:br w:type="textWrapping"/>
      </w:r>
      <w:r>
        <w:rPr>
          <w:rStyle w:val="265"/>
          <w:rFonts w:hint="eastAsia" w:cs="宋体"/>
          <w:sz w:val="21"/>
          <w:szCs w:val="21"/>
        </w:rPr>
        <w:t>（3）采用支票、汇票、本票或者保函（电子保函除外）等形式的，投标人应于提交投标文件截止时间前递交单独密封的支票、汇票、本票或者保函原件至我中心财务处。</w:t>
      </w:r>
      <w:r>
        <w:rPr>
          <w:rStyle w:val="265"/>
          <w:rFonts w:hint="eastAsia" w:cs="宋体"/>
          <w:sz w:val="21"/>
          <w:szCs w:val="21"/>
        </w:rPr>
        <w:br w:type="textWrapping"/>
      </w:r>
      <w:r>
        <w:rPr>
          <w:rStyle w:val="265"/>
          <w:rFonts w:hint="eastAsia" w:cs="宋体"/>
          <w:sz w:val="21"/>
          <w:szCs w:val="21"/>
        </w:rPr>
        <w:t>（4）本中心财务处联系方式：地址：广西南宁市星湖路22号；电话：0771-8600309。</w:t>
      </w:r>
      <w:r>
        <w:rPr>
          <w:rStyle w:val="265"/>
          <w:rFonts w:hint="eastAsia" w:cs="宋体"/>
          <w:sz w:val="21"/>
          <w:szCs w:val="21"/>
        </w:rPr>
        <w:br w:type="textWrapping"/>
      </w:r>
      <w:r>
        <w:rPr>
          <w:rStyle w:val="265"/>
          <w:rFonts w:hint="eastAsia" w:cs="宋体"/>
          <w:sz w:val="21"/>
          <w:szCs w:val="21"/>
        </w:rPr>
        <w:t xml:space="preserve"> 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r>
        <w:rPr>
          <w:rStyle w:val="265"/>
          <w:rFonts w:hint="eastAsia" w:cs="宋体"/>
          <w:sz w:val="21"/>
          <w:szCs w:val="21"/>
        </w:rPr>
        <w:br w:type="textWrapping"/>
      </w:r>
      <w:r>
        <w:rPr>
          <w:rStyle w:val="265"/>
          <w:rFonts w:hint="eastAsia" w:cs="宋体"/>
          <w:sz w:val="21"/>
          <w:szCs w:val="21"/>
        </w:rPr>
        <w:t xml:space="preserve"> 3.网上公告媒体查询：中国政府采购网（www.ccgp.gov.cn）、广西壮族自治区政府采购网（zfcg.gxzf.gov.cn）、广西壮族自治区公共资源交易中心网站（gxggzy.gxzf.gov.cn）。</w:t>
      </w:r>
      <w:r>
        <w:rPr>
          <w:rStyle w:val="265"/>
          <w:rFonts w:hint="eastAsia" w:cs="宋体"/>
          <w:sz w:val="21"/>
          <w:szCs w:val="21"/>
        </w:rPr>
        <w:br w:type="textWrapping"/>
      </w:r>
      <w:r>
        <w:rPr>
          <w:rStyle w:val="265"/>
          <w:rFonts w:hint="eastAsia" w:cs="宋体"/>
          <w:sz w:val="21"/>
          <w:szCs w:val="21"/>
        </w:rPr>
        <w:t xml:space="preserve"> 4.其他注意事项：</w:t>
      </w:r>
      <w:r>
        <w:rPr>
          <w:rStyle w:val="265"/>
          <w:rFonts w:hint="eastAsia" w:cs="宋体"/>
          <w:sz w:val="21"/>
          <w:szCs w:val="21"/>
        </w:rPr>
        <w:br w:type="textWrapping"/>
      </w:r>
      <w:r>
        <w:rPr>
          <w:rStyle w:val="265"/>
          <w:rFonts w:hint="eastAsia" w:cs="宋体"/>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r>
        <w:rPr>
          <w:rStyle w:val="265"/>
          <w:rFonts w:hint="eastAsia" w:cs="宋体"/>
          <w:sz w:val="21"/>
          <w:szCs w:val="21"/>
        </w:rPr>
        <w:br w:type="textWrapping"/>
      </w:r>
      <w:r>
        <w:rPr>
          <w:rStyle w:val="265"/>
          <w:rFonts w:hint="eastAsia" w:cs="宋体"/>
          <w:sz w:val="21"/>
          <w:szCs w:val="21"/>
        </w:rPr>
        <w:t>（2）供应商应及时熟悉掌握电子标系统操作指南（见广西政府采购云平台首页右上角—服务中心—帮助文档—项目采购）：https://helpcenter.zcygov.cn/document/#/document/dashboard?siteCode=gx。</w:t>
      </w:r>
      <w:r>
        <w:rPr>
          <w:rStyle w:val="265"/>
          <w:rFonts w:hint="eastAsia" w:cs="宋体"/>
          <w:sz w:val="21"/>
          <w:szCs w:val="21"/>
        </w:rPr>
        <w:br w:type="textWrapping"/>
      </w:r>
      <w:r>
        <w:rPr>
          <w:rStyle w:val="265"/>
          <w:rFonts w:hint="eastAsia" w:cs="宋体"/>
          <w:sz w:val="21"/>
          <w:szCs w:val="21"/>
        </w:rPr>
        <w:t>（3）供应商应及时完成CA证书申领和绑定（见广西壮族自治区政府采购网—办事服务—下载专区—政采云CA证书办理操作指南）</w:t>
      </w:r>
      <w:r>
        <w:rPr>
          <w:rStyle w:val="265"/>
          <w:rFonts w:hint="eastAsia" w:cs="宋体"/>
          <w:sz w:val="21"/>
          <w:szCs w:val="21"/>
        </w:rPr>
        <w:br w:type="textWrapping"/>
      </w:r>
      <w:r>
        <w:rPr>
          <w:rStyle w:val="265"/>
          <w:rFonts w:hint="eastAsia" w:cs="宋体"/>
          <w:sz w:val="21"/>
          <w:szCs w:val="21"/>
        </w:rPr>
        <w:t>（4）供应商通过广西政府采购云平台新版客户端软件制作投标文件，广西政府采购云平台新版客户端软件请供应商自行前往下载并安装（见广西壮族自治区政府采购网—办事服务—下载专区）。</w:t>
      </w:r>
      <w:r>
        <w:rPr>
          <w:rStyle w:val="265"/>
          <w:rFonts w:hint="eastAsia" w:cs="宋体"/>
          <w:sz w:val="21"/>
          <w:szCs w:val="21"/>
        </w:rPr>
        <w:br w:type="textWrapping"/>
      </w:r>
      <w:r>
        <w:rPr>
          <w:rStyle w:val="265"/>
          <w:rFonts w:hint="eastAsia" w:cs="宋体"/>
          <w:sz w:val="21"/>
          <w:szCs w:val="21"/>
        </w:rPr>
        <w:t>（5）因未注册入库、未办理CA证书、CA证书故障、操作不当、CA证书逾期等原因造成无法投标或投标失败等后果由供应商自行承担。</w:t>
      </w:r>
      <w:r>
        <w:rPr>
          <w:rStyle w:val="265"/>
          <w:rFonts w:hint="eastAsia" w:cs="宋体"/>
          <w:sz w:val="21"/>
          <w:szCs w:val="21"/>
        </w:rPr>
        <w:br w:type="textWrapping"/>
      </w:r>
      <w:r>
        <w:rPr>
          <w:rStyle w:val="265"/>
          <w:rFonts w:hint="eastAsia" w:cs="宋体"/>
          <w:sz w:val="21"/>
          <w:szCs w:val="21"/>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cs="宋体"/>
          <w:sz w:val="21"/>
          <w:szCs w:val="21"/>
        </w:rPr>
        <w:t> </w:t>
      </w:r>
    </w:p>
    <w:p>
      <w:pPr>
        <w:pStyle w:val="50"/>
        <w:spacing w:before="75" w:beforeAutospacing="0" w:after="75" w:afterAutospacing="0" w:line="300" w:lineRule="exact"/>
        <w:rPr>
          <w:rFonts w:hint="eastAsia" w:eastAsia="宋体" w:cs="宋体"/>
          <w:sz w:val="21"/>
          <w:szCs w:val="21"/>
          <w:lang w:eastAsia="zh-CN"/>
        </w:rPr>
      </w:pPr>
      <w:r>
        <w:rPr>
          <w:rFonts w:hint="eastAsia" w:cs="宋体"/>
          <w:sz w:val="21"/>
          <w:szCs w:val="21"/>
          <w:lang w:val="en-US" w:eastAsia="zh-CN"/>
        </w:rPr>
        <w:t>5</w:t>
      </w:r>
      <w:r>
        <w:rPr>
          <w:rFonts w:hint="eastAsia" w:cs="宋体"/>
          <w:sz w:val="21"/>
          <w:szCs w:val="21"/>
        </w:rPr>
        <w:t>.采购人信息</w:t>
      </w:r>
      <w:r>
        <w:rPr>
          <w:rFonts w:hint="eastAsia" w:cs="宋体"/>
          <w:sz w:val="21"/>
          <w:szCs w:val="21"/>
          <w:lang w:eastAsia="zh-CN"/>
        </w:rPr>
        <w:t>（详细）</w:t>
      </w:r>
    </w:p>
    <w:p>
      <w:pPr>
        <w:pStyle w:val="50"/>
        <w:spacing w:before="75" w:beforeAutospacing="0" w:after="75" w:afterAutospacing="0" w:line="300" w:lineRule="exact"/>
        <w:rPr>
          <w:rFonts w:hint="eastAsia" w:cs="宋体"/>
          <w:sz w:val="21"/>
          <w:szCs w:val="21"/>
          <w:lang w:val="en-US" w:eastAsia="zh-CN"/>
        </w:rPr>
      </w:pPr>
      <w:r>
        <w:rPr>
          <w:rFonts w:hint="eastAsia" w:cs="宋体"/>
          <w:sz w:val="21"/>
          <w:szCs w:val="21"/>
        </w:rPr>
        <w:t> </w:t>
      </w:r>
      <w:r>
        <w:rPr>
          <w:rFonts w:hint="eastAsia" w:cs="宋体"/>
          <w:sz w:val="21"/>
          <w:szCs w:val="21"/>
          <w:lang w:eastAsia="zh-CN"/>
        </w:rPr>
        <w:t>（</w:t>
      </w:r>
      <w:r>
        <w:rPr>
          <w:rFonts w:hint="eastAsia" w:cs="宋体"/>
          <w:sz w:val="21"/>
          <w:szCs w:val="21"/>
          <w:lang w:val="en-US" w:eastAsia="zh-CN"/>
        </w:rPr>
        <w:t>1</w:t>
      </w:r>
      <w:r>
        <w:rPr>
          <w:rFonts w:hint="eastAsia" w:cs="宋体"/>
          <w:sz w:val="21"/>
          <w:szCs w:val="21"/>
          <w:lang w:eastAsia="zh-CN"/>
        </w:rPr>
        <w:t>）分标</w:t>
      </w:r>
      <w:r>
        <w:rPr>
          <w:rFonts w:hint="eastAsia" w:cs="宋体"/>
          <w:sz w:val="21"/>
          <w:szCs w:val="21"/>
          <w:lang w:val="en-US" w:eastAsia="zh-CN"/>
        </w:rPr>
        <w:t>1：</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w:t>
      </w:r>
      <w:r>
        <w:rPr>
          <w:rFonts w:hint="eastAsia" w:cs="宋体"/>
          <w:sz w:val="21"/>
          <w:szCs w:val="21"/>
          <w:lang w:eastAsia="zh"/>
        </w:rPr>
        <w:t>广西医科大学第一附属医院</w:t>
      </w:r>
    </w:p>
    <w:p>
      <w:pPr>
        <w:pStyle w:val="50"/>
        <w:spacing w:before="75" w:beforeAutospacing="0" w:after="75" w:afterAutospacing="0" w:line="300" w:lineRule="exact"/>
        <w:rPr>
          <w:rFonts w:hint="eastAsia" w:cs="宋体"/>
          <w:sz w:val="21"/>
          <w:szCs w:val="21"/>
        </w:rPr>
      </w:pPr>
      <w:r>
        <w:rPr>
          <w:rFonts w:hint="eastAsia" w:cs="宋体"/>
          <w:sz w:val="21"/>
          <w:szCs w:val="21"/>
        </w:rPr>
        <w:t> </w:t>
      </w:r>
      <w:r>
        <w:rPr>
          <w:rFonts w:hint="eastAsia" w:cs="宋体"/>
          <w:sz w:val="21"/>
          <w:szCs w:val="21"/>
          <w:lang w:val="en-US" w:eastAsia="zh-CN"/>
        </w:rPr>
        <w:t xml:space="preserve"> </w:t>
      </w:r>
      <w:r>
        <w:rPr>
          <w:rFonts w:hint="eastAsia" w:cs="宋体"/>
          <w:sz w:val="21"/>
          <w:szCs w:val="21"/>
        </w:rPr>
        <w:t>地    址：</w:t>
      </w:r>
      <w:r>
        <w:rPr>
          <w:rFonts w:hint="eastAsia" w:cs="宋体"/>
          <w:sz w:val="21"/>
          <w:szCs w:val="21"/>
          <w:lang w:val="en-US" w:eastAsia="zh-CN"/>
        </w:rPr>
        <w:t>广西南宁市双拥路6号</w:t>
      </w:r>
    </w:p>
    <w:p>
      <w:pPr>
        <w:pStyle w:val="50"/>
        <w:spacing w:before="75" w:beforeAutospacing="0" w:after="75" w:afterAutospacing="0" w:line="300" w:lineRule="exact"/>
        <w:rPr>
          <w:rFonts w:hint="eastAsia" w:eastAsia="宋体" w:cs="宋体"/>
          <w:sz w:val="21"/>
          <w:szCs w:val="21"/>
          <w:highlight w:val="none"/>
          <w:lang w:val="en-US" w:eastAsia="zh-CN"/>
        </w:rPr>
      </w:pPr>
      <w:r>
        <w:rPr>
          <w:rFonts w:hint="eastAsia" w:cs="宋体"/>
          <w:sz w:val="21"/>
          <w:szCs w:val="21"/>
        </w:rPr>
        <w:t> </w:t>
      </w:r>
      <w:r>
        <w:rPr>
          <w:rFonts w:hint="eastAsia" w:cs="宋体"/>
          <w:sz w:val="21"/>
          <w:szCs w:val="21"/>
          <w:lang w:val="en-US" w:eastAsia="zh-CN"/>
        </w:rPr>
        <w:t xml:space="preserve"> </w:t>
      </w:r>
      <w:r>
        <w:rPr>
          <w:rFonts w:hint="eastAsia" w:cs="宋体"/>
          <w:sz w:val="21"/>
          <w:szCs w:val="21"/>
          <w:highlight w:val="none"/>
        </w:rPr>
        <w:t>项目联系人：</w:t>
      </w:r>
      <w:r>
        <w:rPr>
          <w:rFonts w:hint="eastAsia" w:cs="宋体"/>
          <w:sz w:val="21"/>
          <w:szCs w:val="21"/>
          <w:highlight w:val="none"/>
          <w:lang w:eastAsia="zh-CN"/>
        </w:rPr>
        <w:t>林杰</w:t>
      </w:r>
    </w:p>
    <w:p>
      <w:pPr>
        <w:pStyle w:val="50"/>
        <w:spacing w:before="75" w:beforeAutospacing="0" w:after="75" w:afterAutospacing="0" w:line="300" w:lineRule="exact"/>
        <w:rPr>
          <w:rStyle w:val="272"/>
          <w:rFonts w:hint="default" w:eastAsia="宋体" w:cs="宋体"/>
          <w:sz w:val="21"/>
          <w:szCs w:val="21"/>
          <w:highlight w:val="none"/>
          <w:lang w:val="en-US" w:eastAsia="zh-CN"/>
        </w:rPr>
      </w:pPr>
      <w:r>
        <w:rPr>
          <w:rFonts w:hint="eastAsia" w:cs="宋体"/>
          <w:sz w:val="21"/>
          <w:szCs w:val="21"/>
          <w:highlight w:val="none"/>
        </w:rPr>
        <w:t> </w:t>
      </w:r>
      <w:r>
        <w:rPr>
          <w:rFonts w:hint="eastAsia" w:cs="宋体"/>
          <w:sz w:val="21"/>
          <w:szCs w:val="21"/>
          <w:highlight w:val="none"/>
          <w:lang w:val="en-US" w:eastAsia="zh-CN"/>
        </w:rPr>
        <w:t xml:space="preserve"> </w:t>
      </w:r>
      <w:r>
        <w:rPr>
          <w:rFonts w:hint="eastAsia" w:cs="宋体"/>
          <w:sz w:val="21"/>
          <w:szCs w:val="21"/>
          <w:highlight w:val="none"/>
        </w:rPr>
        <w:t>项目联系方式：</w:t>
      </w:r>
      <w:r>
        <w:rPr>
          <w:rFonts w:hint="eastAsia" w:cs="宋体"/>
          <w:sz w:val="21"/>
          <w:szCs w:val="21"/>
          <w:highlight w:val="none"/>
          <w:lang w:val="en-US" w:eastAsia="zh-CN"/>
        </w:rPr>
        <w:t>0771-5634385</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（2）</w:t>
      </w:r>
      <w:r>
        <w:rPr>
          <w:rFonts w:hint="eastAsia" w:cs="宋体"/>
          <w:sz w:val="21"/>
          <w:szCs w:val="21"/>
          <w:lang w:eastAsia="zh-CN"/>
        </w:rPr>
        <w:t>分标</w:t>
      </w:r>
      <w:r>
        <w:rPr>
          <w:rFonts w:hint="eastAsia" w:cs="宋体"/>
          <w:sz w:val="21"/>
          <w:szCs w:val="21"/>
          <w:lang w:val="en-US" w:eastAsia="zh-CN"/>
        </w:rPr>
        <w:t>2：</w:t>
      </w:r>
    </w:p>
    <w:p>
      <w:pPr>
        <w:pStyle w:val="50"/>
        <w:spacing w:before="75" w:beforeAutospacing="0" w:after="75" w:afterAutospacing="0" w:line="300" w:lineRule="exact"/>
        <w:ind w:firstLine="210" w:firstLineChars="100"/>
        <w:rPr>
          <w:rFonts w:hint="eastAsia" w:eastAsia="宋体" w:cs="宋体"/>
          <w:sz w:val="21"/>
          <w:szCs w:val="21"/>
          <w:lang w:val="en-US" w:eastAsia="zh-CN"/>
        </w:rPr>
      </w:pPr>
      <w:r>
        <w:rPr>
          <w:rFonts w:hint="eastAsia" w:cs="宋体"/>
          <w:sz w:val="21"/>
          <w:szCs w:val="21"/>
        </w:rPr>
        <w:t>名    称：</w:t>
      </w:r>
      <w:r>
        <w:rPr>
          <w:rFonts w:hint="eastAsia" w:cs="宋体"/>
          <w:sz w:val="21"/>
          <w:szCs w:val="21"/>
          <w:lang w:eastAsia="zh"/>
        </w:rPr>
        <w:t>柳州市工人医院</w:t>
      </w:r>
    </w:p>
    <w:p>
      <w:pPr>
        <w:pStyle w:val="50"/>
        <w:spacing w:before="75" w:beforeAutospacing="0" w:after="75" w:afterAutospacing="0" w:line="300" w:lineRule="exact"/>
        <w:rPr>
          <w:rFonts w:cs="宋体"/>
          <w:sz w:val="21"/>
          <w:szCs w:val="21"/>
          <w:highlight w:val="none"/>
        </w:rPr>
      </w:pPr>
      <w:r>
        <w:rPr>
          <w:rFonts w:hint="eastAsia" w:cs="宋体"/>
          <w:sz w:val="21"/>
          <w:szCs w:val="21"/>
          <w:highlight w:val="none"/>
        </w:rPr>
        <w:t> 地    址：</w:t>
      </w:r>
      <w:r>
        <w:rPr>
          <w:rFonts w:hint="eastAsia" w:cs="宋体"/>
          <w:sz w:val="21"/>
          <w:szCs w:val="21"/>
          <w:highlight w:val="none"/>
          <w:lang w:eastAsia="zh-CN"/>
        </w:rPr>
        <w:t>广西</w:t>
      </w:r>
      <w:r>
        <w:rPr>
          <w:rFonts w:hint="eastAsia" w:cs="宋体"/>
          <w:sz w:val="21"/>
          <w:szCs w:val="21"/>
          <w:highlight w:val="none"/>
        </w:rPr>
        <w:t>柳州市柳南区和平路156号 </w:t>
      </w:r>
    </w:p>
    <w:p>
      <w:pPr>
        <w:pStyle w:val="50"/>
        <w:spacing w:before="75" w:beforeAutospacing="0" w:after="75" w:afterAutospacing="0" w:line="300" w:lineRule="exact"/>
        <w:rPr>
          <w:rFonts w:hint="eastAsia" w:eastAsia="宋体" w:cs="宋体"/>
          <w:sz w:val="21"/>
          <w:szCs w:val="21"/>
          <w:highlight w:val="none"/>
          <w:lang w:eastAsia="zh-CN"/>
        </w:rPr>
      </w:pPr>
      <w:r>
        <w:rPr>
          <w:rFonts w:hint="eastAsia" w:cs="宋体"/>
          <w:sz w:val="21"/>
          <w:szCs w:val="21"/>
          <w:highlight w:val="none"/>
        </w:rPr>
        <w:t> 项目联系人：</w:t>
      </w:r>
      <w:r>
        <w:rPr>
          <w:rFonts w:hint="eastAsia" w:cs="宋体"/>
          <w:sz w:val="21"/>
          <w:szCs w:val="21"/>
          <w:highlight w:val="none"/>
          <w:lang w:eastAsia="zh-CN"/>
        </w:rPr>
        <w:t>王平</w:t>
      </w:r>
    </w:p>
    <w:p>
      <w:pPr>
        <w:pStyle w:val="50"/>
        <w:spacing w:before="75" w:beforeAutospacing="0" w:after="75" w:afterAutospacing="0" w:line="300" w:lineRule="exact"/>
        <w:rPr>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0772-3832133</w:t>
      </w:r>
    </w:p>
    <w:p>
      <w:pPr>
        <w:pStyle w:val="50"/>
        <w:spacing w:before="75" w:beforeAutospacing="0" w:after="75" w:afterAutospacing="0" w:line="300" w:lineRule="exact"/>
        <w:ind w:firstLine="210" w:firstLineChars="100"/>
        <w:rPr>
          <w:rFonts w:hint="eastAsia" w:cs="宋体"/>
          <w:sz w:val="21"/>
          <w:szCs w:val="21"/>
          <w:lang w:val="en-US" w:eastAsia="zh-CN"/>
        </w:rPr>
      </w:pPr>
      <w:r>
        <w:rPr>
          <w:rStyle w:val="272"/>
          <w:rFonts w:hint="eastAsia" w:cs="宋体"/>
          <w:sz w:val="21"/>
          <w:szCs w:val="21"/>
          <w:lang w:val="en-US" w:eastAsia="zh-CN"/>
        </w:rPr>
        <w:t>（3）</w:t>
      </w:r>
      <w:r>
        <w:rPr>
          <w:rFonts w:hint="eastAsia" w:cs="宋体"/>
          <w:sz w:val="21"/>
          <w:szCs w:val="21"/>
          <w:lang w:eastAsia="zh-CN"/>
        </w:rPr>
        <w:t>分标</w:t>
      </w:r>
      <w:r>
        <w:rPr>
          <w:rFonts w:hint="eastAsia" w:cs="宋体"/>
          <w:sz w:val="21"/>
          <w:szCs w:val="21"/>
          <w:lang w:val="en-US" w:eastAsia="zh-CN"/>
        </w:rPr>
        <w:t>3：</w:t>
      </w:r>
    </w:p>
    <w:p>
      <w:pPr>
        <w:pStyle w:val="50"/>
        <w:spacing w:before="75" w:beforeAutospacing="0" w:after="75" w:afterAutospacing="0" w:line="300" w:lineRule="exact"/>
        <w:ind w:firstLine="210" w:firstLineChars="100"/>
        <w:rPr>
          <w:rFonts w:hint="default" w:eastAsia="宋体" w:cs="宋体"/>
          <w:sz w:val="21"/>
          <w:szCs w:val="21"/>
          <w:lang w:val="en-US" w:eastAsia="zh-CN"/>
        </w:rPr>
      </w:pPr>
      <w:r>
        <w:rPr>
          <w:rFonts w:hint="eastAsia" w:cs="宋体"/>
          <w:sz w:val="21"/>
          <w:szCs w:val="21"/>
        </w:rPr>
        <w:t>名    称：玉林市第一人民医院</w:t>
      </w:r>
    </w:p>
    <w:p>
      <w:pPr>
        <w:pStyle w:val="50"/>
        <w:spacing w:before="75" w:beforeAutospacing="0" w:after="75" w:afterAutospacing="0" w:line="300" w:lineRule="exact"/>
        <w:rPr>
          <w:rFonts w:cs="宋体"/>
          <w:sz w:val="21"/>
          <w:szCs w:val="21"/>
        </w:rPr>
      </w:pPr>
      <w:r>
        <w:rPr>
          <w:rFonts w:hint="eastAsia" w:cs="宋体"/>
          <w:sz w:val="21"/>
          <w:szCs w:val="21"/>
        </w:rPr>
        <w:t> 地    址：</w:t>
      </w:r>
      <w:r>
        <w:rPr>
          <w:rFonts w:hint="eastAsia" w:cs="宋体"/>
          <w:sz w:val="21"/>
          <w:szCs w:val="21"/>
          <w:lang w:eastAsia="zh-CN"/>
        </w:rPr>
        <w:t>广西</w:t>
      </w:r>
      <w:r>
        <w:rPr>
          <w:rFonts w:hint="eastAsia" w:cs="宋体"/>
          <w:sz w:val="21"/>
          <w:szCs w:val="21"/>
        </w:rPr>
        <w:t>玉林市教育中路495号 </w:t>
      </w:r>
    </w:p>
    <w:p>
      <w:pPr>
        <w:pStyle w:val="50"/>
        <w:spacing w:before="75" w:beforeAutospacing="0" w:after="75" w:afterAutospacing="0" w:line="300" w:lineRule="exact"/>
        <w:rPr>
          <w:rFonts w:cs="宋体"/>
          <w:sz w:val="21"/>
          <w:szCs w:val="21"/>
        </w:rPr>
      </w:pPr>
      <w:r>
        <w:rPr>
          <w:rFonts w:hint="eastAsia" w:cs="宋体"/>
          <w:sz w:val="21"/>
          <w:szCs w:val="21"/>
        </w:rPr>
        <w:t> 项目联系人：</w:t>
      </w:r>
      <w:r>
        <w:rPr>
          <w:rFonts w:hint="eastAsia" w:cs="宋体"/>
          <w:sz w:val="21"/>
          <w:szCs w:val="21"/>
          <w:lang w:eastAsia="zh-CN"/>
        </w:rPr>
        <w:t>刘莉莉</w:t>
      </w:r>
      <w:r>
        <w:rPr>
          <w:rFonts w:hint="eastAsia" w:cs="宋体"/>
          <w:sz w:val="21"/>
          <w:szCs w:val="21"/>
        </w:rPr>
        <w:t>  </w:t>
      </w:r>
    </w:p>
    <w:p>
      <w:pPr>
        <w:pStyle w:val="50"/>
        <w:spacing w:before="75" w:beforeAutospacing="0" w:after="75" w:afterAutospacing="0" w:line="300" w:lineRule="atLeast"/>
        <w:rPr>
          <w:rStyle w:val="272"/>
          <w:rFonts w:hint="default" w:eastAsia="宋体" w:cs="宋体"/>
          <w:sz w:val="21"/>
          <w:szCs w:val="21"/>
          <w:lang w:val="en-US" w:eastAsia="zh-CN"/>
        </w:rPr>
      </w:pPr>
      <w:r>
        <w:rPr>
          <w:rFonts w:hint="eastAsia" w:cs="宋体"/>
          <w:sz w:val="21"/>
          <w:szCs w:val="21"/>
        </w:rPr>
        <w:t> 项目联系方式：</w:t>
      </w:r>
      <w:r>
        <w:rPr>
          <w:rFonts w:hint="eastAsia" w:cs="宋体"/>
          <w:sz w:val="21"/>
          <w:szCs w:val="21"/>
          <w:lang w:val="en-US" w:eastAsia="zh-CN"/>
        </w:rPr>
        <w:t>0775-2693066</w:t>
      </w:r>
    </w:p>
    <w:p>
      <w:pPr>
        <w:pStyle w:val="50"/>
        <w:spacing w:before="255" w:beforeAutospacing="0" w:after="255" w:afterAutospacing="0" w:line="300" w:lineRule="exact"/>
        <w:jc w:val="both"/>
        <w:rPr>
          <w:rFonts w:cs="宋体"/>
          <w:sz w:val="21"/>
          <w:szCs w:val="21"/>
        </w:rPr>
      </w:pPr>
      <w:r>
        <w:rPr>
          <w:rStyle w:val="58"/>
          <w:rFonts w:hint="eastAsia" w:cs="宋体"/>
          <w:sz w:val="21"/>
          <w:szCs w:val="21"/>
        </w:rPr>
        <w:t>七、对本次采购提出询问，请按以下方式联系</w:t>
      </w:r>
    </w:p>
    <w:p>
      <w:pPr>
        <w:pStyle w:val="50"/>
        <w:spacing w:before="75" w:beforeAutospacing="0" w:after="75" w:afterAutospacing="0" w:line="300" w:lineRule="exact"/>
        <w:rPr>
          <w:rFonts w:cs="宋体"/>
          <w:sz w:val="21"/>
          <w:szCs w:val="21"/>
        </w:rPr>
      </w:pPr>
      <w:r>
        <w:rPr>
          <w:rFonts w:hint="eastAsia" w:cs="宋体"/>
          <w:sz w:val="21"/>
          <w:szCs w:val="21"/>
        </w:rPr>
        <w:t> 1.采购人信息</w:t>
      </w:r>
    </w:p>
    <w:p>
      <w:pPr>
        <w:pStyle w:val="50"/>
        <w:spacing w:before="75" w:beforeAutospacing="0" w:after="75" w:afterAutospacing="0" w:line="300" w:lineRule="exact"/>
        <w:rPr>
          <w:rFonts w:hint="default" w:eastAsia="宋体" w:cs="宋体"/>
          <w:sz w:val="21"/>
          <w:szCs w:val="21"/>
          <w:lang w:val="en-US" w:eastAsia="zh-CN"/>
        </w:rPr>
      </w:pPr>
      <w:r>
        <w:rPr>
          <w:rFonts w:hint="eastAsia" w:cs="宋体"/>
          <w:sz w:val="21"/>
          <w:szCs w:val="21"/>
        </w:rPr>
        <w:t> 名    称：</w:t>
      </w:r>
      <w:r>
        <w:rPr>
          <w:rFonts w:hint="eastAsia" w:cs="宋体"/>
          <w:sz w:val="21"/>
          <w:szCs w:val="21"/>
          <w:lang w:eastAsia="zh"/>
        </w:rPr>
        <w:t>广西医科大学第一附属医院</w:t>
      </w:r>
    </w:p>
    <w:p>
      <w:pPr>
        <w:pStyle w:val="50"/>
        <w:spacing w:before="75" w:beforeAutospacing="0" w:after="75" w:afterAutospacing="0" w:line="300" w:lineRule="exact"/>
        <w:rPr>
          <w:rFonts w:hint="eastAsia" w:cs="宋体"/>
          <w:sz w:val="21"/>
          <w:szCs w:val="21"/>
        </w:rPr>
      </w:pPr>
      <w:r>
        <w:rPr>
          <w:rFonts w:hint="eastAsia" w:cs="宋体"/>
          <w:sz w:val="21"/>
          <w:szCs w:val="21"/>
        </w:rPr>
        <w:t> 地    址：</w:t>
      </w:r>
      <w:r>
        <w:rPr>
          <w:rFonts w:hint="eastAsia" w:cs="宋体"/>
          <w:sz w:val="21"/>
          <w:szCs w:val="21"/>
          <w:lang w:val="en-US" w:eastAsia="zh-CN"/>
        </w:rPr>
        <w:t>广西南宁市双拥路6号</w:t>
      </w:r>
    </w:p>
    <w:p>
      <w:pPr>
        <w:pStyle w:val="50"/>
        <w:spacing w:before="75" w:beforeAutospacing="0" w:after="75" w:afterAutospacing="0" w:line="300" w:lineRule="exact"/>
        <w:rPr>
          <w:rFonts w:hint="eastAsia" w:eastAsia="宋体" w:cs="宋体"/>
          <w:sz w:val="21"/>
          <w:szCs w:val="21"/>
          <w:highlight w:val="none"/>
          <w:lang w:val="en-US" w:eastAsia="zh-CN"/>
        </w:rPr>
      </w:pPr>
      <w:r>
        <w:rPr>
          <w:rFonts w:hint="eastAsia" w:cs="宋体"/>
          <w:sz w:val="21"/>
          <w:szCs w:val="21"/>
        </w:rPr>
        <w:t> </w:t>
      </w:r>
      <w:r>
        <w:rPr>
          <w:rFonts w:hint="eastAsia" w:cs="宋体"/>
          <w:sz w:val="21"/>
          <w:szCs w:val="21"/>
          <w:highlight w:val="none"/>
        </w:rPr>
        <w:t>项目联系人：</w:t>
      </w:r>
      <w:r>
        <w:rPr>
          <w:rFonts w:hint="eastAsia" w:cs="宋体"/>
          <w:sz w:val="21"/>
          <w:szCs w:val="21"/>
          <w:highlight w:val="none"/>
          <w:lang w:eastAsia="zh-CN"/>
        </w:rPr>
        <w:t>林杰</w:t>
      </w:r>
    </w:p>
    <w:p>
      <w:pPr>
        <w:pStyle w:val="50"/>
        <w:spacing w:before="75" w:beforeAutospacing="0" w:after="75" w:afterAutospacing="0" w:line="300" w:lineRule="exact"/>
        <w:rPr>
          <w:rStyle w:val="272"/>
          <w:rFonts w:hint="default" w:eastAsia="宋体" w:cs="宋体"/>
          <w:sz w:val="21"/>
          <w:szCs w:val="21"/>
          <w:highlight w:val="none"/>
          <w:lang w:val="en-US" w:eastAsia="zh-CN"/>
        </w:rPr>
      </w:pPr>
      <w:r>
        <w:rPr>
          <w:rFonts w:hint="eastAsia" w:cs="宋体"/>
          <w:sz w:val="21"/>
          <w:szCs w:val="21"/>
          <w:highlight w:val="none"/>
        </w:rPr>
        <w:t> 项目联系方式：</w:t>
      </w:r>
      <w:r>
        <w:rPr>
          <w:rFonts w:hint="eastAsia" w:cs="宋体"/>
          <w:sz w:val="21"/>
          <w:szCs w:val="21"/>
          <w:highlight w:val="none"/>
          <w:lang w:val="en-US" w:eastAsia="zh-CN"/>
        </w:rPr>
        <w:t>0771-5634385</w:t>
      </w:r>
    </w:p>
    <w:p>
      <w:pPr>
        <w:pStyle w:val="50"/>
        <w:spacing w:before="75" w:beforeAutospacing="0" w:after="75" w:afterAutospacing="0" w:line="300" w:lineRule="atLeast"/>
        <w:rPr>
          <w:rFonts w:cs="宋体"/>
          <w:sz w:val="21"/>
          <w:szCs w:val="21"/>
        </w:rPr>
      </w:pPr>
      <w:r>
        <w:rPr>
          <w:rFonts w:hint="eastAsia" w:cs="宋体"/>
          <w:sz w:val="21"/>
          <w:szCs w:val="21"/>
        </w:rPr>
        <w:t>   </w:t>
      </w:r>
      <w:r>
        <w:rPr>
          <w:rFonts w:hint="eastAsia" w:cs="宋体"/>
          <w:sz w:val="21"/>
          <w:szCs w:val="21"/>
        </w:rPr>
        <w:br w:type="textWrapping"/>
      </w:r>
      <w:r>
        <w:rPr>
          <w:rFonts w:hint="eastAsia" w:cs="宋体"/>
          <w:sz w:val="21"/>
          <w:szCs w:val="21"/>
        </w:rPr>
        <w:t> 2.采购代理机构信息            </w:t>
      </w:r>
    </w:p>
    <w:p>
      <w:pPr>
        <w:pStyle w:val="50"/>
        <w:spacing w:before="75" w:beforeAutospacing="0" w:after="75" w:afterAutospacing="0" w:line="300" w:lineRule="atLeast"/>
        <w:rPr>
          <w:rFonts w:cs="宋体"/>
          <w:sz w:val="21"/>
          <w:szCs w:val="21"/>
        </w:rPr>
      </w:pPr>
      <w:r>
        <w:rPr>
          <w:rFonts w:hint="eastAsia" w:cs="宋体"/>
          <w:sz w:val="21"/>
          <w:szCs w:val="21"/>
        </w:rPr>
        <w:t>  名    称：</w:t>
      </w:r>
      <w:r>
        <w:rPr>
          <w:rStyle w:val="233"/>
          <w:rFonts w:cs="宋体"/>
          <w:sz w:val="21"/>
          <w:szCs w:val="21"/>
          <w:lang w:val="en"/>
        </w:rPr>
        <w:t>广西壮族自治区公共资源交易中心</w:t>
      </w:r>
      <w:r>
        <w:rPr>
          <w:rFonts w:hint="eastAsia" w:cs="宋体"/>
          <w:sz w:val="21"/>
          <w:szCs w:val="21"/>
        </w:rPr>
        <w:t>             </w:t>
      </w:r>
    </w:p>
    <w:p>
      <w:pPr>
        <w:pStyle w:val="50"/>
        <w:spacing w:before="75" w:beforeAutospacing="0" w:after="75" w:afterAutospacing="0" w:line="300" w:lineRule="atLeast"/>
        <w:rPr>
          <w:rFonts w:cs="宋体"/>
          <w:sz w:val="21"/>
          <w:szCs w:val="21"/>
        </w:rPr>
      </w:pPr>
      <w:r>
        <w:rPr>
          <w:rFonts w:hint="eastAsia" w:cs="宋体"/>
          <w:sz w:val="21"/>
          <w:szCs w:val="21"/>
        </w:rPr>
        <w:t>  地    址：</w:t>
      </w:r>
      <w:r>
        <w:rPr>
          <w:rStyle w:val="274"/>
          <w:rFonts w:hint="eastAsia" w:cs="宋体"/>
          <w:sz w:val="21"/>
          <w:szCs w:val="21"/>
        </w:rPr>
        <w:t>广西南宁市星湖路22号</w:t>
      </w:r>
      <w:r>
        <w:rPr>
          <w:rFonts w:hint="eastAsia" w:cs="宋体"/>
          <w:sz w:val="21"/>
          <w:szCs w:val="21"/>
        </w:rPr>
        <w:t>              </w:t>
      </w:r>
    </w:p>
    <w:p>
      <w:pPr>
        <w:pStyle w:val="50"/>
        <w:spacing w:before="75" w:beforeAutospacing="0" w:after="75" w:afterAutospacing="0" w:line="300" w:lineRule="atLeast"/>
        <w:rPr>
          <w:rFonts w:cs="宋体"/>
          <w:color w:val="auto"/>
          <w:sz w:val="21"/>
          <w:szCs w:val="21"/>
        </w:rPr>
      </w:pPr>
      <w:r>
        <w:rPr>
          <w:rFonts w:hint="eastAsia" w:cs="宋体"/>
          <w:sz w:val="21"/>
          <w:szCs w:val="21"/>
        </w:rPr>
        <w:t xml:space="preserve">  </w:t>
      </w:r>
      <w:r>
        <w:rPr>
          <w:rFonts w:hint="eastAsia" w:cs="宋体"/>
          <w:color w:val="auto"/>
          <w:sz w:val="21"/>
          <w:szCs w:val="21"/>
        </w:rPr>
        <w:t>项目联系人：</w:t>
      </w:r>
      <w:r>
        <w:rPr>
          <w:rFonts w:hint="eastAsia" w:cs="宋体"/>
          <w:color w:val="auto"/>
          <w:sz w:val="21"/>
          <w:szCs w:val="21"/>
          <w:lang w:eastAsia="zh-CN"/>
        </w:rPr>
        <w:t>黄凤、陈艳娜</w:t>
      </w:r>
      <w:r>
        <w:rPr>
          <w:rFonts w:hint="eastAsia" w:cs="宋体"/>
          <w:color w:val="auto"/>
          <w:sz w:val="21"/>
          <w:szCs w:val="21"/>
        </w:rPr>
        <w:t>              </w:t>
      </w:r>
    </w:p>
    <w:p>
      <w:pPr>
        <w:pStyle w:val="50"/>
        <w:spacing w:before="75" w:beforeAutospacing="0" w:after="75" w:afterAutospacing="0" w:line="300" w:lineRule="atLeast"/>
        <w:rPr>
          <w:rFonts w:hint="default" w:eastAsia="宋体" w:cs="宋体"/>
          <w:color w:val="auto"/>
          <w:sz w:val="21"/>
          <w:szCs w:val="21"/>
          <w:lang w:val="en-US" w:eastAsia="zh-CN"/>
        </w:rPr>
      </w:pPr>
      <w:r>
        <w:rPr>
          <w:rFonts w:hint="eastAsia" w:cs="宋体"/>
          <w:color w:val="auto"/>
          <w:sz w:val="21"/>
          <w:szCs w:val="21"/>
        </w:rPr>
        <w:t>  项目联系方式：</w:t>
      </w:r>
      <w:r>
        <w:rPr>
          <w:rStyle w:val="141"/>
          <w:rFonts w:cs="宋体"/>
          <w:color w:val="auto"/>
          <w:sz w:val="21"/>
          <w:szCs w:val="21"/>
          <w:lang w:val="en"/>
        </w:rPr>
        <w:t>0771-</w:t>
      </w:r>
      <w:r>
        <w:rPr>
          <w:rStyle w:val="141"/>
          <w:rFonts w:hint="eastAsia" w:cs="宋体"/>
          <w:color w:val="auto"/>
          <w:sz w:val="21"/>
          <w:szCs w:val="21"/>
          <w:lang w:val="en-US" w:eastAsia="zh-CN"/>
        </w:rPr>
        <w:t>8600361、8600359</w:t>
      </w:r>
    </w:p>
    <w:p>
      <w:pPr>
        <w:pStyle w:val="50"/>
        <w:spacing w:before="75" w:beforeAutospacing="0" w:after="75" w:afterAutospacing="0" w:line="300" w:lineRule="atLeast"/>
        <w:rPr>
          <w:rFonts w:cs="宋体"/>
          <w:sz w:val="21"/>
          <w:szCs w:val="21"/>
        </w:rPr>
      </w:pPr>
    </w:p>
    <w:p>
      <w:pPr>
        <w:pStyle w:val="50"/>
        <w:spacing w:before="75" w:beforeAutospacing="0" w:after="75" w:afterAutospacing="0" w:line="315" w:lineRule="atLeast"/>
        <w:rPr>
          <w:rFonts w:cs="宋体"/>
          <w:sz w:val="21"/>
          <w:szCs w:val="21"/>
        </w:rPr>
      </w:pPr>
      <w:r>
        <w:rPr>
          <w:rFonts w:hint="eastAsia" w:cs="宋体"/>
          <w:sz w:val="21"/>
          <w:szCs w:val="21"/>
        </w:rPr>
        <w:t> </w:t>
      </w:r>
    </w:p>
    <w:p>
      <w:pPr>
        <w:pStyle w:val="50"/>
        <w:spacing w:before="75" w:beforeAutospacing="0" w:after="75" w:afterAutospacing="0" w:line="380" w:lineRule="exact"/>
        <w:rPr>
          <w:rFonts w:cs="宋体"/>
          <w:sz w:val="21"/>
          <w:szCs w:val="21"/>
        </w:rPr>
      </w:pPr>
    </w:p>
    <w:p>
      <w:pPr>
        <w:adjustRightInd w:val="0"/>
        <w:snapToGrid w:val="0"/>
        <w:spacing w:line="380" w:lineRule="exact"/>
        <w:ind w:firstLine="420" w:firstLineChars="200"/>
        <w:rPr>
          <w:rFonts w:ascii="宋体" w:hAnsi="宋体" w:cs="宋体"/>
          <w:szCs w:val="21"/>
        </w:rPr>
      </w:pPr>
    </w:p>
    <w:bookmarkEnd w:id="6"/>
    <w:bookmarkEnd w:id="7"/>
    <w:p>
      <w:pPr>
        <w:adjustRightInd w:val="0"/>
        <w:snapToGrid w:val="0"/>
        <w:spacing w:line="380" w:lineRule="exact"/>
        <w:ind w:left="238"/>
        <w:jc w:val="right"/>
        <w:rPr>
          <w:rFonts w:ascii="宋体" w:hAnsi="宋体" w:cs="宋体"/>
          <w:szCs w:val="21"/>
          <w:lang w:val="en"/>
        </w:rPr>
      </w:pPr>
      <w:r>
        <w:rPr>
          <w:rFonts w:ascii="宋体" w:hAnsi="宋体" w:cs="宋体"/>
          <w:szCs w:val="21"/>
          <w:lang w:val="en"/>
        </w:rPr>
        <w:t>广西壮族自治区公共资源交易中心</w:t>
      </w:r>
    </w:p>
    <w:p>
      <w:pPr>
        <w:widowControl/>
        <w:adjustRightInd w:val="0"/>
        <w:snapToGrid w:val="0"/>
        <w:spacing w:line="380" w:lineRule="exact"/>
        <w:ind w:right="384" w:rightChars="183"/>
        <w:jc w:val="right"/>
        <w:rPr>
          <w:rFonts w:ascii="宋体" w:hAnsi="宋体" w:cs="宋体"/>
          <w:kern w:val="0"/>
          <w:szCs w:val="21"/>
          <w:lang w:val="en"/>
        </w:rPr>
      </w:pPr>
      <w:r>
        <w:rPr>
          <w:rStyle w:val="184"/>
          <w:rFonts w:hint="eastAsia" w:ascii="宋体" w:hAnsi="宋体" w:cs="宋体"/>
          <w:szCs w:val="21"/>
        </w:rPr>
        <w:t>202</w:t>
      </w:r>
      <w:r>
        <w:rPr>
          <w:rStyle w:val="184"/>
          <w:rFonts w:hint="eastAsia" w:ascii="宋体" w:hAnsi="宋体" w:cs="宋体"/>
          <w:szCs w:val="21"/>
          <w:lang w:val="en-US" w:eastAsia="zh-CN"/>
        </w:rPr>
        <w:t>6</w:t>
      </w:r>
      <w:r>
        <w:rPr>
          <w:rStyle w:val="184"/>
          <w:rFonts w:hint="eastAsia" w:ascii="宋体" w:hAnsi="宋体" w:cs="宋体"/>
          <w:szCs w:val="21"/>
        </w:rPr>
        <w:t>年</w:t>
      </w:r>
      <w:r>
        <w:rPr>
          <w:rStyle w:val="184"/>
          <w:rFonts w:hint="eastAsia" w:ascii="宋体" w:hAnsi="宋体" w:cs="宋体"/>
          <w:szCs w:val="21"/>
          <w:lang w:val="en-US" w:eastAsia="zh-CN"/>
        </w:rPr>
        <w:t>8</w:t>
      </w:r>
      <w:r>
        <w:rPr>
          <w:rStyle w:val="184"/>
          <w:rFonts w:ascii="宋体" w:hAnsi="宋体" w:cs="宋体"/>
          <w:szCs w:val="21"/>
          <w:lang w:val="en"/>
        </w:rPr>
        <w:t>月</w:t>
      </w:r>
      <w:r>
        <w:rPr>
          <w:rStyle w:val="184"/>
          <w:rFonts w:hint="eastAsia" w:ascii="宋体" w:hAnsi="宋体" w:cs="宋体"/>
          <w:szCs w:val="21"/>
          <w:lang w:val="en-US" w:eastAsia="zh-CN"/>
        </w:rPr>
        <w:t>21</w:t>
      </w:r>
      <w:r>
        <w:rPr>
          <w:rStyle w:val="184"/>
          <w:rFonts w:hint="eastAsia" w:ascii="宋体" w:hAnsi="宋体" w:cs="宋体"/>
          <w:szCs w:val="21"/>
        </w:rPr>
        <w:t>日</w:t>
      </w:r>
    </w:p>
    <w:p>
      <w:pPr>
        <w:pageBreakBefore/>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napToGrid w:val="0"/>
        <w:spacing w:before="156" w:beforeLines="50" w:after="156" w:afterLines="50"/>
        <w:ind w:left="238"/>
        <w:jc w:val="center"/>
        <w:rPr>
          <w:rFonts w:ascii="仿宋_GB2312" w:hAnsi="宋体" w:eastAsia="仿宋_GB2312"/>
          <w:b/>
          <w:sz w:val="44"/>
          <w:szCs w:val="44"/>
        </w:rPr>
      </w:pPr>
    </w:p>
    <w:p>
      <w:pPr>
        <w:spacing w:line="440" w:lineRule="atLeast"/>
        <w:ind w:firstLine="420"/>
        <w:rPr>
          <w:rFonts w:ascii="宋体" w:hAnsi="宋体"/>
          <w:szCs w:val="21"/>
        </w:rPr>
      </w:pPr>
    </w:p>
    <w:p>
      <w:pPr>
        <w:snapToGrid w:val="0"/>
        <w:spacing w:before="156" w:beforeLines="50" w:after="156" w:afterLines="50"/>
        <w:ind w:left="238"/>
        <w:jc w:val="center"/>
        <w:rPr>
          <w:rFonts w:ascii="仿宋_GB2312" w:hAnsi="宋体" w:eastAsia="仿宋_GB2312"/>
          <w:b/>
          <w:sz w:val="44"/>
          <w:szCs w:val="44"/>
        </w:rPr>
      </w:pPr>
    </w:p>
    <w:p>
      <w:pPr>
        <w:pStyle w:val="3"/>
        <w:jc w:val="center"/>
      </w:pPr>
      <w:bookmarkStart w:id="8" w:name="_Toc2015667557"/>
      <w:r>
        <w:rPr>
          <w:rFonts w:hint="eastAsia"/>
        </w:rPr>
        <w:t>第二章  招标项目采购需求</w:t>
      </w:r>
      <w:bookmarkEnd w:id="8"/>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beforeLines="50" w:after="156" w:afterLines="50"/>
        <w:ind w:left="238"/>
        <w:jc w:val="center"/>
        <w:rPr>
          <w:rFonts w:ascii="黑体" w:hAnsi="宋体" w:eastAsia="黑体"/>
          <w:sz w:val="32"/>
          <w:szCs w:val="32"/>
        </w:rPr>
      </w:pPr>
    </w:p>
    <w:p>
      <w:pPr>
        <w:snapToGrid w:val="0"/>
        <w:spacing w:before="156" w:after="156" w:line="320" w:lineRule="exact"/>
        <w:ind w:left="238"/>
        <w:jc w:val="center"/>
        <w:rPr>
          <w:rStyle w:val="191"/>
          <w:rFonts w:ascii="宋体" w:hAnsi="宋体"/>
          <w:b/>
          <w:color w:val="auto"/>
          <w:sz w:val="28"/>
          <w:szCs w:val="28"/>
          <w:u w:val="none"/>
        </w:rPr>
      </w:pPr>
      <w:r>
        <w:rPr>
          <w:rFonts w:ascii="宋体" w:hAnsi="宋体"/>
          <w:b/>
          <w:bCs/>
          <w:sz w:val="32"/>
          <w:szCs w:val="32"/>
        </w:rPr>
        <w:br w:type="page"/>
      </w:r>
      <w:bookmarkStart w:id="9" w:name="_Toc1999517464"/>
      <w:r>
        <w:rPr>
          <w:rStyle w:val="191"/>
          <w:rFonts w:hint="eastAsia" w:ascii="宋体" w:hAnsi="宋体"/>
          <w:b/>
          <w:bCs/>
          <w:color w:val="auto"/>
          <w:sz w:val="28"/>
          <w:szCs w:val="28"/>
          <w:u w:val="none"/>
        </w:rPr>
        <w:t>招</w:t>
      </w:r>
      <w:r>
        <w:rPr>
          <w:rStyle w:val="191"/>
          <w:rFonts w:hint="eastAsia" w:ascii="宋体" w:hAnsi="宋体"/>
          <w:b/>
          <w:color w:val="auto"/>
          <w:sz w:val="28"/>
          <w:szCs w:val="28"/>
          <w:u w:val="none"/>
        </w:rPr>
        <w:t>标项目采购需求</w:t>
      </w:r>
    </w:p>
    <w:p>
      <w:pPr>
        <w:spacing w:line="400" w:lineRule="exact"/>
        <w:rPr>
          <w:rStyle w:val="191"/>
          <w:rFonts w:ascii="宋体" w:hAnsi="宋体"/>
          <w:b/>
          <w:color w:val="auto"/>
          <w:szCs w:val="21"/>
          <w:u w:val="none"/>
        </w:rPr>
      </w:pPr>
      <w:r>
        <w:rPr>
          <w:rStyle w:val="191"/>
          <w:rFonts w:hint="eastAsia" w:ascii="宋体" w:hAnsi="宋体"/>
          <w:b/>
          <w:color w:val="auto"/>
          <w:szCs w:val="21"/>
          <w:u w:val="none"/>
        </w:rPr>
        <w:t>说明：</w:t>
      </w:r>
    </w:p>
    <w:p>
      <w:pPr>
        <w:spacing w:line="400" w:lineRule="exact"/>
        <w:ind w:firstLine="420" w:firstLineChars="200"/>
        <w:rPr>
          <w:rStyle w:val="191"/>
          <w:rFonts w:ascii="宋体" w:hAnsi="宋体"/>
          <w:b/>
          <w:bCs/>
          <w:color w:val="auto"/>
          <w:szCs w:val="21"/>
          <w:u w:val="none"/>
        </w:rPr>
      </w:pPr>
      <w:r>
        <w:rPr>
          <w:rStyle w:val="191"/>
          <w:rFonts w:hint="eastAsia" w:ascii="宋体" w:hAnsi="宋体"/>
          <w:b/>
          <w:bCs/>
          <w:color w:val="auto"/>
          <w:szCs w:val="21"/>
          <w:u w:val="none"/>
        </w:rPr>
        <w:t>1.凡在“技术参数及性能（配置）要求”中表述为“标配”或“标准配置”的设备，投标人应在投标报价表中详细列明其标配参数，否则该投标无效。</w:t>
      </w:r>
    </w:p>
    <w:p>
      <w:pPr>
        <w:spacing w:line="400" w:lineRule="exact"/>
        <w:ind w:firstLine="420" w:firstLineChars="200"/>
        <w:rPr>
          <w:rStyle w:val="191"/>
          <w:rFonts w:ascii="宋体" w:hAnsi="宋体"/>
          <w:b/>
          <w:bCs/>
          <w:color w:val="auto"/>
          <w:szCs w:val="21"/>
          <w:u w:val="none"/>
        </w:rPr>
      </w:pPr>
      <w:r>
        <w:rPr>
          <w:rStyle w:val="191"/>
          <w:rFonts w:hint="eastAsia" w:ascii="宋体" w:hAnsi="宋体" w:eastAsia="宋体" w:cs="Times New Roman"/>
          <w:b/>
          <w:bCs/>
          <w:color w:val="auto"/>
          <w:szCs w:val="21"/>
          <w:u w:val="none"/>
        </w:rPr>
        <w:t>2.评标时，</w:t>
      </w:r>
      <w:r>
        <w:rPr>
          <w:rStyle w:val="191"/>
          <w:rFonts w:hint="eastAsia" w:ascii="宋体" w:hAnsi="宋体" w:cs="Times New Roman"/>
          <w:b/>
          <w:bCs/>
          <w:color w:val="auto"/>
          <w:szCs w:val="21"/>
          <w:u w:val="none"/>
          <w:lang w:val="en-US" w:eastAsia="zh-CN"/>
        </w:rPr>
        <w:t>若发现招标文件</w:t>
      </w:r>
      <w:r>
        <w:rPr>
          <w:rStyle w:val="191"/>
          <w:rFonts w:hint="eastAsia" w:ascii="宋体" w:hAnsi="宋体" w:eastAsia="宋体" w:cs="Times New Roman"/>
          <w:b/>
          <w:bCs/>
          <w:color w:val="auto"/>
          <w:szCs w:val="21"/>
          <w:u w:val="none"/>
        </w:rPr>
        <w:t>技术需求（含附件）和售后服务及其他要求中含有某一品牌特有的参数或其他限制性要求</w:t>
      </w:r>
      <w:r>
        <w:rPr>
          <w:rStyle w:val="191"/>
          <w:rFonts w:hint="eastAsia" w:ascii="宋体" w:hAnsi="宋体" w:cs="Times New Roman"/>
          <w:b/>
          <w:bCs/>
          <w:color w:val="auto"/>
          <w:szCs w:val="21"/>
          <w:u w:val="none"/>
          <w:lang w:val="en-US" w:eastAsia="zh-CN"/>
        </w:rPr>
        <w:t>的，应停止评审并向代理机构或采购人报告，修改招标文件后重新组织采购。</w:t>
      </w:r>
    </w:p>
    <w:p>
      <w:pPr>
        <w:spacing w:line="400" w:lineRule="exact"/>
        <w:ind w:firstLine="420" w:firstLineChars="200"/>
        <w:rPr>
          <w:rStyle w:val="191"/>
          <w:rFonts w:hint="eastAsia" w:ascii="宋体" w:hAnsi="宋体" w:eastAsia="宋体" w:cs="Times New Roman"/>
          <w:b/>
          <w:bCs/>
          <w:color w:val="auto"/>
          <w:szCs w:val="21"/>
          <w:u w:val="none"/>
        </w:rPr>
      </w:pPr>
      <w:r>
        <w:rPr>
          <w:rStyle w:val="191"/>
          <w:rFonts w:hint="eastAsia" w:ascii="宋体" w:hAnsi="宋体" w:cs="Times New Roman"/>
          <w:b/>
          <w:bCs/>
          <w:color w:val="auto"/>
          <w:szCs w:val="21"/>
          <w:u w:val="none"/>
          <w:lang w:val="en-US" w:eastAsia="zh-CN"/>
        </w:rPr>
        <w:t>3</w:t>
      </w:r>
      <w:r>
        <w:rPr>
          <w:rStyle w:val="191"/>
          <w:rFonts w:hint="eastAsia" w:ascii="宋体" w:hAnsi="宋体" w:eastAsia="宋体" w:cs="Times New Roman"/>
          <w:b/>
          <w:bCs/>
          <w:color w:val="auto"/>
          <w:szCs w:val="21"/>
          <w:u w:val="none"/>
        </w:rPr>
        <w:t>.标记“▲”项为实质性响应参数，必须满足或优于招标文件要求，否则投标无效；标记“★”为重要参数指标，在评分办法中作为重要评审因素；未标注“▲”、“★”的技术参数为一般技术参数指标，在评分办法中作为一般评审因素。</w:t>
      </w:r>
    </w:p>
    <w:p>
      <w:pPr>
        <w:spacing w:line="400" w:lineRule="exact"/>
        <w:ind w:firstLine="420" w:firstLineChars="200"/>
        <w:rPr>
          <w:rStyle w:val="191"/>
          <w:rFonts w:hint="eastAsia" w:ascii="宋体" w:hAnsi="宋体" w:eastAsia="宋体" w:cs="Times New Roman"/>
          <w:b/>
          <w:bCs/>
          <w:color w:val="auto"/>
          <w:kern w:val="2"/>
          <w:sz w:val="21"/>
          <w:szCs w:val="21"/>
          <w:u w:val="none"/>
        </w:rPr>
      </w:pPr>
      <w:r>
        <w:rPr>
          <w:rStyle w:val="191"/>
          <w:rFonts w:hint="eastAsia" w:ascii="宋体" w:hAnsi="宋体" w:cs="Times New Roman"/>
          <w:b/>
          <w:bCs/>
          <w:color w:val="auto"/>
          <w:sz w:val="21"/>
          <w:szCs w:val="21"/>
          <w:u w:val="none"/>
          <w:lang w:val="en-US" w:eastAsia="zh-CN"/>
        </w:rPr>
        <w:t>4</w:t>
      </w:r>
      <w:r>
        <w:rPr>
          <w:rStyle w:val="191"/>
          <w:rFonts w:hint="eastAsia" w:ascii="宋体" w:hAnsi="宋体" w:eastAsia="宋体" w:cs="Times New Roman"/>
          <w:b/>
          <w:bCs/>
          <w:color w:val="auto"/>
          <w:kern w:val="2"/>
          <w:sz w:val="21"/>
          <w:szCs w:val="21"/>
          <w:u w:val="none"/>
          <w:lang w:val="en-US" w:eastAsia="zh-CN"/>
        </w:rPr>
        <w:t>.</w:t>
      </w:r>
      <w:r>
        <w:rPr>
          <w:rStyle w:val="191"/>
          <w:rFonts w:hint="eastAsia" w:ascii="宋体" w:hAnsi="宋体" w:eastAsia="宋体" w:cs="Times New Roman"/>
          <w:b/>
          <w:bCs/>
          <w:color w:val="auto"/>
          <w:kern w:val="2"/>
          <w:sz w:val="21"/>
          <w:szCs w:val="21"/>
          <w:u w:val="none"/>
        </w:rPr>
        <w:t>本项目标的所属行业均为：工业；划分依据：《关于印发中小企业划型标准规定的通知》（工信部联企业〔20</w:t>
      </w:r>
      <w:r>
        <w:rPr>
          <w:rStyle w:val="191"/>
          <w:rFonts w:hint="eastAsia" w:ascii="宋体" w:hAnsi="宋体" w:cs="Times New Roman"/>
          <w:b/>
          <w:bCs/>
          <w:color w:val="auto"/>
          <w:kern w:val="2"/>
          <w:sz w:val="21"/>
          <w:szCs w:val="21"/>
          <w:u w:val="none"/>
          <w:lang w:val="en-US" w:eastAsia="zh-CN"/>
        </w:rPr>
        <w:t>11</w:t>
      </w:r>
      <w:r>
        <w:rPr>
          <w:rStyle w:val="191"/>
          <w:rFonts w:hint="eastAsia" w:ascii="宋体" w:hAnsi="宋体" w:eastAsia="宋体" w:cs="Times New Roman"/>
          <w:b/>
          <w:bCs/>
          <w:color w:val="auto"/>
          <w:kern w:val="2"/>
          <w:sz w:val="21"/>
          <w:szCs w:val="21"/>
          <w:u w:val="none"/>
        </w:rPr>
        <w:t>〕300号）</w:t>
      </w:r>
    </w:p>
    <w:p>
      <w:pPr>
        <w:ind w:firstLine="420"/>
        <w:rPr>
          <w:rStyle w:val="191"/>
          <w:rFonts w:hint="eastAsia" w:ascii="宋体" w:hAnsi="宋体"/>
          <w:b/>
          <w:bCs/>
          <w:color w:val="auto"/>
          <w:sz w:val="24"/>
          <w:szCs w:val="24"/>
          <w:u w:val="none"/>
        </w:rPr>
      </w:pPr>
      <w:r>
        <w:rPr>
          <w:rStyle w:val="191"/>
          <w:rFonts w:hint="eastAsia" w:ascii="宋体" w:hAnsi="宋体"/>
          <w:b/>
          <w:bCs/>
          <w:color w:val="auto"/>
          <w:szCs w:val="21"/>
          <w:u w:val="none"/>
          <w:lang w:val="en-US" w:eastAsia="zh"/>
        </w:rPr>
        <w:t>5.招标文件所提技术参数均指实际应用于临床诊断或治疗的技术参数</w:t>
      </w:r>
      <w:r>
        <w:rPr>
          <w:rStyle w:val="191"/>
          <w:rFonts w:hint="eastAsia" w:ascii="宋体" w:hAnsi="宋体"/>
          <w:b/>
          <w:bCs/>
          <w:color w:val="auto"/>
          <w:szCs w:val="21"/>
          <w:u w:val="none"/>
          <w:lang w:val="en-US" w:eastAsia="zh-CN"/>
        </w:rPr>
        <w:t>，</w:t>
      </w:r>
      <w:r>
        <w:rPr>
          <w:rStyle w:val="191"/>
          <w:rFonts w:hint="eastAsia" w:ascii="宋体" w:hAnsi="宋体"/>
          <w:b/>
          <w:bCs/>
          <w:color w:val="auto"/>
          <w:szCs w:val="21"/>
          <w:u w:val="none"/>
        </w:rPr>
        <w:t>投标人应</w:t>
      </w:r>
      <w:r>
        <w:rPr>
          <w:rStyle w:val="191"/>
          <w:rFonts w:hint="eastAsia" w:ascii="宋体" w:hAnsi="宋体"/>
          <w:b/>
          <w:bCs/>
          <w:color w:val="auto"/>
          <w:szCs w:val="21"/>
          <w:u w:val="none"/>
          <w:lang w:eastAsia="zh-CN"/>
        </w:rPr>
        <w:t>如实响应，</w:t>
      </w:r>
      <w:r>
        <w:rPr>
          <w:rStyle w:val="191"/>
          <w:rFonts w:hint="eastAsia" w:ascii="宋体" w:hAnsi="宋体"/>
          <w:b/>
          <w:bCs/>
          <w:color w:val="auto"/>
          <w:szCs w:val="21"/>
          <w:u w:val="none"/>
        </w:rPr>
        <w:t>否则该投标无效</w:t>
      </w:r>
      <w:r>
        <w:rPr>
          <w:rStyle w:val="191"/>
          <w:rFonts w:hint="eastAsia" w:ascii="宋体" w:hAnsi="宋体"/>
          <w:b/>
          <w:bCs/>
          <w:color w:val="auto"/>
          <w:szCs w:val="21"/>
          <w:u w:val="none"/>
          <w:lang w:val="en-US" w:eastAsia="zh"/>
        </w:rPr>
        <w:t>。</w:t>
      </w:r>
    </w:p>
    <w:p>
      <w:pPr>
        <w:pStyle w:val="2"/>
        <w:rPr>
          <w:rFonts w:hint="eastAsia"/>
        </w:rPr>
      </w:pPr>
    </w:p>
    <w:p>
      <w:pPr>
        <w:ind w:firstLine="420"/>
        <w:rPr>
          <w:rStyle w:val="191"/>
          <w:rFonts w:hint="eastAsia" w:ascii="宋体" w:hAnsi="宋体"/>
          <w:b/>
          <w:bCs/>
          <w:color w:val="auto"/>
          <w:sz w:val="24"/>
          <w:szCs w:val="24"/>
          <w:u w:val="none"/>
        </w:rPr>
      </w:pPr>
    </w:p>
    <w:p>
      <w:pPr>
        <w:ind w:firstLine="420"/>
        <w:rPr>
          <w:rStyle w:val="191"/>
          <w:rFonts w:hint="eastAsia" w:ascii="宋体" w:hAnsi="宋体"/>
          <w:b/>
          <w:bCs/>
          <w:color w:val="auto"/>
          <w:sz w:val="21"/>
          <w:szCs w:val="21"/>
          <w:u w:val="none"/>
        </w:rPr>
      </w:pPr>
      <w:r>
        <w:rPr>
          <w:rStyle w:val="191"/>
          <w:rFonts w:hint="eastAsia" w:ascii="宋体" w:hAnsi="宋体"/>
          <w:b/>
          <w:bCs/>
          <w:color w:val="auto"/>
          <w:sz w:val="21"/>
          <w:szCs w:val="21"/>
          <w:u w:val="none"/>
        </w:rPr>
        <w:t>分标1：</w:t>
      </w:r>
      <w:r>
        <w:rPr>
          <w:rStyle w:val="191"/>
          <w:rFonts w:hint="eastAsia" w:ascii="宋体" w:hAnsi="宋体"/>
          <w:b/>
          <w:bCs/>
          <w:color w:val="auto"/>
          <w:sz w:val="21"/>
          <w:szCs w:val="21"/>
          <w:u w:val="none"/>
          <w:lang w:eastAsia="zh"/>
        </w:rPr>
        <w:t>医用直线加速器(分标1)</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3000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3000</w:t>
      </w:r>
      <w:r>
        <w:rPr>
          <w:rFonts w:hint="eastAsia"/>
          <w:color w:val="auto"/>
          <w:lang w:eastAsia="zh-CN"/>
        </w:rPr>
        <w:t>万元（</w:t>
      </w:r>
      <w:r>
        <w:rPr>
          <w:rFonts w:hint="eastAsia"/>
          <w:color w:val="auto"/>
          <w:lang w:val="en-US" w:eastAsia="zh-CN"/>
        </w:rPr>
        <w:t>3000</w:t>
      </w:r>
      <w:r>
        <w:rPr>
          <w:rFonts w:hint="eastAsia"/>
          <w:color w:val="auto"/>
          <w:lang w:eastAsia="zh-CN"/>
        </w:rPr>
        <w:t>万元/套）</w:t>
      </w:r>
    </w:p>
    <w:p>
      <w:pPr>
        <w:ind w:firstLine="420"/>
        <w:rPr>
          <w:rFonts w:hint="eastAsia" w:ascii="宋体" w:hAnsi="宋体" w:cs="宋体"/>
          <w:szCs w:val="21"/>
        </w:rPr>
      </w:pPr>
    </w:p>
    <w:p>
      <w:pPr>
        <w:ind w:firstLine="420"/>
        <w:rPr>
          <w:rFonts w:hint="eastAsia" w:ascii="宋体" w:hAnsi="宋体" w:cs="宋体"/>
          <w:b w:val="0"/>
          <w:bCs w:val="0"/>
          <w:szCs w:val="21"/>
          <w:u w:val="none"/>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983" w:tblpY="757"/>
        <w:tblOverlap w:val="never"/>
        <w:tblW w:w="50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4"/>
        <w:gridCol w:w="685"/>
        <w:gridCol w:w="751"/>
        <w:gridCol w:w="67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344"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377"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403"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30"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44" w:type="pct"/>
            <w:vAlign w:val="center"/>
          </w:tcPr>
          <w:p>
            <w:pPr>
              <w:snapToGrid w:val="0"/>
              <w:jc w:val="center"/>
              <w:rPr>
                <w:rFonts w:hint="eastAsia" w:ascii="宋体" w:hAnsi="宋体" w:cs="宋体"/>
                <w:szCs w:val="21"/>
              </w:rPr>
            </w:pPr>
            <w:r>
              <w:rPr>
                <w:rFonts w:hint="eastAsia" w:ascii="宋体" w:hAnsi="宋体" w:cs="宋体"/>
                <w:b/>
                <w:bCs/>
                <w:color w:val="000000" w:themeColor="text1"/>
                <w:sz w:val="21"/>
                <w:szCs w:val="21"/>
                <w:lang w:eastAsia="zh"/>
                <w14:textFill>
                  <w14:solidFill>
                    <w14:schemeClr w14:val="tx1"/>
                  </w14:solidFill>
                </w14:textFill>
              </w:rPr>
              <w:t>医用直线加速器(分标1)</w:t>
            </w:r>
          </w:p>
        </w:tc>
        <w:tc>
          <w:tcPr>
            <w:tcW w:w="344"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377"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403" w:type="pct"/>
            <w:vAlign w:val="center"/>
          </w:tcPr>
          <w:p>
            <w:pPr>
              <w:textAlignment w:val="auto"/>
              <w:rPr>
                <w:rFonts w:hint="eastAsia" w:ascii="宋体" w:hAnsi="宋体" w:cs="宋体"/>
                <w:szCs w:val="21"/>
              </w:rPr>
            </w:pPr>
            <w:r>
              <w:rPr>
                <w:rFonts w:hint="eastAsia" w:ascii="宋体" w:hAnsi="宋体" w:cs="宋体"/>
                <w:szCs w:val="21"/>
              </w:rPr>
              <w:t>1放射治疗设备要求概述</w:t>
            </w:r>
            <w:r>
              <w:rPr>
                <w:rFonts w:hint="eastAsia" w:ascii="宋体" w:hAnsi="宋体" w:cs="宋体"/>
                <w:szCs w:val="21"/>
              </w:rPr>
              <w:tab/>
            </w:r>
          </w:p>
          <w:p>
            <w:pPr>
              <w:textAlignment w:val="auto"/>
              <w:rPr>
                <w:rFonts w:hint="eastAsia" w:ascii="宋体" w:hAnsi="宋体" w:eastAsia="宋体" w:cs="宋体"/>
                <w:szCs w:val="21"/>
              </w:rPr>
            </w:pPr>
            <w:r>
              <w:rPr>
                <w:rFonts w:hint="eastAsia" w:ascii="宋体" w:hAnsi="宋体" w:cs="宋体"/>
                <w:szCs w:val="21"/>
              </w:rPr>
              <w:t>▲1.1本次招标标的为一套在线自适应放射治疗系统，含直线加速器及配套软件系统，包括放射治疗计划系统（含医生工作站及物理师工作站）、放疗质控系统、肿瘤信息管理系统以及其他支持系统运行所必需的软件和</w:t>
            </w:r>
            <w:r>
              <w:rPr>
                <w:rFonts w:hint="eastAsia" w:ascii="宋体" w:hAnsi="宋体" w:eastAsia="宋体" w:cs="宋体"/>
                <w:szCs w:val="21"/>
              </w:rPr>
              <w:t>硬件</w:t>
            </w:r>
            <w:r>
              <w:rPr>
                <w:rFonts w:hint="eastAsia" w:ascii="宋体" w:hAnsi="宋体" w:eastAsia="宋体" w:cs="宋体"/>
                <w:szCs w:val="21"/>
                <w:lang w:eastAsia="zh-CN"/>
              </w:rPr>
              <w:t>。</w:t>
            </w:r>
            <w:r>
              <w:rPr>
                <w:rFonts w:hint="eastAsia" w:ascii="宋体" w:hAnsi="宋体" w:eastAsia="宋体" w:cs="宋体"/>
                <w:szCs w:val="21"/>
              </w:rPr>
              <w:tab/>
            </w:r>
          </w:p>
          <w:p>
            <w:pPr>
              <w:textAlignment w:val="auto"/>
              <w:rPr>
                <w:rFonts w:hint="eastAsia" w:ascii="宋体" w:hAnsi="宋体" w:cs="宋体"/>
                <w:szCs w:val="21"/>
              </w:rPr>
            </w:pPr>
            <w:r>
              <w:rPr>
                <w:rFonts w:hint="eastAsia" w:ascii="宋体" w:hAnsi="宋体" w:eastAsia="宋体" w:cs="宋体"/>
                <w:szCs w:val="21"/>
              </w:rPr>
              <w:t>▲1.</w:t>
            </w:r>
            <w:r>
              <w:rPr>
                <w:rFonts w:hint="eastAsia" w:ascii="宋体" w:hAnsi="宋体" w:cs="宋体"/>
                <w:szCs w:val="21"/>
                <w:lang w:val="en-US" w:eastAsia="zh-CN"/>
              </w:rPr>
              <w:t>2</w:t>
            </w:r>
            <w:r>
              <w:rPr>
                <w:rFonts w:hint="eastAsia" w:ascii="宋体" w:hAnsi="宋体" w:eastAsia="宋体" w:cs="宋体"/>
                <w:szCs w:val="21"/>
              </w:rPr>
              <w:t>投标方针对所投设备满足现场条</w:t>
            </w:r>
            <w:r>
              <w:rPr>
                <w:rFonts w:hint="eastAsia" w:ascii="宋体" w:hAnsi="宋体" w:cs="宋体"/>
                <w:szCs w:val="21"/>
              </w:rPr>
              <w:t>件（空间、承重、防护、运输通道尺寸与承重等）提供注册证、技术白皮书、勘探图纸等支撑材料和书面承诺函。根据机房场地平面图纸（详见附件）提供适合安装场地尺寸和使用空间要求的机型</w:t>
            </w:r>
            <w:r>
              <w:rPr>
                <w:rFonts w:hint="eastAsia" w:ascii="宋体" w:hAnsi="宋体" w:cs="宋体"/>
                <w:szCs w:val="21"/>
                <w:lang w:eastAsia="zh-CN"/>
              </w:rPr>
              <w:t>，</w:t>
            </w:r>
            <w:r>
              <w:rPr>
                <w:rFonts w:hint="eastAsia" w:ascii="宋体" w:hAnsi="宋体" w:cs="宋体"/>
                <w:szCs w:val="21"/>
              </w:rPr>
              <w:t>如所投机型无法满足现场条件，投标方承担相关责任，采购人有权终止合同</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2机架运动系统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2.1</w:t>
            </w:r>
            <w:r>
              <w:rPr>
                <w:rFonts w:hint="eastAsia" w:ascii="宋体" w:hAnsi="宋体" w:cs="宋体"/>
                <w:szCs w:val="21"/>
              </w:rPr>
              <w:tab/>
            </w:r>
            <w:r>
              <w:rPr>
                <w:rFonts w:hint="eastAsia" w:ascii="宋体" w:hAnsi="宋体" w:cs="宋体"/>
                <w:szCs w:val="21"/>
              </w:rPr>
              <w:t>机架结构</w:t>
            </w:r>
            <w:r>
              <w:rPr>
                <w:rFonts w:hint="eastAsia" w:ascii="宋体" w:hAnsi="宋体" w:cs="宋体"/>
                <w:szCs w:val="21"/>
                <w:lang w:eastAsia="zh-CN"/>
              </w:rPr>
              <w:t>：</w:t>
            </w:r>
            <w:r>
              <w:rPr>
                <w:rFonts w:hint="eastAsia" w:ascii="宋体" w:hAnsi="宋体" w:cs="宋体"/>
                <w:szCs w:val="21"/>
              </w:rPr>
              <w:t>环形机架或C型机架</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2.2机架旋转角度</w:t>
            </w:r>
            <w:r>
              <w:rPr>
                <w:rFonts w:hint="eastAsia" w:ascii="宋体" w:hAnsi="宋体" w:cs="宋体"/>
                <w:szCs w:val="21"/>
                <w:lang w:eastAsia="zh-CN"/>
              </w:rPr>
              <w:t>：</w:t>
            </w:r>
            <w:r>
              <w:rPr>
                <w:rFonts w:hint="eastAsia" w:ascii="宋体" w:hAnsi="宋体" w:cs="宋体"/>
                <w:szCs w:val="21"/>
              </w:rPr>
              <w:t>≥360°</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★2.3环形机架旋转速度≥4RPM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eastAsia="宋体" w:cs="宋体"/>
                <w:szCs w:val="21"/>
              </w:rPr>
              <w:t>▲</w:t>
            </w:r>
            <w:r>
              <w:rPr>
                <w:rFonts w:hint="eastAsia" w:ascii="宋体" w:hAnsi="宋体" w:cs="宋体"/>
                <w:szCs w:val="21"/>
              </w:rPr>
              <w:t>2.4机械等中心精度（机架+治疗头）环形机架≤0.</w:t>
            </w:r>
            <w:r>
              <w:rPr>
                <w:rFonts w:hint="eastAsia" w:ascii="宋体" w:hAnsi="宋体" w:cs="宋体"/>
                <w:szCs w:val="21"/>
                <w:lang w:val="en-US" w:eastAsia="zh-CN"/>
              </w:rPr>
              <w:t>9</w:t>
            </w:r>
            <w:r>
              <w:rPr>
                <w:rFonts w:hint="eastAsia" w:ascii="宋体" w:hAnsi="宋体" w:cs="宋体"/>
                <w:szCs w:val="21"/>
              </w:rPr>
              <w:t>mm或C型机架：综合等中心精度（机架、治疗头、辐射野、治疗床）≤0.75mm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5</w:t>
            </w:r>
            <w:r>
              <w:rPr>
                <w:rFonts w:hint="eastAsia" w:ascii="宋体" w:hAnsi="宋体" w:cs="宋体"/>
                <w:szCs w:val="21"/>
              </w:rPr>
              <w:t>治疗净空间半径</w:t>
            </w:r>
            <w:r>
              <w:rPr>
                <w:rFonts w:hint="eastAsia" w:ascii="宋体" w:hAnsi="宋体" w:cs="宋体"/>
                <w:szCs w:val="21"/>
                <w:lang w:eastAsia="zh-CN"/>
              </w:rPr>
              <w:t>：</w:t>
            </w:r>
            <w:r>
              <w:rPr>
                <w:rFonts w:hint="eastAsia" w:ascii="宋体" w:hAnsi="宋体" w:cs="宋体"/>
                <w:szCs w:val="21"/>
              </w:rPr>
              <w:t>环形机架≥50cm或C型机架≥45cm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6</w:t>
            </w:r>
            <w:r>
              <w:rPr>
                <w:rFonts w:hint="eastAsia" w:ascii="宋体" w:hAnsi="宋体" w:cs="宋体"/>
                <w:szCs w:val="21"/>
              </w:rPr>
              <w:t>机架旋转精度</w:t>
            </w:r>
            <w:r>
              <w:rPr>
                <w:rFonts w:hint="eastAsia" w:ascii="宋体" w:hAnsi="宋体" w:cs="宋体"/>
                <w:szCs w:val="21"/>
                <w:lang w:eastAsia="zh-CN"/>
              </w:rPr>
              <w:t>：</w:t>
            </w:r>
            <w:r>
              <w:rPr>
                <w:rFonts w:hint="eastAsia" w:ascii="宋体" w:hAnsi="宋体" w:cs="宋体"/>
                <w:szCs w:val="21"/>
              </w:rPr>
              <w:t>≤0.5°</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CN"/>
              </w:rPr>
              <w:t>7</w:t>
            </w:r>
            <w:r>
              <w:rPr>
                <w:rFonts w:hint="eastAsia" w:ascii="宋体" w:hAnsi="宋体" w:cs="宋体"/>
                <w:szCs w:val="21"/>
              </w:rPr>
              <w:t>机架、准直器和治疗床等中心精度</w:t>
            </w:r>
            <w:r>
              <w:rPr>
                <w:rFonts w:hint="eastAsia" w:ascii="宋体" w:hAnsi="宋体" w:cs="宋体"/>
                <w:szCs w:val="21"/>
                <w:lang w:eastAsia="zh-CN"/>
              </w:rPr>
              <w:t>：</w:t>
            </w:r>
            <w:r>
              <w:rPr>
                <w:rFonts w:hint="eastAsia" w:ascii="宋体" w:hAnsi="宋体" w:cs="宋体"/>
                <w:szCs w:val="21"/>
              </w:rPr>
              <w:t>≤0.75mm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3束流系统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3.1加速管类型</w:t>
            </w:r>
            <w:r>
              <w:rPr>
                <w:rFonts w:hint="eastAsia" w:ascii="宋体" w:hAnsi="宋体" w:cs="宋体"/>
                <w:szCs w:val="21"/>
                <w:lang w:eastAsia="zh-CN"/>
              </w:rPr>
              <w:t>：</w:t>
            </w:r>
            <w:r>
              <w:rPr>
                <w:rFonts w:hint="eastAsia" w:ascii="宋体" w:hAnsi="宋体" w:cs="宋体"/>
                <w:szCs w:val="21"/>
              </w:rPr>
              <w:t>驻波或行波</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3.2电子枪</w:t>
            </w:r>
            <w:r>
              <w:rPr>
                <w:rFonts w:hint="eastAsia" w:ascii="宋体" w:hAnsi="宋体" w:cs="宋体"/>
                <w:szCs w:val="21"/>
                <w:lang w:eastAsia="zh-CN"/>
              </w:rPr>
              <w:t>：</w:t>
            </w:r>
            <w:r>
              <w:rPr>
                <w:rFonts w:hint="eastAsia" w:ascii="宋体" w:hAnsi="宋体" w:cs="宋体"/>
                <w:szCs w:val="21"/>
              </w:rPr>
              <w:t>栅控三极电子枪或数字化二级电子枪</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3.3微波功率装置</w:t>
            </w:r>
            <w:r>
              <w:rPr>
                <w:rFonts w:hint="eastAsia" w:ascii="宋体" w:hAnsi="宋体" w:cs="宋体"/>
                <w:szCs w:val="21"/>
                <w:lang w:eastAsia="zh-CN"/>
              </w:rPr>
              <w:t>：</w:t>
            </w:r>
            <w:r>
              <w:rPr>
                <w:rFonts w:hint="eastAsia" w:ascii="宋体" w:hAnsi="宋体" w:cs="宋体"/>
                <w:szCs w:val="21"/>
              </w:rPr>
              <w:t>磁控管</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3.4微波功率源输出峰值功率</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MW</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3.5</w:t>
            </w:r>
            <w:r>
              <w:rPr>
                <w:rFonts w:hint="eastAsia" w:ascii="宋体" w:hAnsi="宋体" w:cs="宋体"/>
                <w:szCs w:val="21"/>
              </w:rPr>
              <w:tab/>
            </w:r>
            <w:r>
              <w:rPr>
                <w:rFonts w:hint="eastAsia" w:ascii="宋体" w:hAnsi="宋体" w:cs="宋体"/>
                <w:szCs w:val="21"/>
              </w:rPr>
              <w:t>6MV X射线具备FFF非均整模式</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 xml:space="preserve">6 </w:t>
            </w:r>
            <w:r>
              <w:rPr>
                <w:rFonts w:hint="eastAsia" w:ascii="宋体" w:hAnsi="宋体" w:cs="宋体"/>
                <w:szCs w:val="21"/>
              </w:rPr>
              <w:t>6MV X射线最大非均整（FFF）剂量率</w:t>
            </w:r>
            <w:r>
              <w:rPr>
                <w:rFonts w:hint="eastAsia" w:ascii="宋体" w:hAnsi="宋体" w:cs="宋体"/>
                <w:szCs w:val="21"/>
                <w:lang w:eastAsia="zh-CN"/>
              </w:rPr>
              <w:t>：</w:t>
            </w:r>
            <w:r>
              <w:rPr>
                <w:rFonts w:hint="eastAsia" w:ascii="宋体" w:hAnsi="宋体" w:cs="宋体"/>
                <w:szCs w:val="21"/>
              </w:rPr>
              <w:t>≥1200MU/min</w:t>
            </w:r>
            <w:r>
              <w:rPr>
                <w:rFonts w:hint="eastAsia" w:ascii="宋体" w:hAnsi="宋体" w:cs="宋体"/>
                <w:szCs w:val="21"/>
                <w:lang w:eastAsia="zh-CN"/>
              </w:rPr>
              <w:t>；</w:t>
            </w:r>
          </w:p>
          <w:p>
            <w:pPr>
              <w:textAlignment w:val="auto"/>
              <w:rPr>
                <w:rFonts w:hint="eastAsia" w:ascii="宋体" w:hAnsi="宋体" w:cs="宋体"/>
                <w:szCs w:val="21"/>
                <w:lang w:eastAsia="zh-CN"/>
              </w:rPr>
            </w:pPr>
            <w:r>
              <w:rPr>
                <w:rFonts w:hint="eastAsia" w:ascii="宋体" w:hAnsi="宋体" w:cs="宋体"/>
                <w:szCs w:val="21"/>
              </w:rPr>
              <w:t>3.</w:t>
            </w:r>
            <w:r>
              <w:rPr>
                <w:rFonts w:hint="eastAsia" w:ascii="宋体" w:hAnsi="宋体" w:cs="宋体"/>
                <w:szCs w:val="21"/>
                <w:lang w:val="en-US" w:eastAsia="zh-CN"/>
              </w:rPr>
              <w:t xml:space="preserve">7 </w:t>
            </w:r>
            <w:r>
              <w:rPr>
                <w:rFonts w:hint="eastAsia" w:ascii="宋体" w:hAnsi="宋体" w:cs="宋体"/>
                <w:szCs w:val="21"/>
              </w:rPr>
              <w:t>X射线对称性</w:t>
            </w:r>
            <w:r>
              <w:rPr>
                <w:rFonts w:hint="eastAsia" w:ascii="宋体" w:hAnsi="宋体" w:cs="宋体"/>
                <w:szCs w:val="21"/>
                <w:lang w:eastAsia="zh-CN"/>
              </w:rPr>
              <w:t>：</w:t>
            </w:r>
            <w:r>
              <w:rPr>
                <w:rFonts w:hint="eastAsia" w:ascii="宋体" w:hAnsi="宋体" w:cs="宋体"/>
                <w:szCs w:val="21"/>
              </w:rPr>
              <w:t>≤102%</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8</w:t>
            </w:r>
            <w:r>
              <w:rPr>
                <w:rFonts w:hint="eastAsia" w:ascii="宋体" w:hAnsi="宋体" w:cs="宋体"/>
                <w:szCs w:val="21"/>
              </w:rPr>
              <w:t>剂量重复性</w:t>
            </w:r>
            <w:r>
              <w:rPr>
                <w:rFonts w:hint="eastAsia" w:ascii="宋体" w:hAnsi="宋体" w:cs="宋体"/>
                <w:szCs w:val="21"/>
                <w:lang w:eastAsia="zh-CN"/>
              </w:rPr>
              <w:t>：</w:t>
            </w:r>
            <w:r>
              <w:rPr>
                <w:rFonts w:hint="eastAsia" w:ascii="宋体" w:hAnsi="宋体" w:cs="宋体"/>
                <w:szCs w:val="21"/>
              </w:rPr>
              <w:t>≤1%</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9</w:t>
            </w:r>
            <w:r>
              <w:rPr>
                <w:rFonts w:hint="eastAsia" w:ascii="宋体" w:hAnsi="宋体" w:cs="宋体"/>
                <w:szCs w:val="21"/>
              </w:rPr>
              <w:t>剂量线性度</w:t>
            </w:r>
            <w:r>
              <w:rPr>
                <w:rFonts w:hint="eastAsia" w:ascii="宋体" w:hAnsi="宋体" w:cs="宋体"/>
                <w:szCs w:val="21"/>
                <w:lang w:eastAsia="zh-CN"/>
              </w:rPr>
              <w:t>：</w:t>
            </w:r>
            <w:r>
              <w:rPr>
                <w:rFonts w:hint="eastAsia" w:ascii="宋体" w:hAnsi="宋体" w:cs="宋体"/>
                <w:szCs w:val="21"/>
              </w:rPr>
              <w:t>≤±1%</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10</w:t>
            </w:r>
            <w:r>
              <w:rPr>
                <w:rFonts w:hint="eastAsia" w:ascii="宋体" w:hAnsi="宋体" w:cs="宋体"/>
                <w:szCs w:val="21"/>
              </w:rPr>
              <w:t>最大射野尺寸</w:t>
            </w:r>
            <w:r>
              <w:rPr>
                <w:rFonts w:hint="eastAsia" w:ascii="宋体" w:hAnsi="宋体" w:cs="宋体"/>
                <w:szCs w:val="21"/>
                <w:lang w:eastAsia="zh-CN"/>
              </w:rPr>
              <w:t>：</w:t>
            </w:r>
            <w:r>
              <w:rPr>
                <w:rFonts w:hint="eastAsia" w:ascii="宋体" w:hAnsi="宋体" w:cs="宋体"/>
                <w:szCs w:val="21"/>
              </w:rPr>
              <w:t>≥40cm×40cm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3.1</w:t>
            </w:r>
            <w:r>
              <w:rPr>
                <w:rFonts w:hint="eastAsia" w:ascii="宋体" w:hAnsi="宋体" w:cs="宋体"/>
                <w:szCs w:val="21"/>
                <w:lang w:val="en-US" w:eastAsia="zh-CN"/>
              </w:rPr>
              <w:t>1</w:t>
            </w:r>
            <w:r>
              <w:rPr>
                <w:rFonts w:hint="eastAsia" w:ascii="宋体" w:hAnsi="宋体" w:cs="宋体"/>
                <w:szCs w:val="21"/>
              </w:rPr>
              <w:t>最小射野尺寸</w:t>
            </w:r>
            <w:r>
              <w:rPr>
                <w:rFonts w:hint="eastAsia" w:ascii="宋体" w:hAnsi="宋体" w:cs="宋体"/>
                <w:szCs w:val="21"/>
                <w:lang w:eastAsia="zh-CN"/>
              </w:rPr>
              <w:t>：</w:t>
            </w:r>
            <w:r>
              <w:rPr>
                <w:rFonts w:hint="eastAsia" w:ascii="宋体" w:hAnsi="宋体" w:cs="宋体"/>
                <w:szCs w:val="21"/>
              </w:rPr>
              <w:t>≤0.5cm×0.5cm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4剂量监测系统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4.1电离室结构</w:t>
            </w:r>
            <w:r>
              <w:rPr>
                <w:rFonts w:hint="eastAsia" w:ascii="宋体" w:hAnsi="宋体" w:cs="宋体"/>
                <w:szCs w:val="21"/>
                <w:lang w:eastAsia="zh-CN"/>
              </w:rPr>
              <w:t>：</w:t>
            </w:r>
            <w:r>
              <w:rPr>
                <w:rFonts w:hint="eastAsia" w:ascii="宋体" w:hAnsi="宋体" w:cs="宋体"/>
                <w:szCs w:val="21"/>
              </w:rPr>
              <w:t>封闭式电离室</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4.2电离室通道数设计</w:t>
            </w:r>
            <w:r>
              <w:rPr>
                <w:rFonts w:hint="eastAsia" w:ascii="宋体" w:hAnsi="宋体" w:cs="宋体"/>
                <w:szCs w:val="21"/>
                <w:lang w:eastAsia="zh-CN"/>
              </w:rPr>
              <w:t>：</w:t>
            </w:r>
            <w:r>
              <w:rPr>
                <w:rFonts w:hint="eastAsia" w:ascii="宋体" w:hAnsi="宋体" w:cs="宋体"/>
                <w:szCs w:val="21"/>
              </w:rPr>
              <w:t>双通道电离室或开放式</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4.3电离室自动校正</w:t>
            </w:r>
            <w:r>
              <w:rPr>
                <w:rFonts w:hint="eastAsia" w:ascii="宋体" w:hAnsi="宋体" w:cs="宋体"/>
                <w:szCs w:val="21"/>
                <w:lang w:eastAsia="zh-CN"/>
              </w:rPr>
              <w:t>：</w:t>
            </w:r>
            <w:r>
              <w:rPr>
                <w:rFonts w:hint="eastAsia" w:ascii="宋体" w:hAnsi="宋体" w:cs="宋体"/>
                <w:szCs w:val="21"/>
              </w:rPr>
              <w:t>电离室具备温度气压自动校正功能</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4.4剂量安全连锁系统</w:t>
            </w:r>
            <w:r>
              <w:rPr>
                <w:rFonts w:hint="eastAsia" w:ascii="宋体" w:hAnsi="宋体" w:cs="宋体"/>
                <w:szCs w:val="21"/>
                <w:lang w:eastAsia="zh-CN"/>
              </w:rPr>
              <w:t>：</w:t>
            </w:r>
            <w:r>
              <w:rPr>
                <w:rFonts w:hint="eastAsia" w:ascii="宋体" w:hAnsi="宋体" w:cs="宋体"/>
                <w:szCs w:val="21"/>
              </w:rPr>
              <w:t>具有安全联锁自动装置</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5</w:t>
            </w:r>
            <w:r>
              <w:rPr>
                <w:rFonts w:hint="eastAsia" w:ascii="宋体" w:hAnsi="宋体" w:cs="宋体"/>
                <w:szCs w:val="21"/>
                <w:lang w:val="en-US" w:eastAsia="zh-CN"/>
              </w:rPr>
              <w:t xml:space="preserve"> </w:t>
            </w:r>
            <w:r>
              <w:rPr>
                <w:rFonts w:hint="eastAsia" w:ascii="宋体" w:hAnsi="宋体" w:cs="宋体"/>
                <w:szCs w:val="21"/>
              </w:rPr>
              <w:t>准直器系统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5.1准直器旋转精度</w:t>
            </w:r>
            <w:r>
              <w:rPr>
                <w:rFonts w:hint="eastAsia" w:ascii="宋体" w:hAnsi="宋体" w:cs="宋体"/>
                <w:szCs w:val="21"/>
                <w:lang w:eastAsia="zh-CN"/>
              </w:rPr>
              <w:t>：</w:t>
            </w:r>
            <w:r>
              <w:rPr>
                <w:rFonts w:hint="eastAsia" w:ascii="宋体" w:hAnsi="宋体" w:cs="宋体"/>
                <w:szCs w:val="21"/>
              </w:rPr>
              <w:t>≤0.5°</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5.2准直器旋转重复性</w:t>
            </w:r>
            <w:r>
              <w:rPr>
                <w:rFonts w:hint="eastAsia" w:ascii="宋体" w:hAnsi="宋体" w:cs="宋体"/>
                <w:szCs w:val="21"/>
                <w:lang w:eastAsia="zh-CN"/>
              </w:rPr>
              <w:t>：</w:t>
            </w:r>
            <w:r>
              <w:rPr>
                <w:rFonts w:hint="eastAsia" w:ascii="宋体" w:hAnsi="宋体" w:cs="宋体"/>
                <w:szCs w:val="21"/>
              </w:rPr>
              <w:t>≤0.3°</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★5.3准直器最大旋转速度</w:t>
            </w:r>
            <w:r>
              <w:rPr>
                <w:rFonts w:hint="eastAsia" w:ascii="宋体" w:hAnsi="宋体" w:cs="宋体"/>
                <w:szCs w:val="21"/>
                <w:lang w:eastAsia="zh-CN"/>
              </w:rPr>
              <w:t>：</w:t>
            </w:r>
            <w:r>
              <w:rPr>
                <w:rFonts w:hint="eastAsia" w:ascii="宋体" w:hAnsi="宋体" w:cs="宋体"/>
                <w:szCs w:val="21"/>
              </w:rPr>
              <w:t>≥2</w:t>
            </w:r>
            <w:r>
              <w:rPr>
                <w:rFonts w:hint="eastAsia" w:ascii="宋体" w:hAnsi="宋体" w:cs="宋体"/>
                <w:szCs w:val="21"/>
                <w:lang w:val="en-US" w:eastAsia="zh-CN"/>
              </w:rPr>
              <w:t>.5</w:t>
            </w:r>
            <w:r>
              <w:rPr>
                <w:rFonts w:hint="eastAsia" w:ascii="宋体" w:hAnsi="宋体" w:cs="宋体"/>
                <w:szCs w:val="21"/>
              </w:rPr>
              <w:t>RPM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★5.4叶片最大移动速度</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cm/s</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5.5叶片在等中心平面的最小投影宽度</w:t>
            </w:r>
            <w:r>
              <w:rPr>
                <w:rFonts w:hint="eastAsia" w:ascii="宋体" w:hAnsi="宋体" w:cs="宋体"/>
                <w:szCs w:val="21"/>
                <w:lang w:eastAsia="zh-CN"/>
              </w:rPr>
              <w:t>：</w:t>
            </w:r>
            <w:r>
              <w:rPr>
                <w:rFonts w:hint="eastAsia" w:ascii="宋体" w:hAnsi="宋体" w:cs="宋体"/>
                <w:szCs w:val="21"/>
              </w:rPr>
              <w:t>≤5mm±0.2mm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5.6叶片数量</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val="en-US" w:eastAsia="zh-CN"/>
              </w:rPr>
              <w:t>120</w:t>
            </w:r>
            <w:r>
              <w:rPr>
                <w:rFonts w:hint="eastAsia" w:ascii="宋体" w:hAnsi="宋体" w:cs="宋体"/>
                <w:szCs w:val="21"/>
              </w:rPr>
              <w:t>片</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★5.7叶片过中心线最大距离</w:t>
            </w:r>
            <w:r>
              <w:rPr>
                <w:rFonts w:hint="eastAsia" w:ascii="宋体" w:hAnsi="宋体" w:cs="宋体"/>
                <w:szCs w:val="21"/>
                <w:lang w:eastAsia="zh-CN"/>
              </w:rPr>
              <w:t>：</w:t>
            </w: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cm，增加动态治疗射野范围</w:t>
            </w:r>
            <w:r>
              <w:rPr>
                <w:rFonts w:hint="eastAsia" w:ascii="宋体" w:hAnsi="宋体" w:cs="宋体"/>
                <w:szCs w:val="21"/>
                <w:lang w:eastAsia="zh-CN"/>
              </w:rPr>
              <w:t>；</w:t>
            </w:r>
          </w:p>
          <w:p>
            <w:pPr>
              <w:textAlignment w:val="auto"/>
              <w:rPr>
                <w:rFonts w:hint="eastAsia" w:ascii="宋体" w:hAnsi="宋体" w:cs="宋体"/>
                <w:szCs w:val="21"/>
                <w:lang w:eastAsia="zh-CN"/>
              </w:rPr>
            </w:pPr>
            <w:r>
              <w:rPr>
                <w:rFonts w:hint="eastAsia" w:ascii="宋体" w:hAnsi="宋体" w:cs="宋体"/>
                <w:szCs w:val="21"/>
              </w:rPr>
              <w:t>5.8叶片到位精度</w:t>
            </w:r>
            <w:r>
              <w:rPr>
                <w:rFonts w:hint="eastAsia" w:ascii="宋体" w:hAnsi="宋体" w:cs="宋体"/>
                <w:szCs w:val="21"/>
                <w:lang w:eastAsia="zh-CN"/>
              </w:rPr>
              <w:t>：</w:t>
            </w:r>
            <w:r>
              <w:rPr>
                <w:rFonts w:hint="eastAsia" w:ascii="宋体" w:hAnsi="宋体" w:cs="宋体"/>
                <w:szCs w:val="21"/>
              </w:rPr>
              <w:t>≤±1.0mm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eastAsia="宋体" w:cs="宋体"/>
                <w:strike w:val="0"/>
                <w:dstrike w:val="0"/>
                <w:szCs w:val="21"/>
                <w:highlight w:val="none"/>
                <w:lang w:val="en-US" w:eastAsia="zh-CN"/>
              </w:rPr>
              <w:t>★5.9准直器旋转范围≥350°，提供注册证附件证明材料</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6治疗床系统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6.1治疗床</w:t>
            </w:r>
            <w:r>
              <w:rPr>
                <w:rFonts w:hint="eastAsia" w:ascii="宋体" w:hAnsi="宋体" w:cs="宋体"/>
                <w:szCs w:val="21"/>
                <w:lang w:eastAsia="zh-CN"/>
              </w:rPr>
              <w:t>：</w:t>
            </w:r>
            <w:r>
              <w:rPr>
                <w:rFonts w:hint="eastAsia" w:ascii="宋体" w:hAnsi="宋体" w:cs="宋体"/>
                <w:szCs w:val="21"/>
              </w:rPr>
              <w:t>全碳纤维中空床板，并可在控制室遥控</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6.2运动维度</w:t>
            </w:r>
            <w:r>
              <w:rPr>
                <w:rFonts w:hint="eastAsia" w:ascii="宋体" w:hAnsi="宋体" w:cs="宋体"/>
                <w:szCs w:val="21"/>
                <w:lang w:eastAsia="zh-CN"/>
              </w:rPr>
              <w:t>：</w:t>
            </w:r>
            <w:r>
              <w:rPr>
                <w:rFonts w:hint="eastAsia" w:ascii="宋体" w:hAnsi="宋体" w:cs="宋体"/>
                <w:szCs w:val="21"/>
              </w:rPr>
              <w:t>≥3维度调整</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▲6.3治疗床负载能力</w:t>
            </w:r>
            <w:r>
              <w:rPr>
                <w:rFonts w:hint="eastAsia" w:ascii="宋体" w:hAnsi="宋体" w:cs="宋体"/>
                <w:szCs w:val="21"/>
                <w:lang w:eastAsia="zh-CN"/>
              </w:rPr>
              <w:t>：</w:t>
            </w:r>
            <w:r>
              <w:rPr>
                <w:rFonts w:hint="eastAsia" w:ascii="宋体" w:hAnsi="宋体" w:cs="宋体"/>
                <w:szCs w:val="21"/>
              </w:rPr>
              <w:t>≥2</w:t>
            </w:r>
            <w:r>
              <w:rPr>
                <w:rFonts w:hint="eastAsia" w:ascii="宋体" w:hAnsi="宋体" w:cs="宋体"/>
                <w:szCs w:val="21"/>
                <w:lang w:val="en-US" w:eastAsia="zh-CN"/>
              </w:rPr>
              <w:t>0</w:t>
            </w:r>
            <w:r>
              <w:rPr>
                <w:rFonts w:hint="eastAsia" w:ascii="宋体" w:hAnsi="宋体" w:cs="宋体"/>
                <w:szCs w:val="21"/>
              </w:rPr>
              <w:t>0kg</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6.4垂直移动范围</w:t>
            </w:r>
            <w:r>
              <w:rPr>
                <w:rFonts w:hint="eastAsia" w:ascii="宋体" w:hAnsi="宋体" w:cs="宋体"/>
                <w:szCs w:val="21"/>
                <w:lang w:eastAsia="zh-CN"/>
              </w:rPr>
              <w:t>：</w:t>
            </w:r>
            <w:r>
              <w:rPr>
                <w:rFonts w:hint="eastAsia" w:ascii="宋体" w:hAnsi="宋体" w:cs="宋体"/>
                <w:szCs w:val="21"/>
              </w:rPr>
              <w:t>≥47cm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6.5左右移动范围</w:t>
            </w:r>
            <w:r>
              <w:rPr>
                <w:rFonts w:hint="eastAsia" w:ascii="宋体" w:hAnsi="宋体" w:cs="宋体"/>
                <w:szCs w:val="21"/>
                <w:lang w:eastAsia="zh-CN"/>
              </w:rPr>
              <w:t>：</w:t>
            </w:r>
            <w:r>
              <w:rPr>
                <w:rFonts w:hint="eastAsia" w:ascii="宋体" w:hAnsi="宋体" w:cs="宋体"/>
                <w:szCs w:val="21"/>
              </w:rPr>
              <w:t>≥±20.5cm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eastAsia="宋体" w:cs="宋体"/>
                <w:strike w:val="0"/>
                <w:dstrike w:val="0"/>
                <w:szCs w:val="21"/>
                <w:highlight w:val="none"/>
                <w:lang w:val="en-US" w:eastAsia="zh-CN"/>
              </w:rPr>
              <w:t>★</w:t>
            </w:r>
            <w:r>
              <w:rPr>
                <w:rFonts w:hint="eastAsia" w:ascii="宋体" w:hAnsi="宋体" w:cs="宋体"/>
                <w:szCs w:val="21"/>
              </w:rPr>
              <w:t>6.6前后移动范围</w:t>
            </w:r>
            <w:r>
              <w:rPr>
                <w:rFonts w:hint="eastAsia" w:ascii="宋体" w:hAnsi="宋体" w:cs="宋体"/>
                <w:szCs w:val="21"/>
              </w:rPr>
              <w:tab/>
            </w:r>
            <w:r>
              <w:rPr>
                <w:rFonts w:hint="eastAsia" w:ascii="宋体" w:hAnsi="宋体" w:cs="宋体"/>
                <w:szCs w:val="21"/>
              </w:rPr>
              <w:t>环形机架</w:t>
            </w:r>
            <w:r>
              <w:rPr>
                <w:rFonts w:hint="eastAsia" w:ascii="宋体" w:hAnsi="宋体" w:cs="宋体"/>
                <w:szCs w:val="21"/>
                <w:lang w:eastAsia="zh-CN"/>
              </w:rPr>
              <w:t>：</w:t>
            </w:r>
            <w:r>
              <w:rPr>
                <w:rFonts w:hint="eastAsia" w:ascii="宋体" w:hAnsi="宋体" w:cs="宋体"/>
                <w:szCs w:val="21"/>
              </w:rPr>
              <w:t>≥1</w:t>
            </w:r>
            <w:r>
              <w:rPr>
                <w:rFonts w:hint="eastAsia" w:ascii="宋体" w:hAnsi="宋体" w:cs="宋体"/>
                <w:szCs w:val="21"/>
                <w:lang w:val="en-US" w:eastAsia="zh-CN"/>
              </w:rPr>
              <w:t>65</w:t>
            </w:r>
            <w:r>
              <w:rPr>
                <w:rFonts w:hint="eastAsia" w:ascii="宋体" w:hAnsi="宋体" w:cs="宋体"/>
                <w:szCs w:val="21"/>
              </w:rPr>
              <w:t>cm或C型机架≥100cm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6.7治疗床运动分辨率</w:t>
            </w:r>
            <w:r>
              <w:rPr>
                <w:rFonts w:hint="eastAsia" w:ascii="宋体" w:hAnsi="宋体" w:cs="宋体"/>
                <w:szCs w:val="21"/>
                <w:lang w:eastAsia="zh-CN"/>
              </w:rPr>
              <w:t>：</w:t>
            </w:r>
            <w:r>
              <w:rPr>
                <w:rFonts w:hint="eastAsia" w:ascii="宋体" w:hAnsi="宋体" w:cs="宋体"/>
                <w:szCs w:val="21"/>
              </w:rPr>
              <w:t>≤0.1mm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6.8治疗床运动到位精度</w:t>
            </w:r>
            <w:r>
              <w:rPr>
                <w:rFonts w:hint="eastAsia" w:ascii="宋体" w:hAnsi="宋体" w:cs="宋体"/>
                <w:szCs w:val="21"/>
                <w:lang w:eastAsia="zh-CN"/>
              </w:rPr>
              <w:t>：</w:t>
            </w:r>
            <w:r>
              <w:rPr>
                <w:rFonts w:hint="eastAsia" w:ascii="宋体" w:hAnsi="宋体" w:cs="宋体"/>
                <w:szCs w:val="21"/>
              </w:rPr>
              <w:t>环形机架≤0.5mm或C型机架≤1mm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7</w:t>
            </w:r>
            <w:r>
              <w:rPr>
                <w:rFonts w:hint="eastAsia" w:ascii="宋体" w:hAnsi="宋体" w:cs="宋体"/>
                <w:szCs w:val="21"/>
                <w:lang w:val="en-US" w:eastAsia="zh-CN"/>
              </w:rPr>
              <w:t xml:space="preserve"> </w:t>
            </w:r>
            <w:r>
              <w:rPr>
                <w:rFonts w:hint="eastAsia" w:ascii="宋体" w:hAnsi="宋体" w:cs="宋体"/>
                <w:szCs w:val="21"/>
              </w:rPr>
              <w:t>机载图像引导系统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7.1机载CT影像引导系统或KV级机载CBCT影像引导系统</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7.2</w:t>
            </w:r>
            <w:r>
              <w:rPr>
                <w:rFonts w:hint="eastAsia" w:ascii="宋体" w:hAnsi="宋体" w:cs="宋体"/>
                <w:szCs w:val="21"/>
              </w:rPr>
              <w:tab/>
            </w:r>
            <w:r>
              <w:rPr>
                <w:rFonts w:hint="eastAsia" w:ascii="宋体" w:hAnsi="宋体" w:cs="宋体"/>
                <w:szCs w:val="21"/>
              </w:rPr>
              <w:t>2D/3D/4D图像浏览和图像操作</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7.3标记和编辑摆位点</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7.4最大图像重建矩阵</w:t>
            </w:r>
            <w:r>
              <w:rPr>
                <w:rFonts w:hint="eastAsia" w:ascii="宋体" w:hAnsi="宋体" w:cs="宋体"/>
                <w:szCs w:val="21"/>
                <w:lang w:eastAsia="zh-CN"/>
              </w:rPr>
              <w:t>：</w:t>
            </w:r>
            <w:r>
              <w:rPr>
                <w:rFonts w:hint="eastAsia" w:ascii="宋体" w:hAnsi="宋体" w:cs="宋体"/>
                <w:szCs w:val="21"/>
              </w:rPr>
              <w:t>≥1024×1024</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★7.5影像引导功能</w:t>
            </w:r>
            <w:r>
              <w:rPr>
                <w:rFonts w:hint="eastAsia" w:ascii="宋体" w:hAnsi="宋体" w:cs="宋体"/>
                <w:szCs w:val="21"/>
                <w:lang w:eastAsia="zh-CN"/>
              </w:rPr>
              <w:t>：</w:t>
            </w:r>
            <w:r>
              <w:rPr>
                <w:rFonts w:hint="eastAsia" w:ascii="宋体" w:hAnsi="宋体" w:cs="宋体"/>
                <w:szCs w:val="21"/>
              </w:rPr>
              <w:t>提供4D CT或4D CBCT影像引导功能</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7.6最大X射线球管电压</w:t>
            </w:r>
            <w:r>
              <w:rPr>
                <w:rFonts w:hint="eastAsia" w:ascii="宋体" w:hAnsi="宋体" w:cs="宋体"/>
                <w:szCs w:val="21"/>
                <w:lang w:eastAsia="zh-CN"/>
              </w:rPr>
              <w:t>：</w:t>
            </w:r>
            <w:r>
              <w:rPr>
                <w:rFonts w:hint="eastAsia" w:ascii="宋体" w:hAnsi="宋体" w:cs="宋体"/>
                <w:szCs w:val="21"/>
              </w:rPr>
              <w:t>≥140KV</w:t>
            </w:r>
            <w:r>
              <w:rPr>
                <w:rFonts w:hint="eastAsia" w:ascii="宋体" w:hAnsi="宋体" w:cs="宋体"/>
                <w:szCs w:val="21"/>
                <w:lang w:eastAsia="zh-CN"/>
              </w:rPr>
              <w:t>；</w:t>
            </w:r>
            <w:r>
              <w:rPr>
                <w:rFonts w:hint="eastAsia" w:ascii="宋体" w:hAnsi="宋体" w:cs="宋体"/>
                <w:szCs w:val="21"/>
              </w:rPr>
              <w:t>最小X射线球管电压</w:t>
            </w:r>
            <w:r>
              <w:rPr>
                <w:rFonts w:hint="eastAsia" w:ascii="宋体" w:hAnsi="宋体" w:cs="宋体"/>
                <w:szCs w:val="21"/>
                <w:lang w:eastAsia="zh-CN"/>
              </w:rPr>
              <w:t>：</w:t>
            </w:r>
            <w:r>
              <w:rPr>
                <w:rFonts w:hint="eastAsia" w:ascii="宋体" w:hAnsi="宋体" w:cs="宋体"/>
                <w:szCs w:val="21"/>
              </w:rPr>
              <w:t>≤80KV</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▲7.</w:t>
            </w:r>
            <w:r>
              <w:rPr>
                <w:rFonts w:hint="eastAsia" w:ascii="宋体" w:hAnsi="宋体" w:cs="宋体"/>
                <w:szCs w:val="21"/>
                <w:lang w:val="en-US" w:eastAsia="zh-CN"/>
              </w:rPr>
              <w:t>7</w:t>
            </w:r>
            <w:r>
              <w:rPr>
                <w:rFonts w:hint="eastAsia" w:ascii="宋体" w:hAnsi="宋体" w:cs="宋体"/>
                <w:szCs w:val="21"/>
              </w:rPr>
              <w:t>最大扫描视野</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val="en-US" w:eastAsia="zh-CN"/>
              </w:rPr>
              <w:t>45</w:t>
            </w:r>
            <w:r>
              <w:rPr>
                <w:rFonts w:hint="eastAsia" w:ascii="宋体" w:hAnsi="宋体" w:cs="宋体"/>
                <w:szCs w:val="21"/>
              </w:rPr>
              <w:t>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7.</w:t>
            </w:r>
            <w:r>
              <w:rPr>
                <w:rFonts w:hint="eastAsia" w:ascii="宋体" w:hAnsi="宋体" w:cs="宋体"/>
                <w:szCs w:val="21"/>
                <w:lang w:val="en-US" w:eastAsia="zh-CN"/>
              </w:rPr>
              <w:t>8</w:t>
            </w:r>
            <w:r>
              <w:rPr>
                <w:rFonts w:hint="eastAsia" w:ascii="宋体" w:hAnsi="宋体" w:cs="宋体"/>
                <w:szCs w:val="21"/>
              </w:rPr>
              <w:tab/>
            </w:r>
            <w:r>
              <w:rPr>
                <w:rFonts w:hint="eastAsia" w:ascii="宋体" w:hAnsi="宋体" w:cs="宋体"/>
                <w:szCs w:val="21"/>
              </w:rPr>
              <w:t>IGRT 精度</w:t>
            </w:r>
            <w:r>
              <w:rPr>
                <w:rFonts w:hint="eastAsia" w:ascii="宋体" w:hAnsi="宋体" w:cs="宋体"/>
                <w:szCs w:val="21"/>
                <w:lang w:eastAsia="zh-CN"/>
              </w:rPr>
              <w:t>：</w:t>
            </w:r>
            <w:r>
              <w:rPr>
                <w:rFonts w:hint="eastAsia" w:ascii="宋体" w:hAnsi="宋体" w:cs="宋体"/>
                <w:szCs w:val="21"/>
              </w:rPr>
              <w:t>≤1mm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7.</w:t>
            </w:r>
            <w:r>
              <w:rPr>
                <w:rFonts w:hint="eastAsia" w:ascii="宋体" w:hAnsi="宋体" w:cs="宋体"/>
                <w:szCs w:val="21"/>
                <w:lang w:val="en-US" w:eastAsia="zh-CN"/>
              </w:rPr>
              <w:t>9</w:t>
            </w:r>
            <w:r>
              <w:rPr>
                <w:rFonts w:hint="eastAsia" w:ascii="宋体" w:hAnsi="宋体" w:cs="宋体"/>
                <w:szCs w:val="21"/>
              </w:rPr>
              <w:t>探测器空间分辨率</w:t>
            </w:r>
            <w:r>
              <w:rPr>
                <w:rFonts w:hint="eastAsia" w:ascii="宋体" w:hAnsi="宋体" w:cs="宋体"/>
                <w:szCs w:val="21"/>
                <w:lang w:eastAsia="zh-CN"/>
              </w:rPr>
              <w:t>：</w:t>
            </w:r>
            <w:r>
              <w:rPr>
                <w:rFonts w:hint="eastAsia" w:ascii="宋体" w:hAnsi="宋体" w:cs="宋体"/>
                <w:szCs w:val="21"/>
              </w:rPr>
              <w:t>≥10LP/CM@0MTF。</w:t>
            </w:r>
          </w:p>
          <w:p>
            <w:pPr>
              <w:textAlignment w:val="auto"/>
              <w:rPr>
                <w:rFonts w:hint="eastAsia" w:ascii="宋体" w:hAnsi="宋体" w:cs="宋体"/>
                <w:szCs w:val="21"/>
              </w:rPr>
            </w:pPr>
            <w:r>
              <w:rPr>
                <w:rFonts w:hint="eastAsia" w:ascii="宋体" w:hAnsi="宋体" w:cs="宋体"/>
                <w:szCs w:val="21"/>
              </w:rPr>
              <w:t>8</w:t>
            </w:r>
            <w:r>
              <w:rPr>
                <w:rFonts w:hint="eastAsia" w:ascii="宋体" w:hAnsi="宋体" w:cs="宋体"/>
                <w:szCs w:val="21"/>
                <w:lang w:val="en-US" w:eastAsia="zh-CN"/>
              </w:rPr>
              <w:t xml:space="preserve">  </w:t>
            </w:r>
            <w:r>
              <w:rPr>
                <w:rFonts w:hint="eastAsia" w:ascii="宋体" w:hAnsi="宋体" w:cs="宋体"/>
                <w:szCs w:val="21"/>
              </w:rPr>
              <w:t>EPID成像系统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8.1有效感应面积</w:t>
            </w:r>
            <w:r>
              <w:rPr>
                <w:rFonts w:hint="eastAsia" w:ascii="宋体" w:hAnsi="宋体" w:cs="宋体"/>
                <w:szCs w:val="21"/>
                <w:lang w:eastAsia="zh-CN"/>
              </w:rPr>
              <w:t>：</w:t>
            </w:r>
            <w:r>
              <w:rPr>
                <w:rFonts w:hint="eastAsia" w:ascii="宋体" w:hAnsi="宋体" w:cs="宋体"/>
                <w:szCs w:val="21"/>
              </w:rPr>
              <w:t>≥4</w:t>
            </w:r>
            <w:r>
              <w:rPr>
                <w:rFonts w:hint="eastAsia" w:ascii="宋体" w:hAnsi="宋体" w:cs="宋体"/>
                <w:szCs w:val="21"/>
                <w:lang w:val="en-US" w:eastAsia="zh-CN"/>
              </w:rPr>
              <w:t>3</w:t>
            </w:r>
            <w:r>
              <w:rPr>
                <w:rFonts w:hint="eastAsia" w:ascii="宋体" w:hAnsi="宋体" w:cs="宋体"/>
                <w:szCs w:val="21"/>
              </w:rPr>
              <w:t>cm×4</w:t>
            </w:r>
            <w:r>
              <w:rPr>
                <w:rFonts w:hint="eastAsia" w:ascii="宋体" w:hAnsi="宋体" w:cs="宋体"/>
                <w:szCs w:val="21"/>
                <w:lang w:val="en-US" w:eastAsia="zh-CN"/>
              </w:rPr>
              <w:t>3</w:t>
            </w:r>
            <w:r>
              <w:rPr>
                <w:rFonts w:hint="eastAsia" w:ascii="宋体" w:hAnsi="宋体" w:cs="宋体"/>
                <w:szCs w:val="21"/>
              </w:rPr>
              <w:t>cm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8.</w:t>
            </w:r>
            <w:r>
              <w:rPr>
                <w:rFonts w:hint="eastAsia" w:ascii="宋体" w:hAnsi="宋体" w:cs="宋体"/>
                <w:szCs w:val="21"/>
                <w:lang w:val="en-US" w:eastAsia="zh-CN"/>
              </w:rPr>
              <w:t>2</w:t>
            </w:r>
            <w:r>
              <w:rPr>
                <w:rFonts w:hint="eastAsia" w:ascii="宋体" w:hAnsi="宋体" w:cs="宋体"/>
                <w:szCs w:val="21"/>
              </w:rPr>
              <w:t>治疗野成像</w:t>
            </w:r>
            <w:r>
              <w:rPr>
                <w:rFonts w:hint="eastAsia" w:ascii="宋体" w:hAnsi="宋体" w:cs="宋体"/>
                <w:szCs w:val="21"/>
                <w:lang w:eastAsia="zh-CN"/>
              </w:rPr>
              <w:t>：</w:t>
            </w:r>
            <w:r>
              <w:rPr>
                <w:rFonts w:hint="eastAsia" w:ascii="宋体" w:hAnsi="宋体" w:cs="宋体"/>
                <w:szCs w:val="21"/>
              </w:rPr>
              <w:t>支持6MV FFF治疗野二维单野成像</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9</w:t>
            </w:r>
            <w:r>
              <w:rPr>
                <w:rFonts w:hint="eastAsia" w:ascii="宋体" w:hAnsi="宋体" w:cs="宋体"/>
                <w:szCs w:val="21"/>
                <w:lang w:val="en-US" w:eastAsia="zh-CN"/>
              </w:rPr>
              <w:t xml:space="preserve">  </w:t>
            </w:r>
            <w:r>
              <w:rPr>
                <w:rFonts w:hint="eastAsia" w:ascii="宋体" w:hAnsi="宋体" w:cs="宋体"/>
                <w:szCs w:val="21"/>
              </w:rPr>
              <w:t>EPID质控系统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9.1基于EPID的加速器质控功能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9.2支持一键式EPID设备质控自动执行</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9.3支持对MLC进行检测（提供工作照片证明）</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9.4支持对准直器系统进行检测（提供工作照片证明）</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9.5支持对治疗床进行检测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9.6支持对机架进行检测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9.7支持对治疗等中心进行检测</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9.8支持对束流系统进行检测（提供工作照片证明）</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9.9支持对EPID进行检测</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9.10支持选择蒙卡/卷积算法</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9.11支持生成质控工作报告功能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w:t>
            </w:r>
            <w:r>
              <w:rPr>
                <w:rFonts w:hint="eastAsia" w:ascii="宋体" w:hAnsi="宋体" w:cs="宋体"/>
                <w:szCs w:val="21"/>
                <w:lang w:val="en-US" w:eastAsia="zh-CN"/>
              </w:rPr>
              <w:t xml:space="preserve"> </w:t>
            </w:r>
            <w:r>
              <w:rPr>
                <w:rFonts w:hint="eastAsia" w:ascii="宋体" w:hAnsi="宋体" w:cs="宋体"/>
                <w:szCs w:val="21"/>
              </w:rPr>
              <w:t>治疗模式</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10.1</w:t>
            </w:r>
            <w:r>
              <w:rPr>
                <w:rFonts w:hint="eastAsia" w:ascii="宋体" w:hAnsi="宋体" w:cs="宋体"/>
                <w:szCs w:val="21"/>
                <w:lang w:val="en-US" w:eastAsia="zh-CN"/>
              </w:rPr>
              <w:t xml:space="preserve"> </w:t>
            </w:r>
            <w:r>
              <w:rPr>
                <w:rFonts w:hint="eastAsia" w:ascii="宋体" w:hAnsi="宋体" w:cs="宋体"/>
                <w:szCs w:val="21"/>
              </w:rPr>
              <w:t>dIMRT动态调强放疗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10.2</w:t>
            </w:r>
            <w:r>
              <w:rPr>
                <w:rFonts w:hint="eastAsia" w:ascii="宋体" w:hAnsi="宋体" w:cs="宋体"/>
                <w:szCs w:val="21"/>
                <w:lang w:val="en-US" w:eastAsia="zh-CN"/>
              </w:rPr>
              <w:t xml:space="preserve"> </w:t>
            </w:r>
            <w:r>
              <w:rPr>
                <w:rFonts w:hint="eastAsia" w:ascii="宋体" w:hAnsi="宋体" w:cs="宋体"/>
                <w:szCs w:val="21"/>
              </w:rPr>
              <w:t>sIMRT静态调强放疗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10.3</w:t>
            </w:r>
            <w:r>
              <w:rPr>
                <w:rFonts w:hint="eastAsia" w:ascii="宋体" w:hAnsi="宋体" w:cs="宋体"/>
                <w:szCs w:val="21"/>
                <w:lang w:val="en-US" w:eastAsia="zh-CN"/>
              </w:rPr>
              <w:t xml:space="preserve"> </w:t>
            </w:r>
            <w:r>
              <w:rPr>
                <w:rFonts w:hint="eastAsia" w:ascii="宋体" w:hAnsi="宋体" w:cs="宋体"/>
                <w:szCs w:val="21"/>
              </w:rPr>
              <w:t>3D-CRT三维适形放疗</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▲10.4容积旋转调强放疗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10.5立体定向体部放射治疗（SBRT）</w:t>
            </w:r>
            <w:r>
              <w:rPr>
                <w:rFonts w:hint="eastAsia" w:ascii="宋体" w:hAnsi="宋体" w:cs="宋体"/>
                <w:szCs w:val="21"/>
                <w:lang w:eastAsia="zh-CN"/>
              </w:rPr>
              <w:t>，</w:t>
            </w:r>
            <w:r>
              <w:rPr>
                <w:rFonts w:hint="eastAsia" w:ascii="宋体" w:hAnsi="宋体" w:cs="宋体"/>
                <w:szCs w:val="21"/>
              </w:rPr>
              <w:t>提供直线加速器注册证材料</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★10.6提供可应用于临床的在线自适应放疗整套软硬件解决方案（提供3家以上开展在线自适应放疗临床用户名单及联系人、联系方式及相应中标通知书或中标公告）</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10.6.1投标人必须作为本项目的唯一责任方，对所提供在线自适应放疗方案的整体性能、无缝兼容、系统稳定性及售后服务承担全部责任。若为投标人拥有自主知识产权的产品，</w:t>
            </w:r>
            <w:r>
              <w:rPr>
                <w:rFonts w:hint="eastAsia" w:ascii="宋体" w:hAnsi="宋体" w:cs="宋体"/>
                <w:szCs w:val="21"/>
                <w:lang w:eastAsia="zh-CN"/>
              </w:rPr>
              <w:t>须</w:t>
            </w:r>
            <w:r>
              <w:rPr>
                <w:rFonts w:hint="eastAsia" w:ascii="宋体" w:hAnsi="宋体" w:cs="宋体"/>
                <w:szCs w:val="21"/>
              </w:rPr>
              <w:t>提供软件著作权登记证书；若为知识产权合法授权，</w:t>
            </w:r>
            <w:r>
              <w:rPr>
                <w:rFonts w:hint="eastAsia" w:ascii="宋体" w:hAnsi="宋体" w:cs="宋体"/>
                <w:szCs w:val="21"/>
                <w:lang w:eastAsia="zh-CN"/>
              </w:rPr>
              <w:t>须</w:t>
            </w:r>
            <w:r>
              <w:rPr>
                <w:rFonts w:hint="eastAsia" w:ascii="宋体" w:hAnsi="宋体" w:cs="宋体"/>
                <w:szCs w:val="21"/>
              </w:rPr>
              <w:t>提供源代码托管协议；若为第三方知识产权授权软件，</w:t>
            </w:r>
            <w:r>
              <w:rPr>
                <w:rFonts w:hint="eastAsia" w:ascii="宋体" w:hAnsi="宋体" w:cs="宋体"/>
                <w:szCs w:val="21"/>
                <w:lang w:eastAsia="zh-CN"/>
              </w:rPr>
              <w:t>须</w:t>
            </w:r>
            <w:r>
              <w:rPr>
                <w:rFonts w:hint="eastAsia" w:ascii="宋体" w:hAnsi="宋体" w:cs="宋体"/>
                <w:szCs w:val="21"/>
              </w:rPr>
              <w:t>提交知识产权授权链条文件（从原始开发商至投标人的完整授权协议）</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10.6.2实现从影像采集、靶区勾画、计划重新优化、剂量计算到治疗执行的全流程一体化无缝闭环操作</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10.6.3基于人工智能深度学习的轮廓结构自动勾画</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10.6.4基于当日解剖信息重新优化原始计划方案</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10.6.5自适应放疗计划的QA</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10.6.6可显示治疗计划QA结果</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10.6.7提供在线自适应放疗计划质量保证功能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10.6.8基于仪表盘显示治疗计划QA结果</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10.6.9自适应放射治疗监测功能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10.6.10全疗程自适应放射治疗评估及趋势分析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10.6.11对各自适应治疗分次进行剂量叠加计算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10.6.12靶区动态可视化查看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10.6.13剂量定量预测和追踪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10.6.14</w:t>
            </w:r>
            <w:r>
              <w:rPr>
                <w:rFonts w:hint="eastAsia" w:ascii="宋体" w:hAnsi="宋体" w:cs="宋体"/>
                <w:szCs w:val="21"/>
              </w:rPr>
              <w:tab/>
            </w:r>
            <w:r>
              <w:rPr>
                <w:rFonts w:hint="eastAsia" w:ascii="宋体" w:hAnsi="宋体" w:cs="宋体"/>
                <w:szCs w:val="21"/>
              </w:rPr>
              <w:t>靶区体积定量追踪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w:t>
            </w:r>
            <w:r>
              <w:rPr>
                <w:rFonts w:hint="eastAsia" w:ascii="宋体" w:hAnsi="宋体" w:cs="宋体"/>
                <w:szCs w:val="21"/>
                <w:lang w:val="en-US" w:eastAsia="zh-CN"/>
              </w:rPr>
              <w:t xml:space="preserve"> </w:t>
            </w:r>
            <w:r>
              <w:rPr>
                <w:rFonts w:hint="eastAsia" w:ascii="宋体" w:hAnsi="宋体" w:cs="宋体"/>
                <w:szCs w:val="21"/>
              </w:rPr>
              <w:t>放射治疗计划系统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▲11.1投标人必须作为本项目的唯一责任方，对所提供放射治疗计划系统的整体性能、无缝兼容、系统稳定性及售后服务承担全部责任。若为投标人拥有自主知识产权的产品，</w:t>
            </w:r>
            <w:r>
              <w:rPr>
                <w:rFonts w:hint="eastAsia" w:ascii="宋体" w:hAnsi="宋体" w:cs="宋体"/>
                <w:szCs w:val="21"/>
                <w:lang w:eastAsia="zh-CN"/>
              </w:rPr>
              <w:t>须</w:t>
            </w:r>
            <w:r>
              <w:rPr>
                <w:rFonts w:hint="eastAsia" w:ascii="宋体" w:hAnsi="宋体" w:cs="宋体"/>
                <w:szCs w:val="21"/>
              </w:rPr>
              <w:t>提供软件著作权登记证书；若为知识产权合法授权，</w:t>
            </w:r>
            <w:r>
              <w:rPr>
                <w:rFonts w:hint="eastAsia" w:ascii="宋体" w:hAnsi="宋体" w:cs="宋体"/>
                <w:szCs w:val="21"/>
                <w:lang w:eastAsia="zh-CN"/>
              </w:rPr>
              <w:t>须</w:t>
            </w:r>
            <w:r>
              <w:rPr>
                <w:rFonts w:hint="eastAsia" w:ascii="宋体" w:hAnsi="宋体" w:cs="宋体"/>
                <w:szCs w:val="21"/>
              </w:rPr>
              <w:t>提供源代码托管协议；若为第三方知识产权授权软件，</w:t>
            </w:r>
            <w:r>
              <w:rPr>
                <w:rFonts w:hint="eastAsia" w:ascii="宋体" w:hAnsi="宋体" w:cs="宋体"/>
                <w:szCs w:val="21"/>
                <w:lang w:eastAsia="zh-CN"/>
              </w:rPr>
              <w:t>须</w:t>
            </w:r>
            <w:r>
              <w:rPr>
                <w:rFonts w:hint="eastAsia" w:ascii="宋体" w:hAnsi="宋体" w:cs="宋体"/>
                <w:szCs w:val="21"/>
              </w:rPr>
              <w:t>提交知识产权授权链条文件（从原始开发商至投标人的完整授权协议）</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▲11.2</w:t>
            </w:r>
            <w:r>
              <w:rPr>
                <w:rFonts w:hint="eastAsia" w:ascii="宋体" w:hAnsi="宋体" w:cs="宋体"/>
                <w:szCs w:val="21"/>
                <w:lang w:val="en-US" w:eastAsia="zh-CN"/>
              </w:rPr>
              <w:t xml:space="preserve"> </w:t>
            </w:r>
            <w:r>
              <w:rPr>
                <w:rFonts w:hint="eastAsia" w:ascii="宋体" w:hAnsi="宋体" w:cs="宋体"/>
                <w:szCs w:val="21"/>
              </w:rPr>
              <w:t>TPS物理师工作站≥4台，TPS医生工作站≥6台，提供型号为交货时上市的最高硬件配置和最新软件版本</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11.3支持所有系统统一数据平台</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11.4支持个性化自定义系统界面布局</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11.5支持CT，MRI，PET，CR，RT Image等 DICOM标准图像导入导出</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11.6支持从本地路径或其他AE节点导入导出DICOM数据</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11.7</w:t>
            </w:r>
            <w:r>
              <w:rPr>
                <w:rFonts w:hint="eastAsia" w:ascii="宋体" w:hAnsi="宋体" w:cs="宋体"/>
                <w:szCs w:val="21"/>
                <w:lang w:val="en-US" w:eastAsia="zh-CN"/>
              </w:rPr>
              <w:t xml:space="preserve"> </w:t>
            </w:r>
            <w:r>
              <w:rPr>
                <w:rFonts w:hint="eastAsia" w:ascii="宋体" w:hAnsi="宋体" w:cs="宋体"/>
                <w:szCs w:val="21"/>
              </w:rPr>
              <w:t>RT Plan，RT Dose，RT Structure，RT Record格式的数据导入导出</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11.8支持高级勾画工具（点勾画线、智能勾画、推画、画圆、画方、形变拖拽、及删除、编辑工具）</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11.9基于智能深度学习的多器官自动勾画功能：能自动勾画≥80个器官</w:t>
            </w:r>
            <w:r>
              <w:rPr>
                <w:rFonts w:hint="eastAsia" w:ascii="宋体" w:hAnsi="宋体" w:cs="宋体"/>
                <w:szCs w:val="21"/>
                <w:lang w:eastAsia="zh-CN"/>
              </w:rPr>
              <w:t>；</w:t>
            </w:r>
            <w:r>
              <w:rPr>
                <w:rFonts w:hint="eastAsia" w:ascii="宋体" w:hAnsi="宋体" w:cs="宋体"/>
                <w:szCs w:val="21"/>
              </w:rPr>
              <w:t>11.10支持多模态影像融合（CT-CT、CT-MR、CT-PET)</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11.11支持脚本创建与调用功能</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11.12多种自定义模板</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11.13光子计划制作</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11.14三维卷积剂量计算算法</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11.15蒙特卡洛剂量计算算法</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11.16</w:t>
            </w:r>
            <w:r>
              <w:rPr>
                <w:rFonts w:hint="eastAsia" w:ascii="宋体" w:hAnsi="宋体" w:cs="宋体"/>
                <w:szCs w:val="21"/>
                <w:lang w:val="en-US" w:eastAsia="zh-CN"/>
              </w:rPr>
              <w:t xml:space="preserve"> </w:t>
            </w:r>
            <w:r>
              <w:rPr>
                <w:rFonts w:hint="eastAsia" w:ascii="宋体" w:hAnsi="宋体" w:cs="宋体"/>
                <w:szCs w:val="21"/>
              </w:rPr>
              <w:t>GPU加速架构</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11.17全局最大剂量控制</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11.18多靶心计划的剂量计算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11.19添加组织补偿物计算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w:t>
            </w:r>
            <w:r>
              <w:rPr>
                <w:rFonts w:hint="eastAsia" w:ascii="宋体" w:hAnsi="宋体" w:cs="宋体"/>
                <w:szCs w:val="21"/>
                <w:lang w:val="en-US" w:eastAsia="zh-CN"/>
              </w:rPr>
              <w:t xml:space="preserve"> </w:t>
            </w:r>
            <w:r>
              <w:rPr>
                <w:rFonts w:hint="eastAsia" w:ascii="宋体" w:hAnsi="宋体" w:cs="宋体"/>
                <w:szCs w:val="21"/>
              </w:rPr>
              <w:t>放疗专用肿瘤信息管理系统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12.1支持多种系统的连接，支持加速器、模拟定位设备和计划系统的连接</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12.2一体化数据库和患者管理，患者数据和治疗数据存储在一个数据库中</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12.3支持对患者信息进行管理</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12.4支持患者流程状态概览</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12.5支持患者预约功能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12.6支持用户权限管理</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12.7支持对治疗计划进行排程</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12.8支持治疗信息记录</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12.9支持对质控数据的记录与统计分析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12.10支持数据批量备份与恢复</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12.11支持对在用肿瘤信息管理系统的数据迁移</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★12.12</w:t>
            </w:r>
            <w:r>
              <w:rPr>
                <w:rFonts w:hint="eastAsia" w:ascii="宋体" w:hAnsi="宋体" w:cs="宋体"/>
                <w:szCs w:val="21"/>
              </w:rPr>
              <w:tab/>
            </w:r>
            <w:r>
              <w:rPr>
                <w:rFonts w:hint="eastAsia" w:ascii="宋体" w:hAnsi="宋体" w:cs="宋体"/>
                <w:szCs w:val="21"/>
              </w:rPr>
              <w:t>支持电子病历系统6级</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w:t>
            </w:r>
            <w:r>
              <w:rPr>
                <w:rFonts w:hint="eastAsia" w:ascii="宋体" w:hAnsi="宋体" w:cs="宋体"/>
                <w:szCs w:val="21"/>
                <w:lang w:val="en-US" w:eastAsia="zh-CN"/>
              </w:rPr>
              <w:t xml:space="preserve">12.13 </w:t>
            </w:r>
            <w:r>
              <w:rPr>
                <w:rFonts w:hint="eastAsia" w:ascii="宋体" w:hAnsi="宋体" w:cs="宋体"/>
                <w:szCs w:val="21"/>
              </w:rPr>
              <w:t>具备放射治疗记录与验证功能并取得NMPA三类医疗器械注册证（提供NMPA注册证文件证明，适用范围内容包含放射治疗记录与验证功能）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▲13放疗专用激光灯系统</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13.1安装模式</w:t>
            </w:r>
            <w:r>
              <w:rPr>
                <w:rFonts w:hint="eastAsia" w:ascii="宋体" w:hAnsi="宋体" w:cs="宋体"/>
                <w:szCs w:val="21"/>
                <w:lang w:eastAsia="zh-CN"/>
              </w:rPr>
              <w:t>：</w:t>
            </w:r>
            <w:r>
              <w:rPr>
                <w:rFonts w:hint="eastAsia" w:ascii="宋体" w:hAnsi="宋体" w:cs="宋体"/>
                <w:szCs w:val="21"/>
              </w:rPr>
              <w:t>固定式</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13.2激光发射器数量</w:t>
            </w:r>
            <w:r>
              <w:rPr>
                <w:rFonts w:hint="eastAsia" w:ascii="宋体" w:hAnsi="宋体" w:cs="宋体"/>
                <w:szCs w:val="21"/>
                <w:lang w:eastAsia="zh-CN"/>
              </w:rPr>
              <w:t>：</w:t>
            </w:r>
            <w:r>
              <w:rPr>
                <w:rFonts w:hint="eastAsia" w:ascii="宋体" w:hAnsi="宋体" w:cs="宋体"/>
                <w:szCs w:val="21"/>
              </w:rPr>
              <w:t>三个</w:t>
            </w:r>
            <w:r>
              <w:rPr>
                <w:rFonts w:hint="eastAsia" w:ascii="宋体" w:hAnsi="宋体" w:cs="宋体"/>
                <w:szCs w:val="21"/>
                <w:lang w:eastAsia="zh-CN"/>
              </w:rPr>
              <w:t>；</w:t>
            </w:r>
          </w:p>
          <w:p>
            <w:pPr>
              <w:textAlignment w:val="auto"/>
              <w:rPr>
                <w:rFonts w:hint="eastAsia" w:ascii="宋体" w:hAnsi="宋体" w:cs="宋体"/>
                <w:szCs w:val="21"/>
                <w:lang w:eastAsia="zh-CN"/>
              </w:rPr>
            </w:pPr>
            <w:r>
              <w:rPr>
                <w:rFonts w:hint="eastAsia" w:ascii="宋体" w:hAnsi="宋体" w:cs="宋体"/>
                <w:szCs w:val="21"/>
              </w:rPr>
              <w:t>13.3激光类型</w:t>
            </w:r>
            <w:r>
              <w:rPr>
                <w:rFonts w:hint="eastAsia" w:ascii="宋体" w:hAnsi="宋体" w:cs="宋体"/>
                <w:szCs w:val="21"/>
                <w:lang w:eastAsia="zh-CN"/>
              </w:rPr>
              <w:t>：</w:t>
            </w:r>
            <w:r>
              <w:rPr>
                <w:rFonts w:hint="eastAsia" w:ascii="宋体" w:hAnsi="宋体" w:cs="宋体"/>
                <w:szCs w:val="21"/>
              </w:rPr>
              <w:t>激光二极管</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13.4线宽（4米内可聚焦调节）＜1mm</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13.5定位精度</w:t>
            </w:r>
            <w:r>
              <w:rPr>
                <w:rFonts w:hint="eastAsia" w:ascii="宋体" w:hAnsi="宋体" w:cs="宋体"/>
                <w:szCs w:val="21"/>
                <w:lang w:eastAsia="zh-CN"/>
              </w:rPr>
              <w:t>：</w:t>
            </w:r>
            <w:r>
              <w:rPr>
                <w:rFonts w:hint="eastAsia" w:ascii="宋体" w:hAnsi="宋体" w:cs="宋体"/>
                <w:szCs w:val="21"/>
              </w:rPr>
              <w:t>±1mm</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▲14</w:t>
            </w:r>
            <w:r>
              <w:rPr>
                <w:rFonts w:hint="eastAsia" w:ascii="宋体" w:hAnsi="宋体" w:cs="宋体"/>
                <w:szCs w:val="21"/>
                <w:lang w:val="en-US" w:eastAsia="zh-CN"/>
              </w:rPr>
              <w:t xml:space="preserve"> </w:t>
            </w:r>
            <w:r>
              <w:rPr>
                <w:rFonts w:hint="eastAsia" w:ascii="宋体" w:hAnsi="宋体" w:cs="宋体"/>
                <w:szCs w:val="21"/>
              </w:rPr>
              <w:t>三维调强验证系统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14.1探头类型：应配置适用于辐射剂量测量的半导体探头；探头数量：＞1300；矩阵直径：≥20cm；矩阵长度：≥20cm；分辨率：≤1.0cm；探头几何分布：螺旋栅格；探头有效平面尺寸：≤2.8mm×2.8mm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14.2电离室高度：＜3mm；探头有效体积：＜0.06cm³；探头灵敏度：≥30nC/Gy；探头灵敏度：≥30nC/Gy；探测器稳定性：0.5%kGy at 6MV；采样频率：≤50ms</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14.3模体形状：应采用圆筒形设计；支持检测采购人现有需使用测量中一个计划的所有射线；各向一致性：360度设置均有探头面切线与射束垂直</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14.4剂量校准：剂量校准时无需拆模体，剂量校准不需要电离室</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14.5电器元件 联接：至少支持RS232和USB串口联接；电源数据线：≥25米；电源：100-240 VAC，50-60 Hz；预热时间：小于5分钟</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14.6适用能量范围：光子：至少支持Co-60 - 25 MV；电子线：至少支持6 MeV – 25 MeV</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14.7建成区探测器物理深度（不加固体水）：≥7.5mm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14.8测量方式：应同时测量入射和出射剂量，以便获取更多数据执行更详尽的分析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14.9</w:t>
            </w:r>
            <w:r>
              <w:rPr>
                <w:rFonts w:hint="eastAsia" w:ascii="宋体" w:hAnsi="宋体" w:cs="宋体"/>
                <w:szCs w:val="21"/>
                <w:lang w:val="en-US" w:eastAsia="zh-CN"/>
              </w:rPr>
              <w:t xml:space="preserve"> </w:t>
            </w:r>
            <w:r>
              <w:rPr>
                <w:rFonts w:hint="eastAsia" w:ascii="宋体" w:hAnsi="宋体" w:cs="宋体"/>
                <w:szCs w:val="21"/>
              </w:rPr>
              <w:t>TPS接口兼容市场主流TPS，支持可应用DICOM格式导入</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14.10应用程序功能配置支持IMRT，VMAT，SBRT，MRgRT的验证</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14.11数据分析：可进行相对剂量和绝对剂量分析比较，可完成DTA和Gamma计算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14.12</w:t>
            </w:r>
            <w:r>
              <w:rPr>
                <w:rFonts w:hint="eastAsia" w:ascii="宋体" w:hAnsi="宋体" w:cs="宋体"/>
                <w:szCs w:val="21"/>
                <w:lang w:val="en-US" w:eastAsia="zh-CN"/>
              </w:rPr>
              <w:t xml:space="preserve"> </w:t>
            </w:r>
            <w:r>
              <w:rPr>
                <w:rFonts w:hint="eastAsia" w:ascii="宋体" w:hAnsi="宋体" w:cs="宋体"/>
                <w:szCs w:val="21"/>
              </w:rPr>
              <w:t>DVH分析软件：支持三维剂量验证重建分析；数据分析：ROI分析、共面和非共面的剂量分析；工作站：可分析机架角度与时间；微积分剂量与时间；MLC测量到位精度与预测到位精度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14.13支持自动校准深度、SSD和病人结构；4D分析：测量并关联机架角度、叶端位置、绝对剂量和时间进行分析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14.14角度测量：设备自动测量机架角度，无需额外增加模体、支架或角度传感器</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14.15配置定制化中心插件：非均匀的中心插件，包含肌肉、骨骼、肺、脂肪、钛合金等不同密度插件</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14.16支持生成和打印报告</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14.17配置清单</w:t>
            </w:r>
            <w:r>
              <w:rPr>
                <w:rFonts w:hint="eastAsia" w:ascii="宋体" w:hAnsi="宋体" w:cs="宋体"/>
                <w:szCs w:val="21"/>
                <w:lang w:eastAsia="zh-CN"/>
              </w:rPr>
              <w:t>：</w:t>
            </w:r>
            <w:r>
              <w:rPr>
                <w:rFonts w:hint="eastAsia" w:ascii="宋体" w:hAnsi="宋体" w:cs="宋体"/>
                <w:szCs w:val="21"/>
              </w:rPr>
              <w:t>主机一台；≥25米电缆线一条；物联专业分析软件系统建设一项；≥6英尺长电源线一条；USB连接线一条；主机原厂说明书一本；非均匀中心插件（含肌肉、骨骼、肺、脂肪、钛合金插件）一套；3DVH（功能参照并相当于）软件一套；物联工作站专用功能系统一套</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15立体定向放疗质控模体</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15.1支持体部立体定向放射治疗验证，常规放疗剂量验证以及绝对剂量刻度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15.2支持复杂计划验证，SRS剂量QA插件拥有复杂的几何靶区，可以评估治疗计划系统影像重建一致性</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15.3计划系统影像重建精度：支持已知规则体积三维空间重建，可评估治疗计划系统体积重建准确度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15.4</w:t>
            </w:r>
            <w:r>
              <w:rPr>
                <w:rFonts w:hint="eastAsia" w:ascii="宋体" w:hAnsi="宋体" w:cs="宋体"/>
                <w:szCs w:val="21"/>
                <w:lang w:val="en-US" w:eastAsia="zh-CN"/>
              </w:rPr>
              <w:t xml:space="preserve">  </w:t>
            </w:r>
            <w:r>
              <w:rPr>
                <w:rFonts w:hint="eastAsia" w:ascii="宋体" w:hAnsi="宋体" w:cs="宋体"/>
                <w:szCs w:val="21"/>
              </w:rPr>
              <w:t>CT电子密度：支持五种不同物理密度，包括水，空气，致密骨，疏松骨和脂肪等效密度，可用于CT密度模型的QA检测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15.5</w:t>
            </w:r>
            <w:r>
              <w:rPr>
                <w:rFonts w:hint="eastAsia" w:ascii="宋体" w:hAnsi="宋体" w:cs="宋体"/>
                <w:szCs w:val="21"/>
                <w:lang w:val="en-US" w:eastAsia="zh-CN"/>
              </w:rPr>
              <w:t xml:space="preserve"> </w:t>
            </w:r>
            <w:r>
              <w:rPr>
                <w:rFonts w:hint="eastAsia" w:ascii="宋体" w:hAnsi="宋体" w:cs="宋体"/>
                <w:szCs w:val="21"/>
              </w:rPr>
              <w:t>TPS剂量计算精度：支持非均匀性模体剂量验证，包含肺部等效密度的插件，验证蒙特卡洛计算精度，误差≤0.5%</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15.6</w:t>
            </w:r>
            <w:r>
              <w:rPr>
                <w:rFonts w:hint="eastAsia" w:ascii="宋体" w:hAnsi="宋体" w:cs="宋体"/>
                <w:szCs w:val="21"/>
                <w:lang w:val="en-US" w:eastAsia="zh-CN"/>
              </w:rPr>
              <w:t xml:space="preserve"> </w:t>
            </w:r>
            <w:r>
              <w:rPr>
                <w:rFonts w:hint="eastAsia" w:ascii="宋体" w:hAnsi="宋体" w:cs="宋体"/>
                <w:szCs w:val="21"/>
              </w:rPr>
              <w:t>参考标记：内部包含金标点及铅基准标记，分布整个模体提供额外的位置参考和定位精度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15.7绝对剂量测量小野探头1个，有效体积≤0.01cc</w:t>
            </w:r>
            <w:r>
              <w:rPr>
                <w:rFonts w:hint="eastAsia" w:ascii="宋体" w:hAnsi="宋体" w:cs="宋体"/>
                <w:szCs w:val="21"/>
                <w:lang w:eastAsia="zh-CN"/>
              </w:rPr>
              <w:t>，含适配器；</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15.8电缆线1条，TNC接口，长度≥25米</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lang w:val="en-US" w:eastAsia="zh-CN"/>
              </w:rPr>
              <w:t xml:space="preserve">15.9 </w:t>
            </w:r>
            <w:r>
              <w:rPr>
                <w:rFonts w:hint="eastAsia" w:ascii="宋体" w:hAnsi="宋体" w:cs="宋体"/>
                <w:szCs w:val="21"/>
              </w:rPr>
              <w:t>0.6cc常规探头适配器1个，不含探头</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16</w:t>
            </w:r>
            <w:r>
              <w:rPr>
                <w:rFonts w:hint="eastAsia" w:ascii="宋体" w:hAnsi="宋体" w:cs="宋体"/>
                <w:szCs w:val="21"/>
                <w:lang w:val="en-US" w:eastAsia="zh-CN"/>
              </w:rPr>
              <w:t xml:space="preserve"> </w:t>
            </w:r>
            <w:r>
              <w:rPr>
                <w:rFonts w:hint="eastAsia" w:ascii="宋体" w:hAnsi="宋体" w:cs="宋体"/>
                <w:szCs w:val="21"/>
              </w:rPr>
              <w:t>二次剂量验证系统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16.1支持基于TPS的RT Plan、DICOM CT、RT Structure等数据，利用第三方剂量算法，自动计算患者体内的剂量分布，并与TPS中的剂量分布（RT Dose）进行比较，验证TPS剂量算法的可靠性</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16.2支持基于加速器日志文件进行二维或三维通量对比分析，每个射野逐一验证</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16.3临床目标分析：支持系统可自定义临床目标标准，并自动分析各感兴趣区是否满足该临床目标</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16.4三维剂量计算和验证分析</w:t>
            </w:r>
            <w:r>
              <w:rPr>
                <w:rFonts w:hint="eastAsia" w:ascii="宋体" w:hAnsi="宋体" w:cs="宋体"/>
                <w:szCs w:val="21"/>
                <w:lang w:eastAsia="zh-CN"/>
              </w:rPr>
              <w:t>：</w:t>
            </w:r>
            <w:r>
              <w:rPr>
                <w:rFonts w:hint="eastAsia" w:ascii="宋体" w:hAnsi="宋体" w:cs="宋体"/>
                <w:szCs w:val="21"/>
              </w:rPr>
              <w:t>支持三维剂量分布比较、Gamma分析结果、各感兴趣区域DVH比较</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16.5剂量分析工具：支持点剂量分析、线剂量分析、DVH对比、快速局部/全面三维剂量伽马分析等，并支持多剖面结果显示，如支持横断面、矢状面和冠状面剂量和伽玛结果展示等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16.6计划比较工具：支持将TPS中的计划与传输到肿瘤信息系统中的计划进行对比，从而排除数据传输错误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16.7放疗设备兼容性：支持采购方配置的各型号直线加速器的点剂量以及三维剂量的计算和验证（核磁加速器除外），支持核磁加速器计划的点剂量验证</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16.8计划系统兼容性：支持当前所有主流计划系统：包括Eclipse、Monaco、Pinnacle、RayStation等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16.9治疗技术兼容性：支持现有放疗技术，包括3DCRT、IMRT、VMAT、SRS/SBRT等，支持电子线和光子线计划的三维剂量计算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16.10验证结果输出：支持定制化报告内容模板及报告格式；支持以邮件形式发送给相关工作人员，发送频率可控；支持结果保存成PDF；支持用于无纸化办公流程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16.11自动化程度：支持自动导入TPS发送的DICOM数据、自动开始计算任务、自动生成PDF验证分析报告</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16.12加速器建模：支持根据实际采集的加速器数据，进行加速器剂量模型建立，并能手动调整剂量模型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16.13剂量计算算法:支持Monte Carlo算法进行剂量计算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16.14支持采用灵活且可以扩展的计算队列管理计算任务，即可以实现自动化管理，也可以主观干预计算任务的优先级别</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16.15定制化自动工作流:支持自动为不同计划选择不同的临床计划评估模板、自动为不同计划选择不同的等剂量线模板、自动为不同计划选择不同的Gamma评估标准进行验证分析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16.16具有基于CBCT影像的剂量评估功能，基于CBCT影像进行的剂量计算和分析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16.17具有基于EPID的剂量评估功能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16.18 授权数量</w:t>
            </w:r>
            <w:r>
              <w:rPr>
                <w:rFonts w:hint="eastAsia" w:ascii="宋体" w:hAnsi="宋体" w:cs="宋体"/>
                <w:szCs w:val="21"/>
                <w:lang w:eastAsia="zh-CN"/>
              </w:rPr>
              <w:t>：</w:t>
            </w:r>
            <w:r>
              <w:rPr>
                <w:rFonts w:hint="eastAsia" w:ascii="宋体" w:hAnsi="宋体" w:cs="宋体"/>
                <w:szCs w:val="21"/>
              </w:rPr>
              <w:t>支持≥3台采购人现有治疗设备</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▲17晨检仪</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17.1探头类型：适用于辐射剂量测量的纯电离室探头；探头数量：≥13个；测量电离室体积：≤0.1cm³；能量电离室体积：≤0.2cm³。探头灵敏度：≥30nC/Gy</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17.2照射野大小：可测量(10x10) cm²、 (20x20)cm²</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17.3测量功能：可对中心轴剂量、剂量率、均整性、对称性和射线质的稳定性检测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17.4数据显示：晨检仪主机内置集成液晶显示屏，实时显示测量值</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17.5连接加速器数量：无限制。状态指示灯：必须自带三种指示灯，显示正常，报警灯功能，可实时指示当前数据是否超出容差，电池电量和设备测量状态。</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17.6</w:t>
            </w:r>
            <w:r>
              <w:rPr>
                <w:rFonts w:hint="eastAsia" w:ascii="宋体" w:hAnsi="宋体" w:cs="宋体"/>
                <w:szCs w:val="21"/>
                <w:lang w:val="en-US" w:eastAsia="zh-CN"/>
              </w:rPr>
              <w:t xml:space="preserve"> </w:t>
            </w:r>
            <w:r>
              <w:rPr>
                <w:rFonts w:hint="eastAsia" w:ascii="宋体" w:hAnsi="宋体" w:cs="宋体"/>
                <w:szCs w:val="21"/>
              </w:rPr>
              <w:t>FFF补偿模式：带有FFF模式的加速器，可以测common beam参数，可以用于6MV和10MV的加速器,摆位简单快速，可检测FFF射束长期稳定性</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17.7建成板材料：丙烯酸（PMMA）</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17.8电器元件联接：支持有线和无线连接</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17.9适用能量范围：高能光子4MV-25 MV；电子线至少支持4 MeV–25 MeV</w:t>
            </w:r>
            <w:r>
              <w:rPr>
                <w:rFonts w:hint="eastAsia" w:ascii="宋体" w:hAnsi="宋体" w:cs="宋体"/>
                <w:szCs w:val="21"/>
                <w:lang w:eastAsia="zh-CN"/>
              </w:rPr>
              <w:t>；</w:t>
            </w:r>
            <w:r>
              <w:rPr>
                <w:rFonts w:hint="eastAsia" w:ascii="宋体" w:hAnsi="宋体" w:cs="宋体"/>
                <w:szCs w:val="21"/>
              </w:rPr>
              <w:t>17.10温度测量：集成式温度传感器测量实时校正。测量范围：至少支持10-40度，气压测量：集成式气压传感器测量实时校正，测量范围至少支持700-1060hpa</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17.11应用程序功能配置满足常规QA的要求，包括加速器日常QA等</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17.12自动跳转任务列表：无需翻转阵列实现光子线、电子线测量，测量完一组数据后无需进入机房，自动跳转到下一组任务</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17.13数据存储：必须内置电脑软件显示，无需外接电脑，并实时显示单个参数趋势图和测量数据</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17.14内置数据库软件：必须将数据存储在非易失性自带内存中，导出晨检仪测量数据，可视化的数据趋势，观察和分析数据的长期变化趋势，保存或打印数据报告</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17.15访问数据：日常使用可通过电脑随时调用分析功能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17.16配置清单</w:t>
            </w:r>
            <w:r>
              <w:rPr>
                <w:rFonts w:hint="eastAsia" w:ascii="宋体" w:hAnsi="宋体" w:cs="宋体"/>
                <w:szCs w:val="21"/>
                <w:lang w:eastAsia="zh-CN"/>
              </w:rPr>
              <w:t>：</w:t>
            </w:r>
            <w:r>
              <w:rPr>
                <w:rFonts w:hint="eastAsia" w:ascii="宋体" w:hAnsi="宋体" w:cs="宋体"/>
                <w:szCs w:val="21"/>
              </w:rPr>
              <w:t>晨检仪主机1套；USB连接线1条；充电器1套；可充电电池1套；系统操作分析软件系统1套；FFF模式补偿器1套</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18辐射防护设备和其他设备</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18.1</w:t>
            </w:r>
            <w:r>
              <w:rPr>
                <w:rFonts w:hint="eastAsia" w:ascii="宋体" w:hAnsi="宋体" w:cs="宋体"/>
                <w:szCs w:val="21"/>
                <w:lang w:val="en-US" w:eastAsia="zh-CN"/>
              </w:rPr>
              <w:t xml:space="preserve"> </w:t>
            </w:r>
            <w:r>
              <w:rPr>
                <w:rFonts w:hint="eastAsia" w:ascii="宋体" w:hAnsi="宋体" w:cs="宋体"/>
                <w:szCs w:val="21"/>
              </w:rPr>
              <w:t>X线固定报警仪1个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18.2手持式辐射仪1个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18.3个人剂量报警仪3个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18.4电子防潮箱1套，外尺寸：≥宽90cm×深60cm×高100cm，防静电指标：满足国标，湿度控制精度：±2.5%RH；温度显示精度：±1℃</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19</w:t>
            </w:r>
            <w:r>
              <w:rPr>
                <w:rFonts w:hint="eastAsia" w:ascii="宋体" w:hAnsi="宋体" w:cs="宋体"/>
                <w:szCs w:val="21"/>
                <w:lang w:val="en-US" w:eastAsia="zh-CN"/>
              </w:rPr>
              <w:t xml:space="preserve"> </w:t>
            </w:r>
            <w:r>
              <w:rPr>
                <w:rFonts w:hint="eastAsia" w:ascii="宋体" w:hAnsi="宋体" w:cs="宋体"/>
                <w:szCs w:val="21"/>
              </w:rPr>
              <w:t>体位固定方案</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19.1适用于肿瘤放疗患者高精度重复体位固定，包含多功能一体化固定系统及附件、SBRT固定系统及附件</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19.1.1人体固定架（碳纤维一体化固定架）2套</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19.1.2人体固定架（手臂支撑架）1套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19.1.3人体固定架（膝部垫）1套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19.1.4人体固定架（俯卧乳腺泡棉组件）6套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19.1.5人体固定架（俯卧盆腔泡绵组件）6套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19.1.6人体固定架（适配条）6根</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19.1.7人体固定架（适配条）6根</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19.1.8人体固定架（透明头枕）5个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19.1.9人体固定架（俯卧头枕）6个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19.1.10人体定位垫（塑形垫专用头枕）2个</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19.1.11体部立体定向固定方案2套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19.1.12</w:t>
            </w:r>
            <w:r>
              <w:rPr>
                <w:rFonts w:hint="eastAsia" w:ascii="宋体" w:hAnsi="宋体" w:cs="宋体"/>
                <w:szCs w:val="21"/>
              </w:rPr>
              <w:tab/>
            </w:r>
            <w:r>
              <w:rPr>
                <w:rFonts w:hint="eastAsia" w:ascii="宋体" w:hAnsi="宋体" w:cs="宋体"/>
                <w:szCs w:val="21"/>
              </w:rPr>
              <w:t>腹部气囊加压装置5个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19.1.13</w:t>
            </w:r>
            <w:r>
              <w:rPr>
                <w:rFonts w:hint="eastAsia" w:ascii="宋体" w:hAnsi="宋体" w:cs="宋体"/>
                <w:szCs w:val="21"/>
              </w:rPr>
              <w:tab/>
            </w:r>
            <w:r>
              <w:rPr>
                <w:rFonts w:hint="eastAsia" w:ascii="宋体" w:hAnsi="宋体" w:cs="宋体"/>
                <w:szCs w:val="21"/>
              </w:rPr>
              <w:t>定位膜（0.3cm补偿膜）5张、定位膜（口含器）5个、定位膜（咬合器）5个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19.2</w:t>
            </w:r>
            <w:r>
              <w:rPr>
                <w:rFonts w:hint="eastAsia" w:ascii="宋体" w:hAnsi="宋体" w:cs="宋体"/>
                <w:szCs w:val="21"/>
                <w:lang w:val="en-US" w:eastAsia="zh-CN"/>
              </w:rPr>
              <w:t xml:space="preserve"> </w:t>
            </w:r>
            <w:r>
              <w:rPr>
                <w:rFonts w:hint="eastAsia" w:ascii="宋体" w:hAnsi="宋体" w:cs="宋体"/>
                <w:szCs w:val="21"/>
              </w:rPr>
              <w:t>多功能一体化固定系统主体使用进口碳纤维材质,组件包括基础板、手臂支撑架、膝部垫、盆腔俯卧固定组件、乳腺俯卧固定组件及必要的辅助配件</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19.3</w:t>
            </w:r>
            <w:r>
              <w:rPr>
                <w:rFonts w:hint="eastAsia" w:ascii="宋体" w:hAnsi="宋体" w:cs="宋体"/>
                <w:szCs w:val="21"/>
                <w:lang w:val="en-US" w:eastAsia="zh-CN"/>
              </w:rPr>
              <w:t xml:space="preserve"> </w:t>
            </w:r>
            <w:r>
              <w:rPr>
                <w:rFonts w:hint="eastAsia" w:ascii="宋体" w:hAnsi="宋体" w:cs="宋体"/>
                <w:szCs w:val="21"/>
              </w:rPr>
              <w:t>多功能一体化固定系统兼容科室CT模拟定位室和直加治疗室在用固定装置</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19.4</w:t>
            </w:r>
            <w:r>
              <w:rPr>
                <w:rFonts w:hint="eastAsia" w:ascii="宋体" w:hAnsi="宋体" w:cs="宋体"/>
                <w:szCs w:val="21"/>
                <w:lang w:val="en-US" w:eastAsia="zh-CN"/>
              </w:rPr>
              <w:t xml:space="preserve">  </w:t>
            </w:r>
            <w:r>
              <w:rPr>
                <w:rFonts w:hint="eastAsia" w:ascii="宋体" w:hAnsi="宋体" w:cs="宋体"/>
                <w:szCs w:val="21"/>
              </w:rPr>
              <w:t>SBRT固定系统组件包括基础板、翼形板、膝踝垫、腹部桥架、膝部桥架及必要的辅助配件</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19.5</w:t>
            </w:r>
            <w:r>
              <w:rPr>
                <w:rFonts w:hint="eastAsia" w:ascii="宋体" w:hAnsi="宋体" w:cs="宋体"/>
                <w:szCs w:val="21"/>
                <w:lang w:val="en-US" w:eastAsia="zh-CN"/>
              </w:rPr>
              <w:t xml:space="preserve">  </w:t>
            </w:r>
            <w:r>
              <w:rPr>
                <w:rFonts w:hint="eastAsia" w:ascii="宋体" w:hAnsi="宋体" w:cs="宋体"/>
                <w:szCs w:val="21"/>
              </w:rPr>
              <w:t>SBRT固定系统腹部桥架、膝部桥架采用环形结构设计，使用核磁模拟定位时可以避免体部线圈与扫描部位距离过远而影响图像质量</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19.6</w:t>
            </w:r>
            <w:r>
              <w:rPr>
                <w:rFonts w:hint="eastAsia" w:ascii="宋体" w:hAnsi="宋体" w:cs="宋体"/>
                <w:szCs w:val="21"/>
                <w:lang w:val="en-US" w:eastAsia="zh-CN"/>
              </w:rPr>
              <w:t xml:space="preserve">  </w:t>
            </w:r>
            <w:r>
              <w:rPr>
                <w:rFonts w:hint="eastAsia" w:ascii="宋体" w:hAnsi="宋体" w:cs="宋体"/>
                <w:szCs w:val="21"/>
              </w:rPr>
              <w:t>SBRT固定系统腹部桥架左右两侧独立调节，可实现偏侧压腹调节，高度可调档位≥13，一键锁紧设计</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19.7产品质量达到国际标准，获得FDA、CE销售许可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w:t>
            </w:r>
            <w:r>
              <w:rPr>
                <w:rFonts w:hint="eastAsia" w:ascii="宋体" w:hAnsi="宋体" w:cs="宋体"/>
                <w:szCs w:val="21"/>
                <w:lang w:val="en-US" w:eastAsia="zh-CN"/>
              </w:rPr>
              <w:t xml:space="preserve"> </w:t>
            </w:r>
            <w:r>
              <w:rPr>
                <w:rFonts w:hint="eastAsia" w:ascii="宋体" w:hAnsi="宋体" w:cs="宋体"/>
                <w:szCs w:val="21"/>
              </w:rPr>
              <w:t>配备体表光学定位系统，实现患者体位精准校准,且满足临床开展呼吸运动管理的功能。</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 相机数量</w:t>
            </w:r>
            <w:r>
              <w:rPr>
                <w:rFonts w:hint="eastAsia" w:ascii="宋体" w:hAnsi="宋体" w:cs="宋体"/>
                <w:szCs w:val="21"/>
                <w:lang w:eastAsia="zh-CN"/>
              </w:rPr>
              <w:t>：</w:t>
            </w:r>
            <w:r>
              <w:rPr>
                <w:rFonts w:hint="eastAsia" w:ascii="宋体" w:hAnsi="宋体" w:cs="宋体"/>
                <w:szCs w:val="21"/>
              </w:rPr>
              <w:t>治疗设备端≥3个，CT定位端≥1个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20.2技术模式</w:t>
            </w:r>
            <w:r>
              <w:rPr>
                <w:rFonts w:hint="eastAsia" w:ascii="宋体" w:hAnsi="宋体" w:cs="宋体"/>
                <w:szCs w:val="21"/>
                <w:lang w:eastAsia="zh-CN"/>
              </w:rPr>
              <w:t>：</w:t>
            </w:r>
            <w:r>
              <w:rPr>
                <w:rFonts w:hint="eastAsia" w:ascii="宋体" w:hAnsi="宋体" w:cs="宋体"/>
                <w:szCs w:val="21"/>
              </w:rPr>
              <w:t>结构光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20.3相机分辨率</w:t>
            </w:r>
            <w:r>
              <w:rPr>
                <w:rFonts w:hint="eastAsia" w:ascii="宋体" w:hAnsi="宋体" w:cs="宋体"/>
                <w:szCs w:val="21"/>
                <w:lang w:eastAsia="zh-CN"/>
              </w:rPr>
              <w:t>：</w:t>
            </w:r>
            <w:r>
              <w:rPr>
                <w:rFonts w:hint="eastAsia" w:ascii="宋体" w:hAnsi="宋体" w:cs="宋体"/>
                <w:szCs w:val="21"/>
              </w:rPr>
              <w:t>≥2048×2048像素</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20.4摆位准确性</w:t>
            </w:r>
            <w:r>
              <w:rPr>
                <w:rFonts w:hint="eastAsia" w:ascii="宋体" w:hAnsi="宋体" w:cs="宋体"/>
                <w:szCs w:val="21"/>
                <w:lang w:eastAsia="zh-CN"/>
              </w:rPr>
              <w:t>：</w:t>
            </w:r>
            <w:r>
              <w:rPr>
                <w:rFonts w:hint="eastAsia" w:ascii="宋体" w:hAnsi="宋体" w:cs="宋体"/>
                <w:szCs w:val="21"/>
              </w:rPr>
              <w:t>≤1mm/1°</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20.5摆位重复性</w:t>
            </w:r>
            <w:r>
              <w:rPr>
                <w:rFonts w:hint="eastAsia" w:ascii="宋体" w:hAnsi="宋体" w:cs="宋体"/>
                <w:szCs w:val="21"/>
                <w:lang w:eastAsia="zh-CN"/>
              </w:rPr>
              <w:t>：</w:t>
            </w:r>
            <w:r>
              <w:rPr>
                <w:rFonts w:hint="eastAsia" w:ascii="宋体" w:hAnsi="宋体" w:cs="宋体"/>
                <w:szCs w:val="21"/>
              </w:rPr>
              <w:t>＜0.2mm/1°</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20.6摆位修正</w:t>
            </w:r>
            <w:r>
              <w:rPr>
                <w:rFonts w:hint="eastAsia" w:ascii="宋体" w:hAnsi="宋体" w:cs="宋体"/>
                <w:szCs w:val="21"/>
                <w:lang w:eastAsia="zh-CN"/>
              </w:rPr>
              <w:t>：</w:t>
            </w:r>
            <w:r>
              <w:rPr>
                <w:rFonts w:hint="eastAsia" w:ascii="宋体" w:hAnsi="宋体" w:cs="宋体"/>
                <w:szCs w:val="21"/>
              </w:rPr>
              <w:t>支持姿态识别、支持手工调整和自动调整</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20.7配准时间</w:t>
            </w:r>
            <w:r>
              <w:rPr>
                <w:rFonts w:hint="eastAsia" w:ascii="宋体" w:hAnsi="宋体" w:cs="宋体"/>
                <w:szCs w:val="21"/>
                <w:lang w:eastAsia="zh-CN"/>
              </w:rPr>
              <w:t>：</w:t>
            </w:r>
            <w:r>
              <w:rPr>
                <w:rFonts w:hint="eastAsia" w:ascii="宋体" w:hAnsi="宋体" w:cs="宋体"/>
                <w:szCs w:val="21"/>
              </w:rPr>
              <w:t>≤1S</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20.8 临床应用模式</w:t>
            </w:r>
            <w:r>
              <w:rPr>
                <w:rFonts w:hint="eastAsia" w:ascii="宋体" w:hAnsi="宋体" w:cs="宋体"/>
                <w:szCs w:val="21"/>
                <w:lang w:eastAsia="zh-CN"/>
              </w:rPr>
              <w:t>：</w:t>
            </w:r>
            <w:r>
              <w:rPr>
                <w:rFonts w:hint="eastAsia" w:ascii="宋体" w:hAnsi="宋体" w:cs="宋体"/>
                <w:szCs w:val="21"/>
              </w:rPr>
              <w:t>支持DIBH、EEBH、SRS、SBRT</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▲20.9 视野大小</w:t>
            </w:r>
            <w:r>
              <w:rPr>
                <w:rFonts w:hint="eastAsia" w:ascii="宋体" w:hAnsi="宋体" w:cs="宋体"/>
                <w:szCs w:val="21"/>
                <w:lang w:eastAsia="zh-CN"/>
              </w:rPr>
              <w:t>：</w:t>
            </w:r>
            <w:r>
              <w:rPr>
                <w:rFonts w:hint="eastAsia" w:ascii="宋体" w:hAnsi="宋体" w:cs="宋体"/>
                <w:szCs w:val="21"/>
              </w:rPr>
              <w:t>≥1000mm×1000mm×1000mm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▲20.10帧率</w:t>
            </w:r>
            <w:r>
              <w:rPr>
                <w:rFonts w:hint="eastAsia" w:ascii="宋体" w:hAnsi="宋体" w:cs="宋体"/>
                <w:szCs w:val="21"/>
                <w:lang w:eastAsia="zh-CN"/>
              </w:rPr>
              <w:t>：</w:t>
            </w:r>
            <w:r>
              <w:rPr>
                <w:rFonts w:hint="eastAsia" w:ascii="宋体" w:hAnsi="宋体" w:cs="宋体"/>
                <w:szCs w:val="21"/>
              </w:rPr>
              <w:t>≥10Hz</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20.11配准方法</w:t>
            </w:r>
            <w:r>
              <w:rPr>
                <w:rFonts w:hint="eastAsia" w:ascii="宋体" w:hAnsi="宋体" w:cs="宋体"/>
                <w:szCs w:val="21"/>
                <w:lang w:eastAsia="zh-CN"/>
              </w:rPr>
              <w:t>：</w:t>
            </w:r>
            <w:r>
              <w:rPr>
                <w:rFonts w:hint="eastAsia" w:ascii="宋体" w:hAnsi="宋体" w:cs="宋体"/>
                <w:szCs w:val="21"/>
              </w:rPr>
              <w:t>刚性+多个感兴趣区</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20.12体表辨识统计功能</w:t>
            </w:r>
            <w:r>
              <w:rPr>
                <w:rFonts w:hint="eastAsia" w:ascii="宋体" w:hAnsi="宋体" w:cs="宋体"/>
                <w:szCs w:val="21"/>
                <w:lang w:eastAsia="zh-CN"/>
              </w:rPr>
              <w:t>：</w:t>
            </w:r>
            <w:r>
              <w:rPr>
                <w:rFonts w:hint="eastAsia" w:ascii="宋体" w:hAnsi="宋体" w:cs="宋体"/>
                <w:szCs w:val="21"/>
              </w:rPr>
              <w:t>具备</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20.13</w:t>
            </w:r>
            <w:r>
              <w:rPr>
                <w:rFonts w:hint="eastAsia" w:ascii="宋体" w:hAnsi="宋体" w:cs="宋体"/>
                <w:szCs w:val="21"/>
                <w:lang w:val="en-US" w:eastAsia="zh-CN"/>
              </w:rPr>
              <w:t xml:space="preserve"> </w:t>
            </w:r>
            <w:r>
              <w:rPr>
                <w:rFonts w:hint="eastAsia" w:ascii="宋体" w:hAnsi="宋体" w:cs="宋体"/>
                <w:szCs w:val="21"/>
              </w:rPr>
              <w:t>ROI勾画和配准</w:t>
            </w:r>
            <w:r>
              <w:rPr>
                <w:rFonts w:hint="eastAsia" w:ascii="宋体" w:hAnsi="宋体" w:cs="宋体"/>
                <w:szCs w:val="21"/>
                <w:lang w:eastAsia="zh-CN"/>
              </w:rPr>
              <w:t>：</w:t>
            </w:r>
            <w:r>
              <w:rPr>
                <w:rFonts w:hint="eastAsia" w:ascii="宋体" w:hAnsi="宋体" w:cs="宋体"/>
                <w:szCs w:val="21"/>
              </w:rPr>
              <w:t>具备</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20.14呼吸门控</w:t>
            </w:r>
            <w:r>
              <w:rPr>
                <w:rFonts w:hint="eastAsia" w:ascii="宋体" w:hAnsi="宋体" w:cs="宋体"/>
                <w:szCs w:val="21"/>
                <w:lang w:eastAsia="zh-CN"/>
              </w:rPr>
              <w:t>：</w:t>
            </w:r>
            <w:r>
              <w:rPr>
                <w:rFonts w:hint="eastAsia" w:ascii="宋体" w:hAnsi="宋体" w:cs="宋体"/>
                <w:szCs w:val="21"/>
              </w:rPr>
              <w:t>支持采购方配置直线加速器型号，具备视觉和语音引导</w:t>
            </w:r>
            <w:r>
              <w:rPr>
                <w:rFonts w:hint="eastAsia" w:ascii="宋体" w:hAnsi="宋体" w:cs="宋体"/>
                <w:szCs w:val="21"/>
                <w:lang w:eastAsia="zh-CN"/>
              </w:rPr>
              <w:t>；</w:t>
            </w:r>
            <w:r>
              <w:rPr>
                <w:rFonts w:hint="eastAsia" w:ascii="宋体" w:hAnsi="宋体" w:cs="宋体"/>
                <w:szCs w:val="21"/>
              </w:rPr>
              <w:t>20.15呼吸训练工具</w:t>
            </w:r>
            <w:r>
              <w:rPr>
                <w:rFonts w:hint="eastAsia" w:ascii="宋体" w:hAnsi="宋体" w:cs="宋体"/>
                <w:szCs w:val="21"/>
                <w:lang w:eastAsia="zh-CN"/>
              </w:rPr>
              <w:t>：</w:t>
            </w:r>
            <w:r>
              <w:rPr>
                <w:rFonts w:hint="eastAsia" w:ascii="宋体" w:hAnsi="宋体" w:cs="宋体"/>
                <w:szCs w:val="21"/>
              </w:rPr>
              <w:t>具备</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20.16摆位效率</w:t>
            </w:r>
            <w:r>
              <w:rPr>
                <w:rFonts w:hint="eastAsia" w:ascii="宋体" w:hAnsi="宋体" w:cs="宋体"/>
                <w:szCs w:val="21"/>
                <w:lang w:eastAsia="zh-CN"/>
              </w:rPr>
              <w:t>：</w:t>
            </w:r>
            <w:r>
              <w:rPr>
                <w:rFonts w:hint="eastAsia" w:ascii="宋体" w:hAnsi="宋体" w:cs="宋体"/>
                <w:szCs w:val="21"/>
              </w:rPr>
              <w:t>显示延迟≤100ms</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20.17肤色采集</w:t>
            </w:r>
            <w:r>
              <w:rPr>
                <w:rFonts w:hint="eastAsia" w:ascii="宋体" w:hAnsi="宋体" w:cs="宋体"/>
                <w:szCs w:val="21"/>
                <w:lang w:eastAsia="zh-CN"/>
              </w:rPr>
              <w:t>：</w:t>
            </w:r>
            <w:r>
              <w:rPr>
                <w:rFonts w:hint="eastAsia" w:ascii="宋体" w:hAnsi="宋体" w:cs="宋体"/>
                <w:szCs w:val="21"/>
              </w:rPr>
              <w:t>支持黄色、白色、黑色肤色</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20.18设备质控</w:t>
            </w:r>
            <w:r>
              <w:rPr>
                <w:rFonts w:hint="eastAsia" w:ascii="宋体" w:hAnsi="宋体" w:cs="宋体"/>
                <w:szCs w:val="21"/>
                <w:lang w:eastAsia="zh-CN"/>
              </w:rPr>
              <w:t>：</w:t>
            </w:r>
            <w:r>
              <w:rPr>
                <w:rFonts w:hint="eastAsia" w:ascii="宋体" w:hAnsi="宋体" w:cs="宋体"/>
                <w:szCs w:val="21"/>
              </w:rPr>
              <w:t>配置等中心质控模体，配置自动记录分析软件</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▲21 剂量仪</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21.1 能完成四种模式测量</w:t>
            </w:r>
            <w:r>
              <w:rPr>
                <w:rFonts w:hint="eastAsia" w:ascii="宋体" w:hAnsi="宋体" w:cs="宋体"/>
                <w:szCs w:val="21"/>
                <w:lang w:eastAsia="zh-CN"/>
              </w:rPr>
              <w:t>：</w:t>
            </w:r>
            <w:r>
              <w:rPr>
                <w:rFonts w:hint="eastAsia" w:ascii="宋体" w:hAnsi="宋体" w:cs="宋体"/>
                <w:szCs w:val="21"/>
              </w:rPr>
              <w:t>电荷、电流、剂量、剂量率</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21.2 测量通道</w:t>
            </w:r>
            <w:r>
              <w:rPr>
                <w:rFonts w:hint="eastAsia" w:ascii="宋体" w:hAnsi="宋体" w:cs="宋体"/>
                <w:szCs w:val="21"/>
                <w:lang w:eastAsia="zh-CN"/>
              </w:rPr>
              <w:t>：</w:t>
            </w:r>
            <w:r>
              <w:rPr>
                <w:rFonts w:hint="eastAsia" w:ascii="宋体" w:hAnsi="宋体" w:cs="宋体"/>
                <w:szCs w:val="21"/>
              </w:rPr>
              <w:t>两个独立测量通道</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3</w:t>
            </w:r>
            <w:r>
              <w:rPr>
                <w:rFonts w:hint="eastAsia" w:ascii="宋体" w:hAnsi="宋体" w:cs="宋体"/>
                <w:szCs w:val="21"/>
              </w:rPr>
              <w:t xml:space="preserve"> 预热时间</w:t>
            </w:r>
            <w:r>
              <w:rPr>
                <w:rFonts w:hint="eastAsia" w:ascii="宋体" w:hAnsi="宋体" w:cs="宋体"/>
                <w:szCs w:val="21"/>
                <w:lang w:eastAsia="zh-CN"/>
              </w:rPr>
              <w:t>：</w:t>
            </w:r>
            <w:r>
              <w:rPr>
                <w:rFonts w:hint="eastAsia" w:ascii="宋体" w:hAnsi="宋体" w:cs="宋体"/>
                <w:szCs w:val="21"/>
              </w:rPr>
              <w:t>≤1分钟</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4</w:t>
            </w:r>
            <w:r>
              <w:rPr>
                <w:rFonts w:hint="eastAsia" w:ascii="宋体" w:hAnsi="宋体" w:cs="宋体"/>
                <w:szCs w:val="21"/>
              </w:rPr>
              <w:t xml:space="preserve"> 漏电：＜1fA</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5</w:t>
            </w:r>
            <w:r>
              <w:rPr>
                <w:rFonts w:hint="eastAsia" w:ascii="宋体" w:hAnsi="宋体" w:cs="宋体"/>
                <w:szCs w:val="21"/>
              </w:rPr>
              <w:t xml:space="preserve"> 数据更新频率：0.01秒</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6</w:t>
            </w:r>
            <w:r>
              <w:rPr>
                <w:rFonts w:hint="eastAsia" w:ascii="宋体" w:hAnsi="宋体" w:cs="宋体"/>
                <w:szCs w:val="21"/>
              </w:rPr>
              <w:t xml:space="preserve"> 精确性：≤±0.1%</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7</w:t>
            </w:r>
            <w:r>
              <w:rPr>
                <w:rFonts w:hint="eastAsia" w:ascii="宋体" w:hAnsi="宋体" w:cs="宋体"/>
                <w:szCs w:val="21"/>
              </w:rPr>
              <w:t xml:space="preserve"> 温度气压自动修正</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21.</w:t>
            </w:r>
            <w:r>
              <w:rPr>
                <w:rFonts w:hint="eastAsia" w:ascii="宋体" w:hAnsi="宋体" w:cs="宋体"/>
                <w:szCs w:val="21"/>
                <w:lang w:val="en-US" w:eastAsia="zh-CN"/>
              </w:rPr>
              <w:t>8</w:t>
            </w:r>
            <w:r>
              <w:rPr>
                <w:rFonts w:hint="eastAsia" w:ascii="宋体" w:hAnsi="宋体" w:cs="宋体"/>
                <w:szCs w:val="21"/>
              </w:rPr>
              <w:t xml:space="preserve"> 电离室管理库</w:t>
            </w:r>
            <w:r>
              <w:rPr>
                <w:rFonts w:hint="eastAsia" w:ascii="宋体" w:hAnsi="宋体" w:cs="宋体"/>
                <w:szCs w:val="21"/>
                <w:lang w:eastAsia="zh-CN"/>
              </w:rPr>
              <w:t>：</w:t>
            </w:r>
            <w:r>
              <w:rPr>
                <w:rFonts w:hint="eastAsia" w:ascii="宋体" w:hAnsi="宋体" w:cs="宋体"/>
                <w:szCs w:val="21"/>
              </w:rPr>
              <w:t>容量≥50</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9</w:t>
            </w:r>
            <w:r>
              <w:rPr>
                <w:rFonts w:hint="eastAsia" w:ascii="宋体" w:hAnsi="宋体" w:cs="宋体"/>
                <w:szCs w:val="21"/>
              </w:rPr>
              <w:t xml:space="preserve"> 电脑内置软件功能：可方便调整所有参数；隐藏或显示不同功能；21.</w:t>
            </w:r>
            <w:r>
              <w:rPr>
                <w:rFonts w:hint="eastAsia" w:ascii="宋体" w:hAnsi="宋体" w:cs="宋体"/>
                <w:szCs w:val="21"/>
                <w:lang w:val="en-US" w:eastAsia="zh-CN"/>
              </w:rPr>
              <w:t>10</w:t>
            </w:r>
            <w:r>
              <w:rPr>
                <w:rFonts w:hint="eastAsia" w:ascii="宋体" w:hAnsi="宋体" w:cs="宋体"/>
                <w:szCs w:val="21"/>
              </w:rPr>
              <w:t xml:space="preserve"> 计量院标定证书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21.</w:t>
            </w:r>
            <w:r>
              <w:rPr>
                <w:rFonts w:hint="eastAsia" w:ascii="宋体" w:hAnsi="宋体" w:cs="宋体"/>
                <w:szCs w:val="21"/>
                <w:lang w:val="en-US" w:eastAsia="zh-CN"/>
              </w:rPr>
              <w:t>11</w:t>
            </w:r>
            <w:r>
              <w:rPr>
                <w:rFonts w:hint="eastAsia" w:ascii="宋体" w:hAnsi="宋体" w:cs="宋体"/>
                <w:szCs w:val="21"/>
              </w:rPr>
              <w:t xml:space="preserve"> 扩展功能</w:t>
            </w:r>
            <w:r>
              <w:rPr>
                <w:rFonts w:hint="eastAsia" w:ascii="宋体" w:hAnsi="宋体" w:cs="宋体"/>
                <w:szCs w:val="21"/>
                <w:lang w:eastAsia="zh-CN"/>
              </w:rPr>
              <w:t>：</w:t>
            </w:r>
            <w:r>
              <w:rPr>
                <w:rFonts w:hint="eastAsia" w:ascii="宋体" w:hAnsi="宋体" w:cs="宋体"/>
                <w:szCs w:val="21"/>
              </w:rPr>
              <w:t>搭配一维水箱可实现PDD检测</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12</w:t>
            </w:r>
            <w:r>
              <w:rPr>
                <w:rFonts w:hint="eastAsia" w:ascii="宋体" w:hAnsi="宋体" w:cs="宋体"/>
                <w:szCs w:val="21"/>
              </w:rPr>
              <w:t xml:space="preserve"> 常规电离室1个，有效体积≤0.6cc</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13</w:t>
            </w:r>
            <w:r>
              <w:rPr>
                <w:rFonts w:hint="eastAsia" w:ascii="宋体" w:hAnsi="宋体" w:cs="宋体"/>
                <w:szCs w:val="21"/>
              </w:rPr>
              <w:t xml:space="preserve"> 微型电离室1个，有效体积≤0.008cc</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14</w:t>
            </w:r>
            <w:r>
              <w:rPr>
                <w:rFonts w:hint="eastAsia" w:ascii="宋体" w:hAnsi="宋体" w:cs="宋体"/>
                <w:szCs w:val="21"/>
              </w:rPr>
              <w:t xml:space="preserve"> 开口小水箱1套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w:t>
            </w:r>
            <w:r>
              <w:rPr>
                <w:rFonts w:hint="eastAsia" w:ascii="宋体" w:hAnsi="宋体" w:cs="宋体"/>
                <w:szCs w:val="21"/>
                <w:lang w:val="en-US" w:eastAsia="zh-CN"/>
              </w:rPr>
              <w:t xml:space="preserve"> </w:t>
            </w:r>
            <w:r>
              <w:rPr>
                <w:rFonts w:hint="eastAsia" w:ascii="宋体" w:hAnsi="宋体" w:cs="宋体"/>
                <w:szCs w:val="21"/>
              </w:rPr>
              <w:t>三维水箱</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 分体式设计，储水库与升降台为分体设计，储水车储水量≥210L；需带有双向泵，流速≥20L/min</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22.2水箱箱体</w:t>
            </w:r>
            <w:r>
              <w:rPr>
                <w:rFonts w:hint="eastAsia" w:ascii="宋体" w:hAnsi="宋体" w:cs="宋体"/>
                <w:szCs w:val="21"/>
                <w:lang w:eastAsia="zh-CN"/>
              </w:rPr>
              <w:t>：</w:t>
            </w:r>
            <w:r>
              <w:rPr>
                <w:rFonts w:hint="eastAsia" w:ascii="宋体" w:hAnsi="宋体" w:cs="宋体"/>
                <w:szCs w:val="21"/>
              </w:rPr>
              <w:t>方形设计，具有三个扫描机械轴，箱体壁厚/材料：≥13 mm/亚克力</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22.3 有效扫描范围：X≥470mm，Y≥470mm，Z≥410mm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22.4位置验证：三维机械轴皆具有刻度尺，可随时验证到位精度，位置反馈：采用磁致伸缩传感器技术，实时反馈三维机械轴的位置</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22.5到位重复性、到位精度：≤±0.1mm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22.6定位速度：≥50mm/s</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22.7扫描模式：支持步进扫描与连续扫描，最大扫描速度：≥20mm/s</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22.8控制单元与双通道静电计需独立于水箱箱体，且与水箱之间的连接线长度需≥5m，以确保测量中受散射辐射尽可能少</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22.9双通道静电计：最大偏压≥± 500 V，最小分辨率≤5 x 10-16 A，时间常数≤20ms</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22.10探测器：配有2个电离室，1个灵敏体积≤0.13cm³探头，1个≤0.01cm³小野探头</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22.11电动升降台：最大负载≥250 kg，垂直升降范围≥500 mm，垂直升降速度≥13mm/s</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22.12可针对主流TPS（包括Eclipse、Monaco、Pinnacle、Tomotherapy、Raystation、Oncentra等）所需射束数据范围，自动生成队列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22.13支持系列队列管理功能，包括加载、保存、编辑、复制、粘贴等，支持提供优化队列的功能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22.14提供队列合理性检查功能，可以实时检查并显示队列中每个项目的当前状态，包括项目是否有效、测量前是否需要停顿、项目是否已测量等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22.15提供步进扫描与连续扫描模式，支持在线显示测量值</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22.16支持扫描数据类型包含绝对点的剂量测量、Profile、PDD、二维面剂量测量等，支持一维、二维与三维的数据显示模式</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22.17提供自适应的扫描优化功能，在步进扫描与连续扫描模式，支持单条曲线中调整不同区间的扫描步距或速度，高效与高精确性兼得</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22.18支持输出因子测量结果以表格方式呈现，且归一至10cm×10cm射野，自动检查射束中心轴位置，且可以一键点击修正扫描坐标系零位</w:t>
            </w:r>
            <w:r>
              <w:rPr>
                <w:rFonts w:hint="eastAsia" w:ascii="宋体" w:hAnsi="宋体" w:cs="宋体"/>
                <w:szCs w:val="21"/>
                <w:lang w:eastAsia="zh-CN"/>
              </w:rPr>
              <w:t>；</w:t>
            </w:r>
            <w:r>
              <w:rPr>
                <w:rFonts w:hint="eastAsia" w:ascii="宋体" w:hAnsi="宋体" w:cs="宋体"/>
                <w:szCs w:val="21"/>
              </w:rPr>
              <w:t>22.19支持每条曲线在线显示数据分析结果、支持计算并显示等剂量线或二维数据、支持根据需要定制机构特定的协议、支持对2条曲线数据执行1D伽马分析并直观显示通过与否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22.20支持所有国际协议与行业协议，包括但不限于NACP、IAEA、AAPM、IEC、ICRU、NCS、Varian、Elekta、Siemens等，协议种类数≥10种</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22.21支持对数据执行平滑处理并可选择多种算法，支持提供编辑曲线的功能，支持对测量数据执行算数运算</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22.22</w:t>
            </w:r>
            <w:r>
              <w:rPr>
                <w:rFonts w:hint="eastAsia" w:ascii="宋体" w:hAnsi="宋体" w:cs="宋体"/>
                <w:szCs w:val="21"/>
                <w:lang w:val="en-US" w:eastAsia="zh-CN"/>
              </w:rPr>
              <w:t xml:space="preserve"> </w:t>
            </w:r>
            <w:r>
              <w:rPr>
                <w:rFonts w:hint="eastAsia" w:ascii="宋体" w:hAnsi="宋体" w:cs="宋体"/>
                <w:szCs w:val="21"/>
              </w:rPr>
              <w:t>支持重新采样的功能，可调整测量数据的分辨率，支持基于PDD数据计算TPR/TMR</w:t>
            </w:r>
            <w:r>
              <w:rPr>
                <w:rFonts w:hint="eastAsia" w:ascii="宋体" w:hAnsi="宋体" w:cs="宋体"/>
                <w:szCs w:val="21"/>
              </w:rPr>
              <w:tab/>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22.23</w:t>
            </w:r>
            <w:r>
              <w:rPr>
                <w:rFonts w:hint="eastAsia" w:ascii="宋体" w:hAnsi="宋体" w:cs="宋体"/>
                <w:szCs w:val="21"/>
                <w:lang w:val="en-US" w:eastAsia="zh-CN"/>
              </w:rPr>
              <w:t xml:space="preserve"> </w:t>
            </w:r>
            <w:r>
              <w:rPr>
                <w:rFonts w:hint="eastAsia" w:ascii="宋体" w:hAnsi="宋体" w:cs="宋体"/>
                <w:szCs w:val="21"/>
              </w:rPr>
              <w:t>支持合并2组2D扫描，能够将2组具有相同测量设置的2D扫描合并至一组，支持基于扫描的2D数据并生成完整的阵列和设置阵列的步距</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22.24</w:t>
            </w:r>
            <w:r>
              <w:rPr>
                <w:rFonts w:hint="eastAsia" w:ascii="宋体" w:hAnsi="宋体" w:cs="宋体"/>
                <w:szCs w:val="21"/>
                <w:lang w:val="en-US" w:eastAsia="zh-CN"/>
              </w:rPr>
              <w:t xml:space="preserve"> </w:t>
            </w:r>
            <w:r>
              <w:rPr>
                <w:rFonts w:hint="eastAsia" w:ascii="宋体" w:hAnsi="宋体" w:cs="宋体"/>
                <w:szCs w:val="21"/>
              </w:rPr>
              <w:t>支持从二维阵列数据中提取需要的曲线数据或数据组，支持将测量的电离曲线转换为吸收剂量曲线</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22.25支持创建数据处理宏，将多个数据处理步骤，如中心轴修正、平滑、编辑、移动等，设置为一个宏快捷键，一键点击即可运行多个数据处理步骤</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22.26</w:t>
            </w:r>
            <w:r>
              <w:rPr>
                <w:rFonts w:hint="eastAsia" w:ascii="宋体" w:hAnsi="宋体" w:cs="宋体"/>
                <w:szCs w:val="21"/>
                <w:lang w:val="en-US" w:eastAsia="zh-CN"/>
              </w:rPr>
              <w:t xml:space="preserve"> </w:t>
            </w:r>
            <w:r>
              <w:rPr>
                <w:rFonts w:hint="eastAsia" w:ascii="宋体" w:hAnsi="宋体" w:cs="宋体"/>
                <w:szCs w:val="21"/>
              </w:rPr>
              <w:t>附带中心数据库服务器软件：提供数据存储、归档和备份的功能，确保数据存储安全性，提供数据管理功能，包括数据挖掘、筛选与搜索功能；确保数据安全性，保护数据免受未经授权的访问、使用、泄露、破坏或修改，提供用户管理与访问权限设置功能</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22.27支持集中管理所有用户账户、许可、设施、治疗单元、探测器以及校准信息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22.28</w:t>
            </w:r>
            <w:r>
              <w:rPr>
                <w:rFonts w:hint="eastAsia" w:ascii="宋体" w:hAnsi="宋体" w:cs="宋体"/>
                <w:szCs w:val="21"/>
                <w:lang w:val="en-US" w:eastAsia="zh-CN"/>
              </w:rPr>
              <w:t xml:space="preserve">  </w:t>
            </w:r>
            <w:r>
              <w:rPr>
                <w:rFonts w:hint="eastAsia" w:ascii="宋体" w:hAnsi="宋体" w:cs="宋体"/>
                <w:szCs w:val="21"/>
              </w:rPr>
              <w:t>RTPS接口</w:t>
            </w:r>
            <w:r>
              <w:rPr>
                <w:rFonts w:hint="eastAsia" w:ascii="宋体" w:hAnsi="宋体" w:cs="宋体"/>
                <w:szCs w:val="21"/>
                <w:lang w:eastAsia="zh-CN"/>
              </w:rPr>
              <w:t>：</w:t>
            </w:r>
            <w:r>
              <w:rPr>
                <w:rFonts w:hint="eastAsia" w:ascii="宋体" w:hAnsi="宋体" w:cs="宋体"/>
                <w:szCs w:val="21"/>
              </w:rPr>
              <w:t>至少包含以下放疗计划系统的接口：Eclipse、Monaco、Pinnacle、RayStation、Oncentra、CMS、Multipan、Tomo Therapy</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22.29证书：提供中华人民共和国医疗器械注册证、FDA证书、CE证书</w:t>
            </w:r>
            <w:r>
              <w:rPr>
                <w:rFonts w:hint="eastAsia" w:ascii="宋体" w:hAnsi="宋体" w:cs="宋体"/>
                <w:szCs w:val="21"/>
                <w:lang w:eastAsia="zh-CN"/>
              </w:rPr>
              <w:t>。▲</w:t>
            </w:r>
            <w:r>
              <w:rPr>
                <w:rFonts w:hint="eastAsia" w:ascii="宋体" w:hAnsi="宋体" w:cs="宋体"/>
                <w:szCs w:val="21"/>
              </w:rPr>
              <w:t>23 平面剂量验证系统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23.1应用程序</w:t>
            </w:r>
            <w:r>
              <w:rPr>
                <w:rFonts w:hint="eastAsia" w:ascii="宋体" w:hAnsi="宋体" w:cs="宋体"/>
                <w:szCs w:val="21"/>
                <w:lang w:eastAsia="zh-CN"/>
              </w:rPr>
              <w:t>：</w:t>
            </w:r>
            <w:r>
              <w:rPr>
                <w:rFonts w:hint="eastAsia" w:ascii="宋体" w:hAnsi="宋体" w:cs="宋体"/>
                <w:szCs w:val="21"/>
              </w:rPr>
              <w:t>支持执行加速器日常QA检测及周检、年检等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23.2探测器数量</w:t>
            </w:r>
            <w:r>
              <w:rPr>
                <w:rFonts w:hint="eastAsia" w:ascii="宋体" w:hAnsi="宋体" w:cs="宋体"/>
                <w:szCs w:val="21"/>
                <w:lang w:eastAsia="zh-CN"/>
              </w:rPr>
              <w:t>：</w:t>
            </w:r>
            <w:r>
              <w:rPr>
                <w:rFonts w:hint="eastAsia" w:ascii="宋体" w:hAnsi="宋体" w:cs="宋体"/>
                <w:szCs w:val="21"/>
              </w:rPr>
              <w:t>≥250个</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23.3探测器阵列可测量长度</w:t>
            </w:r>
            <w:r>
              <w:rPr>
                <w:rFonts w:hint="eastAsia" w:ascii="宋体" w:hAnsi="宋体" w:cs="宋体"/>
                <w:szCs w:val="21"/>
                <w:lang w:eastAsia="zh-CN"/>
              </w:rPr>
              <w:t>：</w:t>
            </w:r>
            <w:r>
              <w:rPr>
                <w:rFonts w:hint="eastAsia" w:ascii="宋体" w:hAnsi="宋体" w:cs="宋体"/>
                <w:szCs w:val="21"/>
              </w:rPr>
              <w:t>X轴：＞30cm，Y轴：＞30cm，对角线：＞40cm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23.4照射野尺寸</w:t>
            </w:r>
            <w:r>
              <w:rPr>
                <w:rFonts w:hint="eastAsia" w:ascii="宋体" w:hAnsi="宋体" w:cs="宋体"/>
                <w:szCs w:val="21"/>
                <w:lang w:eastAsia="zh-CN"/>
              </w:rPr>
              <w:t>：</w:t>
            </w:r>
            <w:r>
              <w:rPr>
                <w:rFonts w:hint="eastAsia" w:ascii="宋体" w:hAnsi="宋体" w:cs="宋体"/>
                <w:szCs w:val="21"/>
              </w:rPr>
              <w:t>≥32.0cm×32.0cm</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23.5采样频率</w:t>
            </w:r>
            <w:r>
              <w:rPr>
                <w:rFonts w:hint="eastAsia" w:ascii="宋体" w:hAnsi="宋体" w:cs="宋体"/>
                <w:szCs w:val="21"/>
                <w:lang w:eastAsia="zh-CN"/>
              </w:rPr>
              <w:t>：</w:t>
            </w:r>
            <w:r>
              <w:rPr>
                <w:rFonts w:hint="eastAsia" w:ascii="宋体" w:hAnsi="宋体" w:cs="宋体"/>
                <w:szCs w:val="21"/>
              </w:rPr>
              <w:t>≤125ms</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23.6探测器有效体积</w:t>
            </w:r>
            <w:r>
              <w:rPr>
                <w:rFonts w:hint="eastAsia" w:ascii="宋体" w:hAnsi="宋体" w:cs="宋体"/>
                <w:szCs w:val="21"/>
                <w:lang w:eastAsia="zh-CN"/>
              </w:rPr>
              <w:t>：</w:t>
            </w:r>
            <w:r>
              <w:rPr>
                <w:rFonts w:hint="eastAsia" w:ascii="宋体" w:hAnsi="宋体" w:cs="宋体"/>
                <w:szCs w:val="21"/>
              </w:rPr>
              <w:t>≤0.05cm³</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23.7辐射测量</w:t>
            </w:r>
            <w:r>
              <w:rPr>
                <w:rFonts w:hint="eastAsia" w:ascii="宋体" w:hAnsi="宋体" w:cs="宋体"/>
                <w:szCs w:val="21"/>
                <w:lang w:eastAsia="zh-CN"/>
              </w:rPr>
              <w:t>：</w:t>
            </w:r>
            <w:r>
              <w:rPr>
                <w:rFonts w:hint="eastAsia" w:ascii="宋体" w:hAnsi="宋体" w:cs="宋体"/>
                <w:szCs w:val="21"/>
              </w:rPr>
              <w:t>光子线: Co-60 -25 MV，电子线: 4 MeV -25MeV</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23.8数据分析</w:t>
            </w:r>
            <w:r>
              <w:rPr>
                <w:rFonts w:hint="eastAsia" w:ascii="宋体" w:hAnsi="宋体" w:cs="宋体"/>
                <w:szCs w:val="21"/>
                <w:lang w:eastAsia="zh-CN"/>
              </w:rPr>
              <w:t>：</w:t>
            </w:r>
            <w:r>
              <w:rPr>
                <w:rFonts w:hint="eastAsia" w:ascii="宋体" w:hAnsi="宋体" w:cs="宋体"/>
                <w:szCs w:val="21"/>
              </w:rPr>
              <w:t>加速器线束稳定性、线束调试和测量、电子线能量测量、准直器和机架旋转重力下垂、灯光野照射野一致性、平坦度和对称性、线束初始特征校验（小MU照射野QA）、准直器到位精度等</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23.9测量模式</w:t>
            </w:r>
            <w:r>
              <w:rPr>
                <w:rFonts w:hint="eastAsia" w:ascii="宋体" w:hAnsi="宋体" w:cs="宋体"/>
                <w:szCs w:val="21"/>
                <w:lang w:eastAsia="zh-CN"/>
              </w:rPr>
              <w:t>：</w:t>
            </w:r>
            <w:r>
              <w:rPr>
                <w:rFonts w:hint="eastAsia" w:ascii="宋体" w:hAnsi="宋体" w:cs="宋体"/>
                <w:szCs w:val="21"/>
              </w:rPr>
              <w:t>实时测量，可实时检测射线的稳定性、实时调机；</w:t>
            </w:r>
          </w:p>
          <w:p>
            <w:pPr>
              <w:textAlignment w:val="auto"/>
              <w:rPr>
                <w:rFonts w:hint="eastAsia" w:ascii="宋体" w:hAnsi="宋体" w:cs="宋体"/>
                <w:szCs w:val="21"/>
              </w:rPr>
            </w:pPr>
            <w:r>
              <w:rPr>
                <w:rFonts w:hint="eastAsia" w:ascii="宋体" w:hAnsi="宋体" w:cs="宋体"/>
                <w:szCs w:val="21"/>
              </w:rPr>
              <w:t>23.10电影模式实时回放</w:t>
            </w:r>
            <w:r>
              <w:rPr>
                <w:rFonts w:hint="eastAsia" w:ascii="宋体" w:hAnsi="宋体" w:cs="宋体"/>
                <w:szCs w:val="21"/>
                <w:lang w:eastAsia="zh-CN"/>
              </w:rPr>
              <w:t>，</w:t>
            </w:r>
            <w:r>
              <w:rPr>
                <w:rFonts w:hint="eastAsia" w:ascii="宋体" w:hAnsi="宋体" w:cs="宋体"/>
                <w:szCs w:val="21"/>
              </w:rPr>
              <w:t>图形、射线调整</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23.11射线数据和时间比较</w:t>
            </w:r>
            <w:r>
              <w:rPr>
                <w:rFonts w:hint="eastAsia" w:ascii="宋体" w:hAnsi="宋体" w:cs="宋体"/>
                <w:szCs w:val="21"/>
                <w:lang w:eastAsia="zh-CN"/>
              </w:rPr>
              <w:t>：</w:t>
            </w:r>
            <w:r>
              <w:rPr>
                <w:rFonts w:hint="eastAsia" w:ascii="宋体" w:hAnsi="宋体" w:cs="宋体"/>
                <w:szCs w:val="21"/>
              </w:rPr>
              <w:t>总剂量、剂量率、剂量、脉冲，脉冲、秒和点对称</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23.12测量结果拼接</w:t>
            </w:r>
            <w:r>
              <w:rPr>
                <w:rFonts w:hint="eastAsia" w:ascii="宋体" w:hAnsi="宋体" w:cs="宋体"/>
                <w:szCs w:val="21"/>
                <w:lang w:eastAsia="zh-CN"/>
              </w:rPr>
              <w:t>：</w:t>
            </w:r>
            <w:r>
              <w:rPr>
                <w:rFonts w:hint="eastAsia" w:ascii="宋体" w:hAnsi="宋体" w:cs="宋体"/>
                <w:szCs w:val="21"/>
              </w:rPr>
              <w:t>可将两次测量图形进行拼接，得到大野测量结果</w:t>
            </w:r>
            <w:r>
              <w:rPr>
                <w:rFonts w:hint="eastAsia" w:ascii="宋体" w:hAnsi="宋体" w:cs="宋体"/>
                <w:szCs w:val="21"/>
                <w:lang w:eastAsia="zh-CN"/>
              </w:rPr>
              <w:t>；</w:t>
            </w:r>
            <w:r>
              <w:rPr>
                <w:rFonts w:hint="eastAsia" w:ascii="宋体" w:hAnsi="宋体" w:cs="宋体"/>
                <w:szCs w:val="21"/>
              </w:rPr>
              <w:t>23.13阵列标定方式</w:t>
            </w:r>
            <w:r>
              <w:rPr>
                <w:rFonts w:hint="eastAsia" w:ascii="宋体" w:hAnsi="宋体" w:cs="宋体"/>
                <w:szCs w:val="21"/>
                <w:lang w:eastAsia="zh-CN"/>
              </w:rPr>
              <w:t>：</w:t>
            </w:r>
            <w:r>
              <w:rPr>
                <w:rFonts w:hint="eastAsia" w:ascii="宋体" w:hAnsi="宋体" w:cs="宋体"/>
                <w:szCs w:val="21"/>
              </w:rPr>
              <w:t>软件向导协助用户自行完成探头相对灵敏度标定，无需返厂刻度</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w:t>
            </w:r>
            <w:r>
              <w:rPr>
                <w:rFonts w:hint="eastAsia" w:ascii="宋体" w:hAnsi="宋体" w:cs="宋体"/>
                <w:szCs w:val="21"/>
                <w:lang w:val="en-US" w:eastAsia="zh-CN"/>
              </w:rPr>
              <w:t xml:space="preserve"> </w:t>
            </w:r>
            <w:r>
              <w:rPr>
                <w:rFonts w:hint="eastAsia" w:ascii="宋体" w:hAnsi="宋体" w:cs="宋体"/>
                <w:szCs w:val="21"/>
              </w:rPr>
              <w:t>数据管理系统</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24.1支持对接主流肿瘤信息系统系统，包括Elekta MOSAIQ, Varian ARIA；包括但不限于支持实时抓取Dicom数据，PDF报告文件，接收OIS转发数据，可根据授权接口或数据库，定制开发数据集成或转发存储方案，进行系统对接</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24.2支持对接HIS系统；支持授权数据库或数据接口服务的集成；支持现有HIS系统Web界面的链接集成</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24.3支持对接PACS系统</w:t>
            </w:r>
            <w:r>
              <w:rPr>
                <w:rFonts w:hint="eastAsia" w:ascii="宋体" w:hAnsi="宋体" w:cs="宋体"/>
                <w:szCs w:val="21"/>
                <w:lang w:eastAsia="zh-CN"/>
              </w:rPr>
              <w:t>；</w:t>
            </w:r>
            <w:r>
              <w:rPr>
                <w:rFonts w:hint="eastAsia" w:ascii="宋体" w:hAnsi="宋体" w:cs="宋体"/>
                <w:szCs w:val="21"/>
              </w:rPr>
              <w:t>支持接收PACS系统转发数据；支持PACS系统的数据主动拉取及拉取规则的配置</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24.4支持对接收及抓取到的Dicom数据的自动分类解析存储，支持各类数据入组条件的设定</w:t>
            </w:r>
            <w:r>
              <w:rPr>
                <w:rFonts w:hint="eastAsia" w:ascii="宋体" w:hAnsi="宋体" w:cs="宋体"/>
                <w:szCs w:val="21"/>
                <w:lang w:eastAsia="zh-CN"/>
              </w:rPr>
              <w:t>；</w:t>
            </w:r>
            <w:r>
              <w:rPr>
                <w:rFonts w:hint="eastAsia" w:ascii="宋体" w:hAnsi="宋体" w:cs="宋体"/>
                <w:szCs w:val="21"/>
              </w:rPr>
              <w:t xml:space="preserve">                           </w:t>
            </w:r>
          </w:p>
          <w:p>
            <w:pPr>
              <w:textAlignment w:val="auto"/>
              <w:rPr>
                <w:rFonts w:hint="eastAsia" w:ascii="宋体" w:hAnsi="宋体" w:cs="宋体"/>
                <w:szCs w:val="21"/>
              </w:rPr>
            </w:pPr>
            <w:r>
              <w:rPr>
                <w:rFonts w:hint="eastAsia" w:ascii="宋体" w:hAnsi="宋体" w:cs="宋体"/>
                <w:szCs w:val="21"/>
              </w:rPr>
              <w:t>24.5支持Dicom数据关联关系的解析与整理，同患者数据关联关系的建立与数据过滤,数据按影像、结构、计划、剂量、治疗记录的层级关系建立绑定关系，基于DICOM REG文件的影像数据配准关系的识别与建立等</w:t>
            </w:r>
            <w:r>
              <w:rPr>
                <w:rFonts w:hint="eastAsia" w:ascii="宋体" w:hAnsi="宋体" w:cs="宋体"/>
                <w:szCs w:val="21"/>
                <w:lang w:eastAsia="zh-CN"/>
              </w:rPr>
              <w:t>；</w:t>
            </w:r>
            <w:r>
              <w:rPr>
                <w:rFonts w:hint="eastAsia" w:ascii="宋体" w:hAnsi="宋体" w:cs="宋体"/>
                <w:szCs w:val="21"/>
              </w:rPr>
              <w:t>24.6支持PDF等其它格式文件的本地存储及索引建立</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24.7支持数据日历、折线图、饼图等形式，基于时间和数据类别等不同维度展示数据统计结果</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24.8支持分析数据变化趋势，展示数据变化结果；支持数据统计结果的对比展示；持数据统计结果及详细信息的PDF导出</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24.9支持影像数据查询；支持的检索条件包括但不限于：患者信息、产商、影像扫描参数、影像方位、影像入组条件、影像获取途径等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24.10支持结构数据查询；支持的检索条件包括但不限于：结构创建时间、审核时间、审核人员、结构命名、结构包含ROI等信息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eastAsia="宋体" w:cs="宋体"/>
                <w:szCs w:val="21"/>
                <w:lang w:eastAsia="zh-CN"/>
              </w:rPr>
            </w:pPr>
            <w:r>
              <w:rPr>
                <w:rFonts w:hint="eastAsia" w:ascii="宋体" w:hAnsi="宋体" w:cs="宋体"/>
                <w:szCs w:val="21"/>
              </w:rPr>
              <w:t>24.11支持剂量及计划数据查询；支持的检索条件包括但不限于：计划审核时间，计划设计者及审核者，处方剂量，分次信息，计划种类等</w:t>
            </w:r>
            <w:r>
              <w:rPr>
                <w:rFonts w:hint="eastAsia" w:ascii="宋体" w:hAnsi="宋体" w:cs="宋体"/>
                <w:szCs w:val="21"/>
                <w:lang w:eastAsia="zh-CN"/>
              </w:rPr>
              <w:t>；</w:t>
            </w:r>
          </w:p>
          <w:p>
            <w:pPr>
              <w:textAlignment w:val="auto"/>
              <w:rPr>
                <w:rFonts w:hint="eastAsia" w:ascii="宋体" w:hAnsi="宋体" w:cs="宋体"/>
                <w:szCs w:val="21"/>
              </w:rPr>
            </w:pPr>
            <w:r>
              <w:rPr>
                <w:rFonts w:hint="eastAsia" w:ascii="宋体" w:hAnsi="宋体" w:cs="宋体"/>
                <w:szCs w:val="21"/>
              </w:rPr>
              <w:t>24.12支持治疗记录数据查询；支持的检索条件包括但不限于</w:t>
            </w:r>
            <w:r>
              <w:rPr>
                <w:rFonts w:hint="eastAsia" w:ascii="宋体" w:hAnsi="宋体" w:cs="宋体"/>
                <w:szCs w:val="21"/>
                <w:lang w:eastAsia="zh-CN"/>
              </w:rPr>
              <w:t>：</w:t>
            </w:r>
            <w:r>
              <w:rPr>
                <w:rFonts w:hint="eastAsia" w:ascii="宋体" w:hAnsi="宋体" w:cs="宋体"/>
                <w:szCs w:val="21"/>
              </w:rPr>
              <w:t>治疗时间，治疗分次，累积剂量，关联计划信息，治疗设备等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24.13支持结构数据、计划数据详细信息查询，支持展示结构名称，结构类型，结构体积，结构中心点位置等；支持以PDF格式导出结果详细信息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24.14支持计划数据详细信息查询，支持展示来自计划数据的详细信息，计划所属患者信息，该计划治疗记录等信息；支持以PDF格式导出详细信息</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24.15支持科研数据集的创建与管理，如建立个人账户；账户独立，可独立配置数据访问及所属数据集权限等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24.16支持基于数据集，在系统内创建组学分析、靶区勾画、结构对比等工作任务；工作任务在系统服务端后台执行，支持客户端实时任务追踪24.17支持第三方数据服务的集成；</w:t>
            </w:r>
            <w:r>
              <w:rPr>
                <w:rFonts w:hint="eastAsia" w:ascii="宋体" w:hAnsi="宋体" w:cs="宋体"/>
                <w:szCs w:val="21"/>
                <w:lang w:eastAsia="zh-CN"/>
              </w:rPr>
              <w:t>须</w:t>
            </w:r>
            <w:r>
              <w:rPr>
                <w:rFonts w:hint="eastAsia" w:ascii="宋体" w:hAnsi="宋体" w:cs="宋体"/>
                <w:szCs w:val="21"/>
              </w:rPr>
              <w:t>使用系统提供的数据访问接口，并可在系统指定环境内运行，并按系统要求给出进度信息等</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24.18系统采用B/S架构，支持多个Web端的同时访问</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24.19含一套专用GPU工作站，支持数据存储扩展，可独立增设硬盘矩阵或数据存储服务器</w:t>
            </w:r>
            <w:r>
              <w:rPr>
                <w:rFonts w:hint="eastAsia" w:ascii="宋体" w:hAnsi="宋体" w:cs="宋体"/>
                <w:szCs w:val="21"/>
                <w:lang w:eastAsia="zh-CN"/>
              </w:rPr>
              <w:t>。</w:t>
            </w:r>
            <w:r>
              <w:rPr>
                <w:rFonts w:hint="eastAsia" w:ascii="宋体" w:hAnsi="宋体" w:cs="宋体"/>
                <w:szCs w:val="21"/>
              </w:rPr>
              <w:tab/>
            </w:r>
          </w:p>
          <w:p>
            <w:pPr>
              <w:textAlignment w:val="auto"/>
              <w:rPr>
                <w:rFonts w:hint="eastAsia" w:ascii="宋体" w:hAnsi="宋体" w:cs="宋体"/>
                <w:szCs w:val="21"/>
              </w:rPr>
            </w:pPr>
            <w:r>
              <w:rPr>
                <w:rFonts w:hint="eastAsia" w:ascii="宋体" w:hAnsi="宋体" w:cs="宋体"/>
                <w:szCs w:val="21"/>
              </w:rPr>
              <w:t>▲25设备配置清单</w:t>
            </w:r>
          </w:p>
          <w:p>
            <w:pPr>
              <w:textAlignment w:val="auto"/>
              <w:rPr>
                <w:rFonts w:hint="eastAsia" w:ascii="宋体" w:hAnsi="宋体" w:eastAsia="宋体" w:cs="宋体"/>
                <w:szCs w:val="21"/>
                <w:lang w:eastAsia="zh-CN"/>
              </w:rPr>
            </w:pPr>
            <w:r>
              <w:rPr>
                <w:rFonts w:hint="eastAsia" w:ascii="宋体" w:hAnsi="宋体" w:cs="宋体"/>
                <w:szCs w:val="21"/>
              </w:rPr>
              <w:t>25.1直线加速器主机：放射治疗主机1套、电动多叶准直器（MLC）系统1套、EPID系统1套、四维影像引导或机载影像引导1套、治疗技术：三维适</w:t>
            </w:r>
            <w:r>
              <w:rPr>
                <w:rFonts w:hint="eastAsia" w:ascii="宋体" w:hAnsi="宋体" w:cs="宋体"/>
                <w:szCs w:val="21"/>
                <w:lang w:eastAsia="zh-CN"/>
              </w:rPr>
              <w:t>形</w:t>
            </w:r>
            <w:r>
              <w:rPr>
                <w:rFonts w:hint="eastAsia" w:ascii="宋体" w:hAnsi="宋体" w:cs="宋体"/>
                <w:szCs w:val="21"/>
              </w:rPr>
              <w:t>、静态调强、动态调强、动态弧治疗、容积旋转调强治疗VMAT、立体定向放射治疗1套、在线自适应放疗</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25.2放射治疗计划系统：物理师工作站4台</w:t>
            </w:r>
            <w:r>
              <w:rPr>
                <w:rFonts w:hint="eastAsia" w:ascii="宋体" w:hAnsi="宋体" w:cs="宋体"/>
                <w:szCs w:val="21"/>
                <w:lang w:eastAsia="zh-CN"/>
              </w:rPr>
              <w:t>、</w:t>
            </w:r>
            <w:r>
              <w:rPr>
                <w:rFonts w:hint="eastAsia" w:ascii="宋体" w:hAnsi="宋体" w:cs="宋体"/>
                <w:szCs w:val="21"/>
              </w:rPr>
              <w:t>医生工作站6台</w:t>
            </w:r>
            <w:r>
              <w:rPr>
                <w:rFonts w:hint="eastAsia" w:ascii="宋体" w:hAnsi="宋体" w:cs="宋体"/>
                <w:szCs w:val="21"/>
                <w:lang w:eastAsia="zh-CN"/>
              </w:rPr>
              <w:t>。</w:t>
            </w:r>
          </w:p>
          <w:p>
            <w:pPr>
              <w:textAlignment w:val="auto"/>
              <w:rPr>
                <w:rFonts w:hint="eastAsia" w:ascii="宋体" w:hAnsi="宋体" w:eastAsia="宋体" w:cs="宋体"/>
                <w:szCs w:val="21"/>
                <w:lang w:eastAsia="zh-CN"/>
              </w:rPr>
            </w:pPr>
            <w:r>
              <w:rPr>
                <w:rFonts w:hint="eastAsia" w:ascii="宋体" w:hAnsi="宋体" w:cs="宋体"/>
                <w:szCs w:val="21"/>
              </w:rPr>
              <w:t>25.3放疗专用肿瘤信息管理系统1套、放疗专用激光灯系统1套、三维调强验证系统1套、立体定向放疗质控模体1套、二次剂量验证系统1套</w:t>
            </w:r>
            <w:r>
              <w:rPr>
                <w:rFonts w:hint="eastAsia" w:ascii="宋体" w:hAnsi="宋体" w:cs="宋体"/>
                <w:szCs w:val="21"/>
                <w:lang w:eastAsia="zh-CN"/>
              </w:rPr>
              <w:t>、</w:t>
            </w:r>
            <w:r>
              <w:rPr>
                <w:rFonts w:hint="eastAsia" w:ascii="宋体" w:hAnsi="宋体" w:cs="宋体"/>
                <w:szCs w:val="21"/>
              </w:rPr>
              <w:t>晨检仪1套、辐射防护设备和其他设备1套、体位固定方案1套、配备体表光学定位系统1套、剂量仪1套</w:t>
            </w:r>
            <w:r>
              <w:rPr>
                <w:rFonts w:hint="eastAsia" w:ascii="宋体" w:hAnsi="宋体" w:cs="宋体"/>
                <w:szCs w:val="21"/>
                <w:lang w:eastAsia="zh-CN"/>
              </w:rPr>
              <w:t>、</w:t>
            </w:r>
            <w:r>
              <w:rPr>
                <w:rFonts w:hint="eastAsia" w:ascii="宋体" w:hAnsi="宋体" w:cs="宋体"/>
                <w:szCs w:val="21"/>
              </w:rPr>
              <w:t>三维水箱1套、平面剂量验证系统1套、数据管理系统1套</w:t>
            </w:r>
            <w:r>
              <w:rPr>
                <w:rFonts w:hint="eastAsia" w:ascii="宋体" w:hAnsi="宋体" w:cs="宋体"/>
                <w:szCs w:val="21"/>
                <w:lang w:eastAsia="zh-CN"/>
              </w:rPr>
              <w:t>。</w:t>
            </w:r>
          </w:p>
        </w:tc>
      </w:tr>
    </w:tbl>
    <w:p>
      <w:pPr>
        <w:pStyle w:val="2"/>
        <w:rPr>
          <w:rStyle w:val="191"/>
          <w:rFonts w:hint="eastAsia" w:ascii="宋体" w:hAnsi="宋体"/>
          <w:b/>
          <w:bCs/>
          <w:color w:val="auto"/>
          <w:szCs w:val="21"/>
          <w:u w:val="none"/>
        </w:rPr>
      </w:pPr>
    </w:p>
    <w:p>
      <w:pPr>
        <w:pStyle w:val="2"/>
        <w:ind w:firstLine="480" w:firstLineChars="200"/>
        <w:rPr>
          <w:rFonts w:hint="eastAsia" w:ascii="宋体" w:hAnsi="宋体" w:eastAsia="宋体" w:cs="宋体"/>
          <w:b/>
          <w:bCs/>
          <w:color w:val="000000" w:themeColor="text1"/>
          <w:sz w:val="21"/>
          <w:szCs w:val="21"/>
          <w14:textFill>
            <w14:solidFill>
              <w14:schemeClr w14:val="tx1"/>
            </w14:solidFill>
          </w14:textFill>
        </w:rPr>
      </w:pPr>
      <w:bookmarkStart w:id="10" w:name="_Hlk206503956"/>
      <w:r>
        <w:rPr>
          <w:rStyle w:val="191"/>
          <w:rFonts w:hint="eastAsia" w:ascii="宋体" w:hAnsi="宋体"/>
          <w:b/>
          <w:bCs/>
          <w:color w:val="auto"/>
          <w:szCs w:val="21"/>
          <w:u w:val="none"/>
        </w:rPr>
        <w:t>▲</w:t>
      </w:r>
      <w:r>
        <w:rPr>
          <w:rFonts w:hint="eastAsia" w:ascii="宋体" w:hAnsi="宋体" w:eastAsia="宋体" w:cs="宋体"/>
          <w:b/>
          <w:bCs/>
          <w:color w:val="000000" w:themeColor="text1"/>
          <w:sz w:val="21"/>
          <w:szCs w:val="21"/>
          <w14:textFill>
            <w14:solidFill>
              <w14:schemeClr w14:val="tx1"/>
            </w14:solidFill>
          </w14:textFill>
        </w:rPr>
        <w:t>二、商务要求（以下所有为实质性要求条款不满足作无效投标处理）</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（一）质量保证期</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（二）交货时间及地点</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1.交货时间：合同</w:t>
      </w:r>
      <w:r>
        <w:rPr>
          <w:rFonts w:hint="eastAsia" w:ascii="宋体" w:hAnsi="宋体" w:cs="宋体"/>
          <w:color w:val="000000" w:themeColor="text1"/>
          <w:sz w:val="21"/>
          <w:szCs w:val="21"/>
          <w:lang w:eastAsia="zh"/>
          <w14:textFill>
            <w14:solidFill>
              <w14:schemeClr w14:val="tx1"/>
            </w14:solidFill>
          </w14:textFill>
        </w:rPr>
        <w:t>签订</w:t>
      </w:r>
      <w:r>
        <w:rPr>
          <w:rFonts w:hint="eastAsia" w:ascii="宋体" w:hAnsi="宋体" w:cs="宋体"/>
          <w:color w:val="000000" w:themeColor="text1"/>
          <w:sz w:val="21"/>
          <w:szCs w:val="21"/>
          <w14:textFill>
            <w14:solidFill>
              <w14:schemeClr w14:val="tx1"/>
            </w14:solidFill>
          </w14:textFill>
        </w:rPr>
        <w:t>之日起，中标供应商在30个日历日内向采购人交付全部货物。</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2.交货地点：广西范围内，采购人指定地点。</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（三）服务标准、服务效率、售后服务要求</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3.质保期内发生故障的设备如无法在24小时内修复，须保证年开机率95%以上，否则中标供应商承担相应的损失。单次故障（不可抗力因素除外）维修时间超过20天仍无法修复的，采购人有权要求更换设备或赔偿。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5.投标产品必须是全新，且生产日期为</w:t>
      </w:r>
      <w:r>
        <w:rPr>
          <w:rFonts w:hint="eastAsia" w:ascii="宋体" w:hAnsi="宋体" w:cs="宋体"/>
          <w:color w:val="000000" w:themeColor="text1"/>
          <w:sz w:val="21"/>
          <w:szCs w:val="21"/>
          <w:lang w:val="en-US" w:eastAsia="zh"/>
          <w14:textFill>
            <w14:solidFill>
              <w14:schemeClr w14:val="tx1"/>
            </w14:solidFill>
          </w14:textFill>
        </w:rPr>
        <w:t>1年内</w:t>
      </w:r>
      <w:r>
        <w:rPr>
          <w:rFonts w:hint="eastAsia" w:ascii="宋体" w:hAnsi="宋体" w:cs="宋体"/>
          <w:color w:val="000000" w:themeColor="text1"/>
          <w:sz w:val="21"/>
          <w:szCs w:val="21"/>
          <w14:textFill>
            <w14:solidFill>
              <w14:schemeClr w14:val="tx1"/>
            </w14:solidFill>
          </w14:textFill>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6.安装调试完成后，中标供应商对采购人提供</w:t>
      </w:r>
      <w:r>
        <w:rPr>
          <w:rFonts w:hint="eastAsia" w:ascii="宋体" w:hAnsi="宋体" w:cs="宋体"/>
          <w:color w:val="000000" w:themeColor="text1"/>
          <w:sz w:val="21"/>
          <w:szCs w:val="21"/>
          <w:lang w:val="en-US" w:eastAsia="zh-CN"/>
          <w14:textFill>
            <w14:solidFill>
              <w14:schemeClr w14:val="tx1"/>
            </w14:solidFill>
          </w14:textFill>
        </w:rPr>
        <w:t>不少于3人</w:t>
      </w:r>
      <w:r>
        <w:rPr>
          <w:rFonts w:hint="eastAsia" w:ascii="宋体" w:hAnsi="宋体" w:cs="宋体"/>
          <w:color w:val="000000" w:themeColor="text1"/>
          <w:sz w:val="21"/>
          <w:szCs w:val="21"/>
          <w14:textFill>
            <w14:solidFill>
              <w14:schemeClr w14:val="tx1"/>
            </w14:solidFill>
          </w14:textFill>
        </w:rPr>
        <w:t>次培训，使采购人的操作人员及工程人员熟练掌握全部功能及基本维修，相关费用包括在投标报价中，采购人不再另行支付。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9.中标供应商保证采购人能够合法应用该器械及相应服务。采购人在办理相关证件及验收等流程中，中标供应商必须提供所需的合法材料。</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w:t>
      </w:r>
      <w:r>
        <w:rPr>
          <w:rFonts w:hint="eastAsia" w:ascii="宋体" w:hAnsi="宋体" w:cs="宋体"/>
          <w:color w:val="auto"/>
          <w:sz w:val="21"/>
          <w:szCs w:val="21"/>
          <w:lang w:val="en-US" w:eastAsia="zh-CN"/>
        </w:rPr>
        <w:t>5</w:t>
      </w:r>
      <w:r>
        <w:rPr>
          <w:rFonts w:hint="eastAsia" w:ascii="宋体" w:hAnsi="宋体" w:cs="宋体"/>
          <w:color w:val="auto"/>
          <w:sz w:val="21"/>
          <w:szCs w:val="21"/>
        </w:rPr>
        <w:t>0%；签订合同后，采购人收到中标供应商开具合法有效的合同款</w:t>
      </w:r>
      <w:r>
        <w:rPr>
          <w:rFonts w:hint="eastAsia" w:ascii="宋体" w:hAnsi="宋体" w:cs="宋体"/>
          <w:color w:val="auto"/>
          <w:sz w:val="21"/>
          <w:szCs w:val="21"/>
          <w:lang w:val="en-US" w:eastAsia="zh-CN"/>
        </w:rPr>
        <w:t>5</w:t>
      </w:r>
      <w:r>
        <w:rPr>
          <w:rFonts w:hint="eastAsia" w:ascii="宋体" w:hAnsi="宋体" w:cs="宋体"/>
          <w:color w:val="auto"/>
          <w:sz w:val="21"/>
          <w:szCs w:val="21"/>
        </w:rPr>
        <w:t>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50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color w:val="auto"/>
          <w:sz w:val="21"/>
          <w:szCs w:val="21"/>
          <w:highlight w:val="yellow"/>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（五）履约保证金</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备注：在签订合同之前，中标供应商</w:t>
      </w:r>
      <w:r>
        <w:rPr>
          <w:rFonts w:hint="eastAsia" w:ascii="宋体" w:hAnsi="宋体" w:cs="宋体"/>
          <w:color w:val="000000" w:themeColor="text1"/>
          <w:sz w:val="21"/>
          <w:szCs w:val="21"/>
          <w:lang w:eastAsia="zh-CN"/>
          <w14:textFill>
            <w14:solidFill>
              <w14:schemeClr w14:val="tx1"/>
            </w14:solidFill>
          </w14:textFill>
        </w:rPr>
        <w:t>需</w:t>
      </w:r>
      <w:r>
        <w:rPr>
          <w:rFonts w:hint="eastAsia" w:ascii="宋体" w:hAnsi="宋体" w:cs="宋体"/>
          <w:color w:val="000000" w:themeColor="text1"/>
          <w:sz w:val="21"/>
          <w:szCs w:val="21"/>
          <w14:textFill>
            <w14:solidFill>
              <w14:schemeClr w14:val="tx1"/>
            </w14:solidFill>
          </w14:textFill>
        </w:rPr>
        <w:t>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（六）投标报价要求</w:t>
      </w:r>
    </w:p>
    <w:p>
      <w:pPr>
        <w:spacing w:line="460" w:lineRule="exact"/>
        <w:ind w:firstLine="420" w:firstLineChars="200"/>
        <w:rPr>
          <w:rFonts w:hint="eastAsia" w:ascii="宋体" w:hAnsi="宋体" w:eastAsia="宋体" w:cs="宋体"/>
          <w:color w:val="000000" w:themeColor="text1"/>
          <w:sz w:val="21"/>
          <w:szCs w:val="21"/>
          <w:lang w:eastAsia="zh"/>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投标报价包含货物、货物标准附件、备品备件、专用工具、设备安装辅材、施工辅材、包装、运输、装卸、保险、连接医院信息系统接口费（如</w:t>
      </w:r>
      <w:r>
        <w:rPr>
          <w:rFonts w:hint="eastAsia" w:ascii="宋体" w:hAnsi="宋体" w:cs="宋体"/>
          <w:color w:val="000000" w:themeColor="text1"/>
          <w:sz w:val="21"/>
          <w:szCs w:val="21"/>
          <w:lang w:eastAsia="zh"/>
          <w14:textFill>
            <w14:solidFill>
              <w14:schemeClr w14:val="tx1"/>
            </w14:solidFill>
          </w14:textFill>
        </w:rPr>
        <w:t>HIS、PACS</w:t>
      </w:r>
      <w:r>
        <w:rPr>
          <w:rFonts w:hint="eastAsia" w:ascii="宋体" w:hAnsi="宋体" w:cs="宋体"/>
          <w:color w:val="000000" w:themeColor="text1"/>
          <w:sz w:val="21"/>
          <w:szCs w:val="21"/>
          <w14:textFill>
            <w14:solidFill>
              <w14:schemeClr w14:val="tx1"/>
            </w14:solidFill>
          </w14:textFill>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（七）政策性加分条件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符合节能环保等国家政策要求。</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（八）验收标准及验收方法</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3.中标供应商需承担供货时产品质量抽样检测的相关费用以及项目验收时发生的一切费用。</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4.安装合格后15日内提供安装调试报告与原厂技术规格书(或Datasheet)。本条所有涉及的文件均提供纸质与电子档。</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6.采购人对验收有异议的，以书面形式向中标供应商提出，中标供应商应自收到采购人书面异议后5个工作日内及时予以解决，中标供应商不予答复或未予以实质解决的，视为认可采购人异议及处置意见。</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7.验收标准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1)项目招标文件及中标供应商投标文件中的“技术响应表”,逐条验收；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2)项目招标文件及中标供应商投标文件中的“商务响应表”,逐条验收；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3)中标供应商投标文件中其他技术、服务、商务性的说明、承诺事项，逐条验收。</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4)国家相关法律、法规、标准和规范等。</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（九）进口产品说明</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本标项接受进口设备参与投标。</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（十）规范标准</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执行现行的强制执行的国家、行业、地方标准。</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（十一）产品资料及说明文件</w:t>
      </w:r>
    </w:p>
    <w:p>
      <w:pPr>
        <w:pStyle w:val="21"/>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投标文件中提供投标产品对外公开的产品彩页或说明书</w:t>
      </w:r>
      <w:r>
        <w:rPr>
          <w:rFonts w:hint="eastAsia" w:ascii="宋体" w:hAnsi="宋体" w:cs="宋体"/>
          <w:color w:val="000000" w:themeColor="text1"/>
          <w:sz w:val="21"/>
          <w:szCs w:val="21"/>
          <w:lang w:val="en-US" w:eastAsia="zh-CN"/>
          <w14:textFill>
            <w14:solidFill>
              <w14:schemeClr w14:val="tx1"/>
            </w14:solidFill>
          </w14:textFill>
        </w:rPr>
        <w:t>（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pStyle w:val="21"/>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2.进口产品的投标人在供货时必须提供所投标产品生产厂家合法授权的厂家代理商出具的授权书，原件备查。</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（十二）采购预算价及最高限价</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投标报价超采购预算（含单项采购预算，如有）及最高限价（含单项最高限价，如有）的投标无效。</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（十三）医疗器械注册或备案要求</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60" w:lineRule="exact"/>
        <w:ind w:firstLine="420" w:firstLineChars="200"/>
        <w:rPr>
          <w:rFonts w:hint="eastAsia"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14:textFill>
            <w14:solidFill>
              <w14:schemeClr w14:val="tx1"/>
            </w14:solidFill>
          </w14:textFill>
        </w:rPr>
        <w:t>（十四）其它</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投标人根据自身情况提供项目实施方案，内容包括但不限于：</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1.技术及项目实施方案（包含但不限于管理措施、具体实施流程、进度安排、质量保证措施、有利于采购项目实施的内容或合理性建议的等）；</w:t>
      </w:r>
    </w:p>
    <w:p>
      <w:pPr>
        <w:spacing w:line="4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2.技术人员方案（包含但不限于技术人员投入计划，有技术人员在安装调试过程提供技术支持和协助计划，拟派有资质技术人员完成实施方案，有利于采购项目实施的内容或合理性建议的）；</w:t>
      </w:r>
    </w:p>
    <w:p>
      <w:pPr>
        <w:spacing w:line="460" w:lineRule="exact"/>
        <w:ind w:firstLine="420" w:firstLineChars="20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w:t>
      </w:r>
    </w:p>
    <w:p>
      <w:pPr>
        <w:spacing w:line="42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4.生产厂家售后服务承诺书等。</w:t>
      </w:r>
    </w:p>
    <w:bookmarkEnd w:id="10"/>
    <w:p>
      <w:pPr>
        <w:pStyle w:val="2"/>
        <w:ind w:firstLine="420" w:firstLineChars="200"/>
        <w:rPr>
          <w:rStyle w:val="191"/>
          <w:rFonts w:hint="eastAsia" w:ascii="宋体" w:hAnsi="宋体" w:eastAsia="宋体" w:cs="宋体"/>
          <w:b/>
          <w:bCs/>
          <w:color w:val="auto"/>
          <w:kern w:val="2"/>
          <w:sz w:val="21"/>
          <w:szCs w:val="21"/>
          <w:u w:val="none"/>
        </w:rPr>
      </w:pPr>
    </w:p>
    <w:p>
      <w:pPr>
        <w:pStyle w:val="2"/>
        <w:numPr>
          <w:ilvl w:val="0"/>
          <w:numId w:val="4"/>
        </w:numPr>
        <w:ind w:firstLine="420" w:firstLineChars="200"/>
        <w:rPr>
          <w:rStyle w:val="191"/>
          <w:rFonts w:hint="eastAsia" w:ascii="宋体" w:hAnsi="宋体" w:eastAsia="宋体" w:cs="宋体"/>
          <w:b/>
          <w:bCs/>
          <w:color w:val="auto"/>
          <w:kern w:val="2"/>
          <w:sz w:val="21"/>
          <w:szCs w:val="21"/>
          <w:u w:val="none"/>
        </w:rPr>
      </w:pPr>
      <w:r>
        <w:rPr>
          <w:rStyle w:val="191"/>
          <w:rFonts w:hint="eastAsia" w:ascii="宋体" w:hAnsi="宋体" w:eastAsia="宋体" w:cs="宋体"/>
          <w:b/>
          <w:bCs/>
          <w:color w:val="auto"/>
          <w:kern w:val="2"/>
          <w:sz w:val="21"/>
          <w:szCs w:val="21"/>
          <w:u w:val="none"/>
        </w:rPr>
        <w:t>核心产品：</w:t>
      </w:r>
      <w:r>
        <w:rPr>
          <w:rStyle w:val="191"/>
          <w:rFonts w:hint="eastAsia" w:hAnsi="宋体" w:cs="宋体"/>
          <w:b/>
          <w:bCs/>
          <w:color w:val="auto"/>
          <w:kern w:val="2"/>
          <w:sz w:val="21"/>
          <w:szCs w:val="21"/>
          <w:u w:val="none"/>
          <w:lang w:eastAsia="zh"/>
        </w:rPr>
        <w:t>医用直线加速器(分标1)</w:t>
      </w:r>
      <w:r>
        <w:rPr>
          <w:rStyle w:val="191"/>
          <w:rFonts w:hint="eastAsia" w:ascii="宋体" w:hAnsi="宋体" w:eastAsia="宋体" w:cs="宋体"/>
          <w:b/>
          <w:bCs/>
          <w:color w:val="auto"/>
          <w:kern w:val="2"/>
          <w:sz w:val="21"/>
          <w:szCs w:val="21"/>
          <w:u w:val="none"/>
        </w:rPr>
        <w:t>。</w:t>
      </w:r>
    </w:p>
    <w:p>
      <w:pPr>
        <w:pStyle w:val="2"/>
        <w:numPr>
          <w:ilvl w:val="-1"/>
          <w:numId w:val="0"/>
        </w:numPr>
        <w:ind w:firstLine="0" w:firstLineChars="0"/>
        <w:rPr>
          <w:rStyle w:val="191"/>
          <w:rFonts w:hint="eastAsia" w:ascii="宋体" w:hAnsi="宋体" w:cs="宋体"/>
          <w:b/>
          <w:bCs/>
          <w:color w:val="auto"/>
          <w:kern w:val="2"/>
          <w:sz w:val="21"/>
          <w:szCs w:val="21"/>
          <w:u w:val="none"/>
        </w:rPr>
      </w:pPr>
    </w:p>
    <w:p>
      <w:pPr>
        <w:numPr>
          <w:ilvl w:val="0"/>
          <w:numId w:val="5"/>
        </w:numPr>
        <w:spacing w:line="400" w:lineRule="exact"/>
        <w:ind w:firstLine="420" w:firstLineChars="200"/>
        <w:rPr>
          <w:rStyle w:val="191"/>
          <w:rFonts w:hint="eastAsia" w:ascii="宋体" w:hAnsi="宋体"/>
          <w:b/>
          <w:bCs/>
          <w:color w:val="auto"/>
          <w:szCs w:val="21"/>
          <w:u w:val="none"/>
          <w:lang w:eastAsia="zh-CN"/>
        </w:rPr>
      </w:pPr>
      <w:r>
        <w:rPr>
          <w:rStyle w:val="191"/>
          <w:rFonts w:hint="eastAsia" w:ascii="宋体" w:hAnsi="宋体"/>
          <w:b/>
          <w:bCs/>
          <w:color w:val="auto"/>
          <w:szCs w:val="21"/>
          <w:u w:val="none"/>
          <w:lang w:eastAsia="zh-CN"/>
        </w:rPr>
        <w:t>采购人信息</w:t>
      </w:r>
    </w:p>
    <w:tbl>
      <w:tblPr>
        <w:tblStyle w:val="55"/>
        <w:tblpPr w:leftFromText="180" w:rightFromText="180" w:vertAnchor="text" w:horzAnchor="page" w:tblpX="1847" w:tblpY="429"/>
        <w:tblOverlap w:val="never"/>
        <w:tblW w:w="6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74"/>
        <w:gridCol w:w="750"/>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7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ascii="宋体" w:hAnsi="宋体" w:cs="宋体"/>
                <w:i w:val="0"/>
                <w:color w:val="000000"/>
                <w:kern w:val="0"/>
                <w:sz w:val="21"/>
                <w:szCs w:val="21"/>
                <w:u w:val="none"/>
                <w:lang w:val="en-US" w:eastAsia="zh" w:bidi="ar"/>
              </w:rPr>
              <w:t>广西医科大学第一附属医院</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numPr>
          <w:ilvl w:val="-1"/>
          <w:numId w:val="0"/>
        </w:numPr>
        <w:spacing w:line="400" w:lineRule="exact"/>
        <w:ind w:firstLine="0" w:firstLineChars="0"/>
        <w:rPr>
          <w:rFonts w:hint="eastAsia" w:ascii="宋体" w:hAnsi="宋体" w:cs="宋体"/>
          <w:b/>
          <w:bCs/>
          <w:color w:val="000000" w:themeColor="text1"/>
          <w:sz w:val="24"/>
          <w14:textFill>
            <w14:solidFill>
              <w14:schemeClr w14:val="tx1"/>
            </w14:solidFill>
          </w14:textFill>
        </w:rPr>
      </w:pPr>
      <w:r>
        <w:rPr>
          <w:rStyle w:val="191"/>
          <w:rFonts w:hint="eastAsia" w:ascii="宋体" w:hAnsi="宋体"/>
          <w:b/>
          <w:bCs/>
          <w:color w:val="auto"/>
          <w:szCs w:val="21"/>
          <w:u w:val="none"/>
        </w:rPr>
        <w:br w:type="page"/>
      </w:r>
      <w:r>
        <w:rPr>
          <w:rStyle w:val="191"/>
          <w:rFonts w:hint="eastAsia" w:ascii="宋体" w:hAnsi="宋体" w:cs="宋体"/>
          <w:b/>
          <w:bCs/>
          <w:color w:val="auto"/>
          <w:sz w:val="21"/>
          <w:szCs w:val="21"/>
          <w:u w:val="none"/>
        </w:rPr>
        <w:t>分标2：</w:t>
      </w:r>
      <w:r>
        <w:rPr>
          <w:rFonts w:hint="eastAsia" w:ascii="宋体" w:hAnsi="宋体" w:cs="宋体"/>
          <w:b/>
          <w:bCs/>
          <w:color w:val="000000" w:themeColor="text1"/>
          <w:sz w:val="21"/>
          <w:szCs w:val="21"/>
          <w:lang w:eastAsia="zh"/>
          <w14:textFill>
            <w14:solidFill>
              <w14:schemeClr w14:val="tx1"/>
            </w14:solidFill>
          </w14:textFill>
        </w:rPr>
        <w:t>医用直线加速器(分标2)</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lang w:val="en-US" w:eastAsia="zh-CN"/>
        </w:rPr>
        <w:t>2500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olor w:val="auto"/>
          <w:lang w:val="en-US" w:eastAsia="zh-CN"/>
        </w:rPr>
        <w:t>2500</w:t>
      </w:r>
      <w:r>
        <w:rPr>
          <w:rFonts w:hint="eastAsia"/>
          <w:color w:val="auto"/>
          <w:lang w:eastAsia="zh-CN"/>
        </w:rPr>
        <w:t>万元（</w:t>
      </w:r>
      <w:r>
        <w:rPr>
          <w:rFonts w:hint="eastAsia"/>
          <w:color w:val="auto"/>
          <w:lang w:val="en-US" w:eastAsia="zh-CN"/>
        </w:rPr>
        <w:t>2500</w:t>
      </w:r>
      <w:r>
        <w:rPr>
          <w:rFonts w:hint="eastAsia"/>
          <w:color w:val="auto"/>
          <w:lang w:eastAsia="zh-CN"/>
        </w:rPr>
        <w:t>万元/套）</w:t>
      </w:r>
    </w:p>
    <w:p>
      <w:pPr>
        <w:pStyle w:val="2"/>
        <w:rPr>
          <w:rFonts w:hint="eastAsia"/>
        </w:rPr>
      </w:pPr>
    </w:p>
    <w:p>
      <w:pPr>
        <w:ind w:firstLine="420"/>
        <w:rPr>
          <w:rFonts w:hint="eastAsia"/>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序号</w:t>
            </w:r>
          </w:p>
        </w:tc>
        <w:tc>
          <w:tcPr>
            <w:tcW w:w="53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货物名称</w:t>
            </w:r>
          </w:p>
        </w:tc>
        <w:tc>
          <w:tcPr>
            <w:tcW w:w="463"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数量</w:t>
            </w:r>
          </w:p>
        </w:tc>
        <w:tc>
          <w:tcPr>
            <w:tcW w:w="465"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单位</w:t>
            </w:r>
          </w:p>
        </w:tc>
        <w:tc>
          <w:tcPr>
            <w:tcW w:w="3210" w:type="pct"/>
            <w:vAlign w:val="center"/>
          </w:tcPr>
          <w:p>
            <w:pPr>
              <w:tabs>
                <w:tab w:val="left" w:pos="180"/>
                <w:tab w:val="left" w:pos="1620"/>
              </w:tabs>
              <w:jc w:val="center"/>
              <w:rPr>
                <w:rFonts w:hint="eastAsia" w:ascii="宋体" w:hAnsi="宋体" w:eastAsia="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26" w:type="pct"/>
            <w:vAlign w:val="center"/>
          </w:tcPr>
          <w:p>
            <w:pPr>
              <w:tabs>
                <w:tab w:val="left" w:pos="180"/>
                <w:tab w:val="left" w:pos="1620"/>
              </w:tabs>
              <w:jc w:val="center"/>
              <w:rPr>
                <w:rFonts w:hint="eastAsia" w:ascii="宋体" w:hAnsi="宋体" w:eastAsia="宋体" w:cs="宋体"/>
                <w:szCs w:val="21"/>
              </w:rPr>
            </w:pPr>
            <w:r>
              <w:rPr>
                <w:rFonts w:hint="eastAsia" w:ascii="宋体" w:hAnsi="宋体" w:eastAsia="宋体" w:cs="宋体"/>
                <w:szCs w:val="21"/>
              </w:rPr>
              <w:t>1</w:t>
            </w:r>
          </w:p>
        </w:tc>
        <w:tc>
          <w:tcPr>
            <w:tcW w:w="535" w:type="pct"/>
            <w:vAlign w:val="center"/>
          </w:tcPr>
          <w:p>
            <w:pPr>
              <w:snapToGrid w:val="0"/>
              <w:jc w:val="center"/>
              <w:rPr>
                <w:rFonts w:hint="eastAsia" w:ascii="宋体" w:hAnsi="宋体" w:cs="宋体"/>
                <w:szCs w:val="21"/>
              </w:rPr>
            </w:pPr>
            <w:r>
              <w:rPr>
                <w:rFonts w:hint="eastAsia" w:ascii="宋体" w:hAnsi="宋体" w:cs="宋体"/>
                <w:b/>
                <w:bCs/>
                <w:color w:val="000000" w:themeColor="text1"/>
                <w:sz w:val="21"/>
                <w:szCs w:val="21"/>
                <w:lang w:eastAsia="zh"/>
                <w14:textFill>
                  <w14:solidFill>
                    <w14:schemeClr w14:val="tx1"/>
                  </w14:solidFill>
                </w14:textFill>
              </w:rPr>
              <w:t>医用直线加速器(分标2)</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套</w:t>
            </w:r>
          </w:p>
        </w:tc>
        <w:tc>
          <w:tcPr>
            <w:tcW w:w="3210" w:type="pct"/>
            <w:vAlign w:val="center"/>
          </w:tcPr>
          <w:p>
            <w:pPr>
              <w:textAlignment w:val="baseline"/>
              <w:rPr>
                <w:rFonts w:hint="eastAsia" w:ascii="宋体" w:hAnsi="宋体" w:eastAsia="宋体" w:cs="宋体"/>
                <w:szCs w:val="21"/>
              </w:rPr>
            </w:pPr>
            <w:r>
              <w:rPr>
                <w:rFonts w:hint="eastAsia" w:ascii="宋体" w:hAnsi="宋体" w:eastAsia="宋体" w:cs="宋体"/>
                <w:szCs w:val="21"/>
              </w:rPr>
              <w:t>1放射治疗设备要求概述</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w:t>
            </w:r>
            <w:r>
              <w:rPr>
                <w:rFonts w:hint="eastAsia" w:ascii="宋体" w:hAnsi="宋体" w:eastAsia="宋体" w:cs="宋体"/>
                <w:szCs w:val="21"/>
              </w:rPr>
              <w:tab/>
            </w:r>
            <w:r>
              <w:rPr>
                <w:rFonts w:hint="eastAsia" w:ascii="宋体" w:hAnsi="宋体" w:eastAsia="宋体" w:cs="宋体"/>
                <w:szCs w:val="21"/>
              </w:rPr>
              <w:t>本次招标标的为一套图像引导放射治疗系统，含直线加速器一台及配套软件系统，包括放射治疗计划系统（含医生工作站及物理师工作站）、放疗质控系统、肿瘤信息管理系统以及其他支持系统运行所必需的软件和硬件。</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val="en-US" w:eastAsia="zh-CN"/>
              </w:rPr>
              <w:t>2</w:t>
            </w:r>
            <w:r>
              <w:rPr>
                <w:rFonts w:hint="eastAsia" w:ascii="宋体" w:hAnsi="宋体" w:eastAsia="宋体" w:cs="宋体"/>
                <w:szCs w:val="21"/>
              </w:rPr>
              <w:t>投标方针对所投设备满足现场条件（空间、承重、防护、运输通道尺寸与承重等）提供注册证、技术白皮书、勘探图纸等支撑材料和书面承诺函。根据机房场地平面图纸（详见附件）提供适合安装场地尺寸和使用空间要求的机型</w:t>
            </w:r>
            <w:r>
              <w:rPr>
                <w:rFonts w:hint="eastAsia" w:ascii="宋体" w:hAnsi="宋体" w:cs="宋体"/>
                <w:szCs w:val="21"/>
                <w:lang w:eastAsia="zh-CN"/>
              </w:rPr>
              <w:t>，</w:t>
            </w:r>
            <w:r>
              <w:rPr>
                <w:rFonts w:hint="eastAsia" w:ascii="宋体" w:hAnsi="宋体" w:eastAsia="宋体" w:cs="宋体"/>
                <w:szCs w:val="21"/>
              </w:rPr>
              <w:t>如所投机型无法满足现场条件，投标方承担相关责任，采购人有权终止合同</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2机架运动系统</w:t>
            </w:r>
            <w:r>
              <w:rPr>
                <w:rFonts w:hint="eastAsia" w:ascii="宋体" w:hAnsi="宋体" w:eastAsia="宋体" w:cs="宋体"/>
                <w:szCs w:val="21"/>
              </w:rPr>
              <w:tab/>
            </w:r>
          </w:p>
          <w:p>
            <w:pPr>
              <w:textAlignment w:val="baseline"/>
              <w:rPr>
                <w:rFonts w:hint="eastAsia" w:ascii="宋体" w:hAnsi="宋体" w:cs="宋体"/>
                <w:szCs w:val="21"/>
              </w:rPr>
            </w:pPr>
            <w:r>
              <w:rPr>
                <w:rFonts w:hint="eastAsia" w:ascii="宋体" w:hAnsi="宋体" w:cs="宋体"/>
                <w:szCs w:val="21"/>
              </w:rPr>
              <w:t>2.1机架结构：环形机架或C型臂机架；</w:t>
            </w:r>
          </w:p>
          <w:p>
            <w:pPr>
              <w:textAlignment w:val="baseline"/>
              <w:rPr>
                <w:rFonts w:hint="eastAsia" w:ascii="宋体" w:hAnsi="宋体" w:cs="宋体"/>
                <w:szCs w:val="21"/>
              </w:rPr>
            </w:pPr>
            <w:r>
              <w:rPr>
                <w:rFonts w:hint="eastAsia" w:ascii="宋体" w:hAnsi="宋体" w:cs="宋体"/>
                <w:szCs w:val="21"/>
              </w:rPr>
              <w:t>▲2.2机架旋转角度：≥±180°，具有双向（顺时针与逆时针方向）弧形治疗功能；</w:t>
            </w:r>
          </w:p>
          <w:p>
            <w:pPr>
              <w:textAlignment w:val="baseline"/>
              <w:rPr>
                <w:rFonts w:hint="eastAsia" w:ascii="宋体" w:hAnsi="宋体" w:cs="宋体"/>
                <w:szCs w:val="21"/>
              </w:rPr>
            </w:pPr>
            <w:r>
              <w:rPr>
                <w:rFonts w:hint="eastAsia" w:ascii="宋体" w:hAnsi="宋体" w:cs="宋体"/>
                <w:szCs w:val="21"/>
              </w:rPr>
              <w:t>▲2.3环形机架：机架旋转速度≥4RPM；C形臂：机架旋转速度≥1RPM；</w:t>
            </w:r>
          </w:p>
          <w:p>
            <w:pPr>
              <w:textAlignment w:val="baseline"/>
              <w:rPr>
                <w:rFonts w:hint="eastAsia" w:ascii="宋体" w:hAnsi="宋体" w:eastAsia="宋体" w:cs="宋体"/>
                <w:szCs w:val="21"/>
                <w:lang w:eastAsia="zh-CN"/>
              </w:rPr>
            </w:pPr>
            <w:r>
              <w:rPr>
                <w:rFonts w:hint="eastAsia" w:ascii="宋体" w:hAnsi="宋体" w:eastAsia="宋体" w:cs="宋体"/>
                <w:szCs w:val="21"/>
              </w:rPr>
              <w:t>2.4</w:t>
            </w:r>
            <w:r>
              <w:rPr>
                <w:rFonts w:hint="eastAsia" w:ascii="宋体" w:hAnsi="宋体" w:eastAsia="宋体" w:cs="宋体"/>
                <w:szCs w:val="21"/>
              </w:rPr>
              <w:tab/>
            </w:r>
            <w:r>
              <w:rPr>
                <w:rFonts w:hint="eastAsia" w:ascii="宋体" w:hAnsi="宋体" w:eastAsia="宋体" w:cs="宋体"/>
                <w:szCs w:val="21"/>
              </w:rPr>
              <w:t>机械等中心精度（机架+治疗头）</w:t>
            </w:r>
            <w:r>
              <w:rPr>
                <w:rFonts w:hint="eastAsia" w:ascii="宋体" w:hAnsi="宋体" w:cs="宋体"/>
                <w:szCs w:val="21"/>
                <w:lang w:eastAsia="zh-CN"/>
              </w:rPr>
              <w:t>：</w:t>
            </w:r>
            <w:r>
              <w:rPr>
                <w:rFonts w:hint="eastAsia" w:ascii="宋体" w:hAnsi="宋体" w:eastAsia="宋体" w:cs="宋体"/>
                <w:szCs w:val="21"/>
              </w:rPr>
              <w:t>≤1mm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2.</w:t>
            </w:r>
            <w:r>
              <w:rPr>
                <w:rFonts w:hint="eastAsia" w:ascii="宋体" w:hAnsi="宋体" w:cs="宋体"/>
                <w:szCs w:val="21"/>
                <w:lang w:val="en-US" w:eastAsia="zh-CN"/>
              </w:rPr>
              <w:t>5</w:t>
            </w:r>
            <w:r>
              <w:rPr>
                <w:rFonts w:hint="eastAsia" w:ascii="宋体" w:hAnsi="宋体" w:eastAsia="宋体" w:cs="宋体"/>
                <w:szCs w:val="21"/>
              </w:rPr>
              <w:tab/>
            </w:r>
            <w:r>
              <w:rPr>
                <w:rFonts w:hint="eastAsia" w:ascii="宋体" w:hAnsi="宋体" w:eastAsia="宋体" w:cs="宋体"/>
                <w:szCs w:val="21"/>
              </w:rPr>
              <w:t>治疗净空间半径</w:t>
            </w:r>
            <w:r>
              <w:rPr>
                <w:rFonts w:hint="eastAsia" w:ascii="宋体" w:hAnsi="宋体" w:cs="宋体"/>
                <w:szCs w:val="21"/>
                <w:lang w:eastAsia="zh-CN"/>
              </w:rPr>
              <w:t>：</w:t>
            </w:r>
            <w:r>
              <w:rPr>
                <w:rFonts w:hint="eastAsia" w:ascii="宋体" w:hAnsi="宋体" w:eastAsia="宋体" w:cs="宋体"/>
                <w:szCs w:val="21"/>
              </w:rPr>
              <w:t>≥50cm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2.</w:t>
            </w:r>
            <w:r>
              <w:rPr>
                <w:rFonts w:hint="eastAsia" w:ascii="宋体" w:hAnsi="宋体" w:cs="宋体"/>
                <w:szCs w:val="21"/>
                <w:lang w:val="en-US" w:eastAsia="zh-CN"/>
              </w:rPr>
              <w:t>6</w:t>
            </w:r>
            <w:r>
              <w:rPr>
                <w:rFonts w:hint="eastAsia" w:ascii="宋体" w:hAnsi="宋体" w:eastAsia="宋体" w:cs="宋体"/>
                <w:szCs w:val="21"/>
              </w:rPr>
              <w:tab/>
            </w:r>
            <w:r>
              <w:rPr>
                <w:rFonts w:hint="eastAsia" w:ascii="宋体" w:hAnsi="宋体" w:eastAsia="宋体" w:cs="宋体"/>
                <w:szCs w:val="21"/>
              </w:rPr>
              <w:t>机架旋转精度</w:t>
            </w:r>
            <w:r>
              <w:rPr>
                <w:rFonts w:hint="eastAsia" w:ascii="宋体" w:hAnsi="宋体" w:cs="宋体"/>
                <w:szCs w:val="21"/>
                <w:lang w:eastAsia="zh-CN"/>
              </w:rPr>
              <w:t>：</w:t>
            </w:r>
            <w:r>
              <w:rPr>
                <w:rFonts w:hint="eastAsia" w:ascii="宋体" w:hAnsi="宋体" w:eastAsia="宋体" w:cs="宋体"/>
                <w:szCs w:val="21"/>
              </w:rPr>
              <w:t>≤0.5°</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2.</w:t>
            </w:r>
            <w:r>
              <w:rPr>
                <w:rFonts w:hint="eastAsia" w:ascii="宋体" w:hAnsi="宋体" w:cs="宋体"/>
                <w:szCs w:val="21"/>
                <w:lang w:val="en-US" w:eastAsia="zh-CN"/>
              </w:rPr>
              <w:t>7</w:t>
            </w:r>
            <w:r>
              <w:rPr>
                <w:rFonts w:hint="eastAsia" w:ascii="宋体" w:hAnsi="宋体" w:eastAsia="宋体" w:cs="宋体"/>
                <w:szCs w:val="21"/>
              </w:rPr>
              <w:tab/>
            </w:r>
            <w:r>
              <w:rPr>
                <w:rFonts w:hint="eastAsia" w:ascii="宋体" w:hAnsi="宋体" w:eastAsia="宋体" w:cs="宋体"/>
                <w:szCs w:val="21"/>
              </w:rPr>
              <w:t>机架、准直器和治疗床等中心精度</w:t>
            </w:r>
            <w:r>
              <w:rPr>
                <w:rFonts w:hint="eastAsia" w:ascii="宋体" w:hAnsi="宋体" w:cs="宋体"/>
                <w:szCs w:val="21"/>
                <w:lang w:eastAsia="zh-CN"/>
              </w:rPr>
              <w:t>：</w:t>
            </w:r>
            <w:r>
              <w:rPr>
                <w:rFonts w:hint="eastAsia" w:ascii="宋体" w:hAnsi="宋体" w:eastAsia="宋体" w:cs="宋体"/>
                <w:szCs w:val="21"/>
              </w:rPr>
              <w:t>≤1mm</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★2.</w:t>
            </w:r>
            <w:r>
              <w:rPr>
                <w:rFonts w:hint="eastAsia" w:ascii="宋体" w:hAnsi="宋体" w:cs="宋体"/>
                <w:szCs w:val="21"/>
                <w:lang w:val="en-US" w:eastAsia="zh-CN"/>
              </w:rPr>
              <w:t>8</w:t>
            </w:r>
            <w:r>
              <w:rPr>
                <w:rFonts w:hint="eastAsia" w:ascii="宋体" w:hAnsi="宋体" w:cs="宋体"/>
                <w:szCs w:val="21"/>
                <w:lang w:val="en-US" w:eastAsia="zh"/>
              </w:rPr>
              <w:t xml:space="preserve"> </w:t>
            </w:r>
            <w:r>
              <w:rPr>
                <w:rFonts w:hint="eastAsia" w:ascii="宋体" w:hAnsi="宋体" w:eastAsia="宋体" w:cs="宋体"/>
                <w:szCs w:val="21"/>
                <w:lang w:val="en-US" w:eastAsia="zh"/>
              </w:rPr>
              <w:t>等中心高度：环形机架≤115cm或C型臂机架≤128cm；</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3束流系统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3.1加速管类型</w:t>
            </w:r>
            <w:r>
              <w:rPr>
                <w:rFonts w:hint="eastAsia" w:ascii="宋体" w:hAnsi="宋体" w:cs="宋体"/>
                <w:szCs w:val="21"/>
                <w:lang w:eastAsia="zh-CN"/>
              </w:rPr>
              <w:t>：</w:t>
            </w:r>
            <w:r>
              <w:rPr>
                <w:rFonts w:hint="eastAsia" w:ascii="宋体" w:hAnsi="宋体" w:eastAsia="宋体" w:cs="宋体"/>
                <w:szCs w:val="21"/>
              </w:rPr>
              <w:t>驻波或行波</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3.2电子枪</w:t>
            </w:r>
            <w:r>
              <w:rPr>
                <w:rFonts w:hint="eastAsia" w:ascii="宋体" w:hAnsi="宋体" w:cs="宋体"/>
                <w:szCs w:val="21"/>
                <w:lang w:eastAsia="zh-CN"/>
              </w:rPr>
              <w:t>：</w:t>
            </w:r>
            <w:r>
              <w:rPr>
                <w:rFonts w:hint="eastAsia" w:ascii="宋体" w:hAnsi="宋体" w:eastAsia="宋体" w:cs="宋体"/>
                <w:szCs w:val="21"/>
              </w:rPr>
              <w:t>栅控三极电子枪</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3.3微波功率装置</w:t>
            </w:r>
            <w:r>
              <w:rPr>
                <w:rFonts w:hint="eastAsia" w:ascii="宋体" w:hAnsi="宋体" w:cs="宋体"/>
                <w:szCs w:val="21"/>
                <w:lang w:eastAsia="zh-CN"/>
              </w:rPr>
              <w:t>：</w:t>
            </w:r>
            <w:r>
              <w:rPr>
                <w:rFonts w:hint="eastAsia" w:ascii="宋体" w:hAnsi="宋体" w:eastAsia="宋体" w:cs="宋体"/>
                <w:szCs w:val="21"/>
              </w:rPr>
              <w:t>磁控管</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3.4微波功率源输出峰值功率</w:t>
            </w:r>
            <w:r>
              <w:rPr>
                <w:rFonts w:hint="eastAsia" w:ascii="宋体" w:hAnsi="宋体" w:cs="宋体"/>
                <w:szCs w:val="21"/>
                <w:lang w:eastAsia="zh-CN"/>
              </w:rPr>
              <w:t>：</w:t>
            </w:r>
            <w:r>
              <w:rPr>
                <w:rFonts w:hint="eastAsia" w:ascii="宋体" w:hAnsi="宋体" w:eastAsia="宋体" w:cs="宋体"/>
                <w:szCs w:val="21"/>
              </w:rPr>
              <w:t>≥2.6MW</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3.5</w:t>
            </w:r>
            <w:r>
              <w:rPr>
                <w:rFonts w:hint="eastAsia" w:ascii="宋体" w:hAnsi="宋体" w:eastAsia="宋体" w:cs="宋体"/>
                <w:szCs w:val="21"/>
              </w:rPr>
              <w:tab/>
            </w:r>
            <w:r>
              <w:rPr>
                <w:rFonts w:hint="eastAsia" w:ascii="宋体" w:hAnsi="宋体" w:eastAsia="宋体" w:cs="宋体"/>
                <w:szCs w:val="21"/>
              </w:rPr>
              <w:t>6MV X射线</w:t>
            </w:r>
            <w:r>
              <w:rPr>
                <w:rFonts w:hint="eastAsia" w:ascii="宋体" w:hAnsi="宋体" w:cs="宋体"/>
                <w:szCs w:val="21"/>
                <w:lang w:eastAsia="zh-CN"/>
              </w:rPr>
              <w:t>：</w:t>
            </w:r>
            <w:r>
              <w:rPr>
                <w:rFonts w:hint="eastAsia" w:ascii="宋体" w:hAnsi="宋体" w:eastAsia="宋体" w:cs="宋体"/>
                <w:szCs w:val="21"/>
              </w:rPr>
              <w:t>具备FFF非均整模式</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3.6</w:t>
            </w:r>
            <w:r>
              <w:rPr>
                <w:rFonts w:hint="eastAsia" w:ascii="宋体" w:hAnsi="宋体" w:eastAsia="宋体" w:cs="宋体"/>
                <w:szCs w:val="21"/>
              </w:rPr>
              <w:tab/>
            </w:r>
            <w:r>
              <w:rPr>
                <w:rFonts w:hint="eastAsia" w:ascii="宋体" w:hAnsi="宋体" w:eastAsia="宋体" w:cs="宋体"/>
                <w:szCs w:val="21"/>
              </w:rPr>
              <w:t>6MV X射线最大非均整（FFF）剂量率</w:t>
            </w:r>
            <w:r>
              <w:rPr>
                <w:rFonts w:hint="eastAsia" w:ascii="宋体" w:hAnsi="宋体" w:cs="宋体"/>
                <w:szCs w:val="21"/>
                <w:lang w:eastAsia="zh-CN"/>
              </w:rPr>
              <w:t>：</w:t>
            </w:r>
            <w:r>
              <w:rPr>
                <w:rFonts w:hint="eastAsia" w:ascii="宋体" w:hAnsi="宋体" w:eastAsia="宋体" w:cs="宋体"/>
                <w:szCs w:val="21"/>
              </w:rPr>
              <w:t>≥800MU/min</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3.7</w:t>
            </w:r>
            <w:r>
              <w:rPr>
                <w:rFonts w:hint="eastAsia" w:ascii="宋体" w:hAnsi="宋体" w:eastAsia="宋体" w:cs="宋体"/>
                <w:szCs w:val="21"/>
              </w:rPr>
              <w:tab/>
            </w:r>
            <w:r>
              <w:rPr>
                <w:rFonts w:hint="eastAsia" w:ascii="宋体" w:hAnsi="宋体" w:eastAsia="宋体" w:cs="宋体"/>
                <w:szCs w:val="21"/>
              </w:rPr>
              <w:t>X射线对称性</w:t>
            </w:r>
            <w:r>
              <w:rPr>
                <w:rFonts w:hint="eastAsia" w:ascii="宋体" w:hAnsi="宋体" w:eastAsia="宋体" w:cs="宋体"/>
                <w:szCs w:val="21"/>
              </w:rPr>
              <w:tab/>
            </w:r>
            <w:r>
              <w:rPr>
                <w:rFonts w:hint="eastAsia" w:ascii="宋体" w:hAnsi="宋体" w:cs="宋体"/>
                <w:szCs w:val="21"/>
                <w:lang w:eastAsia="zh-CN"/>
              </w:rPr>
              <w:t>：</w:t>
            </w:r>
            <w:r>
              <w:rPr>
                <w:rFonts w:hint="eastAsia" w:ascii="宋体" w:hAnsi="宋体" w:eastAsia="宋体" w:cs="宋体"/>
                <w:szCs w:val="21"/>
              </w:rPr>
              <w:t>≤102%</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3.8剂量重复性</w:t>
            </w:r>
            <w:r>
              <w:rPr>
                <w:rFonts w:hint="eastAsia" w:ascii="宋体" w:hAnsi="宋体" w:cs="宋体"/>
                <w:szCs w:val="21"/>
                <w:lang w:eastAsia="zh-CN"/>
              </w:rPr>
              <w:t>：</w:t>
            </w:r>
            <w:r>
              <w:rPr>
                <w:rFonts w:hint="eastAsia" w:ascii="宋体" w:hAnsi="宋体" w:eastAsia="宋体" w:cs="宋体"/>
                <w:szCs w:val="21"/>
              </w:rPr>
              <w:t>≤1%</w:t>
            </w:r>
            <w:r>
              <w:rPr>
                <w:rFonts w:hint="eastAsia" w:ascii="宋体" w:hAnsi="宋体" w:cs="宋体"/>
                <w:szCs w:val="21"/>
                <w:lang w:eastAsia="zh-CN"/>
              </w:rPr>
              <w:t>；剂量线性度：≤±1%；</w:t>
            </w:r>
          </w:p>
          <w:p>
            <w:pPr>
              <w:textAlignment w:val="baseline"/>
              <w:rPr>
                <w:rFonts w:hint="eastAsia" w:ascii="宋体" w:hAnsi="宋体" w:eastAsia="宋体" w:cs="宋体"/>
                <w:szCs w:val="21"/>
                <w:lang w:eastAsia="zh-CN"/>
              </w:rPr>
            </w:pPr>
            <w:r>
              <w:rPr>
                <w:rFonts w:hint="eastAsia" w:ascii="宋体" w:hAnsi="宋体" w:eastAsia="宋体" w:cs="宋体"/>
                <w:szCs w:val="21"/>
              </w:rPr>
              <w:t>3.9最大射野尺寸</w:t>
            </w:r>
            <w:r>
              <w:rPr>
                <w:rFonts w:hint="eastAsia" w:ascii="宋体" w:hAnsi="宋体" w:cs="宋体"/>
                <w:szCs w:val="21"/>
                <w:lang w:eastAsia="zh-CN"/>
              </w:rPr>
              <w:t>：</w:t>
            </w:r>
            <w:r>
              <w:rPr>
                <w:rFonts w:hint="eastAsia" w:ascii="宋体" w:hAnsi="宋体" w:eastAsia="宋体" w:cs="宋体"/>
                <w:szCs w:val="21"/>
              </w:rPr>
              <w:t>≥28cm×28cm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3.1</w:t>
            </w:r>
            <w:r>
              <w:rPr>
                <w:rFonts w:hint="eastAsia" w:ascii="宋体" w:hAnsi="宋体" w:cs="宋体"/>
                <w:szCs w:val="21"/>
                <w:lang w:val="en-US" w:eastAsia="zh-CN"/>
              </w:rPr>
              <w:t>0</w:t>
            </w:r>
            <w:r>
              <w:rPr>
                <w:rFonts w:hint="eastAsia" w:ascii="宋体" w:hAnsi="宋体" w:eastAsia="宋体" w:cs="宋体"/>
                <w:szCs w:val="21"/>
              </w:rPr>
              <w:t>最小射野尺寸</w:t>
            </w:r>
            <w:r>
              <w:rPr>
                <w:rFonts w:hint="eastAsia" w:ascii="宋体" w:hAnsi="宋体" w:cs="宋体"/>
                <w:szCs w:val="21"/>
                <w:lang w:eastAsia="zh-CN"/>
              </w:rPr>
              <w:t>：</w:t>
            </w:r>
            <w:r>
              <w:rPr>
                <w:rFonts w:hint="eastAsia" w:ascii="宋体" w:hAnsi="宋体" w:eastAsia="宋体" w:cs="宋体"/>
                <w:szCs w:val="21"/>
              </w:rPr>
              <w:t>≤0.5cm×0.5cm</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4剂量监测系统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4.1电离室结构</w:t>
            </w:r>
            <w:r>
              <w:rPr>
                <w:rFonts w:hint="eastAsia" w:ascii="宋体" w:hAnsi="宋体" w:cs="宋体"/>
                <w:szCs w:val="21"/>
                <w:lang w:eastAsia="zh-CN"/>
              </w:rPr>
              <w:t>：</w:t>
            </w:r>
            <w:r>
              <w:rPr>
                <w:rFonts w:hint="eastAsia" w:ascii="宋体" w:hAnsi="宋体" w:eastAsia="宋体" w:cs="宋体"/>
                <w:szCs w:val="21"/>
              </w:rPr>
              <w:t>封闭式电离室</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4.2电离室通道数设计</w:t>
            </w:r>
            <w:r>
              <w:rPr>
                <w:rFonts w:hint="eastAsia" w:ascii="宋体" w:hAnsi="宋体" w:cs="宋体"/>
                <w:szCs w:val="21"/>
                <w:lang w:eastAsia="zh-CN"/>
              </w:rPr>
              <w:t>：</w:t>
            </w:r>
            <w:r>
              <w:rPr>
                <w:rFonts w:hint="eastAsia" w:ascii="宋体" w:hAnsi="宋体" w:eastAsia="宋体" w:cs="宋体"/>
                <w:szCs w:val="21"/>
              </w:rPr>
              <w:t>双通道电离室</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4.3电离室自动校正</w:t>
            </w:r>
            <w:r>
              <w:rPr>
                <w:rFonts w:hint="eastAsia" w:ascii="宋体" w:hAnsi="宋体" w:cs="宋体"/>
                <w:szCs w:val="21"/>
                <w:lang w:eastAsia="zh-CN"/>
              </w:rPr>
              <w:t>：</w:t>
            </w:r>
            <w:r>
              <w:rPr>
                <w:rFonts w:hint="eastAsia" w:ascii="宋体" w:hAnsi="宋体" w:eastAsia="宋体" w:cs="宋体"/>
                <w:szCs w:val="21"/>
              </w:rPr>
              <w:t>电离室具备温度气压自动校正功能</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4.4剂量安全连锁系统</w:t>
            </w:r>
            <w:r>
              <w:rPr>
                <w:rFonts w:hint="eastAsia" w:ascii="宋体" w:hAnsi="宋体" w:cs="宋体"/>
                <w:szCs w:val="21"/>
                <w:lang w:eastAsia="zh-CN"/>
              </w:rPr>
              <w:t>：</w:t>
            </w:r>
            <w:r>
              <w:rPr>
                <w:rFonts w:hint="eastAsia" w:ascii="宋体" w:hAnsi="宋体" w:eastAsia="宋体" w:cs="宋体"/>
                <w:szCs w:val="21"/>
              </w:rPr>
              <w:t>具有安全联锁自动装置</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5</w:t>
            </w:r>
            <w:r>
              <w:rPr>
                <w:rFonts w:hint="eastAsia" w:ascii="宋体" w:hAnsi="宋体" w:cs="宋体"/>
                <w:szCs w:val="21"/>
                <w:lang w:val="en-US" w:eastAsia="zh-CN"/>
              </w:rPr>
              <w:t xml:space="preserve"> </w:t>
            </w:r>
            <w:r>
              <w:rPr>
                <w:rFonts w:hint="eastAsia" w:ascii="宋体" w:hAnsi="宋体" w:eastAsia="宋体" w:cs="宋体"/>
                <w:szCs w:val="21"/>
              </w:rPr>
              <w:t>准直器系统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5.1准直器旋转精度</w:t>
            </w:r>
            <w:r>
              <w:rPr>
                <w:rFonts w:hint="eastAsia" w:ascii="宋体" w:hAnsi="宋体" w:cs="宋体"/>
                <w:szCs w:val="21"/>
                <w:lang w:eastAsia="zh-CN"/>
              </w:rPr>
              <w:t>：</w:t>
            </w:r>
            <w:r>
              <w:rPr>
                <w:rFonts w:hint="eastAsia" w:ascii="宋体" w:hAnsi="宋体" w:eastAsia="宋体" w:cs="宋体"/>
                <w:szCs w:val="21"/>
              </w:rPr>
              <w:t>≤0.5°</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5.2准直器旋转重复性</w:t>
            </w:r>
            <w:r>
              <w:rPr>
                <w:rFonts w:hint="eastAsia" w:ascii="宋体" w:hAnsi="宋体" w:eastAsia="宋体" w:cs="宋体"/>
                <w:szCs w:val="21"/>
              </w:rPr>
              <w:tab/>
            </w:r>
            <w:r>
              <w:rPr>
                <w:rFonts w:hint="eastAsia" w:ascii="宋体" w:hAnsi="宋体" w:cs="宋体"/>
                <w:szCs w:val="21"/>
                <w:lang w:eastAsia="zh-CN"/>
              </w:rPr>
              <w:t>：</w:t>
            </w:r>
            <w:r>
              <w:rPr>
                <w:rFonts w:hint="eastAsia" w:ascii="宋体" w:hAnsi="宋体" w:eastAsia="宋体" w:cs="宋体"/>
                <w:szCs w:val="21"/>
              </w:rPr>
              <w:t>≤0.3°</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5.3准直器最大旋转速度</w:t>
            </w:r>
            <w:r>
              <w:rPr>
                <w:rFonts w:hint="eastAsia" w:ascii="宋体" w:hAnsi="宋体" w:cs="宋体"/>
                <w:szCs w:val="21"/>
                <w:lang w:eastAsia="zh-CN"/>
              </w:rPr>
              <w:t>：</w:t>
            </w:r>
            <w:r>
              <w:rPr>
                <w:rFonts w:hint="eastAsia" w:ascii="宋体" w:hAnsi="宋体" w:eastAsia="宋体" w:cs="宋体"/>
                <w:szCs w:val="21"/>
              </w:rPr>
              <w:t>≥2RPM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5.4叶片最大移动速度</w:t>
            </w:r>
            <w:r>
              <w:rPr>
                <w:rFonts w:hint="eastAsia" w:ascii="宋体" w:hAnsi="宋体" w:cs="宋体"/>
                <w:szCs w:val="21"/>
                <w:lang w:eastAsia="zh-CN"/>
              </w:rPr>
              <w:t>：</w:t>
            </w:r>
            <w:r>
              <w:rPr>
                <w:rFonts w:hint="eastAsia" w:ascii="宋体" w:hAnsi="宋体" w:eastAsia="宋体" w:cs="宋体"/>
                <w:szCs w:val="21"/>
              </w:rPr>
              <w:t>≥5cm/s</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★5.5所有叶片在等中心平面的最小投影宽度：≤5mm±0.2mm；</w:t>
            </w:r>
          </w:p>
          <w:p>
            <w:pPr>
              <w:textAlignment w:val="baseline"/>
              <w:rPr>
                <w:rFonts w:hint="eastAsia" w:ascii="宋体" w:hAnsi="宋体" w:eastAsia="宋体" w:cs="宋体"/>
                <w:szCs w:val="21"/>
                <w:lang w:eastAsia="zh-CN"/>
              </w:rPr>
            </w:pPr>
            <w:r>
              <w:rPr>
                <w:rFonts w:hint="eastAsia" w:ascii="宋体" w:hAnsi="宋体" w:eastAsia="宋体" w:cs="宋体"/>
                <w:szCs w:val="21"/>
              </w:rPr>
              <w:t>5.6叶片数量</w:t>
            </w:r>
            <w:r>
              <w:rPr>
                <w:rFonts w:hint="eastAsia" w:ascii="宋体" w:hAnsi="宋体" w:cs="宋体"/>
                <w:szCs w:val="21"/>
                <w:lang w:eastAsia="zh-CN"/>
              </w:rPr>
              <w:t>：</w:t>
            </w:r>
            <w:r>
              <w:rPr>
                <w:rFonts w:hint="eastAsia" w:ascii="宋体" w:hAnsi="宋体" w:eastAsia="宋体" w:cs="宋体"/>
                <w:szCs w:val="21"/>
              </w:rPr>
              <w:t>≥114片</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5.7叶片过中心线最大距离</w:t>
            </w:r>
            <w:r>
              <w:rPr>
                <w:rFonts w:hint="eastAsia" w:ascii="宋体" w:hAnsi="宋体" w:cs="宋体"/>
                <w:szCs w:val="21"/>
                <w:lang w:eastAsia="zh-CN"/>
              </w:rPr>
              <w:t>：</w:t>
            </w:r>
            <w:r>
              <w:rPr>
                <w:rFonts w:hint="eastAsia" w:ascii="宋体" w:hAnsi="宋体" w:eastAsia="宋体" w:cs="宋体"/>
                <w:szCs w:val="21"/>
              </w:rPr>
              <w:t>≥14cm，增加动态治疗射野范围</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5.8叶片到位精度</w:t>
            </w:r>
            <w:r>
              <w:rPr>
                <w:rFonts w:hint="eastAsia" w:ascii="宋体" w:hAnsi="宋体" w:cs="宋体"/>
                <w:szCs w:val="21"/>
                <w:lang w:eastAsia="zh-CN"/>
              </w:rPr>
              <w:t>：</w:t>
            </w:r>
            <w:r>
              <w:rPr>
                <w:rFonts w:hint="eastAsia" w:ascii="宋体" w:hAnsi="宋体" w:eastAsia="宋体" w:cs="宋体"/>
                <w:szCs w:val="21"/>
              </w:rPr>
              <w:t>≤±1.0mm</w:t>
            </w:r>
            <w:r>
              <w:rPr>
                <w:rFonts w:hint="eastAsia" w:ascii="宋体" w:hAnsi="宋体" w:cs="宋体"/>
                <w:szCs w:val="21"/>
                <w:lang w:eastAsia="zh-CN"/>
              </w:rPr>
              <w:t>；</w:t>
            </w:r>
          </w:p>
          <w:p>
            <w:pPr>
              <w:textAlignment w:val="baseline"/>
              <w:rPr>
                <w:rFonts w:hint="eastAsia" w:ascii="宋体" w:hAnsi="宋体" w:cs="宋体"/>
                <w:szCs w:val="21"/>
                <w:lang w:eastAsia="zh-CN"/>
              </w:rPr>
            </w:pPr>
            <w:r>
              <w:rPr>
                <w:rFonts w:hint="eastAsia" w:ascii="宋体" w:hAnsi="宋体" w:eastAsia="宋体" w:cs="宋体"/>
                <w:szCs w:val="21"/>
              </w:rPr>
              <w:t>5.9准直器系统平均漏射率：≤0.05%</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cs="宋体"/>
                <w:szCs w:val="21"/>
                <w:lang w:eastAsia="zh-CN"/>
              </w:rPr>
              <w:t>▲5.10单纯多叶准直器射线透射率（不含钨门）：≤0.75%。</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6</w:t>
            </w:r>
            <w:r>
              <w:rPr>
                <w:rFonts w:hint="eastAsia" w:ascii="宋体" w:hAnsi="宋体" w:cs="宋体"/>
                <w:szCs w:val="21"/>
                <w:lang w:val="en-US" w:eastAsia="zh-CN"/>
              </w:rPr>
              <w:t xml:space="preserve"> </w:t>
            </w:r>
            <w:r>
              <w:rPr>
                <w:rFonts w:hint="eastAsia" w:ascii="宋体" w:hAnsi="宋体" w:eastAsia="宋体" w:cs="宋体"/>
                <w:szCs w:val="21"/>
              </w:rPr>
              <w:t>治疗床系统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6.1治疗床</w:t>
            </w:r>
            <w:r>
              <w:rPr>
                <w:rFonts w:hint="eastAsia" w:ascii="宋体" w:hAnsi="宋体" w:cs="宋体"/>
                <w:szCs w:val="21"/>
                <w:lang w:eastAsia="zh-CN"/>
              </w:rPr>
              <w:t>：</w:t>
            </w:r>
            <w:r>
              <w:rPr>
                <w:rFonts w:hint="eastAsia" w:ascii="宋体" w:hAnsi="宋体" w:eastAsia="宋体" w:cs="宋体"/>
                <w:szCs w:val="21"/>
              </w:rPr>
              <w:t>全碳纤维中空床板，并可在控制室遥控</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6.2运动维度</w:t>
            </w:r>
            <w:r>
              <w:rPr>
                <w:rFonts w:hint="eastAsia" w:ascii="宋体" w:hAnsi="宋体" w:cs="宋体"/>
                <w:szCs w:val="21"/>
                <w:lang w:eastAsia="zh-CN"/>
              </w:rPr>
              <w:t>：</w:t>
            </w:r>
            <w:r>
              <w:rPr>
                <w:rFonts w:hint="eastAsia" w:ascii="宋体" w:hAnsi="宋体" w:eastAsia="宋体" w:cs="宋体"/>
                <w:szCs w:val="21"/>
              </w:rPr>
              <w:t>≥3维度调整</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cs="宋体"/>
                <w:szCs w:val="21"/>
              </w:rPr>
              <w:t>▲</w:t>
            </w:r>
            <w:r>
              <w:rPr>
                <w:rFonts w:hint="eastAsia" w:ascii="宋体" w:hAnsi="宋体" w:eastAsia="宋体" w:cs="宋体"/>
                <w:szCs w:val="21"/>
              </w:rPr>
              <w:t>6.3治疗床负载能力</w:t>
            </w:r>
            <w:r>
              <w:rPr>
                <w:rFonts w:hint="eastAsia" w:ascii="宋体" w:hAnsi="宋体" w:cs="宋体"/>
                <w:szCs w:val="21"/>
                <w:lang w:eastAsia="zh-CN"/>
              </w:rPr>
              <w:t>：</w:t>
            </w:r>
            <w:r>
              <w:rPr>
                <w:rFonts w:hint="eastAsia" w:ascii="宋体" w:hAnsi="宋体" w:eastAsia="宋体" w:cs="宋体"/>
                <w:szCs w:val="21"/>
              </w:rPr>
              <w:t>≥220kg</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6.4垂直移动范围</w:t>
            </w:r>
            <w:r>
              <w:rPr>
                <w:rFonts w:hint="eastAsia" w:ascii="宋体" w:hAnsi="宋体" w:cs="宋体"/>
                <w:szCs w:val="21"/>
                <w:lang w:eastAsia="zh-CN"/>
              </w:rPr>
              <w:t>：</w:t>
            </w:r>
            <w:r>
              <w:rPr>
                <w:rFonts w:hint="eastAsia" w:ascii="宋体" w:hAnsi="宋体" w:eastAsia="宋体" w:cs="宋体"/>
                <w:szCs w:val="21"/>
              </w:rPr>
              <w:t>≥47cm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6.5左右移动范围</w:t>
            </w:r>
            <w:r>
              <w:rPr>
                <w:rFonts w:hint="eastAsia" w:ascii="宋体" w:hAnsi="宋体" w:cs="宋体"/>
                <w:szCs w:val="21"/>
                <w:lang w:eastAsia="zh-CN"/>
              </w:rPr>
              <w:t>：</w:t>
            </w:r>
            <w:r>
              <w:rPr>
                <w:rFonts w:hint="eastAsia" w:ascii="宋体" w:hAnsi="宋体" w:eastAsia="宋体" w:cs="宋体"/>
                <w:szCs w:val="21"/>
              </w:rPr>
              <w:t>≥±20.5cm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cs="宋体"/>
                <w:szCs w:val="21"/>
              </w:rPr>
              <w:t>★6.6前后移动范围：≥165cm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6.7治疗床运动分辨率</w:t>
            </w:r>
            <w:r>
              <w:rPr>
                <w:rFonts w:hint="eastAsia" w:ascii="宋体" w:hAnsi="宋体" w:cs="宋体"/>
                <w:szCs w:val="21"/>
                <w:lang w:eastAsia="zh-CN"/>
              </w:rPr>
              <w:t>：</w:t>
            </w:r>
            <w:r>
              <w:rPr>
                <w:rFonts w:hint="eastAsia" w:ascii="宋体" w:hAnsi="宋体" w:eastAsia="宋体" w:cs="宋体"/>
                <w:szCs w:val="21"/>
              </w:rPr>
              <w:t>≤0.1mm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6.8治疗床运动到位精度</w:t>
            </w:r>
            <w:r>
              <w:rPr>
                <w:rFonts w:hint="eastAsia" w:ascii="宋体" w:hAnsi="宋体" w:cs="宋体"/>
                <w:szCs w:val="21"/>
                <w:lang w:eastAsia="zh-CN"/>
              </w:rPr>
              <w:t>：</w:t>
            </w:r>
            <w:r>
              <w:rPr>
                <w:rFonts w:hint="eastAsia" w:ascii="宋体" w:hAnsi="宋体" w:eastAsia="宋体" w:cs="宋体"/>
                <w:szCs w:val="21"/>
              </w:rPr>
              <w:t>≤0.5mm</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7</w:t>
            </w:r>
            <w:r>
              <w:rPr>
                <w:rFonts w:hint="eastAsia" w:ascii="宋体" w:hAnsi="宋体" w:cs="宋体"/>
                <w:szCs w:val="21"/>
                <w:lang w:val="en-US" w:eastAsia="zh-CN"/>
              </w:rPr>
              <w:t xml:space="preserve"> </w:t>
            </w:r>
            <w:r>
              <w:rPr>
                <w:rFonts w:hint="eastAsia" w:ascii="宋体" w:hAnsi="宋体" w:eastAsia="宋体" w:cs="宋体"/>
                <w:szCs w:val="21"/>
              </w:rPr>
              <w:t>机载图像引导系统</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7.1机载CT影像引导系统或KV级机载CBCT影像引导系统</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7.2</w:t>
            </w:r>
            <w:r>
              <w:rPr>
                <w:rFonts w:hint="eastAsia" w:ascii="宋体" w:hAnsi="宋体" w:eastAsia="宋体" w:cs="宋体"/>
                <w:szCs w:val="21"/>
              </w:rPr>
              <w:tab/>
            </w:r>
            <w:r>
              <w:rPr>
                <w:rFonts w:hint="eastAsia" w:ascii="宋体" w:hAnsi="宋体" w:eastAsia="宋体" w:cs="宋体"/>
                <w:szCs w:val="21"/>
              </w:rPr>
              <w:t>2D/3D/4D图像浏览和图像操作</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7.3标记和编辑摆位点</w:t>
            </w:r>
            <w:r>
              <w:rPr>
                <w:rFonts w:hint="eastAsia" w:ascii="宋体" w:hAnsi="宋体" w:eastAsia="宋体" w:cs="宋体"/>
                <w:szCs w:val="21"/>
              </w:rPr>
              <w:tab/>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7.4最大图像重建矩阵</w:t>
            </w:r>
            <w:r>
              <w:rPr>
                <w:rFonts w:hint="eastAsia" w:ascii="宋体" w:hAnsi="宋体" w:cs="宋体"/>
                <w:szCs w:val="21"/>
                <w:lang w:eastAsia="zh-CN"/>
              </w:rPr>
              <w:t>：</w:t>
            </w:r>
            <w:r>
              <w:rPr>
                <w:rFonts w:hint="eastAsia" w:ascii="宋体" w:hAnsi="宋体" w:eastAsia="宋体" w:cs="宋体"/>
                <w:szCs w:val="21"/>
              </w:rPr>
              <w:t>≥1024×1024</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7.5影像引导功能</w:t>
            </w:r>
            <w:r>
              <w:rPr>
                <w:rFonts w:hint="eastAsia" w:ascii="宋体" w:hAnsi="宋体" w:cs="宋体"/>
                <w:szCs w:val="21"/>
                <w:lang w:eastAsia="zh-CN"/>
              </w:rPr>
              <w:t>：</w:t>
            </w:r>
            <w:r>
              <w:rPr>
                <w:rFonts w:hint="eastAsia" w:ascii="宋体" w:hAnsi="宋体" w:eastAsia="宋体" w:cs="宋体"/>
                <w:szCs w:val="21"/>
              </w:rPr>
              <w:t>提供4D CT或4D CBCT影像引导功能或提供迭代CBCT</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7.6最大X射线球管电压</w:t>
            </w:r>
            <w:r>
              <w:rPr>
                <w:rFonts w:hint="eastAsia" w:ascii="宋体" w:hAnsi="宋体" w:cs="宋体"/>
                <w:szCs w:val="21"/>
                <w:lang w:eastAsia="zh-CN"/>
              </w:rPr>
              <w:t>：</w:t>
            </w:r>
            <w:r>
              <w:rPr>
                <w:rFonts w:hint="eastAsia" w:ascii="宋体" w:hAnsi="宋体" w:eastAsia="宋体" w:cs="宋体"/>
                <w:szCs w:val="21"/>
              </w:rPr>
              <w:t>≥140KV</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7.7最小X射线球管电压</w:t>
            </w:r>
            <w:r>
              <w:rPr>
                <w:rFonts w:hint="eastAsia" w:ascii="宋体" w:hAnsi="宋体" w:cs="宋体"/>
                <w:szCs w:val="21"/>
                <w:lang w:eastAsia="zh-CN"/>
              </w:rPr>
              <w:t>：</w:t>
            </w:r>
            <w:r>
              <w:rPr>
                <w:rFonts w:hint="eastAsia" w:ascii="宋体" w:hAnsi="宋体" w:eastAsia="宋体" w:cs="宋体"/>
                <w:szCs w:val="21"/>
              </w:rPr>
              <w:t>≤80KV</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7.8最大扫描视野</w:t>
            </w:r>
            <w:r>
              <w:rPr>
                <w:rFonts w:hint="eastAsia" w:ascii="宋体" w:hAnsi="宋体" w:cs="宋体"/>
                <w:szCs w:val="21"/>
                <w:lang w:eastAsia="zh-CN"/>
              </w:rPr>
              <w:t>：</w:t>
            </w:r>
            <w:r>
              <w:rPr>
                <w:rFonts w:hint="eastAsia" w:ascii="宋体" w:hAnsi="宋体" w:eastAsia="宋体" w:cs="宋体"/>
                <w:szCs w:val="21"/>
              </w:rPr>
              <w:t>≥45cm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7.9</w:t>
            </w:r>
            <w:r>
              <w:rPr>
                <w:rFonts w:hint="eastAsia" w:ascii="宋体" w:hAnsi="宋体" w:eastAsia="宋体" w:cs="宋体"/>
                <w:szCs w:val="21"/>
              </w:rPr>
              <w:tab/>
            </w:r>
            <w:r>
              <w:rPr>
                <w:rFonts w:hint="eastAsia" w:ascii="宋体" w:hAnsi="宋体" w:eastAsia="宋体" w:cs="宋体"/>
                <w:szCs w:val="21"/>
              </w:rPr>
              <w:t>IGRT 精度</w:t>
            </w:r>
            <w:r>
              <w:rPr>
                <w:rFonts w:hint="eastAsia" w:ascii="宋体" w:hAnsi="宋体" w:cs="宋体"/>
                <w:szCs w:val="21"/>
                <w:lang w:eastAsia="zh-CN"/>
              </w:rPr>
              <w:t>：</w:t>
            </w:r>
            <w:r>
              <w:rPr>
                <w:rFonts w:hint="eastAsia" w:ascii="宋体" w:hAnsi="宋体" w:eastAsia="宋体" w:cs="宋体"/>
                <w:szCs w:val="21"/>
              </w:rPr>
              <w:t>≤1mm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7.10探测器空间分辨率</w:t>
            </w:r>
            <w:r>
              <w:rPr>
                <w:rFonts w:hint="eastAsia" w:ascii="宋体" w:hAnsi="宋体" w:cs="宋体"/>
                <w:szCs w:val="21"/>
                <w:lang w:eastAsia="zh-CN"/>
              </w:rPr>
              <w:t>：</w:t>
            </w:r>
            <w:r>
              <w:rPr>
                <w:rFonts w:hint="eastAsia" w:ascii="宋体" w:hAnsi="宋体" w:eastAsia="宋体" w:cs="宋体"/>
                <w:szCs w:val="21"/>
              </w:rPr>
              <w:t>≥7LP/CM@0MTF</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7.11</w:t>
            </w:r>
            <w:r>
              <w:rPr>
                <w:rFonts w:hint="eastAsia" w:ascii="宋体" w:hAnsi="宋体" w:cs="宋体"/>
                <w:szCs w:val="21"/>
                <w:lang w:val="en-US" w:eastAsia="zh-CN"/>
              </w:rPr>
              <w:t xml:space="preserve"> </w:t>
            </w:r>
            <w:r>
              <w:rPr>
                <w:rFonts w:hint="eastAsia" w:ascii="宋体" w:hAnsi="宋体" w:eastAsia="宋体" w:cs="宋体"/>
                <w:szCs w:val="21"/>
              </w:rPr>
              <w:t>KV级影像系统扫描孔径</w:t>
            </w:r>
            <w:r>
              <w:rPr>
                <w:rFonts w:hint="eastAsia" w:ascii="宋体" w:hAnsi="宋体" w:cs="宋体"/>
                <w:szCs w:val="21"/>
                <w:lang w:eastAsia="zh-CN"/>
              </w:rPr>
              <w:t>：</w:t>
            </w:r>
            <w:r>
              <w:rPr>
                <w:rFonts w:hint="eastAsia" w:ascii="宋体" w:hAnsi="宋体" w:eastAsia="宋体" w:cs="宋体"/>
                <w:szCs w:val="21"/>
              </w:rPr>
              <w:t>≥90cm</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8</w:t>
            </w:r>
            <w:r>
              <w:rPr>
                <w:rFonts w:hint="eastAsia" w:ascii="宋体" w:hAnsi="宋体" w:cs="宋体"/>
                <w:szCs w:val="21"/>
                <w:lang w:val="en-US" w:eastAsia="zh-CN"/>
              </w:rPr>
              <w:t xml:space="preserve"> </w:t>
            </w:r>
            <w:r>
              <w:rPr>
                <w:rFonts w:hint="eastAsia" w:ascii="宋体" w:hAnsi="宋体" w:eastAsia="宋体" w:cs="宋体"/>
                <w:szCs w:val="21"/>
              </w:rPr>
              <w:t>EPID成像系统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8.1有效感应面积</w:t>
            </w:r>
            <w:r>
              <w:rPr>
                <w:rFonts w:hint="eastAsia" w:ascii="宋体" w:hAnsi="宋体" w:cs="宋体"/>
                <w:szCs w:val="21"/>
                <w:lang w:eastAsia="zh-CN"/>
              </w:rPr>
              <w:t>：</w:t>
            </w:r>
            <w:r>
              <w:rPr>
                <w:rFonts w:hint="eastAsia" w:ascii="宋体" w:hAnsi="宋体" w:eastAsia="宋体" w:cs="宋体"/>
                <w:szCs w:val="21"/>
              </w:rPr>
              <w:t>≥43cm×43cm</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8.2像素灰度分辨率</w:t>
            </w:r>
            <w:r>
              <w:rPr>
                <w:rFonts w:hint="eastAsia" w:ascii="宋体" w:hAnsi="宋体" w:cs="宋体"/>
                <w:szCs w:val="21"/>
                <w:lang w:eastAsia="zh-CN"/>
              </w:rPr>
              <w:t>：</w:t>
            </w:r>
            <w:r>
              <w:rPr>
                <w:rFonts w:hint="eastAsia" w:ascii="宋体" w:hAnsi="宋体" w:eastAsia="宋体" w:cs="宋体"/>
                <w:szCs w:val="21"/>
              </w:rPr>
              <w:t>≥16bit/pixel</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8.</w:t>
            </w:r>
            <w:r>
              <w:rPr>
                <w:rFonts w:hint="eastAsia" w:ascii="宋体" w:hAnsi="宋体" w:cs="宋体"/>
                <w:szCs w:val="21"/>
                <w:lang w:val="en-US" w:eastAsia="zh-CN"/>
              </w:rPr>
              <w:t>3</w:t>
            </w:r>
            <w:r>
              <w:rPr>
                <w:rFonts w:hint="eastAsia" w:ascii="宋体" w:hAnsi="宋体" w:eastAsia="宋体" w:cs="宋体"/>
                <w:szCs w:val="21"/>
              </w:rPr>
              <w:tab/>
            </w:r>
            <w:r>
              <w:rPr>
                <w:rFonts w:hint="eastAsia" w:ascii="宋体" w:hAnsi="宋体" w:eastAsia="宋体" w:cs="宋体"/>
                <w:szCs w:val="21"/>
              </w:rPr>
              <w:t>治疗野成像</w:t>
            </w:r>
            <w:r>
              <w:rPr>
                <w:rFonts w:hint="eastAsia" w:ascii="宋体" w:hAnsi="宋体" w:cs="宋体"/>
                <w:szCs w:val="21"/>
                <w:lang w:eastAsia="zh-CN"/>
              </w:rPr>
              <w:t>：</w:t>
            </w:r>
            <w:r>
              <w:rPr>
                <w:rFonts w:hint="eastAsia" w:ascii="宋体" w:hAnsi="宋体" w:eastAsia="宋体" w:cs="宋体"/>
                <w:szCs w:val="21"/>
              </w:rPr>
              <w:t>支持6MV FFF治疗野二维单野成像</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 xml:space="preserve"> </w:t>
            </w:r>
            <w:r>
              <w:rPr>
                <w:rFonts w:hint="eastAsia" w:ascii="宋体" w:hAnsi="宋体" w:eastAsia="宋体" w:cs="宋体"/>
                <w:szCs w:val="21"/>
              </w:rPr>
              <w:t>EPID质控系统</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9.1基于EPID的加速器质控功能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9.2支持一键式EPID设备质控自动执行</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9.3支持对MLC进行检测（提供工作照片证明）</w:t>
            </w:r>
            <w:r>
              <w:rPr>
                <w:rFonts w:hint="eastAsia" w:ascii="宋体" w:hAnsi="宋体" w:cs="宋体"/>
                <w:szCs w:val="21"/>
                <w:lang w:eastAsia="zh-CN"/>
              </w:rPr>
              <w:t>；</w:t>
            </w:r>
            <w:r>
              <w:rPr>
                <w:rFonts w:hint="eastAsia" w:ascii="宋体" w:hAnsi="宋体" w:eastAsia="宋体" w:cs="宋体"/>
                <w:szCs w:val="21"/>
              </w:rPr>
              <w:t>支持对准直器系统进行检测（提供工作照片证明）；支持对束流系统进行检测（提供工作照片证明）；</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4</w:t>
            </w:r>
            <w:r>
              <w:rPr>
                <w:rFonts w:hint="eastAsia" w:ascii="宋体" w:hAnsi="宋体" w:eastAsia="宋体" w:cs="宋体"/>
                <w:szCs w:val="21"/>
              </w:rPr>
              <w:t>支持对治疗床进行检测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5</w:t>
            </w:r>
            <w:r>
              <w:rPr>
                <w:rFonts w:hint="eastAsia" w:ascii="宋体" w:hAnsi="宋体" w:eastAsia="宋体" w:cs="宋体"/>
                <w:szCs w:val="21"/>
              </w:rPr>
              <w:t>支持对机架进行检测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6</w:t>
            </w:r>
            <w:r>
              <w:rPr>
                <w:rFonts w:hint="eastAsia" w:ascii="宋体" w:hAnsi="宋体" w:eastAsia="宋体" w:cs="宋体"/>
                <w:szCs w:val="21"/>
              </w:rPr>
              <w:t>支持对治疗等中心进行检测</w:t>
            </w:r>
            <w:r>
              <w:rPr>
                <w:rFonts w:hint="eastAsia" w:ascii="宋体" w:hAnsi="宋体" w:cs="宋体"/>
                <w:szCs w:val="21"/>
                <w:lang w:eastAsia="zh-CN"/>
              </w:rPr>
              <w:t>；</w:t>
            </w:r>
            <w:r>
              <w:rPr>
                <w:rFonts w:hint="eastAsia" w:ascii="宋体" w:hAnsi="宋体" w:eastAsia="宋体" w:cs="宋体"/>
                <w:szCs w:val="21"/>
              </w:rPr>
              <w:tab/>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7</w:t>
            </w:r>
            <w:r>
              <w:rPr>
                <w:rFonts w:hint="eastAsia" w:ascii="宋体" w:hAnsi="宋体" w:eastAsia="宋体" w:cs="宋体"/>
                <w:szCs w:val="21"/>
              </w:rPr>
              <w:t>支持对EPID进行检测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9.</w:t>
            </w:r>
            <w:r>
              <w:rPr>
                <w:rFonts w:hint="eastAsia" w:ascii="宋体" w:hAnsi="宋体" w:cs="宋体"/>
                <w:szCs w:val="21"/>
                <w:lang w:val="en-US" w:eastAsia="zh-CN"/>
              </w:rPr>
              <w:t>8</w:t>
            </w:r>
            <w:r>
              <w:rPr>
                <w:rFonts w:hint="eastAsia" w:ascii="宋体" w:hAnsi="宋体" w:eastAsia="宋体" w:cs="宋体"/>
                <w:szCs w:val="21"/>
              </w:rPr>
              <w:t>支持生成质控工作报告功能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10</w:t>
            </w:r>
            <w:r>
              <w:rPr>
                <w:rFonts w:hint="eastAsia" w:ascii="宋体" w:hAnsi="宋体" w:cs="宋体"/>
                <w:szCs w:val="21"/>
                <w:lang w:val="en-US" w:eastAsia="zh-CN"/>
              </w:rPr>
              <w:t xml:space="preserve"> </w:t>
            </w:r>
            <w:r>
              <w:rPr>
                <w:rFonts w:hint="eastAsia" w:ascii="宋体" w:hAnsi="宋体" w:eastAsia="宋体" w:cs="宋体"/>
                <w:szCs w:val="21"/>
              </w:rPr>
              <w:t>治疗模式</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10.1</w:t>
            </w:r>
            <w:r>
              <w:rPr>
                <w:rFonts w:hint="eastAsia" w:ascii="宋体" w:hAnsi="宋体" w:cs="宋体"/>
                <w:szCs w:val="21"/>
                <w:lang w:val="en-US" w:eastAsia="zh-CN"/>
              </w:rPr>
              <w:t xml:space="preserve"> </w:t>
            </w:r>
            <w:r>
              <w:rPr>
                <w:rFonts w:hint="eastAsia" w:ascii="宋体" w:hAnsi="宋体" w:eastAsia="宋体" w:cs="宋体"/>
                <w:szCs w:val="21"/>
              </w:rPr>
              <w:t>dIMRT动态调强放疗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10.2</w:t>
            </w:r>
            <w:r>
              <w:rPr>
                <w:rFonts w:hint="eastAsia" w:ascii="宋体" w:hAnsi="宋体" w:cs="宋体"/>
                <w:szCs w:val="21"/>
                <w:lang w:val="en-US" w:eastAsia="zh-CN"/>
              </w:rPr>
              <w:t xml:space="preserve"> </w:t>
            </w:r>
            <w:r>
              <w:rPr>
                <w:rFonts w:hint="eastAsia" w:ascii="宋体" w:hAnsi="宋体" w:eastAsia="宋体" w:cs="宋体"/>
                <w:szCs w:val="21"/>
              </w:rPr>
              <w:t>sIMRT静态调强放疗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10.3</w:t>
            </w:r>
            <w:r>
              <w:rPr>
                <w:rFonts w:hint="eastAsia" w:ascii="宋体" w:hAnsi="宋体" w:cs="宋体"/>
                <w:szCs w:val="21"/>
                <w:lang w:val="en-US" w:eastAsia="zh-CN"/>
              </w:rPr>
              <w:t xml:space="preserve"> </w:t>
            </w:r>
            <w:r>
              <w:rPr>
                <w:rFonts w:hint="eastAsia" w:ascii="宋体" w:hAnsi="宋体" w:eastAsia="宋体" w:cs="宋体"/>
                <w:szCs w:val="21"/>
              </w:rPr>
              <w:t>3D-CRT三维适形放疗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▲10.4容积旋转调强放疗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cs="宋体"/>
                <w:szCs w:val="21"/>
                <w:lang w:eastAsia="zh-CN"/>
              </w:rPr>
            </w:pPr>
            <w:r>
              <w:rPr>
                <w:rFonts w:hint="eastAsia" w:ascii="宋体" w:hAnsi="宋体" w:cs="宋体"/>
                <w:szCs w:val="21"/>
              </w:rPr>
              <w:t>★</w:t>
            </w:r>
            <w:r>
              <w:rPr>
                <w:rFonts w:hint="eastAsia" w:ascii="宋体" w:hAnsi="宋体" w:eastAsia="宋体" w:cs="宋体"/>
                <w:szCs w:val="21"/>
              </w:rPr>
              <w:t>10.5立体定向体部放射治疗（SBRT）</w:t>
            </w:r>
            <w:r>
              <w:rPr>
                <w:rFonts w:hint="eastAsia" w:ascii="宋体" w:hAnsi="宋体" w:cs="宋体"/>
                <w:szCs w:val="21"/>
                <w:lang w:eastAsia="zh-CN"/>
              </w:rPr>
              <w:t>：</w:t>
            </w:r>
            <w:r>
              <w:rPr>
                <w:rFonts w:hint="eastAsia" w:ascii="宋体" w:hAnsi="宋体" w:eastAsia="宋体" w:cs="宋体"/>
                <w:szCs w:val="21"/>
              </w:rPr>
              <w:t>提供直线加速器注册证材料</w:t>
            </w:r>
            <w:r>
              <w:rPr>
                <w:rFonts w:hint="eastAsia" w:ascii="宋体" w:hAnsi="宋体" w:cs="宋体"/>
                <w:szCs w:val="21"/>
                <w:lang w:eastAsia="zh-CN"/>
              </w:rPr>
              <w:t>；</w:t>
            </w:r>
          </w:p>
          <w:p>
            <w:pPr>
              <w:spacing w:after="0" w:line="240" w:lineRule="auto"/>
              <w:textAlignment w:val="baseline"/>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★10.6提供可应用于临床的在线自适应放疗整套软硬件解决方案：（提供3家以上开展在线自适应放疗临床用户名单及联系人、联系方式及相应中标通知书或中标公告）。</w:t>
            </w:r>
          </w:p>
          <w:p>
            <w:pPr>
              <w:textAlignment w:val="baseline"/>
              <w:rPr>
                <w:rFonts w:hint="eastAsia" w:ascii="宋体" w:hAnsi="宋体" w:eastAsia="宋体" w:cs="宋体"/>
                <w:szCs w:val="21"/>
              </w:rPr>
            </w:pPr>
            <w:r>
              <w:rPr>
                <w:rFonts w:hint="eastAsia" w:ascii="宋体" w:hAnsi="宋体" w:eastAsia="宋体" w:cs="宋体"/>
                <w:szCs w:val="21"/>
              </w:rPr>
              <w:t>11</w:t>
            </w:r>
            <w:r>
              <w:rPr>
                <w:rFonts w:hint="eastAsia" w:ascii="宋体" w:hAnsi="宋体" w:cs="宋体"/>
                <w:szCs w:val="21"/>
                <w:lang w:val="en-US" w:eastAsia="zh-CN"/>
              </w:rPr>
              <w:t xml:space="preserve"> </w:t>
            </w:r>
            <w:r>
              <w:rPr>
                <w:rFonts w:hint="eastAsia" w:ascii="宋体" w:hAnsi="宋体" w:eastAsia="宋体" w:cs="宋体"/>
                <w:szCs w:val="21"/>
              </w:rPr>
              <w:t>放射治疗计划系统</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w:t>
            </w:r>
            <w:r>
              <w:rPr>
                <w:rFonts w:hint="eastAsia" w:ascii="宋体" w:hAnsi="宋体" w:cs="宋体"/>
                <w:szCs w:val="21"/>
                <w:lang w:val="en-US" w:eastAsia="zh-CN"/>
              </w:rPr>
              <w:t xml:space="preserve"> </w:t>
            </w:r>
            <w:r>
              <w:rPr>
                <w:rFonts w:hint="eastAsia" w:ascii="宋体" w:hAnsi="宋体" w:eastAsia="宋体" w:cs="宋体"/>
                <w:szCs w:val="21"/>
              </w:rPr>
              <w:t>TPS物理师工作站≥2台，TPS医生工作站≥6台，提供型号为交货时上市的最高硬件配置和最新软件版本,兼容采购人指定的原有放射治疗设备</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cs="宋体"/>
                <w:szCs w:val="21"/>
              </w:rPr>
              <w:t>▲11.2放射治疗计划系统及所投放射治疗设备须为同一品牌，（提供NMPA注册证佐证，注册人名称须一致）,支持所有系统统一数据平台；</w:t>
            </w:r>
          </w:p>
          <w:p>
            <w:pPr>
              <w:textAlignment w:val="baseline"/>
              <w:rPr>
                <w:rFonts w:hint="eastAsia" w:ascii="宋体" w:hAnsi="宋体" w:eastAsia="宋体" w:cs="宋体"/>
                <w:szCs w:val="21"/>
              </w:rPr>
            </w:pPr>
            <w:r>
              <w:rPr>
                <w:rFonts w:hint="eastAsia" w:ascii="宋体" w:hAnsi="宋体" w:eastAsia="宋体" w:cs="宋体"/>
                <w:szCs w:val="21"/>
              </w:rPr>
              <w:t>11.3支持个性化自定义系统界面布局</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11.4支持CT，MRI，PET，CR，RT Image等 DICOM标准图像导入导出</w:t>
            </w:r>
            <w:r>
              <w:rPr>
                <w:rFonts w:hint="eastAsia" w:ascii="宋体" w:hAnsi="宋体" w:cs="宋体"/>
                <w:szCs w:val="21"/>
                <w:lang w:eastAsia="zh-CN"/>
              </w:rPr>
              <w:t>；</w:t>
            </w:r>
            <w:r>
              <w:rPr>
                <w:rFonts w:hint="eastAsia" w:ascii="宋体" w:hAnsi="宋体" w:eastAsia="宋体" w:cs="宋体"/>
                <w:szCs w:val="21"/>
              </w:rPr>
              <w:t>11.5支持从本地路径或其他AE节点导入导出DICOM数据</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11.6</w:t>
            </w:r>
            <w:r>
              <w:rPr>
                <w:rFonts w:hint="eastAsia" w:ascii="宋体" w:hAnsi="宋体" w:cs="宋体"/>
                <w:szCs w:val="21"/>
                <w:lang w:val="en-US" w:eastAsia="zh-CN"/>
              </w:rPr>
              <w:t xml:space="preserve"> </w:t>
            </w:r>
            <w:r>
              <w:rPr>
                <w:rFonts w:hint="eastAsia" w:ascii="宋体" w:hAnsi="宋体" w:eastAsia="宋体" w:cs="宋体"/>
                <w:szCs w:val="21"/>
              </w:rPr>
              <w:t>RT Plan，RT Dose，RT Structure，RT Record格式的数据导入导出</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11.7支持高级勾画工具（点勾画线、智能勾画、推画、画圆、画方、形变拖拽、及删除、编辑工具）</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11.8基于人工智能的多器官自动勾画功能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11.9支持多模态影像融合（CT-CT、CT-MR、CT-PET)</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11.10支持脚本创建与调用功能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11.11多种自定义模板</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11.12光子计划制作</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11.13三维卷积剂量计算算法</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11.14蒙特卡洛精度剂量计算算法</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11.15</w:t>
            </w:r>
            <w:r>
              <w:rPr>
                <w:rFonts w:hint="eastAsia" w:ascii="宋体" w:hAnsi="宋体" w:cs="宋体"/>
                <w:szCs w:val="21"/>
                <w:lang w:val="en-US" w:eastAsia="zh-CN"/>
              </w:rPr>
              <w:t xml:space="preserve"> </w:t>
            </w:r>
            <w:r>
              <w:rPr>
                <w:rFonts w:hint="eastAsia" w:ascii="宋体" w:hAnsi="宋体" w:eastAsia="宋体" w:cs="宋体"/>
                <w:szCs w:val="21"/>
              </w:rPr>
              <w:t>GPU加速架构</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11.16全局最大剂量控制</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11.17多靶心计划的剂量计算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11.18添加组织补偿物计算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12</w:t>
            </w:r>
            <w:r>
              <w:rPr>
                <w:rFonts w:hint="eastAsia" w:ascii="宋体" w:hAnsi="宋体" w:cs="宋体"/>
                <w:szCs w:val="21"/>
                <w:lang w:val="en-US" w:eastAsia="zh-CN"/>
              </w:rPr>
              <w:t xml:space="preserve"> </w:t>
            </w:r>
            <w:r>
              <w:rPr>
                <w:rFonts w:hint="eastAsia" w:ascii="宋体" w:hAnsi="宋体" w:eastAsia="宋体" w:cs="宋体"/>
                <w:szCs w:val="21"/>
              </w:rPr>
              <w:t>放疗专用肿瘤信息管理系统</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12.1支持多种系统的连接，支持加速器、模拟定位设备和计划系统的连接</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12.2一体化数据库和患者管理，患者数据和治疗数据存储在一个数据库中</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cs="宋体"/>
                <w:szCs w:val="21"/>
              </w:rPr>
              <w:t>12.3支持对患者信息进行管理；支持患者流程状态概览；支持患者预约功能；支持用户权限管理；支持对治疗计划进行排程；支持治疗信息记录</w:t>
            </w:r>
            <w:r>
              <w:rPr>
                <w:rFonts w:hint="eastAsia" w:ascii="宋体" w:hAnsi="宋体" w:cs="宋体"/>
                <w:szCs w:val="21"/>
                <w:lang w:eastAsia="zh-CN"/>
              </w:rPr>
              <w:t>；</w:t>
            </w:r>
            <w:r>
              <w:rPr>
                <w:rFonts w:hint="eastAsia" w:ascii="宋体" w:hAnsi="宋体" w:eastAsia="宋体" w:cs="宋体"/>
                <w:szCs w:val="21"/>
              </w:rPr>
              <w:t>支持对质控数据的记录与统计分析</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12.</w:t>
            </w:r>
            <w:r>
              <w:rPr>
                <w:rFonts w:hint="eastAsia" w:ascii="宋体" w:hAnsi="宋体" w:cs="宋体"/>
                <w:szCs w:val="21"/>
                <w:lang w:val="en-US" w:eastAsia="zh-CN"/>
              </w:rPr>
              <w:t>4</w:t>
            </w:r>
            <w:r>
              <w:rPr>
                <w:rFonts w:hint="eastAsia" w:ascii="宋体" w:hAnsi="宋体" w:eastAsia="宋体" w:cs="宋体"/>
                <w:szCs w:val="21"/>
              </w:rPr>
              <w:t>支持数据批量备份与恢复</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13放疗专用激光灯系统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13.1安装模式</w:t>
            </w:r>
            <w:r>
              <w:rPr>
                <w:rFonts w:hint="eastAsia" w:ascii="宋体" w:hAnsi="宋体" w:cs="宋体"/>
                <w:szCs w:val="21"/>
                <w:lang w:eastAsia="zh-CN"/>
              </w:rPr>
              <w:t>：</w:t>
            </w:r>
            <w:r>
              <w:rPr>
                <w:rFonts w:hint="eastAsia" w:ascii="宋体" w:hAnsi="宋体" w:eastAsia="宋体" w:cs="宋体"/>
                <w:szCs w:val="21"/>
              </w:rPr>
              <w:t>固定式</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▲13.2激光发射器数量</w:t>
            </w:r>
            <w:r>
              <w:rPr>
                <w:rFonts w:hint="eastAsia" w:ascii="宋体" w:hAnsi="宋体" w:cs="宋体"/>
                <w:szCs w:val="21"/>
                <w:lang w:eastAsia="zh-CN"/>
              </w:rPr>
              <w:t>：</w:t>
            </w:r>
            <w:r>
              <w:rPr>
                <w:rFonts w:hint="eastAsia" w:ascii="宋体" w:hAnsi="宋体" w:eastAsia="宋体" w:cs="宋体"/>
                <w:szCs w:val="21"/>
              </w:rPr>
              <w:t>三个</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13.3激光类型</w:t>
            </w:r>
            <w:r>
              <w:rPr>
                <w:rFonts w:hint="eastAsia" w:ascii="宋体" w:hAnsi="宋体" w:cs="宋体"/>
                <w:szCs w:val="21"/>
                <w:lang w:eastAsia="zh-CN"/>
              </w:rPr>
              <w:t>：</w:t>
            </w:r>
            <w:r>
              <w:rPr>
                <w:rFonts w:hint="eastAsia" w:ascii="宋体" w:hAnsi="宋体" w:eastAsia="宋体" w:cs="宋体"/>
                <w:szCs w:val="21"/>
              </w:rPr>
              <w:t>激光二极管</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13.4定位精度</w:t>
            </w:r>
            <w:r>
              <w:rPr>
                <w:rFonts w:hint="eastAsia" w:ascii="宋体" w:hAnsi="宋体" w:cs="宋体"/>
                <w:szCs w:val="21"/>
                <w:lang w:eastAsia="zh-CN"/>
              </w:rPr>
              <w:t>：</w:t>
            </w:r>
            <w:r>
              <w:rPr>
                <w:rFonts w:hint="eastAsia" w:ascii="宋体" w:hAnsi="宋体" w:eastAsia="宋体" w:cs="宋体"/>
                <w:szCs w:val="21"/>
              </w:rPr>
              <w:t>±1mm</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14</w:t>
            </w:r>
            <w:r>
              <w:rPr>
                <w:rFonts w:hint="eastAsia" w:ascii="宋体" w:hAnsi="宋体" w:cs="宋体"/>
                <w:szCs w:val="21"/>
                <w:lang w:val="en-US" w:eastAsia="zh-CN"/>
              </w:rPr>
              <w:t xml:space="preserve"> </w:t>
            </w:r>
            <w:r>
              <w:rPr>
                <w:rFonts w:hint="eastAsia" w:ascii="宋体" w:hAnsi="宋体" w:eastAsia="宋体" w:cs="宋体"/>
                <w:szCs w:val="21"/>
              </w:rPr>
              <w:t>三维调强验证系统</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14.1探头类型：应配置适用于辐射剂量测量的半导体探头；探头数量：＞1300；矩阵直径：≥20cm；矩阵长度：≥20cm；分辨率：≤1.0cm；探头几何分布：螺旋栅格；探头有效平面尺寸：≤2.8mm×2.8mm</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14.2电离室高度：＜3mm；探头有效体积：＜0.06cm³；探头灵敏度：≥30nC/Gy；探头灵敏度：≥30nC/Gy；探测器稳定性：0.5%kGy at 6MV；采样频率：≤50ms</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14.3模体形状：应采用圆筒形设计；支持检测采购人现有需使用测量中一个计划的所有射线；各向一致性：360度设置均有探头面切线与射束垂直</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14.4剂量校准：剂量校准时无需拆模体，剂量校准不需要电离室</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14.5电器元件 联接：至少支持RS232和USB串口联接；电源数据线：≥25米；电源：100-240 VAC，50-60 Hz；预热时间：小于5分钟</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14.6适用能量范围：光子：至少支持Co-60 - 25 MV；电子线：至少支持6 MeV–25 MeV</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14.7建成区探测器物理深度（不加固体水）：≥7.5mm</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14.8测量方式：应同时测量入射和出射剂量，以便获取更多数据执行更详尽的分析</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14.9</w:t>
            </w:r>
            <w:r>
              <w:rPr>
                <w:rFonts w:hint="eastAsia" w:ascii="宋体" w:hAnsi="宋体" w:cs="宋体"/>
                <w:szCs w:val="21"/>
                <w:lang w:val="en-US" w:eastAsia="zh-CN"/>
              </w:rPr>
              <w:t xml:space="preserve"> </w:t>
            </w:r>
            <w:r>
              <w:rPr>
                <w:rFonts w:hint="eastAsia" w:ascii="宋体" w:hAnsi="宋体" w:eastAsia="宋体" w:cs="宋体"/>
                <w:szCs w:val="21"/>
              </w:rPr>
              <w:t>TPS接口兼容市场主流TPS，支持可应用DICOM格式导入</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14.10应用程序功能配置支持IMRT，VMAT，SBRT，MRgRT的验证</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14.11数据分析：可进行相对剂量和绝对剂量分析比较，可完成DTA和Gamma计算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14.1</w:t>
            </w:r>
            <w:r>
              <w:rPr>
                <w:rFonts w:hint="eastAsia" w:ascii="宋体" w:hAnsi="宋体" w:cs="宋体"/>
                <w:szCs w:val="21"/>
                <w:lang w:val="en-US" w:eastAsia="zh-CN"/>
              </w:rPr>
              <w:t>2</w:t>
            </w:r>
            <w:r>
              <w:rPr>
                <w:rFonts w:hint="eastAsia" w:ascii="宋体" w:hAnsi="宋体" w:eastAsia="宋体" w:cs="宋体"/>
                <w:szCs w:val="21"/>
              </w:rPr>
              <w:t>支持自动校准深度、SSD和病人结构；4D分析：测量并关联机架角度、叶端位置、绝对剂量和时间进行分析</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14.1</w:t>
            </w:r>
            <w:r>
              <w:rPr>
                <w:rFonts w:hint="eastAsia" w:ascii="宋体" w:hAnsi="宋体" w:cs="宋体"/>
                <w:szCs w:val="21"/>
                <w:lang w:val="en-US" w:eastAsia="zh-CN"/>
              </w:rPr>
              <w:t>3</w:t>
            </w:r>
            <w:r>
              <w:rPr>
                <w:rFonts w:hint="eastAsia" w:ascii="宋体" w:hAnsi="宋体" w:eastAsia="宋体" w:cs="宋体"/>
                <w:szCs w:val="21"/>
              </w:rPr>
              <w:t>角度测量：设备自动测量机架角度，无需额外增加模体、支架或角度传感器</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14.1</w:t>
            </w:r>
            <w:r>
              <w:rPr>
                <w:rFonts w:hint="eastAsia" w:ascii="宋体" w:hAnsi="宋体" w:cs="宋体"/>
                <w:szCs w:val="21"/>
                <w:lang w:val="en-US" w:eastAsia="zh-CN"/>
              </w:rPr>
              <w:t>4</w:t>
            </w:r>
            <w:r>
              <w:rPr>
                <w:rFonts w:hint="eastAsia" w:ascii="宋体" w:hAnsi="宋体" w:eastAsia="宋体" w:cs="宋体"/>
                <w:szCs w:val="21"/>
              </w:rPr>
              <w:t>配置定制化中心插件：非均匀的中心插件，包含肌肉、骨骼、肺、脂肪、钛合金等不同密度插件</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14.1</w:t>
            </w:r>
            <w:r>
              <w:rPr>
                <w:rFonts w:hint="eastAsia" w:ascii="宋体" w:hAnsi="宋体" w:cs="宋体"/>
                <w:szCs w:val="21"/>
                <w:lang w:val="en-US" w:eastAsia="zh-CN"/>
              </w:rPr>
              <w:t>5</w:t>
            </w:r>
            <w:r>
              <w:rPr>
                <w:rFonts w:hint="eastAsia" w:ascii="宋体" w:hAnsi="宋体" w:eastAsia="宋体" w:cs="宋体"/>
                <w:szCs w:val="21"/>
              </w:rPr>
              <w:t>支持生成和打印报告</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14.1</w:t>
            </w:r>
            <w:r>
              <w:rPr>
                <w:rFonts w:hint="eastAsia" w:ascii="宋体" w:hAnsi="宋体" w:cs="宋体"/>
                <w:szCs w:val="21"/>
                <w:lang w:val="en-US" w:eastAsia="zh-CN"/>
              </w:rPr>
              <w:t>6</w:t>
            </w:r>
            <w:r>
              <w:rPr>
                <w:rFonts w:hint="eastAsia" w:ascii="宋体" w:hAnsi="宋体" w:eastAsia="宋体" w:cs="宋体"/>
                <w:szCs w:val="21"/>
              </w:rPr>
              <w:t>配置清单</w:t>
            </w:r>
            <w:r>
              <w:rPr>
                <w:rFonts w:hint="eastAsia" w:ascii="宋体" w:hAnsi="宋体" w:cs="宋体"/>
                <w:szCs w:val="21"/>
                <w:lang w:eastAsia="zh-CN"/>
              </w:rPr>
              <w:t>：</w:t>
            </w:r>
            <w:r>
              <w:rPr>
                <w:rFonts w:hint="eastAsia" w:ascii="宋体" w:hAnsi="宋体" w:eastAsia="宋体" w:cs="宋体"/>
                <w:szCs w:val="21"/>
              </w:rPr>
              <w:t>主机一台；≥25米电缆线一条；物联专业分析软件系统建设一项；≥6英尺长电源线一条；USB连接线一条；主机原厂说明书一本；非均匀中心插件（含肌肉、骨骼、肺、脂肪、钛合金插件）一套；3DVH（功能参照并相当于）软件一套；物联工作站专用功能系统一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15立体定向放疗质控模体</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15.1支持体部立体定向放射治疗验证，常规放疗剂量验证以及绝对剂量刻度</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15.2支持复杂计划验证，SRS剂量QA插件拥有复杂的几何靶区，可以评估治疗计划系统影像重建一致性</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15.3计划系统影像重建精度：支持已知规则体积三维空间重建，可评估治疗计划系统体积重建准确度</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15.4</w:t>
            </w:r>
            <w:r>
              <w:rPr>
                <w:rFonts w:hint="eastAsia" w:ascii="宋体" w:hAnsi="宋体" w:cs="宋体"/>
                <w:szCs w:val="21"/>
                <w:lang w:val="en-US" w:eastAsia="zh-CN"/>
              </w:rPr>
              <w:t xml:space="preserve">  </w:t>
            </w:r>
            <w:r>
              <w:rPr>
                <w:rFonts w:hint="eastAsia" w:ascii="宋体" w:hAnsi="宋体" w:eastAsia="宋体" w:cs="宋体"/>
                <w:szCs w:val="21"/>
              </w:rPr>
              <w:t>CT电子密度：支持五种不同物理密度，包括水，空气，致密骨，疏松骨和脂肪等效密度，可用于CT密度模型的QA检测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15.5</w:t>
            </w:r>
            <w:r>
              <w:rPr>
                <w:rFonts w:hint="eastAsia" w:ascii="宋体" w:hAnsi="宋体" w:cs="宋体"/>
                <w:szCs w:val="21"/>
                <w:lang w:val="en-US" w:eastAsia="zh-CN"/>
              </w:rPr>
              <w:t xml:space="preserve">  </w:t>
            </w:r>
            <w:r>
              <w:rPr>
                <w:rFonts w:hint="eastAsia" w:ascii="宋体" w:hAnsi="宋体" w:eastAsia="宋体" w:cs="宋体"/>
                <w:szCs w:val="21"/>
              </w:rPr>
              <w:t>TPS剂量计算精度：支持非均匀性模体剂量验证，包含肺部等效密度的插件，验证蒙特卡洛计算精度，误差≤0.5%</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15.6参考标记：内部包含金标点及铅基准标记，分布整个模体提供额外的位置参考和定位精度</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15.7绝对剂量测量小野探头1个，有效体积≤0.01cc</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w:t>
            </w:r>
            <w:r>
              <w:rPr>
                <w:rFonts w:hint="eastAsia" w:ascii="宋体" w:hAnsi="宋体" w:cs="宋体"/>
                <w:szCs w:val="21"/>
                <w:lang w:val="en-US" w:eastAsia="zh-CN"/>
              </w:rPr>
              <w:t xml:space="preserve"> </w:t>
            </w:r>
            <w:r>
              <w:rPr>
                <w:rFonts w:hint="eastAsia" w:ascii="宋体" w:hAnsi="宋体" w:eastAsia="宋体" w:cs="宋体"/>
                <w:szCs w:val="21"/>
              </w:rPr>
              <w:t>二次剂量验证系统</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16.1支持基于TPS的RT Plan、DICOM CT、RT Structure等数据，利用第三方剂量算法，自动计算患者体内的剂量分布，并与TPS中的剂量分布（RT Dose）进行比较，验证TPS剂量算法的可靠性</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16.2支持基于加速器日志文件进行二维通量对比分析，每个射野逐一验证</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16.3临床目标分析：支持系统可自定义临床目标标准，并自动分析各感兴趣区是否满足该临床目标</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16.4三维剂量计算和验证分析</w:t>
            </w:r>
            <w:r>
              <w:rPr>
                <w:rFonts w:hint="eastAsia" w:ascii="宋体" w:hAnsi="宋体" w:cs="宋体"/>
                <w:szCs w:val="21"/>
                <w:lang w:eastAsia="zh-CN"/>
              </w:rPr>
              <w:t>：</w:t>
            </w:r>
            <w:r>
              <w:rPr>
                <w:rFonts w:hint="eastAsia" w:ascii="宋体" w:hAnsi="宋体" w:eastAsia="宋体" w:cs="宋体"/>
                <w:szCs w:val="21"/>
              </w:rPr>
              <w:t>支持三维剂量分布比较、Gamma分析结果、各感兴趣区域DVH比较</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16.5剂量分析工具：支持点剂量分析、线剂量分析、DVH对比、绝对剂量差异分析、DTA分析等</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16.6计划比较工具：支持将TPS中的计划与传输到肿瘤信息系统中的计划进行对比，从而排除数据传输错误</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16.7放疗设备兼容性：支持采购方配置的各型号直线加速器的点剂量以及三维剂量的计算和验证（核磁加速器除外），支持核磁加速器计划的点剂量验证</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16.8计划系统兼容性：支持当前所有主流计划系统：包括Eclipse、Monaco、Pinnacle、RayStation等等</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16.9治疗技术兼容性：支持现有放疗技术，包括3DCRT、IMRT、VMAT、SRS/SBRT等，支持电子线和光子线计划的三维剂量计算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16.10验证结果输出：支持定制化报告内容模板及报告格式；支持以邮件形式发送给相关工作人员，发送频率可控；支持结果保存成PDF；支持用于无纸化办公流程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16.11自动化程度：支持自动导入TPS发送的DICOM数据、自动开始计算任务、自动生成PDF验证分析报告</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16.12加速器建模：支持根据实际采集的加速器数据，进行加速器剂量模型建立，并能手动调整剂量模型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16.13剂量计算算法:支持Monte Carlo算法进行剂量计算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16.14支持采用灵活且可以扩展的计算队列管理计算任务，即可以实现自动化管理，也可以主观干预计算任务的优先级别</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16.15定制化自动工作流:支持自动为不同计划选择不同的临床计划评估模板、自动为不同计划选择不同的等剂量线模板、自动为不同计划选择不同的Gamma评估标准进行验证分析</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w:t>
            </w:r>
            <w:r>
              <w:rPr>
                <w:rFonts w:hint="eastAsia" w:ascii="宋体" w:hAnsi="宋体" w:cs="宋体"/>
                <w:szCs w:val="21"/>
                <w:lang w:val="en-US" w:eastAsia="zh-CN"/>
              </w:rPr>
              <w:t xml:space="preserve"> </w:t>
            </w:r>
            <w:r>
              <w:rPr>
                <w:rFonts w:hint="eastAsia" w:ascii="宋体" w:hAnsi="宋体" w:eastAsia="宋体" w:cs="宋体"/>
                <w:szCs w:val="21"/>
              </w:rPr>
              <w:t>晨检仪</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17.1探头类型：适用于辐射剂量测量的纯电离室探头；探头数量：≥13个；测量电离室体积：≤0.1cm³；能量电离室体积：≤0.2cm³。探头灵敏度：≥30nC/Gy</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17.2照射野大小：可测量(10</w:t>
            </w:r>
            <w:r>
              <w:rPr>
                <w:rFonts w:hint="eastAsia" w:ascii="宋体" w:hAnsi="宋体" w:cs="宋体"/>
                <w:szCs w:val="21"/>
              </w:rPr>
              <w:t>×</w:t>
            </w:r>
            <w:r>
              <w:rPr>
                <w:rFonts w:hint="eastAsia" w:ascii="宋体" w:hAnsi="宋体" w:eastAsia="宋体" w:cs="宋体"/>
                <w:szCs w:val="21"/>
              </w:rPr>
              <w:t>10) cm²、 (20</w:t>
            </w:r>
            <w:r>
              <w:rPr>
                <w:rFonts w:hint="eastAsia" w:ascii="宋体" w:hAnsi="宋体" w:cs="宋体"/>
                <w:szCs w:val="21"/>
              </w:rPr>
              <w:t>×</w:t>
            </w:r>
            <w:r>
              <w:rPr>
                <w:rFonts w:hint="eastAsia" w:ascii="宋体" w:hAnsi="宋体" w:eastAsia="宋体" w:cs="宋体"/>
                <w:szCs w:val="21"/>
              </w:rPr>
              <w:t>20)cm²</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17.3测量功能：可对中心轴剂量、剂量率、均整性、对称性和射线质的稳定性检测</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17.4数据显示：晨检仪主机内置集成液晶显示屏，实时显示测量值</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17.5连接加速器数量：无限制。状态指示灯：必须自带三种指示灯，显示正常，报警灯功能，可实时指示当前数据是否超出容差，电池电量和设备测量状态</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17.6</w:t>
            </w:r>
            <w:r>
              <w:rPr>
                <w:rFonts w:hint="eastAsia" w:ascii="宋体" w:hAnsi="宋体" w:cs="宋体"/>
                <w:szCs w:val="21"/>
                <w:lang w:val="en-US" w:eastAsia="zh-CN"/>
              </w:rPr>
              <w:t xml:space="preserve"> </w:t>
            </w:r>
            <w:r>
              <w:rPr>
                <w:rFonts w:hint="eastAsia" w:ascii="宋体" w:hAnsi="宋体" w:eastAsia="宋体" w:cs="宋体"/>
                <w:szCs w:val="21"/>
              </w:rPr>
              <w:t>FFF补偿模式：带有FFF模式的加速器，可以测common beam参数，可以用于6MV和10MV的加速器,摆位简单快速，可检测FFF射束长期稳定性</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17.7建成板材料：丙烯酸（PMMA）</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17.8电器元件联接：支持有线和无线连接</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17.9适用能量范围：高能光子4MV-25 MV；电子线至少支持4 MeV – 25 MeV</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17.10温度测量：集成式温度传感器测量实时校正。测量范围：至少支持10-40度，气压测量：集成式气压传感器测量实时校正， 测量范围至少支持700-1060hpa</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17.11应用程序功能配置满足常规QA的要求，包括加速器日常QA等</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17.12自动跳转任务列表：无需翻转阵列实现光子线、电子线测量，测量完一组数据后无需进入机房，自动跳转到下一组任务</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17.13数据存储：必须内置电脑软件显示，无需外接电脑，并实时显示单个参数趋势图和测量数据</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17.14内置数据库软件：必须将数据存储在非易失性自带内存中，导出晨检仪测量数据，可视化的数据趋势，观察和分析数据的长期变化趋势，保存或打印数据报告</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17.15访问数据：日常使用可通过电脑随时调用分析功能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17.16配置清单</w:t>
            </w:r>
            <w:r>
              <w:rPr>
                <w:rFonts w:hint="eastAsia" w:ascii="宋体" w:hAnsi="宋体" w:cs="宋体"/>
                <w:szCs w:val="21"/>
                <w:lang w:eastAsia="zh-CN"/>
              </w:rPr>
              <w:t>：</w:t>
            </w:r>
            <w:r>
              <w:rPr>
                <w:rFonts w:hint="eastAsia" w:ascii="宋体" w:hAnsi="宋体" w:eastAsia="宋体" w:cs="宋体"/>
                <w:szCs w:val="21"/>
              </w:rPr>
              <w:t>晨检仪主机1套；USB连接线1条；充电器1套；可充电电池1套；系统操作分析软件系统1套；FFF模式补偿器1套</w:t>
            </w:r>
            <w:r>
              <w:rPr>
                <w:rFonts w:hint="eastAsia" w:ascii="宋体" w:hAnsi="宋体" w:cs="宋体"/>
                <w:szCs w:val="21"/>
                <w:lang w:eastAsia="zh-CN"/>
              </w:rPr>
              <w:t>。</w:t>
            </w:r>
            <w:r>
              <w:rPr>
                <w:rFonts w:hint="eastAsia" w:ascii="宋体" w:hAnsi="宋体" w:eastAsia="宋体" w:cs="宋体"/>
                <w:szCs w:val="21"/>
              </w:rPr>
              <w:t>18</w:t>
            </w:r>
            <w:r>
              <w:rPr>
                <w:rFonts w:hint="eastAsia" w:ascii="宋体" w:hAnsi="宋体" w:cs="宋体"/>
                <w:szCs w:val="21"/>
                <w:lang w:val="en-US" w:eastAsia="zh-CN"/>
              </w:rPr>
              <w:t xml:space="preserve"> </w:t>
            </w:r>
            <w:r>
              <w:rPr>
                <w:rFonts w:hint="eastAsia" w:ascii="宋体" w:hAnsi="宋体" w:eastAsia="宋体" w:cs="宋体"/>
                <w:szCs w:val="21"/>
              </w:rPr>
              <w:t>辐射防护设备和其他设备</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18.1</w:t>
            </w:r>
            <w:r>
              <w:rPr>
                <w:rFonts w:hint="eastAsia" w:ascii="宋体" w:hAnsi="宋体" w:cs="宋体"/>
                <w:szCs w:val="21"/>
                <w:lang w:val="en-US" w:eastAsia="zh-CN"/>
              </w:rPr>
              <w:t xml:space="preserve"> </w:t>
            </w:r>
            <w:r>
              <w:rPr>
                <w:rFonts w:hint="eastAsia" w:ascii="宋体" w:hAnsi="宋体" w:eastAsia="宋体" w:cs="宋体"/>
                <w:szCs w:val="21"/>
              </w:rPr>
              <w:t>X线固定报警仪1个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18.2手持式辐射仪1个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18.3个人剂量报警仪3个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18.4电子防潮箱1套，外尺寸：≥宽90cm×深60cm×高100cm，防静电指标：满足国标，湿度控制精度：±2.5%RH；温度显示精度：±1℃</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18.5开口小水箱1套，内尺寸：≥30cm×30cm×30cm，适配电离室规格：0.6cc，配置四脚水平调节螺丝</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w:t>
            </w:r>
            <w:r>
              <w:rPr>
                <w:rFonts w:hint="eastAsia" w:ascii="宋体" w:hAnsi="宋体" w:cs="宋体"/>
                <w:szCs w:val="21"/>
                <w:lang w:val="en-US" w:eastAsia="zh-CN"/>
              </w:rPr>
              <w:t xml:space="preserve"> </w:t>
            </w:r>
            <w:r>
              <w:rPr>
                <w:rFonts w:hint="eastAsia" w:ascii="宋体" w:hAnsi="宋体" w:eastAsia="宋体" w:cs="宋体"/>
                <w:szCs w:val="21"/>
              </w:rPr>
              <w:t>体位固定方案</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19.1适用于肿瘤放疗患者高精度重复体位固定，包含多功能一体化固定系统及附件、SBRT固定系统及附件</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19.1.1人体固定架（碳纤维一体化固定架）2套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19.1.2人体固定架（手臂支撑架）1套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19.1.3人体固定架（膝部垫）1套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19.1.4人体固定架（俯卧乳腺泡棉组件）6套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19.1.5人体固定架（俯卧盆腔泡绵组件）6套</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19.1.6人体固定架（适配条）6根</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19.1.7人体固定架（适配条）6根</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19.1.8人体固定架（透明头枕）5个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19.1.9人体固定架（俯卧头枕）6个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19.1.10人体定位垫（塑形垫专用头枕）2个</w:t>
            </w:r>
            <w:r>
              <w:rPr>
                <w:rFonts w:hint="eastAsia" w:ascii="宋体" w:hAnsi="宋体" w:cs="宋体"/>
                <w:szCs w:val="21"/>
                <w:lang w:eastAsia="zh-CN"/>
              </w:rPr>
              <w:t>；</w:t>
            </w:r>
          </w:p>
          <w:p>
            <w:pPr>
              <w:textAlignment w:val="baseline"/>
              <w:rPr>
                <w:rFonts w:hint="eastAsia" w:ascii="宋体" w:hAnsi="宋体" w:eastAsia="宋体" w:cs="宋体"/>
                <w:szCs w:val="21"/>
                <w:lang w:eastAsia="zh-CN"/>
              </w:rPr>
            </w:pPr>
            <w:r>
              <w:rPr>
                <w:rFonts w:hint="eastAsia" w:ascii="宋体" w:hAnsi="宋体" w:eastAsia="宋体" w:cs="宋体"/>
                <w:szCs w:val="21"/>
              </w:rPr>
              <w:t>19.1.11体部立体定向固定方案2套</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19.1.12腹部气囊加压装置5个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19.1.13定位膜（0.3cm补偿膜）5张、定位膜（口含器）5个、定位膜（咬合器）5个</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19.2多功能一体化固定系统主体使用碳纤维材质,组件包括基础板、手臂支撑架、膝部垫、盆腔俯卧固定组件、乳腺俯卧固定组件及必要的辅助配件</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19.3多功能一体化固定系统兼容科室CT模拟定位室和直加治疗室在用固定装置</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19.4</w:t>
            </w:r>
            <w:r>
              <w:rPr>
                <w:rFonts w:hint="eastAsia" w:ascii="宋体" w:hAnsi="宋体" w:cs="宋体"/>
                <w:szCs w:val="21"/>
                <w:lang w:val="en-US" w:eastAsia="zh-CN"/>
              </w:rPr>
              <w:t xml:space="preserve"> </w:t>
            </w:r>
            <w:r>
              <w:rPr>
                <w:rFonts w:hint="eastAsia" w:ascii="宋体" w:hAnsi="宋体" w:eastAsia="宋体" w:cs="宋体"/>
                <w:szCs w:val="21"/>
              </w:rPr>
              <w:t>SBRT固定系统组件包括基础板、翼形板、膝踝垫、腹部桥架、膝部桥架及必要的辅助配件</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19.5</w:t>
            </w:r>
            <w:r>
              <w:rPr>
                <w:rFonts w:hint="eastAsia" w:ascii="宋体" w:hAnsi="宋体" w:cs="宋体"/>
                <w:szCs w:val="21"/>
                <w:lang w:val="en-US" w:eastAsia="zh-CN"/>
              </w:rPr>
              <w:t xml:space="preserve"> </w:t>
            </w:r>
            <w:r>
              <w:rPr>
                <w:rFonts w:hint="eastAsia" w:ascii="宋体" w:hAnsi="宋体" w:eastAsia="宋体" w:cs="宋体"/>
                <w:szCs w:val="21"/>
              </w:rPr>
              <w:t>SBRT固定系统腹部桥架、膝部桥架采用环形结构设计，使用核磁模拟定位时可以避免体部线圈与扫描部位距离过远而影响图像质量</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19.6</w:t>
            </w:r>
            <w:r>
              <w:rPr>
                <w:rFonts w:hint="eastAsia" w:ascii="宋体" w:hAnsi="宋体" w:cs="宋体"/>
                <w:szCs w:val="21"/>
                <w:lang w:val="en-US" w:eastAsia="zh-CN"/>
              </w:rPr>
              <w:t xml:space="preserve"> </w:t>
            </w:r>
            <w:r>
              <w:rPr>
                <w:rFonts w:hint="eastAsia" w:ascii="宋体" w:hAnsi="宋体" w:eastAsia="宋体" w:cs="宋体"/>
                <w:szCs w:val="21"/>
              </w:rPr>
              <w:t>SBRT固定系统腹部桥架左右两侧独立调节，可实现偏侧压腹调节，高度可调档位≥13，一键锁紧设计</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19.7产品质量达到国际标准，获得FDA、CE销售许可</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▲20配备体表光学定位系统，实现患者体位精准校准,且满足临床开展呼吸运动管理的功能。</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20.1自带质控模块，可进行周期性校准</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20.2放射性安全：不产生X射线，对患者无额外致电离辐射风险</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20.3可根据结构集判断患者躯体厚度，确定监测区域</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20.4可实时进行探测无中断</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20.5动态显示：可在治疗室内显示屏动态显示患者移动情况</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20.6分次内出束中患者位置监测功能</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20.7可在出束中实时监测患者的位置移动</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20.8监测系统无需任何标记或辅助设备，实时、动态、无辐射</w:t>
            </w:r>
            <w:r>
              <w:rPr>
                <w:rFonts w:hint="eastAsia" w:ascii="宋体" w:hAnsi="宋体" w:cs="宋体"/>
                <w:szCs w:val="21"/>
                <w:lang w:eastAsia="zh-CN"/>
              </w:rPr>
              <w:t>；</w:t>
            </w:r>
          </w:p>
          <w:p>
            <w:pPr>
              <w:textAlignment w:val="baseline"/>
              <w:rPr>
                <w:rFonts w:hint="eastAsia" w:ascii="宋体" w:hAnsi="宋体" w:eastAsia="宋体" w:cs="宋体"/>
                <w:szCs w:val="21"/>
              </w:rPr>
            </w:pPr>
            <w:r>
              <w:rPr>
                <w:rFonts w:hint="eastAsia" w:ascii="宋体" w:hAnsi="宋体" w:eastAsia="宋体" w:cs="宋体"/>
                <w:szCs w:val="21"/>
              </w:rPr>
              <w:t>20.9移动误差同步显示在触摸屏和监测屏幕</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20.10提醒治疗师患者的移动和幅度</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rPr>
            </w:pPr>
            <w:r>
              <w:rPr>
                <w:rFonts w:hint="eastAsia" w:ascii="宋体" w:hAnsi="宋体" w:eastAsia="宋体" w:cs="宋体"/>
                <w:szCs w:val="21"/>
              </w:rPr>
              <w:t>20.11在患者处于治疗床的一定范围内，自动探测监测范围</w:t>
            </w:r>
            <w:r>
              <w:rPr>
                <w:rFonts w:hint="eastAsia" w:ascii="宋体" w:hAnsi="宋体" w:cs="宋体"/>
                <w:szCs w:val="21"/>
                <w:lang w:eastAsia="zh-CN"/>
              </w:rPr>
              <w:t>；</w:t>
            </w:r>
            <w:r>
              <w:rPr>
                <w:rFonts w:hint="eastAsia" w:ascii="宋体" w:hAnsi="宋体" w:eastAsia="宋体" w:cs="宋体"/>
                <w:szCs w:val="21"/>
              </w:rPr>
              <w:tab/>
            </w:r>
          </w:p>
          <w:p>
            <w:pPr>
              <w:textAlignment w:val="baseline"/>
              <w:rPr>
                <w:rFonts w:hint="eastAsia" w:ascii="宋体" w:hAnsi="宋体" w:eastAsia="宋体" w:cs="宋体"/>
                <w:szCs w:val="21"/>
                <w:lang w:eastAsia="zh-CN"/>
              </w:rPr>
            </w:pPr>
            <w:r>
              <w:rPr>
                <w:rFonts w:hint="eastAsia" w:ascii="宋体" w:hAnsi="宋体" w:eastAsia="宋体" w:cs="宋体"/>
                <w:szCs w:val="21"/>
              </w:rPr>
              <w:t>20.12患者实时监视系统监测患者移动，并基于阈值提供预警提示</w:t>
            </w:r>
            <w:r>
              <w:rPr>
                <w:rFonts w:hint="eastAsia" w:ascii="宋体" w:hAnsi="宋体" w:cs="宋体"/>
                <w:szCs w:val="21"/>
                <w:lang w:eastAsia="zh-CN"/>
              </w:rPr>
              <w:t>。</w:t>
            </w:r>
          </w:p>
        </w:tc>
      </w:tr>
    </w:tbl>
    <w:p>
      <w:pPr>
        <w:pStyle w:val="2"/>
        <w:ind w:firstLine="480" w:firstLineChars="200"/>
        <w:rPr>
          <w:rStyle w:val="191"/>
          <w:rFonts w:hint="eastAsia" w:ascii="宋体" w:hAnsi="宋体"/>
          <w:b/>
          <w:bCs/>
          <w:color w:val="auto"/>
          <w:szCs w:val="21"/>
          <w:u w:val="none"/>
        </w:rPr>
      </w:pPr>
    </w:p>
    <w:p>
      <w:pPr>
        <w:ind w:firstLine="420" w:firstLineChars="200"/>
        <w:rPr>
          <w:rFonts w:hint="eastAsia" w:ascii="宋体" w:hAnsi="宋体" w:cs="宋体"/>
          <w:b/>
          <w:bCs/>
          <w:sz w:val="21"/>
          <w:szCs w:val="21"/>
        </w:rPr>
      </w:pPr>
      <w:r>
        <w:rPr>
          <w:rStyle w:val="191"/>
          <w:rFonts w:hint="eastAsia" w:ascii="宋体" w:hAnsi="宋体"/>
          <w:b/>
          <w:bCs/>
          <w:color w:val="auto"/>
          <w:szCs w:val="21"/>
          <w:u w:val="none"/>
        </w:rPr>
        <w:t>▲</w:t>
      </w:r>
      <w:r>
        <w:rPr>
          <w:rFonts w:hint="eastAsia" w:ascii="宋体" w:hAnsi="宋体" w:cs="宋体"/>
          <w:b/>
          <w:bCs/>
          <w:sz w:val="21"/>
          <w:szCs w:val="21"/>
        </w:rPr>
        <w:t>二、商务要求（以下所有为实质性要求条款不满足作无效投标处理）</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（一）质量保证期</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（二）交货时间及地点</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1.交货时间：合同</w:t>
      </w:r>
      <w:r>
        <w:rPr>
          <w:rFonts w:hint="eastAsia" w:ascii="宋体" w:hAnsi="宋体" w:cs="宋体"/>
          <w:sz w:val="21"/>
          <w:szCs w:val="21"/>
          <w:lang w:eastAsia="zh"/>
        </w:rPr>
        <w:t>签订</w:t>
      </w:r>
      <w:r>
        <w:rPr>
          <w:rFonts w:hint="eastAsia" w:ascii="宋体" w:hAnsi="宋体" w:cs="宋体"/>
          <w:sz w:val="21"/>
          <w:szCs w:val="21"/>
        </w:rPr>
        <w:t>之日起，中标供应商在30个日历日内向采购人交付全部货物。</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2.交货地点：广西范围内，采购人指定地点。</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（三）服务标准、服务效率、售后服务要求</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3.质保期内发生故障的设备如无法在24小时内修复，须保证年开机率</w:t>
      </w:r>
      <w:r>
        <w:rPr>
          <w:rFonts w:hint="eastAsia" w:ascii="宋体" w:hAnsi="宋体" w:cs="宋体"/>
          <w:sz w:val="21"/>
          <w:szCs w:val="21"/>
          <w:lang w:eastAsia="zh"/>
        </w:rPr>
        <w:t>95%</w:t>
      </w:r>
      <w:r>
        <w:rPr>
          <w:rFonts w:hint="eastAsia" w:ascii="宋体" w:hAnsi="宋体" w:cs="宋体"/>
          <w:sz w:val="21"/>
          <w:szCs w:val="21"/>
        </w:rPr>
        <w:t>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5.投标产品必须是全新，且生产日期为</w:t>
      </w:r>
      <w:r>
        <w:rPr>
          <w:rFonts w:hint="eastAsia" w:ascii="宋体" w:hAnsi="宋体" w:cs="宋体"/>
          <w:sz w:val="21"/>
          <w:szCs w:val="21"/>
          <w:lang w:val="en-US" w:eastAsia="zh"/>
        </w:rPr>
        <w:t>1年内</w:t>
      </w:r>
      <w:r>
        <w:rPr>
          <w:rFonts w:hint="eastAsia" w:ascii="宋体" w:hAnsi="宋体" w:cs="宋体"/>
          <w:sz w:val="21"/>
          <w:szCs w:val="21"/>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6.</w:t>
      </w:r>
      <w:r>
        <w:rPr>
          <w:rFonts w:hint="eastAsia" w:ascii="宋体" w:hAnsi="宋体" w:cs="宋体"/>
          <w:color w:val="000000" w:themeColor="text1"/>
          <w:sz w:val="21"/>
          <w:szCs w:val="21"/>
          <w14:textFill>
            <w14:solidFill>
              <w14:schemeClr w14:val="tx1"/>
            </w14:solidFill>
          </w14:textFill>
        </w:rPr>
        <w:t>安装调试完成后，中标供应商对采购人提供</w:t>
      </w:r>
      <w:r>
        <w:rPr>
          <w:rFonts w:hint="eastAsia" w:ascii="宋体" w:hAnsi="宋体" w:cs="宋体"/>
          <w:color w:val="000000" w:themeColor="text1"/>
          <w:sz w:val="21"/>
          <w:szCs w:val="21"/>
          <w:lang w:val="en-US" w:eastAsia="zh-CN"/>
          <w14:textFill>
            <w14:solidFill>
              <w14:schemeClr w14:val="tx1"/>
            </w14:solidFill>
          </w14:textFill>
        </w:rPr>
        <w:t>不少于3人</w:t>
      </w:r>
      <w:r>
        <w:rPr>
          <w:rFonts w:hint="eastAsia" w:ascii="宋体" w:hAnsi="宋体" w:cs="宋体"/>
          <w:color w:val="000000" w:themeColor="text1"/>
          <w:sz w:val="21"/>
          <w:szCs w:val="21"/>
          <w14:textFill>
            <w14:solidFill>
              <w14:schemeClr w14:val="tx1"/>
            </w14:solidFill>
          </w14:textFill>
        </w:rPr>
        <w:t>次培训，使采购人的操作人员及工程人员熟练掌握全部功能及基本维修，相关费用包括在投标报价中，采购人不再另行支付。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9.中标供应商保证采购人能够合法应用该器械及相应服务。采购人在办理相关证件及验收等流程中，中标供应商必须提供所需的合法材料。</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70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color w:val="auto"/>
          <w:sz w:val="21"/>
          <w:szCs w:val="21"/>
          <w:highlight w:val="yellow"/>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（五）履约保证金</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（六）投标报价要求</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sz w:val="21"/>
          <w:szCs w:val="21"/>
          <w:lang w:eastAsia="zh"/>
        </w:rPr>
      </w:pPr>
      <w:r>
        <w:rPr>
          <w:rFonts w:hint="eastAsia" w:ascii="宋体" w:hAnsi="宋体" w:cs="宋体"/>
          <w:sz w:val="21"/>
          <w:szCs w:val="21"/>
        </w:rPr>
        <w:t>投标报价包含货物、货物标准附件、备品备件、专用工具、设备安装辅材、施工辅材、包装、运输、装卸、保险、连接医院信息系统接口费（如</w:t>
      </w:r>
      <w:r>
        <w:rPr>
          <w:rFonts w:hint="eastAsia" w:ascii="宋体" w:hAnsi="宋体" w:cs="宋体"/>
          <w:sz w:val="21"/>
          <w:szCs w:val="21"/>
          <w:lang w:eastAsia="zh"/>
        </w:rPr>
        <w:t>HIS、PACS</w:t>
      </w:r>
      <w:r>
        <w:rPr>
          <w:rFonts w:hint="eastAsia" w:ascii="宋体" w:hAnsi="宋体" w:cs="宋体"/>
          <w:sz w:val="21"/>
          <w:szCs w:val="21"/>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20" w:lineRule="exact"/>
        <w:ind w:firstLine="420" w:firstLineChars="200"/>
        <w:rPr>
          <w:rFonts w:hint="eastAsia" w:ascii="宋体" w:hAnsi="宋体" w:cs="宋体"/>
          <w:b/>
          <w:bCs/>
          <w:sz w:val="21"/>
          <w:szCs w:val="21"/>
        </w:rPr>
      </w:pPr>
      <w:r>
        <w:rPr>
          <w:rFonts w:hint="eastAsia" w:ascii="宋体" w:hAnsi="宋体" w:cs="宋体"/>
          <w:b/>
          <w:bCs/>
          <w:sz w:val="21"/>
          <w:szCs w:val="21"/>
        </w:rPr>
        <w:t>（七）政策性加分条件</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符合节能环保等国家政策要求。</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（八）验收标准及验收方法</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1.中标供应商应将所提供货物的装箱清单、用户手册、原厂保修卡、随机资料、工具和备品、备件等交付给采购人，如有缺失应在采购人要求的期限内及时补齐，否则视为逾期交货。</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3.中标供应商需承担供货时产品质量抽样检测的相关费用以及项目验收时发生的一切费用。</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4.安装合格后15日内提供安装调试报告与原厂技术规格书(或Datasheet)。 本条所有涉及的文件均提供纸质与电子档。</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6.采购人对验收有异议的，以书面形式向中标供应商提出，中标供应商应自收到采购人书面异议后5个工作日内及时予以解决，中标供应商不予答复或未予以实质解决的，视为认可采购人异议及处置意见。</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7.验收标准</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1)项目招标文件及中标供应商投标文件中的“技术响应表”,逐条验收；</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2)项目招标文件及中标供应商投标文件中的“商务响应表”,逐条验收；</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3)中标供应商投标文件中其他技术、服务、商务性的说明、承诺事项，逐条验收。</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4)国家相关法律、法规、标准和规范等。</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（九）进口产品说明</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本标项接受进口设备参与投标。</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（十）规范标准</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执行现行的强制执行的国家、行业、地方标准。</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（十一）产品资料及说明文件</w:t>
      </w:r>
    </w:p>
    <w:p>
      <w:pPr>
        <w:pStyle w:val="21"/>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lang w:val="en-US" w:eastAsia="zh-CN"/>
        </w:rPr>
      </w:pPr>
      <w:r>
        <w:rPr>
          <w:rFonts w:hint="eastAsia" w:ascii="宋体" w:hAnsi="宋体" w:cs="宋体"/>
          <w:sz w:val="21"/>
          <w:szCs w:val="21"/>
          <w:lang w:val="en-US" w:eastAsia="zh"/>
        </w:rPr>
        <w:t>1.</w:t>
      </w:r>
      <w:r>
        <w:rPr>
          <w:rFonts w:hint="eastAsia" w:ascii="宋体" w:hAnsi="宋体" w:cs="宋体"/>
          <w:sz w:val="21"/>
          <w:szCs w:val="21"/>
        </w:rPr>
        <w:t>投标文件中提供投标产品对外公开的产品彩页或说明书（</w:t>
      </w:r>
      <w:r>
        <w:rPr>
          <w:rFonts w:hint="eastAsia" w:ascii="宋体" w:hAnsi="宋体" w:cs="宋体"/>
          <w:sz w:val="21"/>
          <w:szCs w:val="21"/>
          <w:lang w:val="en-US" w:eastAsia="zh-CN"/>
        </w:rPr>
        <w:t>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pStyle w:val="21"/>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2.进口产品的投标人在供货时必须提供所投标产品生产厂家合法授权的厂家代理商出具的授权书，原件备查。</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（十二）采购预算价及最高限价</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投标报价超采购预算（含单项采购预算，如有）及最高限价（含单项最高限价，如有）的投标无效。</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（十三）医疗器械注册或备案要求</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b/>
          <w:bCs/>
          <w:sz w:val="21"/>
          <w:szCs w:val="21"/>
        </w:rPr>
      </w:pPr>
      <w:r>
        <w:rPr>
          <w:rFonts w:hint="eastAsia" w:ascii="宋体" w:hAnsi="宋体" w:cs="宋体"/>
          <w:b/>
          <w:bCs/>
          <w:sz w:val="21"/>
          <w:szCs w:val="21"/>
        </w:rPr>
        <w:t>（十四）其它</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投标人根据自身情况提供项目实施方案，内容包括但不限于：</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1.技术及项目实施方案（包含但不限于管理措施、具体实施流程、进度安排、质量保证措施、有利于采购项目实施的内容或合理性建议的等）；</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sz w:val="21"/>
          <w:szCs w:val="21"/>
          <w:lang w:eastAsia="zh-CN"/>
        </w:rPr>
      </w:pPr>
      <w:r>
        <w:rPr>
          <w:rFonts w:hint="eastAsia" w:ascii="宋体" w:hAnsi="宋体" w:cs="宋体"/>
          <w:sz w:val="21"/>
          <w:szCs w:val="21"/>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bCs/>
          <w:sz w:val="21"/>
          <w:szCs w:val="21"/>
        </w:rPr>
      </w:pPr>
      <w:r>
        <w:rPr>
          <w:rFonts w:hint="eastAsia" w:ascii="宋体" w:hAnsi="宋体" w:cs="宋体"/>
          <w:sz w:val="21"/>
          <w:szCs w:val="21"/>
        </w:rPr>
        <w:t>4.生产厂家售后服务承诺书等。</w:t>
      </w:r>
    </w:p>
    <w:p>
      <w:pPr>
        <w:pStyle w:val="2"/>
        <w:spacing w:line="400" w:lineRule="exact"/>
        <w:rPr>
          <w:rFonts w:hint="eastAsia" w:hAnsi="宋体"/>
          <w:sz w:val="21"/>
          <w:szCs w:val="21"/>
        </w:rPr>
      </w:pPr>
    </w:p>
    <w:p>
      <w:pPr>
        <w:pStyle w:val="2"/>
        <w:spacing w:line="400" w:lineRule="exact"/>
        <w:ind w:firstLine="210" w:firstLineChars="100"/>
        <w:rPr>
          <w:rFonts w:hint="eastAsia" w:hAnsi="宋体"/>
          <w:b/>
          <w:bCs/>
          <w:sz w:val="21"/>
          <w:szCs w:val="21"/>
        </w:rPr>
      </w:pPr>
      <w:r>
        <w:rPr>
          <w:rFonts w:hint="eastAsia" w:ascii="宋体" w:hAnsi="宋体" w:eastAsia="宋体" w:cs="宋体"/>
          <w:b/>
          <w:bCs/>
          <w:color w:val="auto"/>
          <w:kern w:val="2"/>
          <w:sz w:val="21"/>
          <w:szCs w:val="21"/>
          <w:lang w:eastAsia="zh-CN"/>
        </w:rPr>
        <w:t>（十五）</w:t>
      </w:r>
      <w:r>
        <w:rPr>
          <w:rFonts w:hint="eastAsia" w:hAnsi="宋体"/>
          <w:b/>
          <w:bCs/>
          <w:sz w:val="21"/>
          <w:szCs w:val="21"/>
          <w:lang w:eastAsia="zh-CN"/>
        </w:rPr>
        <w:t>核心产品：</w:t>
      </w:r>
      <w:r>
        <w:rPr>
          <w:rFonts w:hint="eastAsia" w:hAnsi="宋体" w:cs="宋体"/>
          <w:b/>
          <w:bCs/>
          <w:sz w:val="21"/>
          <w:szCs w:val="21"/>
          <w:lang w:eastAsia="zh"/>
        </w:rPr>
        <w:t>医用直线加速器(分标2)</w:t>
      </w:r>
      <w:r>
        <w:rPr>
          <w:rFonts w:hint="eastAsia" w:hAnsi="宋体" w:cs="宋体"/>
          <w:b/>
          <w:bCs/>
          <w:sz w:val="21"/>
          <w:szCs w:val="21"/>
          <w:lang w:eastAsia="zh-CN"/>
        </w:rPr>
        <w:t>。</w:t>
      </w:r>
    </w:p>
    <w:p>
      <w:pPr>
        <w:pStyle w:val="2"/>
        <w:ind w:firstLine="420" w:firstLineChars="200"/>
        <w:rPr>
          <w:rStyle w:val="191"/>
          <w:rFonts w:ascii="宋体" w:hAnsi="宋体"/>
          <w:b/>
          <w:bCs/>
          <w:color w:val="auto"/>
          <w:kern w:val="2"/>
          <w:sz w:val="21"/>
          <w:szCs w:val="21"/>
          <w:u w:val="none"/>
        </w:rPr>
      </w:pPr>
    </w:p>
    <w:p>
      <w:pPr>
        <w:pStyle w:val="2"/>
        <w:ind w:firstLine="420" w:firstLineChars="200"/>
        <w:rPr>
          <w:rStyle w:val="191"/>
          <w:rFonts w:ascii="宋体" w:hAnsi="宋体" w:eastAsia="宋体" w:cs="Times New Roman"/>
          <w:b/>
          <w:bCs/>
          <w:color w:val="auto"/>
          <w:sz w:val="21"/>
          <w:szCs w:val="21"/>
        </w:rPr>
      </w:pPr>
      <w:r>
        <w:rPr>
          <w:rStyle w:val="191"/>
          <w:rFonts w:hint="eastAsia" w:ascii="宋体" w:hAnsi="宋体" w:eastAsia="宋体" w:cs="Times New Roman"/>
          <w:b/>
          <w:bCs/>
          <w:color w:val="auto"/>
          <w:sz w:val="21"/>
          <w:szCs w:val="21"/>
          <w:lang w:eastAsia="zh-CN"/>
        </w:rPr>
        <w:t>三、</w:t>
      </w:r>
      <w:r>
        <w:rPr>
          <w:rStyle w:val="191"/>
          <w:rFonts w:ascii="宋体" w:hAnsi="宋体" w:eastAsia="宋体" w:cs="Times New Roman"/>
          <w:b/>
          <w:bCs/>
          <w:color w:val="auto"/>
          <w:sz w:val="21"/>
          <w:szCs w:val="21"/>
        </w:rPr>
        <w:t>采购人信息</w:t>
      </w:r>
    </w:p>
    <w:tbl>
      <w:tblPr>
        <w:tblStyle w:val="55"/>
        <w:tblpPr w:leftFromText="180" w:rightFromText="180" w:vertAnchor="text" w:horzAnchor="page" w:tblpX="1847" w:tblpY="429"/>
        <w:tblOverlap w:val="never"/>
        <w:tblW w:w="63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654"/>
        <w:gridCol w:w="86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
              </w:rPr>
            </w:pPr>
            <w:r>
              <w:rPr>
                <w:rFonts w:hint="eastAsia" w:ascii="宋体" w:hAnsi="宋体" w:cs="宋体"/>
                <w:b w:val="0"/>
                <w:bCs/>
                <w:kern w:val="0"/>
                <w:sz w:val="21"/>
                <w:szCs w:val="21"/>
                <w:highlight w:val="none"/>
                <w:lang w:val="en-US" w:eastAsia="zh"/>
              </w:rPr>
              <w:t>柳州市工人医院</w:t>
            </w:r>
          </w:p>
        </w:tc>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spacing w:line="240" w:lineRule="auto"/>
        <w:rPr>
          <w:rStyle w:val="191"/>
          <w:rFonts w:ascii="宋体" w:hAnsi="宋体"/>
          <w:b/>
          <w:bCs/>
          <w:color w:val="auto"/>
          <w:szCs w:val="21"/>
          <w:u w:val="none"/>
        </w:rPr>
      </w:pPr>
    </w:p>
    <w:p>
      <w:pPr>
        <w:pStyle w:val="3"/>
        <w:jc w:val="both"/>
      </w:pPr>
    </w:p>
    <w:p/>
    <w:p>
      <w:pPr>
        <w:pStyle w:val="2"/>
        <w:rPr>
          <w:color w:val="auto"/>
        </w:rPr>
      </w:pPr>
    </w:p>
    <w:p>
      <w:pPr>
        <w:rPr>
          <w:rFonts w:hint="eastAsia"/>
        </w:rPr>
        <w:sectPr>
          <w:footerReference r:id="rId8" w:type="first"/>
          <w:headerReference r:id="rId5" w:type="default"/>
          <w:footerReference r:id="rId6" w:type="default"/>
          <w:footerReference r:id="rId7" w:type="even"/>
          <w:pgSz w:w="11906" w:h="16838"/>
          <w:pgMar w:top="1134" w:right="1134" w:bottom="1134" w:left="1134" w:header="851" w:footer="992" w:gutter="0"/>
          <w:pgNumType w:fmt="decimal" w:start="1"/>
          <w:cols w:space="720" w:num="1"/>
          <w:titlePg/>
          <w:docGrid w:type="linesAndChars" w:linePitch="312" w:charSpace="0"/>
        </w:sectPr>
      </w:pPr>
    </w:p>
    <w:p>
      <w:pPr>
        <w:rPr>
          <w:rFonts w:hint="eastAsia" w:ascii="宋体" w:hAnsi="宋体" w:eastAsia="宋体" w:cs="宋体"/>
          <w:b/>
          <w:bCs/>
          <w:color w:val="000000" w:themeColor="text1"/>
          <w:sz w:val="24"/>
          <w:lang w:eastAsia="zh"/>
          <w14:textFill>
            <w14:solidFill>
              <w14:schemeClr w14:val="tx1"/>
            </w14:solidFill>
          </w14:textFill>
        </w:rPr>
      </w:pPr>
      <w:r>
        <w:rPr>
          <w:rStyle w:val="191"/>
          <w:rFonts w:hint="eastAsia" w:ascii="宋体" w:hAnsi="宋体"/>
          <w:b/>
          <w:bCs/>
          <w:color w:val="auto"/>
          <w:sz w:val="21"/>
          <w:szCs w:val="21"/>
          <w:u w:val="none"/>
        </w:rPr>
        <w:t>分标</w:t>
      </w:r>
      <w:r>
        <w:rPr>
          <w:rStyle w:val="191"/>
          <w:rFonts w:hint="eastAsia" w:ascii="宋体" w:hAnsi="宋体"/>
          <w:b/>
          <w:bCs/>
          <w:color w:val="auto"/>
          <w:sz w:val="21"/>
          <w:szCs w:val="21"/>
          <w:u w:val="none"/>
          <w:lang w:val="en-US" w:eastAsia="zh-CN"/>
        </w:rPr>
        <w:t>3</w:t>
      </w:r>
      <w:r>
        <w:rPr>
          <w:rStyle w:val="191"/>
          <w:rFonts w:hint="eastAsia" w:ascii="宋体" w:hAnsi="宋体"/>
          <w:b/>
          <w:bCs/>
          <w:color w:val="auto"/>
          <w:sz w:val="21"/>
          <w:szCs w:val="21"/>
          <w:u w:val="none"/>
        </w:rPr>
        <w:t>：</w:t>
      </w:r>
      <w:r>
        <w:rPr>
          <w:rStyle w:val="191"/>
          <w:rFonts w:hint="eastAsia" w:ascii="宋体" w:hAnsi="宋体"/>
          <w:b/>
          <w:bCs/>
          <w:color w:val="auto"/>
          <w:sz w:val="21"/>
          <w:szCs w:val="21"/>
          <w:u w:val="none"/>
          <w:lang w:eastAsia="zh"/>
        </w:rPr>
        <w:t>医用直线加速器(分标</w:t>
      </w:r>
      <w:r>
        <w:rPr>
          <w:rStyle w:val="191"/>
          <w:rFonts w:hint="eastAsia" w:ascii="宋体" w:hAnsi="宋体"/>
          <w:b/>
          <w:bCs/>
          <w:color w:val="auto"/>
          <w:sz w:val="21"/>
          <w:szCs w:val="21"/>
          <w:u w:val="none"/>
          <w:lang w:val="en-US" w:eastAsia="zh"/>
        </w:rPr>
        <w:t>3</w:t>
      </w:r>
      <w:r>
        <w:rPr>
          <w:rStyle w:val="191"/>
          <w:rFonts w:hint="eastAsia" w:ascii="宋体" w:hAnsi="宋体"/>
          <w:b/>
          <w:bCs/>
          <w:color w:val="auto"/>
          <w:sz w:val="21"/>
          <w:szCs w:val="21"/>
          <w:u w:val="none"/>
          <w:lang w:eastAsia="zh"/>
        </w:rPr>
        <w:t>)</w:t>
      </w:r>
    </w:p>
    <w:p>
      <w:pPr>
        <w:spacing w:line="400" w:lineRule="exact"/>
        <w:ind w:firstLine="420" w:firstLineChars="200"/>
        <w:rPr>
          <w:rFonts w:hint="eastAsia"/>
          <w:color w:val="auto"/>
          <w:lang w:eastAsia="zh-CN"/>
        </w:rPr>
      </w:pPr>
      <w:r>
        <w:rPr>
          <w:rFonts w:hint="eastAsia"/>
          <w:color w:val="auto"/>
          <w:lang w:eastAsia="zh-CN"/>
        </w:rPr>
        <w:t>采购预算：</w:t>
      </w:r>
      <w:r>
        <w:rPr>
          <w:rFonts w:hint="eastAsia"/>
          <w:color w:val="auto"/>
          <w:highlight w:val="none"/>
          <w:lang w:val="en-US" w:eastAsia="zh-CN"/>
        </w:rPr>
        <w:t>2100</w:t>
      </w:r>
      <w:r>
        <w:rPr>
          <w:rFonts w:hint="eastAsia"/>
          <w:color w:val="auto"/>
          <w:lang w:eastAsia="zh-CN"/>
        </w:rPr>
        <w:t>万元</w:t>
      </w:r>
    </w:p>
    <w:p>
      <w:pPr>
        <w:spacing w:line="400" w:lineRule="exact"/>
        <w:ind w:firstLine="420" w:firstLineChars="200"/>
        <w:rPr>
          <w:rFonts w:hint="eastAsia"/>
          <w:color w:val="auto"/>
          <w:lang w:eastAsia="zh-CN"/>
        </w:rPr>
      </w:pPr>
      <w:r>
        <w:rPr>
          <w:rFonts w:hint="eastAsia"/>
          <w:color w:val="auto"/>
          <w:lang w:eastAsia="zh-CN"/>
        </w:rPr>
        <w:t>最高限价：</w:t>
      </w:r>
      <w:r>
        <w:rPr>
          <w:rFonts w:hint="eastAsia" w:cs="Times New Roman"/>
          <w:color w:val="auto"/>
          <w:sz w:val="21"/>
          <w:szCs w:val="24"/>
          <w:shd w:val="clear"/>
          <w:lang w:val="en-US" w:eastAsia="zh-CN"/>
        </w:rPr>
        <w:t>2100</w:t>
      </w:r>
      <w:r>
        <w:rPr>
          <w:rFonts w:hint="eastAsia"/>
          <w:color w:val="auto"/>
          <w:lang w:eastAsia="zh-CN"/>
        </w:rPr>
        <w:t>万元（</w:t>
      </w:r>
      <w:r>
        <w:rPr>
          <w:rFonts w:hint="eastAsia"/>
          <w:color w:val="auto"/>
          <w:lang w:val="en-US" w:eastAsia="zh-CN"/>
        </w:rPr>
        <w:t>2100</w:t>
      </w:r>
      <w:r>
        <w:rPr>
          <w:rFonts w:hint="eastAsia"/>
          <w:color w:val="auto"/>
          <w:lang w:eastAsia="zh-CN"/>
        </w:rPr>
        <w:t>万元/套）</w:t>
      </w:r>
    </w:p>
    <w:p>
      <w:pPr>
        <w:pStyle w:val="2"/>
        <w:rPr>
          <w:rFonts w:hint="eastAsia"/>
          <w:color w:val="auto"/>
          <w:lang w:eastAsia="zh-CN"/>
        </w:rPr>
      </w:pPr>
    </w:p>
    <w:p>
      <w:pPr>
        <w:ind w:firstLine="420"/>
        <w:rPr>
          <w:rFonts w:hint="eastAsia"/>
          <w:color w:val="auto"/>
          <w:lang w:eastAsia="zh-CN"/>
        </w:rPr>
      </w:pPr>
      <w:r>
        <w:rPr>
          <w:rFonts w:hint="eastAsia" w:ascii="宋体" w:hAnsi="宋体" w:cs="宋体"/>
          <w:szCs w:val="21"/>
        </w:rPr>
        <w:t>一、</w:t>
      </w:r>
      <w:r>
        <w:rPr>
          <w:rStyle w:val="191"/>
          <w:rFonts w:hint="eastAsia" w:ascii="宋体" w:hAnsi="宋体"/>
          <w:b w:val="0"/>
          <w:bCs w:val="0"/>
          <w:color w:val="auto"/>
          <w:szCs w:val="21"/>
          <w:u w:val="none"/>
        </w:rPr>
        <w:t>技术参数及性能（配置）要求</w:t>
      </w:r>
    </w:p>
    <w:tbl>
      <w:tblPr>
        <w:tblStyle w:val="55"/>
        <w:tblpPr w:leftFromText="180" w:rightFromText="180" w:vertAnchor="text" w:horzAnchor="page" w:tblpX="1033" w:tblpY="224"/>
        <w:tblOverlap w:val="never"/>
        <w:tblW w:w="512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7"/>
        <w:gridCol w:w="1080"/>
        <w:gridCol w:w="935"/>
        <w:gridCol w:w="939"/>
        <w:gridCol w:w="64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 w:hRule="atLeast"/>
          <w:jc w:val="center"/>
        </w:trPr>
        <w:tc>
          <w:tcPr>
            <w:tcW w:w="326"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序号</w:t>
            </w:r>
          </w:p>
        </w:tc>
        <w:tc>
          <w:tcPr>
            <w:tcW w:w="535"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货物名称</w:t>
            </w:r>
          </w:p>
        </w:tc>
        <w:tc>
          <w:tcPr>
            <w:tcW w:w="463"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数量</w:t>
            </w:r>
          </w:p>
        </w:tc>
        <w:tc>
          <w:tcPr>
            <w:tcW w:w="465"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单位</w:t>
            </w:r>
          </w:p>
        </w:tc>
        <w:tc>
          <w:tcPr>
            <w:tcW w:w="3210" w:type="pct"/>
            <w:vAlign w:val="center"/>
          </w:tcPr>
          <w:p>
            <w:pPr>
              <w:tabs>
                <w:tab w:val="left" w:pos="180"/>
                <w:tab w:val="left" w:pos="1620"/>
              </w:tabs>
              <w:jc w:val="center"/>
              <w:rPr>
                <w:rFonts w:hint="eastAsia" w:ascii="宋体" w:hAnsi="宋体" w:cs="宋体"/>
                <w:szCs w:val="21"/>
              </w:rPr>
            </w:pPr>
            <w:r>
              <w:rPr>
                <w:rStyle w:val="191"/>
                <w:rFonts w:hint="eastAsia" w:ascii="宋体" w:hAnsi="宋体"/>
                <w:b w:val="0"/>
                <w:bCs w:val="0"/>
                <w:color w:val="auto"/>
                <w:szCs w:val="21"/>
                <w:u w:val="none"/>
              </w:rPr>
              <w:t>技术参数及性能（配置）要求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326" w:type="pct"/>
            <w:vAlign w:val="center"/>
          </w:tcPr>
          <w:p>
            <w:pPr>
              <w:tabs>
                <w:tab w:val="left" w:pos="180"/>
                <w:tab w:val="left" w:pos="1620"/>
              </w:tabs>
              <w:jc w:val="center"/>
              <w:rPr>
                <w:rFonts w:hint="eastAsia" w:ascii="宋体" w:hAnsi="宋体" w:cs="宋体"/>
                <w:szCs w:val="21"/>
              </w:rPr>
            </w:pPr>
            <w:r>
              <w:rPr>
                <w:rFonts w:hint="eastAsia" w:ascii="宋体" w:hAnsi="宋体" w:cs="宋体"/>
                <w:szCs w:val="21"/>
              </w:rPr>
              <w:t>1</w:t>
            </w:r>
          </w:p>
        </w:tc>
        <w:tc>
          <w:tcPr>
            <w:tcW w:w="535" w:type="pct"/>
            <w:vAlign w:val="center"/>
          </w:tcPr>
          <w:p>
            <w:pPr>
              <w:snapToGrid w:val="0"/>
              <w:jc w:val="center"/>
              <w:rPr>
                <w:rFonts w:hint="eastAsia" w:ascii="宋体" w:hAnsi="宋体" w:eastAsia="宋体" w:cs="宋体"/>
                <w:szCs w:val="21"/>
                <w:lang w:eastAsia="zh"/>
              </w:rPr>
            </w:pPr>
            <w:r>
              <w:rPr>
                <w:rFonts w:hint="eastAsia" w:ascii="宋体" w:hAnsi="宋体" w:cs="宋体"/>
                <w:b/>
                <w:bCs/>
                <w:color w:val="000000" w:themeColor="text1"/>
                <w:sz w:val="21"/>
                <w:szCs w:val="21"/>
                <w:lang w:eastAsia="zh"/>
                <w14:textFill>
                  <w14:solidFill>
                    <w14:schemeClr w14:val="tx1"/>
                  </w14:solidFill>
                </w14:textFill>
              </w:rPr>
              <w:t>医用直线加速器(分标</w:t>
            </w:r>
            <w:r>
              <w:rPr>
                <w:rFonts w:hint="eastAsia" w:ascii="宋体" w:hAnsi="宋体" w:cs="宋体"/>
                <w:b/>
                <w:bCs/>
                <w:color w:val="000000" w:themeColor="text1"/>
                <w:sz w:val="21"/>
                <w:szCs w:val="21"/>
                <w:lang w:val="en-US" w:eastAsia="zh"/>
                <w14:textFill>
                  <w14:solidFill>
                    <w14:schemeClr w14:val="tx1"/>
                  </w14:solidFill>
                </w14:textFill>
              </w:rPr>
              <w:t>3</w:t>
            </w:r>
            <w:r>
              <w:rPr>
                <w:rFonts w:hint="eastAsia" w:ascii="宋体" w:hAnsi="宋体" w:cs="宋体"/>
                <w:b/>
                <w:bCs/>
                <w:color w:val="000000" w:themeColor="text1"/>
                <w:sz w:val="21"/>
                <w:szCs w:val="21"/>
                <w:lang w:eastAsia="zh"/>
                <w14:textFill>
                  <w14:solidFill>
                    <w14:schemeClr w14:val="tx1"/>
                  </w14:solidFill>
                </w14:textFill>
              </w:rPr>
              <w:t>)</w:t>
            </w:r>
          </w:p>
        </w:tc>
        <w:tc>
          <w:tcPr>
            <w:tcW w:w="463" w:type="pct"/>
            <w:vAlign w:val="center"/>
          </w:tcPr>
          <w:p>
            <w:pPr>
              <w:jc w:val="center"/>
              <w:rPr>
                <w:rFonts w:hint="eastAsia" w:ascii="宋体" w:hAnsi="宋体" w:eastAsia="宋体" w:cs="宋体"/>
                <w:szCs w:val="21"/>
                <w:lang w:eastAsia="zh-CN"/>
              </w:rPr>
            </w:pPr>
            <w:r>
              <w:rPr>
                <w:rFonts w:hint="eastAsia" w:ascii="宋体" w:hAnsi="宋体" w:cs="宋体"/>
                <w:szCs w:val="21"/>
                <w:lang w:val="en-US" w:eastAsia="zh-CN"/>
              </w:rPr>
              <w:t>1</w:t>
            </w:r>
          </w:p>
        </w:tc>
        <w:tc>
          <w:tcPr>
            <w:tcW w:w="465" w:type="pct"/>
            <w:vAlign w:val="center"/>
          </w:tcPr>
          <w:p>
            <w:pPr>
              <w:pStyle w:val="18"/>
              <w:spacing w:line="240" w:lineRule="auto"/>
              <w:ind w:leftChars="-88" w:hanging="184" w:hangingChars="88"/>
              <w:jc w:val="center"/>
              <w:rPr>
                <w:rFonts w:hint="eastAsia" w:ascii="宋体" w:hAnsi="宋体" w:eastAsia="宋体" w:cs="宋体"/>
                <w:sz w:val="21"/>
                <w:szCs w:val="21"/>
                <w:lang w:eastAsia="zh-CN"/>
              </w:rPr>
            </w:pPr>
            <w:r>
              <w:rPr>
                <w:rFonts w:hint="eastAsia" w:ascii="宋体" w:hAnsi="宋体" w:cs="宋体"/>
                <w:sz w:val="21"/>
                <w:szCs w:val="21"/>
                <w:lang w:eastAsia="zh-CN"/>
              </w:rPr>
              <w:t>套</w:t>
            </w:r>
          </w:p>
        </w:tc>
        <w:tc>
          <w:tcPr>
            <w:tcW w:w="3210" w:type="pct"/>
            <w:vAlign w:val="center"/>
          </w:tcPr>
          <w:p>
            <w:pPr>
              <w:numPr>
                <w:ilvl w:val="0"/>
                <w:numId w:val="0"/>
              </w:numPr>
              <w:spacing w:line="240" w:lineRule="auto"/>
              <w:textAlignment w:val="auto"/>
              <w:rPr>
                <w:rFonts w:hint="eastAsia" w:ascii="宋体" w:hAnsi="宋体" w:cs="宋体"/>
                <w:szCs w:val="21"/>
              </w:rPr>
            </w:pPr>
            <w:r>
              <w:rPr>
                <w:rFonts w:hint="eastAsia" w:ascii="宋体" w:hAnsi="宋体" w:cs="宋体"/>
                <w:szCs w:val="21"/>
              </w:rPr>
              <w:t>一、医用直线加速器</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（一）医用直线加速器主机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 xml:space="preserve"> </w:t>
            </w:r>
            <w:r>
              <w:rPr>
                <w:rFonts w:hint="eastAsia" w:ascii="宋体" w:hAnsi="宋体" w:cs="宋体"/>
                <w:szCs w:val="21"/>
              </w:rPr>
              <w:t>主机基本要求</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▲1.1投标产品须具备普通放疗、三维适形放疗、静态/动态调强、图像引导调强放疗、容积旋转调强放疗等功能。</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eastAsia="宋体" w:cs="宋体"/>
                <w:color w:val="auto"/>
                <w:kern w:val="2"/>
                <w:sz w:val="21"/>
                <w:szCs w:val="21"/>
                <w:lang w:val="en-US" w:eastAsia="zh-CN" w:bidi="ar-SA"/>
              </w:rPr>
              <w:t>1.2</w:t>
            </w:r>
            <w:r>
              <w:rPr>
                <w:rFonts w:hint="eastAsia" w:ascii="宋体" w:hAnsi="宋体" w:cs="宋体"/>
                <w:szCs w:val="21"/>
              </w:rPr>
              <w:t>医疗器械注册证中临床适用范围需包含体部立体定向放射治疗 （</w:t>
            </w:r>
            <w:r>
              <w:rPr>
                <w:rFonts w:hint="eastAsia" w:ascii="宋体" w:hAnsi="宋体" w:cs="宋体"/>
                <w:szCs w:val="21"/>
                <w:lang w:eastAsia="zh-CN"/>
              </w:rPr>
              <w:t>须</w:t>
            </w:r>
            <w:r>
              <w:rPr>
                <w:rFonts w:hint="eastAsia" w:ascii="宋体" w:hAnsi="宋体" w:cs="宋体"/>
                <w:szCs w:val="21"/>
              </w:rPr>
              <w:t>提供</w:t>
            </w:r>
            <w:r>
              <w:rPr>
                <w:rFonts w:hint="eastAsia" w:ascii="宋体" w:hAnsi="宋体" w:eastAsia="宋体" w:cs="宋体"/>
                <w:color w:val="auto"/>
                <w:kern w:val="2"/>
                <w:sz w:val="21"/>
                <w:szCs w:val="21"/>
                <w:lang w:val="en-US" w:eastAsia="zh-CN" w:bidi="ar-SA"/>
              </w:rPr>
              <w:t>NMPA注册证</w:t>
            </w:r>
            <w:r>
              <w:rPr>
                <w:rFonts w:hint="eastAsia" w:ascii="宋体" w:hAnsi="宋体" w:cs="宋体"/>
                <w:szCs w:val="21"/>
              </w:rPr>
              <w:t>）</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加速管类型：行波或驻波</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微波功率源：磁控管</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微波输出峰值功率：≥3MW</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6</w:t>
            </w:r>
            <w:r>
              <w:rPr>
                <w:rFonts w:hint="eastAsia" w:ascii="宋体" w:hAnsi="宋体" w:cs="宋体"/>
                <w:szCs w:val="21"/>
              </w:rPr>
              <w:t>电离室：密闭式或开放式多通道电离室，具有完善的安全联锁自动装置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电离室结构：有≥2对完全独立的监测电极，分别用于监测剂量、能量、束流准直特性和照射野的对称性</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8</w:t>
            </w:r>
            <w:r>
              <w:rPr>
                <w:rFonts w:hint="eastAsia" w:ascii="宋体" w:hAnsi="宋体" w:cs="宋体"/>
                <w:szCs w:val="21"/>
              </w:rPr>
              <w:t>遥控器≥1个，能同时控制所有机械运动。具有速度可调功能，可调整机器参数，加载卸载患者治疗射野</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9</w:t>
            </w:r>
            <w:r>
              <w:rPr>
                <w:rFonts w:hint="eastAsia" w:ascii="宋体" w:hAnsi="宋体" w:cs="宋体"/>
                <w:szCs w:val="21"/>
              </w:rPr>
              <w:t>室内数据显示器：在治疗室内安装有≥2个数据显示器。治疗时可显示所有治疗参数包括机械参数</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w:t>
            </w:r>
            <w:r>
              <w:rPr>
                <w:rFonts w:hint="eastAsia" w:ascii="宋体" w:hAnsi="宋体" w:cs="宋体"/>
                <w:szCs w:val="21"/>
                <w:lang w:val="en-US" w:eastAsia="zh-CN"/>
              </w:rPr>
              <w:t>0</w:t>
            </w:r>
            <w:r>
              <w:rPr>
                <w:rFonts w:hint="eastAsia" w:ascii="宋体" w:hAnsi="宋体" w:cs="宋体"/>
                <w:szCs w:val="21"/>
              </w:rPr>
              <w:t>安全连锁：具有防碰撞连锁系统</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 X射线束特性</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2.1具备6MV光子治疗能量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2.2 6MV常规X线的最大剂量率(等中心)≥ 600MU/min（提供投标型号的注册证附件-产品技术要求，含该型号的制造商盖章和医疗器械检验所盖章，并标明位置；或提供投标型号药监局检测报告扫描件，含医疗器械检验所盖章，并标明位置）（仅有FFF模式机型不做要求）</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▲2.3具备6MV高剂量率模式，X射线最大剂量率≥</w:t>
            </w:r>
            <w:r>
              <w:rPr>
                <w:rFonts w:hint="eastAsia" w:ascii="宋体" w:hAnsi="宋体" w:cs="宋体"/>
                <w:szCs w:val="21"/>
                <w:lang w:val="en-US" w:eastAsia="zh-CN"/>
              </w:rPr>
              <w:t>8</w:t>
            </w:r>
            <w:r>
              <w:rPr>
                <w:rFonts w:hint="eastAsia" w:ascii="宋体" w:hAnsi="宋体" w:cs="宋体"/>
                <w:szCs w:val="21"/>
              </w:rPr>
              <w:t>00MU/min</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2.4治疗用X线能量的剂量率范围可调</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
              </w:rPr>
              <w:t>5</w:t>
            </w:r>
            <w:r>
              <w:rPr>
                <w:rFonts w:hint="eastAsia" w:ascii="宋体" w:hAnsi="宋体" w:cs="宋体"/>
                <w:szCs w:val="21"/>
              </w:rPr>
              <w:t>剂量重复性：≤0.5%</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w:t>
            </w:r>
            <w:r>
              <w:rPr>
                <w:rFonts w:hint="eastAsia" w:ascii="宋体" w:hAnsi="宋体" w:cs="宋体"/>
                <w:szCs w:val="21"/>
                <w:lang w:val="en-US" w:eastAsia="zh"/>
              </w:rPr>
              <w:t>6</w:t>
            </w:r>
            <w:r>
              <w:rPr>
                <w:rFonts w:hint="eastAsia" w:ascii="宋体" w:hAnsi="宋体" w:cs="宋体"/>
                <w:szCs w:val="21"/>
              </w:rPr>
              <w:t>剂量线性度：≤±1%（投标时提供具备资质的第三方机构出具的检测报告或技术白皮书或加盖公章的制造商公开发布的印刷资料）</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w:t>
            </w:r>
            <w:r>
              <w:rPr>
                <w:rFonts w:hint="eastAsia" w:ascii="宋体" w:hAnsi="宋体" w:cs="宋体"/>
                <w:szCs w:val="21"/>
                <w:lang w:val="en-US" w:eastAsia="zh"/>
              </w:rPr>
              <w:t>7</w:t>
            </w:r>
            <w:r>
              <w:rPr>
                <w:rFonts w:hint="eastAsia" w:ascii="宋体" w:hAnsi="宋体" w:cs="宋体"/>
                <w:szCs w:val="21"/>
              </w:rPr>
              <w:t>单纯多叶准直器射线透射率（不含钨门）：≤0.75%。</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 xml:space="preserve"> </w:t>
            </w:r>
            <w:r>
              <w:rPr>
                <w:rFonts w:hint="eastAsia" w:ascii="宋体" w:hAnsi="宋体" w:cs="宋体"/>
                <w:szCs w:val="21"/>
              </w:rPr>
              <w:t>治疗模式</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3.1具备dIMRT动态调强放疗功能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3.2具备sIMRT静态调强放疗功能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3.3具备动态容积旋转调强放疗功能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3.4具备3D-CRT三维适形放疗功能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3.5具备门控治疗功能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★3.6具备在线自适应技术放疗流程和计划（投标时提供证明文件）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 xml:space="preserve"> </w:t>
            </w:r>
            <w:r>
              <w:rPr>
                <w:rFonts w:hint="eastAsia" w:ascii="宋体" w:hAnsi="宋体" w:cs="宋体"/>
                <w:szCs w:val="21"/>
              </w:rPr>
              <w:t>机械运动系统</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★4.1环形机架旋转速度≥4RPM或C型机架≥1RPM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4.2机架旋转角度（顺时针和逆时针方向）≥360°，SAD距离≥100cm，误差≤0.5°</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4.3辐射野与影像中心综合精度：≤1mm半径球体</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★4.4准直器系统旋转:可旋转范围≥180°，精度≤0.5°</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▲4.5等中心高度≤12</w:t>
            </w:r>
            <w:r>
              <w:rPr>
                <w:rFonts w:hint="eastAsia" w:ascii="宋体" w:hAnsi="宋体" w:cs="宋体"/>
                <w:szCs w:val="21"/>
                <w:lang w:val="en-US" w:eastAsia="zh-CN"/>
              </w:rPr>
              <w:t>8</w:t>
            </w:r>
            <w:r>
              <w:rPr>
                <w:rFonts w:hint="eastAsia" w:ascii="宋体" w:hAnsi="宋体" w:cs="宋体"/>
                <w:szCs w:val="21"/>
              </w:rPr>
              <w:t>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4.6机架具备机械防碰撞模式，能够根据加速器、治疗床、患者、EPID的模型数据，对治疗计划的执行过程预测碰撞风险，提前对用户发出警告</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4.7机架等中心精度：≤0.75mm。</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w:t>
            </w:r>
            <w:r>
              <w:rPr>
                <w:rFonts w:hint="eastAsia" w:ascii="宋体" w:hAnsi="宋体" w:cs="宋体"/>
                <w:szCs w:val="21"/>
                <w:lang w:val="en-US" w:eastAsia="zh-CN"/>
              </w:rPr>
              <w:t xml:space="preserve"> </w:t>
            </w:r>
            <w:r>
              <w:rPr>
                <w:rFonts w:hint="eastAsia" w:ascii="宋体" w:hAnsi="宋体" w:cs="宋体"/>
                <w:szCs w:val="21"/>
              </w:rPr>
              <w:t>电动多叶准直器（MLC）系统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5.1准直器规格：内置式电动多叶准直器</w:t>
            </w:r>
            <w:r>
              <w:rPr>
                <w:rFonts w:hint="eastAsia" w:ascii="宋体" w:hAnsi="宋体" w:cs="宋体"/>
                <w:szCs w:val="21"/>
                <w:lang w:eastAsia="zh-CN"/>
              </w:rPr>
              <w:t>；</w:t>
            </w:r>
            <w:r>
              <w:rPr>
                <w:rFonts w:hint="eastAsia" w:ascii="宋体" w:hAnsi="宋体" w:cs="宋体"/>
                <w:szCs w:val="21"/>
              </w:rPr>
              <w:t xml:space="preserve"> </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▲5.2叶片数量</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lang w:val="en-US" w:eastAsia="zh-CN"/>
              </w:rPr>
              <w:t>114</w:t>
            </w:r>
            <w:r>
              <w:rPr>
                <w:rFonts w:hint="eastAsia" w:ascii="宋体" w:hAnsi="宋体" w:cs="宋体"/>
                <w:szCs w:val="21"/>
              </w:rPr>
              <w:t>片</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5.3叶片移动精度</w:t>
            </w:r>
            <w:r>
              <w:rPr>
                <w:rFonts w:hint="eastAsia" w:ascii="宋体" w:hAnsi="宋体" w:cs="宋体"/>
                <w:szCs w:val="21"/>
                <w:lang w:eastAsia="zh-CN"/>
              </w:rPr>
              <w:t>：</w:t>
            </w:r>
            <w:r>
              <w:rPr>
                <w:rFonts w:hint="eastAsia" w:ascii="宋体" w:hAnsi="宋体" w:cs="宋体"/>
                <w:szCs w:val="21"/>
              </w:rPr>
              <w:t>≤1mm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5.4叶片等中心处移动重复精度</w:t>
            </w:r>
            <w:r>
              <w:rPr>
                <w:rFonts w:hint="eastAsia" w:ascii="宋体" w:hAnsi="宋体" w:cs="宋体"/>
                <w:szCs w:val="21"/>
                <w:lang w:eastAsia="zh-CN"/>
              </w:rPr>
              <w:t>：</w:t>
            </w:r>
            <w:r>
              <w:rPr>
                <w:rFonts w:hint="eastAsia" w:ascii="宋体" w:hAnsi="宋体" w:cs="宋体"/>
                <w:szCs w:val="21"/>
              </w:rPr>
              <w:t>≤0.5mm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5.5多叶准直器的端面半影</w:t>
            </w:r>
            <w:r>
              <w:rPr>
                <w:rFonts w:hint="eastAsia" w:ascii="宋体" w:hAnsi="宋体" w:cs="宋体"/>
                <w:szCs w:val="21"/>
                <w:lang w:eastAsia="zh-CN"/>
              </w:rPr>
              <w:t>：</w:t>
            </w:r>
            <w:r>
              <w:rPr>
                <w:rFonts w:hint="eastAsia" w:ascii="宋体" w:hAnsi="宋体" w:cs="宋体"/>
                <w:szCs w:val="21"/>
              </w:rPr>
              <w:t>≤7mm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▲5.6最大照射野：≥</w:t>
            </w:r>
            <w:r>
              <w:rPr>
                <w:rFonts w:hint="eastAsia" w:ascii="宋体" w:hAnsi="宋体" w:cs="宋体"/>
                <w:szCs w:val="21"/>
                <w:lang w:val="en-US" w:eastAsia="zh-CN"/>
              </w:rPr>
              <w:t>28</w:t>
            </w:r>
            <w:r>
              <w:rPr>
                <w:rFonts w:hint="eastAsia" w:ascii="宋体" w:hAnsi="宋体" w:cs="宋体"/>
                <w:szCs w:val="21"/>
              </w:rPr>
              <w:t>cm×</w:t>
            </w:r>
            <w:r>
              <w:rPr>
                <w:rFonts w:hint="eastAsia" w:ascii="宋体" w:hAnsi="宋体" w:cs="宋体"/>
                <w:szCs w:val="21"/>
                <w:lang w:val="en-US" w:eastAsia="zh-CN"/>
              </w:rPr>
              <w:t>28</w:t>
            </w:r>
            <w:r>
              <w:rPr>
                <w:rFonts w:hint="eastAsia" w:ascii="宋体" w:hAnsi="宋体" w:cs="宋体"/>
                <w:szCs w:val="21"/>
              </w:rPr>
              <w:t>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5.7叶片在等中心平面的最小投影宽度</w:t>
            </w:r>
            <w:r>
              <w:rPr>
                <w:rFonts w:hint="eastAsia" w:ascii="宋体" w:hAnsi="宋体" w:cs="宋体"/>
                <w:szCs w:val="21"/>
                <w:lang w:eastAsia="zh-CN"/>
              </w:rPr>
              <w:t>：</w:t>
            </w:r>
            <w:r>
              <w:rPr>
                <w:rFonts w:hint="eastAsia" w:ascii="宋体" w:hAnsi="宋体" w:cs="宋体"/>
                <w:szCs w:val="21"/>
              </w:rPr>
              <w:t>≤5mm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▲5.8等中心处叶片的最快独立运动速度（不含叶片箱）：≥5cm/s；5.9叶片维修</w:t>
            </w:r>
            <w:r>
              <w:rPr>
                <w:rFonts w:hint="eastAsia" w:ascii="宋体" w:hAnsi="宋体" w:cs="宋体"/>
                <w:szCs w:val="21"/>
                <w:lang w:eastAsia="zh-CN"/>
              </w:rPr>
              <w:t>：</w:t>
            </w:r>
            <w:r>
              <w:rPr>
                <w:rFonts w:hint="eastAsia" w:ascii="宋体" w:hAnsi="宋体" w:cs="宋体"/>
                <w:szCs w:val="21"/>
              </w:rPr>
              <w:t>叶片可单独拆卸，且自动复位</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5.10叶片的验证/校准:实时的叶片位置验证，配备校正软件和相关硬件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5.11多叶准直器支持的临床应用</w:t>
            </w:r>
            <w:r>
              <w:rPr>
                <w:rFonts w:hint="eastAsia" w:ascii="宋体" w:hAnsi="宋体" w:cs="宋体"/>
                <w:szCs w:val="21"/>
                <w:lang w:eastAsia="zh-CN"/>
              </w:rPr>
              <w:t>：</w:t>
            </w:r>
            <w:r>
              <w:rPr>
                <w:rFonts w:hint="eastAsia" w:ascii="宋体" w:hAnsi="宋体" w:cs="宋体"/>
                <w:szCs w:val="21"/>
              </w:rPr>
              <w:t>可进行 3D-CRT、静态调强、动态调强、容积旋转调强、SBRT、SRS等</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5.12叶片及准直器联合最大漏射率</w:t>
            </w:r>
            <w:r>
              <w:rPr>
                <w:rFonts w:hint="eastAsia" w:ascii="宋体" w:hAnsi="宋体" w:cs="宋体"/>
                <w:szCs w:val="21"/>
                <w:lang w:eastAsia="zh-CN"/>
              </w:rPr>
              <w:t>：</w:t>
            </w:r>
            <w:r>
              <w:rPr>
                <w:rFonts w:hint="eastAsia" w:ascii="宋体" w:hAnsi="宋体" w:cs="宋体"/>
                <w:szCs w:val="21"/>
              </w:rPr>
              <w:t>0.5%。</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w:t>
            </w:r>
            <w:r>
              <w:rPr>
                <w:rFonts w:hint="eastAsia" w:ascii="宋体" w:hAnsi="宋体" w:cs="宋体"/>
                <w:szCs w:val="21"/>
                <w:lang w:val="en-US" w:eastAsia="zh-CN"/>
              </w:rPr>
              <w:t xml:space="preserve"> </w:t>
            </w:r>
            <w:r>
              <w:rPr>
                <w:rFonts w:hint="eastAsia" w:ascii="宋体" w:hAnsi="宋体" w:cs="宋体"/>
                <w:szCs w:val="21"/>
              </w:rPr>
              <w:t>治疗床</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6.1负载能力：≥200公斤</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6.2治疗床面板材料：治疗床面板为全碳纤维床面板</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★6.3治疗床左右移动范围：≥40cm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★6.4治疗床升降移动范围：≥45cm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★6.5治疗床前后移动范围：≥100cm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6.6治疗床移动精度：≤2mm</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6.7手动控制：除了由电机控制运动之外，所有的治疗床运动均能由手动方式控制。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7</w:t>
            </w:r>
            <w:r>
              <w:rPr>
                <w:rFonts w:hint="eastAsia" w:ascii="宋体" w:hAnsi="宋体" w:cs="宋体"/>
                <w:szCs w:val="21"/>
                <w:lang w:val="en-US" w:eastAsia="zh-CN"/>
              </w:rPr>
              <w:t xml:space="preserve"> </w:t>
            </w:r>
            <w:r>
              <w:rPr>
                <w:rFonts w:hint="eastAsia" w:ascii="宋体" w:hAnsi="宋体" w:cs="宋体"/>
                <w:szCs w:val="21"/>
              </w:rPr>
              <w:t>四维影像引导系统</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7.1提供CBCT或机载CT</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7.2千伏级X射线成像系统集成于加速器上</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7.3平板探测器尺寸</w:t>
            </w:r>
            <w:r>
              <w:rPr>
                <w:rFonts w:hint="eastAsia" w:ascii="宋体" w:hAnsi="宋体" w:cs="宋体"/>
                <w:szCs w:val="21"/>
                <w:lang w:eastAsia="zh-CN"/>
              </w:rPr>
              <w:t>：</w:t>
            </w:r>
            <w:r>
              <w:rPr>
                <w:rFonts w:hint="eastAsia" w:ascii="宋体" w:hAnsi="宋体" w:cs="宋体"/>
                <w:szCs w:val="21"/>
              </w:rPr>
              <w:t>≥41cm×41cm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★7.4探测器最大像素矩阵</w:t>
            </w:r>
            <w:r>
              <w:rPr>
                <w:rFonts w:hint="eastAsia" w:ascii="宋体" w:hAnsi="宋体" w:cs="宋体"/>
                <w:szCs w:val="21"/>
                <w:lang w:eastAsia="zh-CN"/>
              </w:rPr>
              <w:t>：</w:t>
            </w:r>
            <w:r>
              <w:rPr>
                <w:rFonts w:hint="eastAsia" w:ascii="宋体" w:hAnsi="宋体" w:cs="宋体"/>
                <w:szCs w:val="21"/>
              </w:rPr>
              <w:t>≥1024×1024，影像灰度值：≥16bit</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★7.5 探测器空间分辨率</w:t>
            </w:r>
            <w:r>
              <w:rPr>
                <w:rFonts w:hint="eastAsia" w:ascii="宋体" w:hAnsi="宋体" w:cs="宋体"/>
                <w:szCs w:val="21"/>
                <w:lang w:eastAsia="zh-CN"/>
              </w:rPr>
              <w:t>：</w:t>
            </w:r>
            <w:r>
              <w:rPr>
                <w:rFonts w:hint="eastAsia" w:ascii="宋体" w:hAnsi="宋体" w:cs="宋体"/>
                <w:szCs w:val="21"/>
              </w:rPr>
              <w:t>≥10LP/CM@0MTF</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7.6 X线KV输出范围：最大X射线球管电压</w:t>
            </w:r>
            <w:r>
              <w:rPr>
                <w:rFonts w:hint="eastAsia" w:ascii="宋体" w:hAnsi="宋体" w:cs="宋体"/>
                <w:szCs w:val="21"/>
                <w:lang w:eastAsia="zh-CN"/>
              </w:rPr>
              <w:t>：</w:t>
            </w:r>
            <w:r>
              <w:rPr>
                <w:rFonts w:hint="eastAsia" w:ascii="宋体" w:hAnsi="宋体" w:cs="宋体"/>
                <w:szCs w:val="21"/>
              </w:rPr>
              <w:t>≥140KV</w:t>
            </w:r>
            <w:r>
              <w:rPr>
                <w:rFonts w:hint="eastAsia" w:ascii="宋体" w:hAnsi="宋体" w:cs="宋体"/>
                <w:szCs w:val="21"/>
                <w:lang w:eastAsia="zh-CN"/>
              </w:rPr>
              <w:t>；</w:t>
            </w:r>
            <w:r>
              <w:rPr>
                <w:rFonts w:hint="eastAsia" w:ascii="宋体" w:hAnsi="宋体" w:cs="宋体"/>
                <w:szCs w:val="21"/>
              </w:rPr>
              <w:t>最小X射线球管电压</w:t>
            </w:r>
            <w:r>
              <w:rPr>
                <w:rFonts w:hint="eastAsia" w:ascii="宋体" w:hAnsi="宋体" w:cs="宋体"/>
                <w:szCs w:val="21"/>
                <w:lang w:eastAsia="zh-CN"/>
              </w:rPr>
              <w:t>：</w:t>
            </w:r>
            <w:r>
              <w:rPr>
                <w:rFonts w:hint="eastAsia" w:ascii="宋体" w:hAnsi="宋体" w:cs="宋体"/>
                <w:szCs w:val="21"/>
              </w:rPr>
              <w:t>≤80KV</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▲7.7最大扫描视野</w:t>
            </w:r>
            <w:r>
              <w:rPr>
                <w:rFonts w:hint="eastAsia" w:ascii="宋体" w:hAnsi="宋体" w:cs="宋体"/>
                <w:szCs w:val="21"/>
                <w:lang w:eastAsia="zh-CN"/>
              </w:rPr>
              <w:t>：</w:t>
            </w:r>
            <w:r>
              <w:rPr>
                <w:rFonts w:hint="eastAsia" w:ascii="宋体" w:hAnsi="宋体" w:cs="宋体"/>
                <w:szCs w:val="21"/>
              </w:rPr>
              <w:t>≥49cm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7.8 实现定位影像采集重建，并可在线调整治疗偏差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7.9 成像方式：支持X光拍片，透视，和容积影像（锥形束CT）模式，四维容积影像模式，自动、半自动图像匹配病人摆位复核功能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7.10 四维容积数据的采集和在线式重建：依序将每个投影按照时相归类；可对四维容积数据进行采集和在线式重建</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7.11 加速器可自动生成任意角度的DRR图像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7.12 可在加速器控制台上任意角度拍片，无需提前设置该角度射野</w:t>
            </w:r>
            <w:r>
              <w:rPr>
                <w:rFonts w:hint="eastAsia" w:ascii="宋体" w:hAnsi="宋体" w:cs="宋体"/>
                <w:szCs w:val="21"/>
                <w:lang w:eastAsia="zh-CN"/>
              </w:rPr>
              <w:t>；</w:t>
            </w:r>
            <w:r>
              <w:rPr>
                <w:rFonts w:hint="eastAsia" w:ascii="宋体" w:hAnsi="宋体" w:cs="宋体"/>
                <w:szCs w:val="21"/>
              </w:rPr>
              <w:t>7.13 可实时获取KV影像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7.14 质控设备：有一整套完备的CBCT系统或机载CT图像质量和几何位置质控模体,可以方便地测量CBCT图像或机载CT的灰度分辨率和空间分辨率,以及几何重合度</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7.15具有定位图象和实际摆位图象的比对功能，通过网络系统进行实际的校准和更正治疗床位置的功能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w:t>
            </w:r>
            <w:r>
              <w:rPr>
                <w:rFonts w:hint="eastAsia" w:ascii="宋体" w:hAnsi="宋体" w:cs="宋体"/>
                <w:szCs w:val="21"/>
                <w:lang w:val="en-US" w:eastAsia="zh-CN"/>
              </w:rPr>
              <w:t xml:space="preserve"> </w:t>
            </w:r>
            <w:r>
              <w:rPr>
                <w:rFonts w:hint="eastAsia" w:ascii="宋体" w:hAnsi="宋体" w:cs="宋体"/>
                <w:szCs w:val="21"/>
              </w:rPr>
              <w:t>EPID系统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8.1硬件要求：</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8.1.1图像采集器面积：≥41cm×41cm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8.1.2图像采集频率：≥5幅/秒</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8.1.3分辨率：≥1024×1024</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8.1.4图像灰度分辨率：≥16bit/pixel</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8.1.5等中心处像素空间分辨率：≤0.4mm×0.4mm。</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8.2软件要求：</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8.2.1多种图像显示能力：可在实时影像系统的用户界面上同时查看实时成像和对比参考图像（模拟定位图像，或DRR图像）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8.2.2 MLC显示：可在图像上覆盖显示多叶准直器的照射野形状</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8.2.3定位匹配功能：可对参考图像和实时成像进行照射野边界和解剖结构的定位匹配的检测，并可进行位移的测量，从而确定照射野的摆位误差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8.2.4具有DICOM-3.0，DICOM-RT网络功能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8.2.5具备剂量验证功能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8.2.6 具备EPID设备质控功能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9</w:t>
            </w:r>
            <w:r>
              <w:rPr>
                <w:rFonts w:hint="eastAsia" w:ascii="宋体" w:hAnsi="宋体" w:cs="宋体"/>
                <w:szCs w:val="21"/>
                <w:lang w:val="en-US" w:eastAsia="zh-CN"/>
              </w:rPr>
              <w:t xml:space="preserve"> </w:t>
            </w:r>
            <w:r>
              <w:rPr>
                <w:rFonts w:hint="eastAsia" w:ascii="宋体" w:hAnsi="宋体" w:cs="宋体"/>
                <w:szCs w:val="21"/>
              </w:rPr>
              <w:t>旋转容积调强功能</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9.1可以对下列因素进行同步控制：机架旋转运动、MLC叶片移动、剂量率变化</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9.2容积旋转调强治疗时，最大调强照射野：≥30cm×30cm</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9.3具有专业旋转调强放疗的计算功能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9.4容积旋转调强治疗模式：能执行单个弧度容积旋转调强的治疗、单轴多弧度容积旋转调强的治疗、非共平面容积旋转调强的治疗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9.5在使用兼容的记录验证系统时,自动设置所有机械参数和射野参数。</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10具备立体定向放疗功能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11具备呼吸门控治疗系统</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w:t>
            </w:r>
            <w:r>
              <w:rPr>
                <w:rFonts w:hint="eastAsia" w:ascii="宋体" w:hAnsi="宋体" w:cs="宋体"/>
                <w:szCs w:val="21"/>
                <w:lang w:val="en-US" w:eastAsia="zh-CN"/>
              </w:rPr>
              <w:t xml:space="preserve"> </w:t>
            </w:r>
            <w:r>
              <w:rPr>
                <w:rFonts w:hint="eastAsia" w:ascii="宋体" w:hAnsi="宋体" w:cs="宋体"/>
                <w:szCs w:val="21"/>
              </w:rPr>
              <w:t>放射治疗计划系统</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★12.1投标人必须作为本项目的唯一责任方，对所提供放射治疗计划系统的整体性能、无缝兼容、系统稳定性及售后服务承担全部责任。放射治疗计划系统</w:t>
            </w:r>
            <w:r>
              <w:rPr>
                <w:rFonts w:hint="eastAsia" w:ascii="宋体" w:hAnsi="宋体" w:cs="宋体"/>
                <w:szCs w:val="21"/>
                <w:lang w:eastAsia="zh-CN"/>
              </w:rPr>
              <w:t>须</w:t>
            </w:r>
            <w:r>
              <w:rPr>
                <w:rFonts w:hint="eastAsia" w:ascii="宋体" w:hAnsi="宋体" w:cs="宋体"/>
                <w:szCs w:val="21"/>
              </w:rPr>
              <w:t>为投标人拥有自主知识产权或合法授权的产品，</w:t>
            </w:r>
            <w:r>
              <w:rPr>
                <w:rFonts w:hint="eastAsia" w:ascii="宋体" w:hAnsi="宋体" w:cs="宋体"/>
                <w:szCs w:val="21"/>
                <w:lang w:eastAsia="zh-CN"/>
              </w:rPr>
              <w:t>须</w:t>
            </w:r>
            <w:r>
              <w:rPr>
                <w:rFonts w:hint="eastAsia" w:ascii="宋体" w:hAnsi="宋体" w:cs="宋体"/>
                <w:szCs w:val="21"/>
              </w:rPr>
              <w:t>提供软件著作权登记证书或源代码托管协议，若为第三方授权软件，</w:t>
            </w:r>
            <w:r>
              <w:rPr>
                <w:rFonts w:hint="eastAsia" w:ascii="宋体" w:hAnsi="宋体" w:cs="宋体"/>
                <w:szCs w:val="21"/>
                <w:lang w:eastAsia="zh-CN"/>
              </w:rPr>
              <w:t>须</w:t>
            </w:r>
            <w:r>
              <w:rPr>
                <w:rFonts w:hint="eastAsia" w:ascii="宋体" w:hAnsi="宋体" w:cs="宋体"/>
                <w:szCs w:val="21"/>
              </w:rPr>
              <w:t>提交知识产权授权链条文件（从原始开发商至投标人的完整授权协议）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12.2放射治疗计划和虚拟模拟系统，应支持整个放疗科的病人数据集成</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12.3具备临床与管理数据库</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12.4数据库系统：数据库是关系型数据库管理系统，应建立在符合ANSII规定标准的SQL语言上；系统应基于一个综合数据库</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szCs w:val="21"/>
              </w:rPr>
              <w:t>▲12.5放射治疗计划系统（TPS）工作站数量要求</w:t>
            </w:r>
            <w:r>
              <w:rPr>
                <w:rFonts w:hint="eastAsia" w:ascii="宋体" w:hAnsi="宋体" w:cs="宋体"/>
                <w:color w:val="auto"/>
                <w:szCs w:val="21"/>
              </w:rPr>
              <w:t>：物理师工作站：≥3台；医生工作站：≥6台</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12.6应用要求：TPS系统应在通用用户界面中提供如下功能和应用，用户不必再向其它应用软件或平台导入/导出数据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12.7器官自动勾画功能：能自动勾画≥80个器官</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12.8勾画功能：具备感兴趣区域密度重置；基于Dose生成轮廓；基于HU值生成轮廓；支持横断面，冠状面，矢状面，BEV和3D窗口显示患者勾画；支持在4D序列上进行勾画；支持多模态图像融合</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12.9显示功能：支持基于ROI进行图像配准；DICOM导入导出；DICOM RT接口</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12.10 DICOM导入导出：CT，MRI，PET，CR，RT Image DICOM标准图像导入；将结构集，计划，剂量文件导出为DICOM文件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12.11剂量计算与优化：自定义计算网格的范围和大小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12.12具备快速蒙特卡洛算法</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12.13具备EUD优化功能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12.14计划制作与评估：支持添加光子线计划</w:t>
            </w:r>
            <w:r>
              <w:rPr>
                <w:rFonts w:hint="eastAsia" w:ascii="宋体" w:hAnsi="宋体" w:cs="宋体"/>
                <w:szCs w:val="21"/>
                <w:lang w:eastAsia="zh-CN"/>
              </w:rPr>
              <w:t>，</w:t>
            </w:r>
            <w:r>
              <w:rPr>
                <w:rFonts w:hint="eastAsia" w:ascii="宋体" w:hAnsi="宋体" w:cs="宋体"/>
                <w:szCs w:val="21"/>
              </w:rPr>
              <w:t>支持非共面计划设计</w:t>
            </w:r>
            <w:r>
              <w:rPr>
                <w:rFonts w:hint="eastAsia" w:ascii="宋体" w:hAnsi="宋体" w:cs="宋体"/>
                <w:szCs w:val="21"/>
                <w:lang w:eastAsia="zh-CN"/>
              </w:rPr>
              <w:t>，</w:t>
            </w:r>
            <w:r>
              <w:rPr>
                <w:rFonts w:hint="eastAsia" w:ascii="宋体" w:hAnsi="宋体" w:cs="宋体"/>
                <w:szCs w:val="21"/>
              </w:rPr>
              <w:t>支持逆向调强计划设计</w:t>
            </w:r>
            <w:r>
              <w:rPr>
                <w:rFonts w:hint="eastAsia" w:ascii="宋体" w:hAnsi="宋体" w:cs="宋体"/>
                <w:szCs w:val="21"/>
                <w:lang w:eastAsia="zh-CN"/>
              </w:rPr>
              <w:t>，</w:t>
            </w:r>
            <w:r>
              <w:rPr>
                <w:rFonts w:hint="eastAsia" w:ascii="宋体" w:hAnsi="宋体" w:cs="宋体"/>
                <w:szCs w:val="21"/>
              </w:rPr>
              <w:t>支持添加门控计划</w:t>
            </w:r>
            <w:r>
              <w:rPr>
                <w:rFonts w:hint="eastAsia" w:ascii="宋体" w:hAnsi="宋体" w:cs="宋体"/>
                <w:szCs w:val="21"/>
                <w:lang w:eastAsia="zh-CN"/>
              </w:rPr>
              <w:t>，</w:t>
            </w:r>
            <w:r>
              <w:rPr>
                <w:rFonts w:hint="eastAsia" w:ascii="宋体" w:hAnsi="宋体" w:cs="宋体"/>
                <w:szCs w:val="21"/>
              </w:rPr>
              <w:t>支持计划模拟执行</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12.15计划验证：支持将当前患者的计划数据拷贝到模体中创建验证计划；支持输出验证计划的剂量分布</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12.16支持自动计划功能进行计划设计和优化。</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 xml:space="preserve">3 </w:t>
            </w:r>
            <w:r>
              <w:rPr>
                <w:rFonts w:hint="eastAsia" w:ascii="宋体" w:hAnsi="宋体" w:cs="宋体"/>
                <w:szCs w:val="21"/>
              </w:rPr>
              <w:t>设备配置清单</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.1直线加速器主机：放射治疗主机1套、电动多叶准直器（MLC）系统1套、EPID系统1套、四维影像引导或机载影像引导1套、治疗技术：三维适</w:t>
            </w:r>
            <w:r>
              <w:rPr>
                <w:rFonts w:hint="eastAsia" w:ascii="宋体" w:hAnsi="宋体" w:cs="宋体"/>
                <w:szCs w:val="21"/>
                <w:lang w:eastAsia="zh-CN"/>
              </w:rPr>
              <w:t>形</w:t>
            </w:r>
            <w:r>
              <w:rPr>
                <w:rFonts w:hint="eastAsia" w:ascii="宋体" w:hAnsi="宋体" w:cs="宋体"/>
                <w:szCs w:val="21"/>
              </w:rPr>
              <w:t>、静态调强、动态调强、动态弧治疗、容积旋转调强治疗VMAT、立体定向放射治疗1套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2</w:t>
            </w:r>
            <w:r>
              <w:rPr>
                <w:rFonts w:hint="eastAsia" w:ascii="宋体" w:hAnsi="宋体" w:cs="宋体"/>
                <w:szCs w:val="21"/>
              </w:rPr>
              <w:t>呼吸门控系统1套</w:t>
            </w:r>
            <w:r>
              <w:rPr>
                <w:rFonts w:hint="eastAsia" w:ascii="宋体" w:hAnsi="宋体" w:cs="宋体"/>
                <w:szCs w:val="21"/>
                <w:lang w:eastAsia="zh-CN"/>
              </w:rPr>
              <w:t>；</w:t>
            </w:r>
            <w:r>
              <w:rPr>
                <w:rFonts w:hint="eastAsia" w:ascii="宋体" w:hAnsi="宋体" w:cs="宋体"/>
                <w:szCs w:val="21"/>
              </w:rPr>
              <w:t>治疗床1套</w:t>
            </w:r>
            <w:r>
              <w:rPr>
                <w:rFonts w:hint="eastAsia" w:ascii="宋体" w:hAnsi="宋体" w:cs="宋体"/>
                <w:szCs w:val="21"/>
                <w:lang w:eastAsia="zh-CN"/>
              </w:rPr>
              <w:t>；</w:t>
            </w:r>
            <w:r>
              <w:rPr>
                <w:rFonts w:hint="eastAsia" w:ascii="宋体" w:hAnsi="宋体" w:cs="宋体"/>
                <w:szCs w:val="21"/>
              </w:rPr>
              <w:t>激光灯1套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（二）肿瘤放射治疗信息管理系统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1系统基本要求</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1.1要求能够整合新购治疗设备，统一记录验证与治疗数据统一归档。建立基于电子记录的质量控制及保障体系，能够实现事前预警、事中监控、事后分析等措施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1.2临床医生通过信息系统可实时掌握放疗资源和放疗实施过程中与病人相关的医嘱，预约，质控，治疗信息，能够定制质控点，质控内容等</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lang w:eastAsia="zh-CN"/>
              </w:rPr>
            </w:pPr>
            <w:r>
              <w:rPr>
                <w:rFonts w:hint="eastAsia" w:ascii="宋体" w:hAnsi="宋体" w:cs="宋体"/>
                <w:szCs w:val="21"/>
              </w:rPr>
              <w:t>1.3用户界面为中文</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1.4知识产权：所有软件具有自主知识产权，并提供相关证明，如果存在知识产权的争议或法律问题均由中标负责人承担</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2肿瘤信息系统放射治疗支持功能要求</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2.1用户权限要求集中管理</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2.2电子病历软件功能：配备应用软件系统，对病人数据、治疗计划的浏览功能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2.3病人基础资料管理：实现病人基础ADT数据的录入</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2.4登记：患者原始数据录入，快速检索患者资料、医嘱、治疗安排等，病人多媒体建档包括二维条码，病人影像资料</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2.5排程：要求治疗日历模块能自动安排患者治疗时间和治疗模式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2.6统计：要求具有统计图表绘制功能，自动分析设备、病人和资源的利用情况</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2.7条码追踪：病人信息条码管理，包括条码生存，读取等</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2.8治疗技术：提供VMAT、IGRT等高级放疗技术应用支持</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2.9记录和验证系统可自动记录实际治疗数据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2.10要求具备自动剂量跟踪功能，自动累计照射剂量，允许定义多个剂量跟踪点</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2.11可对治疗方案进行QA验证，自动记录结果</w:t>
            </w:r>
            <w:r>
              <w:rPr>
                <w:rFonts w:hint="eastAsia" w:ascii="宋体" w:hAnsi="宋体" w:cs="宋体"/>
                <w:szCs w:val="21"/>
                <w:lang w:eastAsia="zh-CN"/>
              </w:rPr>
              <w:t>；</w:t>
            </w:r>
            <w:r>
              <w:rPr>
                <w:rFonts w:hint="eastAsia" w:ascii="宋体" w:hAnsi="宋体" w:cs="宋体"/>
                <w:szCs w:val="21"/>
              </w:rPr>
              <w:t>体模QA验证：记录分次剂量，但不计入累计剂量</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2.1</w:t>
            </w:r>
            <w:r>
              <w:rPr>
                <w:rFonts w:hint="eastAsia" w:ascii="宋体" w:hAnsi="宋体" w:cs="宋体"/>
                <w:szCs w:val="21"/>
                <w:lang w:val="en-US" w:eastAsia="zh-CN"/>
              </w:rPr>
              <w:t>2</w:t>
            </w:r>
            <w:r>
              <w:rPr>
                <w:rFonts w:hint="eastAsia" w:ascii="宋体" w:hAnsi="宋体" w:cs="宋体"/>
                <w:szCs w:val="21"/>
              </w:rPr>
              <w:t>剂量限制：可对治疗总剂量和治疗次数进行限制。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 xml:space="preserve"> </w:t>
            </w:r>
            <w:r>
              <w:rPr>
                <w:rFonts w:hint="eastAsia" w:ascii="宋体" w:hAnsi="宋体" w:cs="宋体"/>
                <w:szCs w:val="21"/>
              </w:rPr>
              <w:t>系统设备整合</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3.1放疗设备连接：要求能够整合用户本次新购置的放疗设备；并支持常用加速器厂家(包括但不限于医科达，瓦里安最新加速器系统，如MR-LA、AXESSE，Infinity、Edge、True beam、uLinac EternaTx、及TOMO和Cyber Knife等)的参数验证，指示超出误差范围，用户自定义误差范围限制</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3.2支持多叶准直器MLC连接，参数设置、记录、验证</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3.3二维影像验证：系统支持实时影像验证（EPID）设备集成</w:t>
            </w:r>
            <w:r>
              <w:rPr>
                <w:rFonts w:hint="eastAsia" w:ascii="宋体" w:hAnsi="宋体" w:cs="宋体"/>
                <w:szCs w:val="21"/>
                <w:lang w:eastAsia="zh-CN"/>
              </w:rPr>
              <w:t>；</w:t>
            </w:r>
            <w:r>
              <w:rPr>
                <w:rFonts w:hint="eastAsia" w:ascii="宋体" w:hAnsi="宋体" w:cs="宋体"/>
                <w:szCs w:val="21"/>
              </w:rPr>
              <w:t>三维影像验证：系统支持Cone Beam CT设备集成</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 xml:space="preserve">4 </w:t>
            </w:r>
            <w:r>
              <w:rPr>
                <w:rFonts w:hint="eastAsia" w:ascii="宋体" w:hAnsi="宋体" w:cs="宋体"/>
                <w:szCs w:val="21"/>
              </w:rPr>
              <w:t>IMRT：等中心旋转放疗、非共平面放疗、多叶准直器、不规则照射野、适形放疗、调强放疗等所有外照射放疗的应用</w:t>
            </w:r>
            <w:r>
              <w:rPr>
                <w:rFonts w:hint="eastAsia" w:ascii="宋体" w:hAnsi="宋体" w:cs="宋体"/>
                <w:szCs w:val="21"/>
                <w:lang w:eastAsia="zh-CN"/>
              </w:rPr>
              <w:t>；</w:t>
            </w:r>
            <w:r>
              <w:rPr>
                <w:rFonts w:hint="eastAsia" w:ascii="宋体" w:hAnsi="宋体" w:cs="宋体"/>
                <w:szCs w:val="21"/>
              </w:rPr>
              <w:t>IGRT：系统支持影像引导下的调强放射治疗技术，可实现记录验证以及影像配准和自动摆位功能</w:t>
            </w:r>
            <w:r>
              <w:rPr>
                <w:rFonts w:hint="eastAsia" w:ascii="宋体" w:hAnsi="宋体" w:cs="宋体"/>
                <w:szCs w:val="21"/>
                <w:lang w:eastAsia="zh-CN"/>
              </w:rPr>
              <w:t>；</w:t>
            </w:r>
            <w:r>
              <w:rPr>
                <w:rFonts w:hint="eastAsia" w:ascii="宋体" w:hAnsi="宋体" w:cs="宋体"/>
                <w:szCs w:val="21"/>
              </w:rPr>
              <w:t>VMAT：系统支持旋转弧形调强放射治疗技术</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w:t>
            </w:r>
            <w:r>
              <w:rPr>
                <w:rFonts w:hint="eastAsia" w:ascii="宋体" w:hAnsi="宋体" w:cs="宋体"/>
                <w:szCs w:val="21"/>
                <w:lang w:val="en-US" w:eastAsia="zh-CN"/>
              </w:rPr>
              <w:t>5</w:t>
            </w:r>
            <w:r>
              <w:rPr>
                <w:rFonts w:hint="eastAsia" w:ascii="宋体" w:hAnsi="宋体" w:cs="宋体"/>
                <w:szCs w:val="21"/>
              </w:rPr>
              <w:t>模拟定位机接入：系统支持将Nucletron、Varian、GE、Phillips、SIEMENS厂家提供的常规、CT、MR模拟机图像传入肿瘤信息系统</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w:t>
            </w:r>
            <w:r>
              <w:rPr>
                <w:rFonts w:hint="eastAsia" w:ascii="宋体" w:hAnsi="宋体" w:cs="宋体"/>
                <w:szCs w:val="21"/>
                <w:lang w:val="en-US" w:eastAsia="zh-CN"/>
              </w:rPr>
              <w:t>6</w:t>
            </w:r>
            <w:r>
              <w:rPr>
                <w:rFonts w:hint="eastAsia" w:ascii="宋体" w:hAnsi="宋体" w:cs="宋体"/>
                <w:szCs w:val="21"/>
              </w:rPr>
              <w:t>支持治疗计划系统接入功能。</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 xml:space="preserve"> </w:t>
            </w:r>
            <w:r>
              <w:rPr>
                <w:rFonts w:hint="eastAsia" w:ascii="宋体" w:hAnsi="宋体" w:cs="宋体"/>
                <w:szCs w:val="21"/>
              </w:rPr>
              <w:t>肿瘤放疗信息平台</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4.1放疗资源管理：提供≥5个用户软件授权，用于放疗设备，患者治疗等资源安排管理</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4.2放疗实施管理：提供≥5个用户软件授权，用于管理 DICOM RT 计划/图像，快速生成复杂的放疗处方和治疗日程安排</w:t>
            </w:r>
            <w:r>
              <w:rPr>
                <w:rFonts w:hint="eastAsia" w:ascii="宋体" w:hAnsi="宋体" w:cs="宋体"/>
                <w:szCs w:val="21"/>
                <w:lang w:eastAsia="zh-CN"/>
              </w:rPr>
              <w:t>，</w:t>
            </w:r>
            <w:r>
              <w:rPr>
                <w:rFonts w:hint="eastAsia" w:ascii="宋体" w:hAnsi="宋体" w:cs="宋体"/>
                <w:szCs w:val="21"/>
              </w:rPr>
              <w:t>支持治疗验证、查看和分析功能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4.3放射治疗过程信息流整合：要求实现与医院本次新购置直线加速器的影像、计划、文本、治疗数据等信息流衔接，使网络中的所有放疗设备均能方便地共享数据信息资源</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4.4放疗影像存储：具备对外部图像、治疗处方、治疗计划、模拟定位、治疗中的DICOM-RT图像的存储功能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4.5</w:t>
            </w:r>
            <w:r>
              <w:rPr>
                <w:rFonts w:hint="eastAsia" w:ascii="宋体" w:hAnsi="宋体" w:cs="宋体"/>
                <w:szCs w:val="21"/>
                <w:lang w:val="en-US" w:eastAsia="zh-CN"/>
              </w:rPr>
              <w:t xml:space="preserve"> </w:t>
            </w:r>
            <w:r>
              <w:rPr>
                <w:rFonts w:hint="eastAsia" w:ascii="宋体" w:hAnsi="宋体" w:cs="宋体"/>
                <w:szCs w:val="21"/>
              </w:rPr>
              <w:t>DICOM-RT支持：支持患者相关标准DICOM-RT图像存储</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4.6三维影像管理：所有IGRT设备摆位验证图像，配准图像统一管理</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4.7二维影像管理：可存储和访问由虚拟模拟定位系统生成的DRR和Portal Image图像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4.8支持不同厂家治疗计划系统，以DICOM RT格式传输治疗计划数据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4.9网络系统软件的外部图像输入/输出接口能力</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w:t>
            </w:r>
            <w:r>
              <w:rPr>
                <w:rFonts w:hint="eastAsia" w:ascii="宋体" w:hAnsi="宋体" w:cs="宋体"/>
                <w:szCs w:val="21"/>
                <w:lang w:val="en-US" w:eastAsia="zh-CN"/>
              </w:rPr>
              <w:t xml:space="preserve"> </w:t>
            </w:r>
            <w:r>
              <w:rPr>
                <w:rFonts w:hint="eastAsia" w:ascii="宋体" w:hAnsi="宋体" w:cs="宋体"/>
                <w:szCs w:val="21"/>
              </w:rPr>
              <w:t>科室管理报表统计</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5.1帮助分析科室工作效率，包括设备工作量统计、人员工作量统计、病人量统计等各类型统计报告</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5.2可根据用户要求，个性化定制各类型统计报表。</w:t>
            </w:r>
          </w:p>
          <w:p>
            <w:pPr>
              <w:numPr>
                <w:ilvl w:val="0"/>
                <w:numId w:val="0"/>
              </w:numPr>
              <w:spacing w:line="240" w:lineRule="auto"/>
              <w:textAlignment w:val="auto"/>
              <w:rPr>
                <w:rFonts w:hint="eastAsia" w:ascii="宋体" w:hAnsi="宋体" w:cs="宋体"/>
                <w:szCs w:val="21"/>
              </w:rPr>
            </w:pPr>
            <w:r>
              <w:rPr>
                <w:rFonts w:hint="eastAsia" w:ascii="宋体" w:hAnsi="宋体" w:cs="宋体"/>
                <w:szCs w:val="21"/>
                <w:lang w:val="en-US" w:eastAsia="zh-CN"/>
              </w:rPr>
              <w:t xml:space="preserve">6 </w:t>
            </w:r>
            <w:r>
              <w:rPr>
                <w:rFonts w:hint="eastAsia" w:ascii="宋体" w:hAnsi="宋体" w:cs="宋体"/>
                <w:szCs w:val="21"/>
              </w:rPr>
              <w:t>硬件平台技术要求</w:t>
            </w:r>
          </w:p>
          <w:p>
            <w:pPr>
              <w:numPr>
                <w:ilvl w:val="0"/>
                <w:numId w:val="0"/>
              </w:numPr>
              <w:spacing w:line="240" w:lineRule="auto"/>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.1数据库服务器</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.1.1中央处理器：英特尔至强六核处理器或同等级以上</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 xml:space="preserve">.1.2 </w:t>
            </w:r>
            <w:r>
              <w:rPr>
                <w:rFonts w:hint="eastAsia" w:ascii="宋体" w:hAnsi="宋体" w:cs="宋体"/>
                <w:color w:val="auto"/>
                <w:szCs w:val="21"/>
                <w:lang w:eastAsia="zh-CN"/>
              </w:rPr>
              <w:t>内存：</w:t>
            </w:r>
            <w:r>
              <w:rPr>
                <w:rFonts w:hint="eastAsia" w:ascii="宋体" w:hAnsi="宋体" w:cs="宋体"/>
                <w:color w:val="auto"/>
                <w:szCs w:val="21"/>
              </w:rPr>
              <w:t>≥16GB</w:t>
            </w:r>
            <w:r>
              <w:rPr>
                <w:rFonts w:hint="eastAsia" w:ascii="宋体" w:hAnsi="宋体" w:cs="宋体"/>
                <w:color w:val="auto"/>
                <w:szCs w:val="21"/>
                <w:lang w:eastAsia="zh-CN"/>
              </w:rPr>
              <w:t>，</w:t>
            </w:r>
            <w:r>
              <w:rPr>
                <w:rFonts w:hint="eastAsia" w:ascii="宋体" w:hAnsi="宋体" w:cs="宋体"/>
                <w:color w:val="auto"/>
                <w:szCs w:val="21"/>
              </w:rPr>
              <w:t>DDR4内存</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.1.3硬盘</w:t>
            </w:r>
            <w:r>
              <w:rPr>
                <w:rFonts w:hint="eastAsia" w:ascii="宋体" w:hAnsi="宋体" w:cs="宋体"/>
                <w:color w:val="auto"/>
                <w:szCs w:val="21"/>
                <w:lang w:eastAsia="zh-CN"/>
              </w:rPr>
              <w:t>：</w:t>
            </w:r>
            <w:r>
              <w:rPr>
                <w:rFonts w:hint="eastAsia" w:ascii="宋体" w:hAnsi="宋体" w:cs="宋体"/>
                <w:color w:val="auto"/>
                <w:szCs w:val="21"/>
              </w:rPr>
              <w:t>≥5×600GB</w:t>
            </w:r>
            <w:r>
              <w:rPr>
                <w:rFonts w:hint="eastAsia" w:ascii="宋体" w:hAnsi="宋体" w:cs="宋体"/>
                <w:color w:val="auto"/>
                <w:szCs w:val="21"/>
                <w:lang w:eastAsia="zh-CN"/>
              </w:rPr>
              <w:t>，</w:t>
            </w:r>
            <w:r>
              <w:rPr>
                <w:rFonts w:hint="eastAsia" w:ascii="宋体" w:hAnsi="宋体" w:cs="宋体"/>
                <w:color w:val="auto"/>
                <w:szCs w:val="21"/>
              </w:rPr>
              <w:t>6G SAS 10K rpm SFF（磁盘阵列）</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.1.4网络适配器：千兆网络适配器端口</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.1.5操作系统：≥Windows 201</w:t>
            </w:r>
            <w:r>
              <w:rPr>
                <w:rFonts w:hint="eastAsia" w:ascii="宋体" w:hAnsi="宋体" w:cs="宋体"/>
                <w:color w:val="auto"/>
                <w:szCs w:val="21"/>
                <w:lang w:val="en-US" w:eastAsia="zh-CN"/>
              </w:rPr>
              <w:t>9</w:t>
            </w:r>
            <w:r>
              <w:rPr>
                <w:rFonts w:hint="eastAsia" w:ascii="宋体" w:hAnsi="宋体" w:cs="宋体"/>
                <w:color w:val="auto"/>
                <w:szCs w:val="21"/>
              </w:rPr>
              <w:t xml:space="preserve"> Server 企业版64位或同等级及以上</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.1.6数据库</w:t>
            </w:r>
            <w:r>
              <w:rPr>
                <w:rFonts w:hint="eastAsia" w:ascii="宋体" w:hAnsi="宋体" w:cs="宋体"/>
                <w:color w:val="auto"/>
                <w:szCs w:val="21"/>
                <w:lang w:eastAsia="zh-CN"/>
              </w:rPr>
              <w:t>：</w:t>
            </w:r>
            <w:r>
              <w:rPr>
                <w:rFonts w:hint="eastAsia" w:ascii="宋体" w:hAnsi="宋体" w:cs="宋体"/>
                <w:color w:val="auto"/>
                <w:szCs w:val="21"/>
              </w:rPr>
              <w:t>≥SQL Server 201</w:t>
            </w:r>
            <w:r>
              <w:rPr>
                <w:rFonts w:hint="eastAsia" w:ascii="宋体" w:hAnsi="宋体" w:cs="宋体"/>
                <w:color w:val="auto"/>
                <w:szCs w:val="21"/>
                <w:lang w:val="en-US" w:eastAsia="zh-CN"/>
              </w:rPr>
              <w:t>9</w:t>
            </w:r>
            <w:r>
              <w:rPr>
                <w:rFonts w:hint="eastAsia" w:ascii="宋体" w:hAnsi="宋体" w:cs="宋体"/>
                <w:color w:val="auto"/>
                <w:szCs w:val="21"/>
              </w:rPr>
              <w:t>标准版</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.1.7提供三年7×24保修服务</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.2放疗网络工作站</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.2.1 内存</w:t>
            </w:r>
            <w:r>
              <w:rPr>
                <w:rFonts w:hint="eastAsia" w:ascii="宋体" w:hAnsi="宋体" w:cs="宋体"/>
                <w:color w:val="auto"/>
                <w:szCs w:val="21"/>
                <w:lang w:eastAsia="zh-CN"/>
              </w:rPr>
              <w:t>：</w:t>
            </w:r>
            <w:r>
              <w:rPr>
                <w:rFonts w:hint="eastAsia" w:ascii="宋体" w:hAnsi="宋体" w:cs="宋体"/>
                <w:color w:val="auto"/>
                <w:szCs w:val="21"/>
              </w:rPr>
              <w:t xml:space="preserve">≥8GB </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.2.2 硬盘</w:t>
            </w:r>
            <w:r>
              <w:rPr>
                <w:rFonts w:hint="eastAsia" w:ascii="宋体" w:hAnsi="宋体" w:cs="宋体"/>
                <w:color w:val="auto"/>
                <w:szCs w:val="21"/>
                <w:lang w:eastAsia="zh-CN"/>
              </w:rPr>
              <w:t>：</w:t>
            </w:r>
            <w:r>
              <w:rPr>
                <w:rFonts w:hint="eastAsia" w:ascii="宋体" w:hAnsi="宋体" w:cs="宋体"/>
                <w:color w:val="auto"/>
                <w:szCs w:val="21"/>
              </w:rPr>
              <w:t>≥1T SATA</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6</w:t>
            </w:r>
            <w:r>
              <w:rPr>
                <w:rFonts w:hint="eastAsia" w:ascii="宋体" w:hAnsi="宋体" w:cs="宋体"/>
                <w:color w:val="auto"/>
                <w:szCs w:val="21"/>
              </w:rPr>
              <w:t>.2.3 操作系统</w:t>
            </w:r>
            <w:r>
              <w:rPr>
                <w:rFonts w:hint="eastAsia" w:ascii="宋体" w:hAnsi="宋体" w:cs="宋体"/>
                <w:color w:val="auto"/>
                <w:szCs w:val="21"/>
                <w:lang w:eastAsia="zh-CN"/>
              </w:rPr>
              <w:t>：</w:t>
            </w:r>
            <w:r>
              <w:rPr>
                <w:rFonts w:hint="eastAsia" w:ascii="宋体" w:hAnsi="宋体" w:cs="宋体"/>
                <w:color w:val="auto"/>
                <w:szCs w:val="21"/>
              </w:rPr>
              <w:t>≥Windows 10</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.2.4 LCD显示器</w:t>
            </w:r>
            <w:r>
              <w:rPr>
                <w:rFonts w:hint="eastAsia" w:ascii="宋体" w:hAnsi="宋体" w:cs="宋体"/>
                <w:color w:val="auto"/>
                <w:szCs w:val="21"/>
                <w:lang w:eastAsia="zh-CN"/>
              </w:rPr>
              <w:t>：</w:t>
            </w:r>
            <w:r>
              <w:rPr>
                <w:rFonts w:hint="eastAsia" w:ascii="宋体" w:hAnsi="宋体" w:cs="宋体"/>
                <w:color w:val="auto"/>
                <w:szCs w:val="21"/>
              </w:rPr>
              <w:t>≥24英寸。</w:t>
            </w:r>
          </w:p>
          <w:p>
            <w:pPr>
              <w:numPr>
                <w:ilvl w:val="0"/>
                <w:numId w:val="0"/>
              </w:numPr>
              <w:spacing w:line="240" w:lineRule="auto"/>
              <w:textAlignment w:val="auto"/>
              <w:rPr>
                <w:rFonts w:hint="eastAsia" w:ascii="宋体" w:hAnsi="宋体" w:cs="宋体"/>
                <w:color w:val="auto"/>
                <w:szCs w:val="21"/>
              </w:rPr>
            </w:pPr>
            <w:r>
              <w:rPr>
                <w:rFonts w:hint="eastAsia" w:ascii="宋体" w:hAnsi="宋体" w:cs="宋体"/>
                <w:szCs w:val="21"/>
              </w:rPr>
              <w:t>▲</w:t>
            </w:r>
            <w:r>
              <w:rPr>
                <w:rFonts w:hint="eastAsia" w:ascii="宋体" w:hAnsi="宋体" w:cs="宋体"/>
                <w:color w:val="auto"/>
                <w:szCs w:val="21"/>
                <w:lang w:val="en-US" w:eastAsia="zh-CN"/>
              </w:rPr>
              <w:t>7</w:t>
            </w:r>
            <w:r>
              <w:rPr>
                <w:rFonts w:hint="eastAsia" w:ascii="宋体" w:hAnsi="宋体" w:cs="宋体"/>
                <w:color w:val="auto"/>
                <w:szCs w:val="21"/>
              </w:rPr>
              <w:t>配置清单</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7</w:t>
            </w:r>
            <w:r>
              <w:rPr>
                <w:rFonts w:hint="eastAsia" w:ascii="宋体" w:hAnsi="宋体" w:cs="宋体"/>
                <w:color w:val="auto"/>
                <w:szCs w:val="21"/>
              </w:rPr>
              <w:t>.1肿瘤放射治疗信息管理系统1套</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7</w:t>
            </w:r>
            <w:r>
              <w:rPr>
                <w:rFonts w:hint="eastAsia" w:ascii="宋体" w:hAnsi="宋体" w:cs="宋体"/>
                <w:color w:val="auto"/>
                <w:szCs w:val="21"/>
              </w:rPr>
              <w:t>.2放疗网</w:t>
            </w:r>
            <w:r>
              <w:rPr>
                <w:rFonts w:hint="eastAsia" w:ascii="宋体" w:hAnsi="宋体" w:cs="宋体"/>
                <w:color w:val="auto"/>
                <w:szCs w:val="21"/>
                <w:lang w:eastAsia="zh-CN"/>
              </w:rPr>
              <w:t>络</w:t>
            </w:r>
            <w:r>
              <w:rPr>
                <w:rFonts w:hint="eastAsia" w:ascii="宋体" w:hAnsi="宋体" w:cs="宋体"/>
                <w:color w:val="auto"/>
                <w:szCs w:val="21"/>
              </w:rPr>
              <w:t>工作站≥5套</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color w:val="auto"/>
                <w:szCs w:val="21"/>
                <w:lang w:eastAsia="zh-CN"/>
              </w:rPr>
            </w:pPr>
            <w:r>
              <w:rPr>
                <w:rFonts w:hint="eastAsia" w:ascii="宋体" w:hAnsi="宋体" w:cs="宋体"/>
                <w:color w:val="auto"/>
                <w:szCs w:val="21"/>
                <w:lang w:val="en-US" w:eastAsia="zh-CN"/>
              </w:rPr>
              <w:t>7</w:t>
            </w:r>
            <w:r>
              <w:rPr>
                <w:rFonts w:hint="eastAsia" w:ascii="宋体" w:hAnsi="宋体" w:cs="宋体"/>
                <w:color w:val="auto"/>
                <w:szCs w:val="21"/>
              </w:rPr>
              <w:t>.3数据库服务器1套</w:t>
            </w:r>
            <w:r>
              <w:rPr>
                <w:rFonts w:hint="eastAsia" w:ascii="宋体" w:hAnsi="宋体" w:cs="宋体"/>
                <w:color w:val="auto"/>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lang w:val="en-US" w:eastAsia="zh-CN"/>
              </w:rPr>
              <w:t>7</w:t>
            </w:r>
            <w:r>
              <w:rPr>
                <w:rFonts w:hint="eastAsia" w:ascii="宋体" w:hAnsi="宋体" w:cs="宋体"/>
                <w:szCs w:val="21"/>
              </w:rPr>
              <w:t>.4控制台1套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三、项目配套第三方设备技术参数及配置清单：</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（一）放疗流程管理系统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1放疗流程管理系统</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1.1系统需采用 B/S技术架构，支持利用chrome</w:t>
            </w:r>
            <w:r>
              <w:rPr>
                <w:rFonts w:hint="eastAsia" w:ascii="宋体" w:hAnsi="宋体" w:cs="宋体"/>
                <w:szCs w:val="21"/>
                <w:lang w:val="en-US" w:eastAsia="zh-CN"/>
              </w:rPr>
              <w:t>/</w:t>
            </w:r>
            <w:r>
              <w:rPr>
                <w:rFonts w:hint="eastAsia" w:ascii="宋体" w:hAnsi="宋体" w:cs="宋体"/>
                <w:szCs w:val="21"/>
              </w:rPr>
              <w:t>firefox</w:t>
            </w:r>
            <w:r>
              <w:rPr>
                <w:rFonts w:hint="eastAsia" w:ascii="宋体" w:hAnsi="宋体" w:cs="宋体"/>
                <w:szCs w:val="21"/>
                <w:lang w:val="en-US" w:eastAsia="zh-CN"/>
              </w:rPr>
              <w:t>/</w:t>
            </w:r>
            <w:r>
              <w:rPr>
                <w:rFonts w:hint="eastAsia" w:ascii="宋体" w:hAnsi="宋体" w:cs="宋体"/>
                <w:szCs w:val="21"/>
              </w:rPr>
              <w:t>edge等网页浏览器进行系统访问和放疗信息管理。</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2放疗系统集成</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2.1提供DICOM / DICOM RT数据文件接收和发送接口，支持接收CT、TPS等设备发送过来CT图像、放疗结构靶区、放疗计划等数据文件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2.2支持正确显示和查阅CT图像、靶区结构轮廓、放疗剂量分布和DVH曲线分布情况。</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3放疗无纸化办公</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3.1提供覆盖全放疗流程的整套电子表单，单据类型和内容可根据医院放疗流程管理实际情况进行增加或修改</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3.2提供放疗电子单据编写模块，支持放疗医生在线填写放疗模拟定位申请单、放疗计划设计申请单、放射治疗处方单等放疗任务申请电子单据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3.3支持物理师、定位技师、治疗技师在线查看医生填写的申请单据，支持在线详细记录申请单据对应任务的执行情况</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3.4提供知情同意书、放疗小结等医疗文书模版并可根据需要提供添加、改进功能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3.5各环节提供典型模版，并能进行个性化定制修改及保存</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3.6支持将疾病描述、ICD编码、肿瘤分期、肿瘤大小、诊断医生等患者肿瘤病情的诊断意见通过我院现有HIS系统导入到该系统，支持将会诊人员、会诊地点、会诊意见等患者肿瘤病情的多学科会诊意见录入到系统</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3.7支持TNM肿瘤分期分类标记，支持按照TNM分期对病案进行分类管理，提供肿瘤分期知识库，支持选择不同肿瘤病种，自动显示对应的肿瘤分期标准，支持输入TNM分期，自动生成肿瘤临床分期</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3.8支持多字段大表单登记，支持拍摄患者头像，登记患者头像信息，支持智能登记，身份证信息自动识别并自动完成录入，自动采集患者身份证号、姓名、性别、出生日期、籍贯、住址和头像等信息，医嘱同步共用，支持与放疗网络系统、HIS等系统对接，快速导入已有患者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4放疗日程管理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4.1支持对分次治疗任务预约放疗日程，支持通过日历视图查看放疗加速器的日程预约情况和空位情况</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4.2支持对放疗日程进行变更，支持对单个患者的日程进行自动变更，支持对加速器指定日期的所有日程进行整体变更</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4.3支持单个患者的定位日程或治疗日程进行未照重排和过期重排，支持单个日程快速变更，支持过期日程一键自动重排</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4.4支持为多程计划预约治疗日程，支持为放疗计划预约加照日程，支持暂停、恢复、或终止已预约日程</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4.5支持设定首次治疗日程的日期和时间后，自动安排后续所有分次的治疗日程</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4.6支持自动规避节假日和非空位，支持通过日程变更将日程插入到节假日或非空位</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4.7支持放疗患者多个同照计划的治疗日程自动合并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5模拟定位管理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5.1提供放疗定位记录电子单据，支持在线详细记录患者模拟定位的具体执行情况</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5.2支持将模拟定位CT图像与CT电子记录单进行关联和归档</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▲5.3支持定位单选择和显示体位示意图，支持在体位示意图上标记靶区所在位置，并支持修改标记信息</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6放疗结构勾画</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6.1支持自动完成放疗结构勾画，并能将勾画完成的结构轮廓自动发动到TPS治疗计划系统</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6.2支持创建靶区勾画任务，并自动提醒定位申请医生及时完成靶区勾画</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6.3提供画笔、画刷等勾画工具，支持在 CT/MR/PET 断层影像上自动或手动勾画结构轮廓</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6.4支持空间分割放疗Lattice自动布球，支持设定Lattice布球规则，支持设置球体直径、球间距，球与靶区轮廓边界的距离，支持布球自动规避指定的危及器官，支持设定球与需规避器官轮廓之间的距离</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6.5支持通过矩形框批量框选结构轮廓，支持一键删除指定区域内的框选的结构轮廓线。</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7计划设计管理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7.1支持按物理师工作负荷情况，自动将计划设计任务分派给各物理师</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7.2支持物理师领取计划设计任务，支持重新分派已领取的计划设计任务</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7.3支持根据放疗医生开具的放疗计划设计申请单为物理师分配计划设计任务</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7.4提供放疗计划审核和复核功能，支持由放疗物理师和放疗医师对放疗计划进行审核和复核，对审核不通过的，应能自动驳回到上一环节，并自动通知负责物理师重新设计</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7.5支持创建计划记录单，支持将TPS输出的放疗计划和pdf报告与计划设计任务关联。</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8放射治疗管理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8.1支持放疗病人身份信息核对，支持对放疗计划信息进行审核，并详细记录审核结果</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8.2支持自动获取加速器的射束治疗记录和IGRT设备的摆位偏差数值</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8.3支持为补照计划自动追加治疗日程，支持自动合并多个同照计划的治疗日程</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9放疗质控管理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9.1支持计划剂量验证管理，支持创建剂量验证申请单，支持预约剂量验证日程，支持创建剂量验证剂量单，支持关联剂量文件和剂量验证报告</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9.2提供包括AAPM TG142/TG148和国家标准等在内的QA项目、QA方法、QA检查记录等，包括常规直线加速器、定位CT及QA产品的QA记录</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10数据统计分析</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10.1支持统计分析科室的收费效益、设备工作量、人员工作量等，支持按照治疗技术、疾病分类、癌症分期分类统计病人收治量，并形成统计图表</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10.2提供统计报表定制开发服务，支持根据用户提出的统计要求，定制新的统计报表</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11治疗评估管理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11.1支持对肿瘤患者进行放疗中期和末次放疗后风险评估，评估内容包括但不限于血相、恶心呕吐、放射性皮炎、胃肠反应、神经系统反应等</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11.2提供放疗副反应分级标准本地知识库，方便在病人出现的放射性损伤时进行副反应评估和确定损伤程度</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12放疗知识库管理</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12.1提供可快捷查询和及时更新的肿瘤分期标准、权威指南等放疗相关知识数据库；</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12.2支持根据临床诊断及分期信息提供合理的可供选择的指南信息。</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13放疗流程管理</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13.1支持通过流程图管理放疗任务的执行进展情况，任务的每个执行步骤对应流程图中的一个节点，每个节点包括任务的执行状态、发起人、发起时间或执行人、执行时间等关键信息</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13.2支持并行流程管理，多人并行执行任务，可生成并行分支节点</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13.3支持放疗任务超时提醒，任务超时未完成时，应在流程图中使用醒目标记提醒任务已超时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14定制服务</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14.1支持各种电子化表单、单据模板定制开发，支持对各放疗任务的工作流进行定制化开发，支持对各类型统计报表进行定制化开发</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14.2支持全面的放疗流程管理，涵盖从放疗信息登记、模拟定位、靶区勾画、计划设计、计划验证、治疗实施、随访管理等所有环节，提供放疗流程引擎，可根据放疗灵活定制工作流程。</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（二）放射剂量叠加评价软件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1放射剂量叠加评价软件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1.1提供统一的管理后台，支持对CT、RTSTRUCT、RTPLAN、RTDOSE等各类医学影像数据和放疗病案数据统一分类存储</w:t>
            </w:r>
            <w:r>
              <w:rPr>
                <w:rFonts w:hint="eastAsia" w:ascii="宋体" w:hAnsi="宋体" w:cs="宋体"/>
                <w:szCs w:val="21"/>
                <w:lang w:eastAsia="zh-CN"/>
              </w:rPr>
              <w:t>，</w:t>
            </w:r>
            <w:r>
              <w:rPr>
                <w:rFonts w:hint="eastAsia" w:ascii="宋体" w:hAnsi="宋体" w:cs="宋体"/>
                <w:szCs w:val="21"/>
              </w:rPr>
              <w:t>提供病人病案数据查看图像界面，支持用树状目录结构显示病案数据，支持病人图像数据、结构数据、计划数据、剂量数据的树状管理</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1.2支持显示轴位、冠状位、矢状位图像，支持轴位、冠状位、矢状位等不同方位平面的浏览；</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提供图像、结构及剂量显示功能，支持不同平面的图像、结构、剂量组合显示和交互</w:t>
            </w:r>
            <w:r>
              <w:rPr>
                <w:rFonts w:hint="eastAsia" w:ascii="宋体" w:hAnsi="宋体" w:cs="宋体"/>
                <w:szCs w:val="21"/>
                <w:lang w:eastAsia="zh-CN"/>
              </w:rPr>
              <w:t>，</w:t>
            </w:r>
            <w:r>
              <w:rPr>
                <w:rFonts w:hint="eastAsia" w:ascii="宋体" w:hAnsi="宋体" w:cs="宋体"/>
                <w:szCs w:val="21"/>
              </w:rPr>
              <w:t>支持图像信息角标显示，支持角标自定义</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1.3提供图像测量工具，支持图像平面上的测量</w:t>
            </w:r>
            <w:r>
              <w:rPr>
                <w:rFonts w:hint="eastAsia" w:ascii="宋体" w:hAnsi="宋体" w:cs="宋体"/>
                <w:szCs w:val="21"/>
                <w:lang w:eastAsia="zh-CN"/>
              </w:rPr>
              <w:t>，</w:t>
            </w:r>
            <w:r>
              <w:rPr>
                <w:rFonts w:hint="eastAsia" w:ascii="宋体" w:hAnsi="宋体" w:cs="宋体"/>
                <w:szCs w:val="21"/>
              </w:rPr>
              <w:t>提供图像点值测量、距离测量、角度测量工具</w:t>
            </w:r>
            <w:r>
              <w:rPr>
                <w:rFonts w:hint="eastAsia" w:ascii="宋体" w:hAnsi="宋体" w:cs="宋体"/>
                <w:szCs w:val="21"/>
                <w:lang w:eastAsia="zh-CN"/>
              </w:rPr>
              <w:t>，</w:t>
            </w:r>
            <w:r>
              <w:rPr>
                <w:rFonts w:hint="eastAsia" w:ascii="宋体" w:hAnsi="宋体" w:cs="宋体"/>
                <w:szCs w:val="21"/>
              </w:rPr>
              <w:t>提供图像区域面积、最大最小值、平均值、标准差的测量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1.4提供图像操作交互功能</w:t>
            </w:r>
            <w:r>
              <w:rPr>
                <w:rFonts w:hint="eastAsia" w:ascii="宋体" w:hAnsi="宋体" w:cs="宋体"/>
                <w:szCs w:val="21"/>
                <w:lang w:eastAsia="zh-CN"/>
              </w:rPr>
              <w:t>，</w:t>
            </w:r>
            <w:r>
              <w:rPr>
                <w:rFonts w:hint="eastAsia" w:ascii="宋体" w:hAnsi="宋体" w:cs="宋体"/>
                <w:szCs w:val="21"/>
              </w:rPr>
              <w:t>提供图像调窗、平移、缩放、十字线等交互功能</w:t>
            </w:r>
            <w:r>
              <w:rPr>
                <w:rFonts w:hint="eastAsia" w:ascii="宋体" w:hAnsi="宋体" w:cs="宋体"/>
                <w:szCs w:val="21"/>
                <w:lang w:eastAsia="zh-CN"/>
              </w:rPr>
              <w:t>，</w:t>
            </w:r>
            <w:r>
              <w:rPr>
                <w:rFonts w:hint="eastAsia" w:ascii="宋体" w:hAnsi="宋体" w:cs="宋体"/>
                <w:szCs w:val="21"/>
              </w:rPr>
              <w:t>提供鼠标双击、滚轮缩放等快捷交互功能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1.5提供DICOM文件收发与导入导出功能</w:t>
            </w:r>
            <w:r>
              <w:rPr>
                <w:rFonts w:hint="eastAsia" w:ascii="宋体" w:hAnsi="宋体" w:cs="宋体"/>
                <w:szCs w:val="21"/>
                <w:lang w:eastAsia="zh-CN"/>
              </w:rPr>
              <w:t>：</w:t>
            </w:r>
            <w:r>
              <w:rPr>
                <w:rFonts w:hint="eastAsia" w:ascii="宋体" w:hAnsi="宋体" w:cs="宋体"/>
                <w:szCs w:val="21"/>
              </w:rPr>
              <w:t>支持接收和发送符合DICOM标准格式的病案文件；支持将导入的DICOM文件按CT、结构、计划、剂量等类别进行分类；支持通过DICOM发送到指定DICOM接收端，同时还支持将DICOM文件导出到指定的本地目录。</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1.6提供NII数据格式支持</w:t>
            </w:r>
            <w:r>
              <w:rPr>
                <w:rFonts w:hint="eastAsia" w:ascii="宋体" w:hAnsi="宋体" w:cs="宋体"/>
                <w:szCs w:val="21"/>
                <w:lang w:eastAsia="zh-CN"/>
              </w:rPr>
              <w:t>，</w:t>
            </w:r>
            <w:r>
              <w:rPr>
                <w:rFonts w:hint="eastAsia" w:ascii="宋体" w:hAnsi="宋体" w:cs="宋体"/>
                <w:szCs w:val="21"/>
              </w:rPr>
              <w:t>支持将DICOM格式的CT图像转换为NII格式进行存储；支持NII格式图像数据加载显示。</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1.7支持体绘制，可以对CT、MR等断层影像进行三维体绘制</w:t>
            </w:r>
            <w:r>
              <w:rPr>
                <w:rFonts w:hint="eastAsia" w:ascii="宋体" w:hAnsi="宋体" w:cs="宋体"/>
                <w:szCs w:val="21"/>
                <w:lang w:eastAsia="zh-CN"/>
              </w:rPr>
              <w:t>，</w:t>
            </w:r>
            <w:r>
              <w:rPr>
                <w:rFonts w:hint="eastAsia" w:ascii="宋体" w:hAnsi="宋体" w:cs="宋体"/>
                <w:szCs w:val="21"/>
              </w:rPr>
              <w:t>支持多种三维体绘制模板选择，支持主动脉、肺纹理体绘制模板。</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1.8支持以结构集列表形式显示所有勾画的结构；支持ROI结构的显示和隐藏；提供修改ROI颜色属性的功能，并支持将修改后的结构颜色更新到图形界面。</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1.9支持单个图像序列下多个计划物理剂量的叠加计算。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1.10支持不同图像序列下多个计划物理剂量的叠加计算；基于刚性配准的不同图像序列下多个计划物理剂量的叠加计算；基于形变配准的不同图像序列下多个计划物理剂量的叠加计算。</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1.11提供剂量体积直方图DVH的计算功能；支持生成和显示叠加前后的物理剂量DVH图；支持生成和显示叠加前后的生物剂量DVH图。</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1.12支持自动计算图像弹性形变场并实现图像自动配准；支持利用形变场，自动实现结构轮廓自动配准；支持利用形变场，将剂量分布自动配准到配准图像。</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1.13支持剂量线、剂量云、点剂量等不同显示方式；支持修改和更新等剂量线和剂量云的颜色、剂量值等参数；支持显示DVH；支持显示物理剂量和生物剂量。</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2工作站</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w:t>
            </w:r>
            <w:r>
              <w:rPr>
                <w:rFonts w:hint="eastAsia" w:ascii="宋体" w:hAnsi="宋体" w:cs="宋体"/>
                <w:szCs w:val="21"/>
                <w:lang w:eastAsia="zh-CN"/>
              </w:rPr>
              <w:t>工</w:t>
            </w:r>
            <w:r>
              <w:rPr>
                <w:rFonts w:hint="eastAsia" w:ascii="宋体" w:hAnsi="宋体" w:cs="宋体"/>
                <w:szCs w:val="21"/>
              </w:rPr>
              <w:t>作站电脑配置需至少满足同档次或以上：CPU：Intel i7、内存：32GB、硬盘：256GB SSD + 1TB机械盘、显卡：Nvidia, 4GB显存、网卡：千兆速度以太网卡、显示器：LED，分辨率 &gt;= 1900×1080</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（三）小野立体定向验证系统</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1小野立体定向验证系统</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1.1阵列</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1.1.1探头类型：适用于辐射剂量测量的电离室</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1.1.2探头数量：≥1500个</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1.1.3探头分布区域：≥15×15</w:t>
            </w:r>
            <w:r>
              <w:rPr>
                <w:rFonts w:hint="eastAsia" w:ascii="宋体" w:hAnsi="宋体" w:eastAsia="宋体" w:cs="宋体"/>
                <w:strike w:val="0"/>
                <w:dstrike w:val="0"/>
                <w:szCs w:val="21"/>
                <w:highlight w:val="none"/>
              </w:rPr>
              <w:t>cm²</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1.1.4探头最小间距：≤2.5mm</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1.1.5探头尺寸大小：≤0.5mm×2.5mm×2.5mm</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1.1.6探头有效体积：≤0.003cm³</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1.1.7重复性：≤0.5%，据IEC60731</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1.1.8</w:t>
            </w:r>
            <w:r>
              <w:rPr>
                <w:rFonts w:hint="eastAsia" w:ascii="宋体" w:hAnsi="宋体" w:cs="宋体"/>
                <w:strike w:val="0"/>
                <w:dstrike w:val="0"/>
                <w:color w:val="auto"/>
                <w:szCs w:val="21"/>
                <w:highlight w:val="none"/>
              </w:rPr>
              <w:t>死时间：无</w:t>
            </w:r>
            <w:r>
              <w:rPr>
                <w:rFonts w:hint="eastAsia" w:ascii="宋体" w:hAnsi="宋体" w:cs="宋体"/>
                <w:strike w:val="0"/>
                <w:dstrike w:val="0"/>
                <w:color w:val="auto"/>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▲1.1.9长期稳定性：≤±1%/年</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1.1.10剂量和剂量率非线性：≤±0.5%，据IEC60731</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1.1.11方向性响应（在圆柱形模体内）：＜0.5%（±10°）</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1.1.12阵列外围尺寸：≥22mm×300mm×420mm</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1.1.13有效测量点位置：表面下9.0mm</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1.1.14使用能量范围：60Co-25MV</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1.1.15电器元件和控制器分离</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1.1.16二次测量射野尺寸≥28×15</w:t>
            </w:r>
            <w:r>
              <w:rPr>
                <w:rFonts w:hint="eastAsia" w:ascii="宋体" w:hAnsi="宋体" w:eastAsia="宋体" w:cs="宋体"/>
                <w:strike w:val="0"/>
                <w:dstrike w:val="0"/>
                <w:szCs w:val="21"/>
                <w:highlight w:val="none"/>
              </w:rPr>
              <w:t>cm²</w:t>
            </w:r>
            <w:r>
              <w:rPr>
                <w:rFonts w:hint="eastAsia" w:ascii="宋体" w:hAnsi="宋体" w:cs="宋体"/>
                <w:strike w:val="0"/>
                <w:dstrike w:val="0"/>
                <w:szCs w:val="21"/>
                <w:highlight w:val="none"/>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w:t>
            </w:r>
            <w:r>
              <w:rPr>
                <w:rFonts w:hint="eastAsia" w:ascii="宋体" w:hAnsi="宋体" w:cs="宋体"/>
                <w:strike w:val="0"/>
                <w:dstrike w:val="0"/>
                <w:szCs w:val="21"/>
                <w:highlight w:val="none"/>
                <w:lang w:val="en-US" w:eastAsia="zh-CN"/>
              </w:rPr>
              <w:t>7</w:t>
            </w:r>
            <w:r>
              <w:rPr>
                <w:rFonts w:hint="eastAsia" w:ascii="宋体" w:hAnsi="宋体" w:cs="宋体"/>
                <w:strike w:val="0"/>
                <w:dstrike w:val="0"/>
                <w:szCs w:val="21"/>
                <w:highlight w:val="none"/>
              </w:rPr>
              <w:t>配蓝牙倾角仪，实时感知机架角度，并同步传输至控制单元</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1.1.1</w:t>
            </w:r>
            <w:r>
              <w:rPr>
                <w:rFonts w:hint="eastAsia" w:ascii="宋体" w:hAnsi="宋体" w:cs="宋体"/>
                <w:strike w:val="0"/>
                <w:dstrike w:val="0"/>
                <w:szCs w:val="21"/>
                <w:highlight w:val="none"/>
                <w:lang w:val="en-US" w:eastAsia="zh-CN"/>
              </w:rPr>
              <w:t>8</w:t>
            </w:r>
            <w:r>
              <w:rPr>
                <w:rFonts w:hint="eastAsia" w:ascii="宋体" w:hAnsi="宋体" w:cs="宋体"/>
                <w:strike w:val="0"/>
                <w:dstrike w:val="0"/>
                <w:szCs w:val="21"/>
                <w:highlight w:val="none"/>
              </w:rPr>
              <w:t>旋转模体和射线束保持垂直，和大机架一起旋转，转换到全体积测量</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w:t>
            </w:r>
            <w:r>
              <w:rPr>
                <w:rFonts w:hint="eastAsia" w:ascii="宋体" w:hAnsi="宋体" w:cs="宋体"/>
                <w:strike w:val="0"/>
                <w:dstrike w:val="0"/>
                <w:szCs w:val="21"/>
                <w:highlight w:val="none"/>
                <w:lang w:val="en-US" w:eastAsia="zh-CN"/>
              </w:rPr>
              <w:t>19</w:t>
            </w:r>
            <w:r>
              <w:rPr>
                <w:rFonts w:hint="eastAsia" w:ascii="宋体" w:hAnsi="宋体" w:cs="宋体"/>
                <w:strike w:val="0"/>
                <w:dstrike w:val="0"/>
                <w:szCs w:val="21"/>
                <w:highlight w:val="none"/>
              </w:rPr>
              <w:t>均整性与对称性：可获取射野均整性与对称性数据</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w:t>
            </w:r>
            <w:r>
              <w:rPr>
                <w:rFonts w:hint="eastAsia" w:ascii="宋体" w:hAnsi="宋体" w:cs="宋体"/>
                <w:strike w:val="0"/>
                <w:dstrike w:val="0"/>
                <w:szCs w:val="21"/>
                <w:highlight w:val="none"/>
                <w:lang w:val="en-US" w:eastAsia="zh-CN"/>
              </w:rPr>
              <w:t xml:space="preserve"> </w:t>
            </w:r>
            <w:r>
              <w:rPr>
                <w:rFonts w:hint="eastAsia" w:ascii="宋体" w:hAnsi="宋体" w:cs="宋体"/>
                <w:strike w:val="0"/>
                <w:dstrike w:val="0"/>
                <w:szCs w:val="21"/>
                <w:highlight w:val="none"/>
              </w:rPr>
              <w:t>QA软件</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2.1软件</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2.1.1用途：SBRT患者计划验证分析</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2.2基本功能</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2.2.1自动图像显示：简洁直观的显示方式，导入数据后可自动根据当前设置条件进行比对分析</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2.2.2软件授权：无数量限制</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2.3显示</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2.3.1结果显示：结果可以不同底色显示，代表比对结果的通过与否。</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2.4验证和分析的基本功能</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2.4.1结果比对功能：可显示不通过的点的位置，冷点或者热点，并且显示出此点通过所需要的条件</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2.5高级功能</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2.5.1矩阵叠加：可将矩阵测量点覆盖在测量的2D平面剂量图上，显示矩阵与测量平面剂量图的相对位置</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2.5.2自动配准：可自动找到TPS和测量剂量图中心点，并将其配准重合。无需手动移动剂量图</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2.5.3批量处理：可预先设置处理方式，对所导入的数据自动进行相应处理。</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2.6</w:t>
            </w:r>
            <w:r>
              <w:rPr>
                <w:rFonts w:hint="eastAsia" w:ascii="宋体" w:hAnsi="宋体" w:cs="宋体"/>
                <w:strike w:val="0"/>
                <w:dstrike w:val="0"/>
                <w:szCs w:val="21"/>
                <w:highlight w:val="none"/>
                <w:lang w:val="en-US" w:eastAsia="zh-CN"/>
              </w:rPr>
              <w:t xml:space="preserve"> </w:t>
            </w:r>
            <w:r>
              <w:rPr>
                <w:rFonts w:hint="eastAsia" w:ascii="宋体" w:hAnsi="宋体" w:cs="宋体"/>
                <w:strike w:val="0"/>
                <w:dstrike w:val="0"/>
                <w:szCs w:val="21"/>
                <w:highlight w:val="none"/>
              </w:rPr>
              <w:t>LINAC QA</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2.6.1用途：加速器的长期稳定性检测。</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2.6.2数据采集：通过采集的数据可获得加速器的TG、LR、对角线的均整性、对称性，射野大小，中心点偏移，左右半影等数据，与三维水箱采集数据基本一致。</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2.6.3分析协议：含有多个国际标准分析协议和多个知名加速器厂家分析协议，并且含有Varian和Elekta加速器的FFF数据分析协议。</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2.6.4测量回放：可将测量过程中曲线的动态图像存为视频，并可反复观看，以观察加速器在出束过程中的状态。</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3旋转单元</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3.1旋转范围：≥360°</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3.2精度：≤±1°</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（四）绝对剂量仪</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1剂量仪</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1.1应用范围：放射治疗和后装治疗和放射诊断中的剂量与剂量率的测量以及电量与电流测量</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2技术参数：</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2.1符合如下国际标准：IEC 60731 标准的放射治疗剂量计、 IEC 62467-1 标准中的近距离治疗剂量计、 IEC 61674 标准的放射诊断剂量计</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2.2长期稳定性</w:t>
            </w:r>
            <w:r>
              <w:rPr>
                <w:rFonts w:hint="eastAsia" w:ascii="宋体" w:hAnsi="宋体" w:cs="宋体"/>
                <w:strike w:val="0"/>
                <w:dstrike w:val="0"/>
                <w:szCs w:val="21"/>
                <w:highlight w:val="none"/>
                <w:lang w:eastAsia="zh-CN"/>
              </w:rPr>
              <w:t>：</w:t>
            </w:r>
            <w:r>
              <w:rPr>
                <w:rFonts w:hint="eastAsia" w:ascii="宋体" w:hAnsi="宋体" w:cs="宋体"/>
                <w:strike w:val="0"/>
                <w:dstrike w:val="0"/>
                <w:szCs w:val="21"/>
                <w:highlight w:val="none"/>
              </w:rPr>
              <w:t>≤ ±0.1%/年</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2.3量程：电流 400fA – 2.6μA 、电荷 4pC – 9.3C</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2.4探测器库：≥100组探测器数据</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2.5历史数据储存：≥50组数据，可自动对数据进行运算，求平均偏差</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3测量量：≥9种：电荷Q（C）；水中吸收剂量Dw，（Gy）；空气比释动能KA, (Gy)；照射量Js（R）；光子当量剂量Hx（Sv）；环境当量剂量H*（10）（Sv）；活度A（Bq，Ci）；空气比释动能强度KA(Gy</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m²/h, R</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m²/h）；</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剂量长度乘积DLP(Gy</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m, R</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m, Gy</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cm, R</w:t>
            </w:r>
            <w:r>
              <w:rPr>
                <w:rFonts w:hint="eastAsia" w:ascii="宋体" w:hAnsi="宋体" w:cs="宋体"/>
                <w:strike w:val="0"/>
                <w:dstrike w:val="0"/>
                <w:szCs w:val="21"/>
                <w:highlight w:val="none"/>
                <w:lang w:val="en-US" w:eastAsia="zh-CN"/>
              </w:rPr>
              <w:t>·</w:t>
            </w:r>
            <w:r>
              <w:rPr>
                <w:rFonts w:hint="eastAsia" w:ascii="宋体" w:hAnsi="宋体" w:cs="宋体"/>
                <w:strike w:val="0"/>
                <w:dstrike w:val="0"/>
                <w:szCs w:val="21"/>
                <w:highlight w:val="none"/>
              </w:rPr>
              <w:t xml:space="preserve">cm) </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4操作：</w:t>
            </w:r>
          </w:p>
          <w:p>
            <w:pPr>
              <w:numPr>
                <w:ilvl w:val="0"/>
                <w:numId w:val="0"/>
              </w:numPr>
              <w:spacing w:line="240" w:lineRule="auto"/>
              <w:textAlignment w:val="auto"/>
              <w:rPr>
                <w:rFonts w:hint="eastAsia" w:ascii="宋体" w:hAnsi="宋体" w:eastAsia="宋体" w:cs="宋体"/>
                <w:strike w:val="0"/>
                <w:dstrike w:val="0"/>
                <w:szCs w:val="21"/>
                <w:highlight w:val="none"/>
                <w:lang w:val="en-US" w:eastAsia="zh-CN"/>
              </w:rPr>
            </w:pPr>
            <w:r>
              <w:rPr>
                <w:rFonts w:hint="eastAsia" w:ascii="宋体" w:hAnsi="宋体" w:cs="宋体"/>
                <w:strike w:val="0"/>
                <w:dstrike w:val="0"/>
                <w:szCs w:val="21"/>
                <w:highlight w:val="none"/>
              </w:rPr>
              <w:t>4.1语言至少包含：中文及英文</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4.2操作模式：触屏操作</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4.3数据计算：求平均值；求标准偏差</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szCs w:val="21"/>
                <w:highlight w:val="none"/>
              </w:rPr>
            </w:pPr>
            <w:r>
              <w:rPr>
                <w:rFonts w:hint="eastAsia" w:ascii="宋体" w:hAnsi="宋体" w:cs="宋体"/>
                <w:strike w:val="0"/>
                <w:dstrike w:val="0"/>
                <w:szCs w:val="21"/>
                <w:highlight w:val="none"/>
              </w:rPr>
              <w:t>4.4可以在剂量仪上直接添加探测器，无需连接电脑或其他智能设备。</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（五）晨检仪</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1晨检仪</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1.1用途：直线加速器的QA测量和稳定性检测工具；中心轴剂量、均整性、楔形角、对称性和射线质的稳定性检测等。</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2探头类型：电离室探头</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3探头数量：≥13个通气型电离室探头</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 xml:space="preserve">4探头分布范围：≥20×20 </w:t>
            </w:r>
            <w:r>
              <w:rPr>
                <w:rFonts w:hint="eastAsia" w:ascii="宋体" w:hAnsi="宋体" w:eastAsia="宋体" w:cs="宋体"/>
                <w:strike w:val="0"/>
                <w:dstrike w:val="0"/>
                <w:szCs w:val="21"/>
                <w:highlight w:val="none"/>
              </w:rPr>
              <w:t>cm²</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5测量电离室体积：≤0.1cm³；能量电离室体积：≤0.2cm³</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 xml:space="preserve">6照射野大小：可测量(10×10) </w:t>
            </w:r>
            <w:r>
              <w:rPr>
                <w:rFonts w:hint="eastAsia" w:ascii="宋体" w:hAnsi="宋体" w:eastAsia="宋体" w:cs="宋体"/>
                <w:strike w:val="0"/>
                <w:dstrike w:val="0"/>
                <w:szCs w:val="21"/>
                <w:highlight w:val="none"/>
              </w:rPr>
              <w:t>cm²</w:t>
            </w:r>
            <w:r>
              <w:rPr>
                <w:rFonts w:hint="eastAsia" w:ascii="宋体" w:hAnsi="宋体" w:cs="宋体"/>
                <w:strike w:val="0"/>
                <w:dstrike w:val="0"/>
                <w:szCs w:val="21"/>
                <w:highlight w:val="none"/>
              </w:rPr>
              <w:t>,也可测量 (20×20)</w:t>
            </w:r>
            <w:r>
              <w:rPr>
                <w:rFonts w:hint="eastAsia" w:ascii="宋体" w:hAnsi="宋体" w:eastAsia="宋体" w:cs="宋体"/>
                <w:strike w:val="0"/>
                <w:dstrike w:val="0"/>
                <w:szCs w:val="21"/>
                <w:highlight w:val="none"/>
              </w:rPr>
              <w:t>cm²</w:t>
            </w:r>
            <w:r>
              <w:rPr>
                <w:rFonts w:hint="eastAsia" w:ascii="宋体" w:hAnsi="宋体" w:cs="宋体"/>
                <w:strike w:val="0"/>
                <w:dstrike w:val="0"/>
                <w:szCs w:val="21"/>
                <w:highlight w:val="none"/>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7无线操作：无须连接转换器，自带无线操作功能</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8供电：可充电电池</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9可以升级为6兆和10兆FFF补偿模式：用于带有FFF模式的加速器，可以测common beam参数，可以用于6MV和10MV的加速器,摆位简单快速，可检测FFF射束长期稳定性。</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（六）CT电子密度模体</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 xml:space="preserve"> </w:t>
            </w:r>
            <w:r>
              <w:rPr>
                <w:rFonts w:hint="eastAsia" w:ascii="宋体" w:hAnsi="宋体" w:cs="宋体"/>
                <w:szCs w:val="21"/>
              </w:rPr>
              <w:t>CT电子密度模体</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1.1用途：用于CT电子密度测量测试 CT 数值的准确性</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2可放置组织等效插栓数量</w:t>
            </w:r>
            <w:r>
              <w:rPr>
                <w:rFonts w:hint="eastAsia" w:ascii="宋体" w:hAnsi="宋体" w:cs="宋体"/>
                <w:szCs w:val="21"/>
                <w:lang w:eastAsia="zh-CN"/>
              </w:rPr>
              <w:t>：</w:t>
            </w:r>
            <w:r>
              <w:rPr>
                <w:rFonts w:hint="eastAsia" w:ascii="宋体" w:hAnsi="宋体" w:cs="宋体"/>
                <w:szCs w:val="21"/>
              </w:rPr>
              <w:t>≥17</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3物理密度:插件的物理密度与目标密度之间误差不超过士1%</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（七）胶片扫描仪和分析软件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1胶片扫描仪和分析软件</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1.1用途：用于测量分析伽玛刀和加速器的辐射野特性，MLC到位精度。</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2硬件要求：胶片扫描仪透扫相对黑度 3.5 以上。</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3胶片剂量分析软件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3.1分析加速器，伽玛刀和X刀的各项射野参数，包括辐射野尺寸，半影等</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3.2可测量伽玛刀的辐射野中心与机械中心的偏差</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（八）超声膀胱扫描仪</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1超声膀胱扫描仪</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1.1探头：2.5MHz 3D机械扇扫</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2容积最大允差：20mL～99mL允差±10mL；</w:t>
            </w:r>
            <w:r>
              <w:rPr>
                <w:rFonts w:hint="eastAsia" w:ascii="宋体" w:hAnsi="宋体" w:cs="宋体"/>
                <w:color w:val="auto"/>
                <w:szCs w:val="21"/>
              </w:rPr>
              <w:t>100mL～999mL</w:t>
            </w:r>
            <w:r>
              <w:rPr>
                <w:rFonts w:hint="eastAsia" w:ascii="宋体" w:hAnsi="宋体" w:cs="宋体"/>
                <w:szCs w:val="21"/>
              </w:rPr>
              <w:t>允差±10%</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3膀胱定位方式：预扫描定位，投影定位；</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4校正功能：具备对膀胱轮廓手动校正功能</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（九）一维小水箱</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1一维小水箱</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1.1用途：用于配合剂量仪测量绝对剂量</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（十）免冲洗胶片</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1剂量范围：0.1cGY至10GY</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trike w:val="0"/>
                <w:dstrike w:val="0"/>
                <w:szCs w:val="21"/>
                <w:highlight w:val="none"/>
              </w:rPr>
            </w:pPr>
            <w:r>
              <w:rPr>
                <w:rFonts w:hint="eastAsia" w:ascii="宋体" w:hAnsi="宋体" w:cs="宋体"/>
                <w:strike w:val="0"/>
                <w:dstrike w:val="0"/>
                <w:szCs w:val="21"/>
                <w:highlight w:val="none"/>
              </w:rPr>
              <w:t>（十一）辐射巡检仪</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1测量范围至少包含：mR/hr: 0.001～100.0、CPM: 0～350,000、μSv/hr: 0.001～1,000、CPS: 0～5,000、Total/ Timer - 1～9,999,000 counts</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eastAsia="宋体" w:cs="宋体"/>
                <w:strike w:val="0"/>
                <w:dstrike w:val="0"/>
                <w:szCs w:val="21"/>
                <w:highlight w:val="none"/>
                <w:lang w:eastAsia="zh-CN"/>
              </w:rPr>
            </w:pPr>
            <w:r>
              <w:rPr>
                <w:rFonts w:hint="eastAsia" w:ascii="宋体" w:hAnsi="宋体" w:cs="宋体"/>
                <w:strike w:val="0"/>
                <w:dstrike w:val="0"/>
                <w:szCs w:val="21"/>
                <w:highlight w:val="none"/>
              </w:rPr>
              <w:t>2灵敏度：3340 CPM/mR/hr referenced to Cs-137、α射线 ≥ 2.0 MeV、β射线 ≥ 40 keV、γ射线 ≥ 10 keV</w:t>
            </w:r>
            <w:r>
              <w:rPr>
                <w:rFonts w:hint="eastAsia" w:ascii="宋体" w:hAnsi="宋体" w:cs="宋体"/>
                <w:strike w:val="0"/>
                <w:dstrike w:val="0"/>
                <w:szCs w:val="21"/>
                <w:highlight w:val="none"/>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（十二）干燥箱</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1容积</w:t>
            </w:r>
            <w:r>
              <w:rPr>
                <w:rFonts w:hint="eastAsia" w:ascii="宋体" w:hAnsi="宋体" w:cs="宋体"/>
                <w:szCs w:val="21"/>
                <w:lang w:eastAsia="zh-CN"/>
              </w:rPr>
              <w:t>：</w:t>
            </w:r>
            <w:r>
              <w:rPr>
                <w:rFonts w:hint="eastAsia" w:ascii="宋体" w:hAnsi="宋体" w:cs="宋体"/>
                <w:szCs w:val="21"/>
              </w:rPr>
              <w:t>≥270L</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2除湿范围</w:t>
            </w:r>
            <w:r>
              <w:rPr>
                <w:rFonts w:hint="eastAsia" w:ascii="宋体" w:hAnsi="宋体" w:cs="宋体"/>
                <w:szCs w:val="21"/>
                <w:lang w:eastAsia="zh-CN"/>
              </w:rPr>
              <w:t>：</w:t>
            </w:r>
            <w:r>
              <w:rPr>
                <w:rFonts w:hint="eastAsia" w:ascii="宋体" w:hAnsi="宋体" w:cs="宋体"/>
                <w:szCs w:val="21"/>
              </w:rPr>
              <w:t>25%～55%RH</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3层板：数量4块，承重≥50kg</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（十三）多功能固定架（窄款）</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1多功能固定架（窄款）</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1.1多功能一体架可用于头、头颈、胸腹、下腹、乳腺、全身等各部位肿瘤放疗仰卧体位固定，可拓展组件实现俯卧体位固定</w:t>
            </w:r>
            <w:r>
              <w:rPr>
                <w:rFonts w:hint="eastAsia" w:ascii="宋体" w:hAnsi="宋体" w:cs="宋体"/>
                <w:szCs w:val="21"/>
                <w:lang w:eastAsia="zh-CN"/>
              </w:rPr>
              <w:t>，</w:t>
            </w:r>
            <w:r>
              <w:rPr>
                <w:rFonts w:hint="eastAsia" w:ascii="宋体" w:hAnsi="宋体" w:cs="宋体"/>
                <w:szCs w:val="21"/>
              </w:rPr>
              <w:t>固定架主体为碳纤维原料</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1.2可使用国际标准适配条把固定架锁紧在扫描床/治疗床上，固定架背面设计有适配条凹槽，凹槽数量≥3</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1.3设计有乳腺开窗定位膜，固定头部、健侧乳腺及上腹部，患侧乳腺器官裸露不受挤压，头部偏健侧固定可更好地暴露锁骨上靶区并保证摆位重复性，提供临床案例数据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1.4设计有体侧抓握把手，把手头脚方向可调档位≥8</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1.5可扩展SRS、SBRT、头颈肩膜快速自动解锁、俯卧乳腺体位固定、俯卧盆腔体位固定等功能组件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1.6多功能固定架（窄款）配置：碳纤维底板1件、头枕适配器1件、分腿固定装置1件、分腿片5件、体侧抓握把手1对</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2手臂支撑架（窄款）</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2.1手臂支撑架配置：手臂支撑架底板1套、手臂托右1套、手臂托左1套、可调腕托支架左1套、可调腕托支架右1套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3膝部支撑组件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3.1膝部支撑组件配置：腿部泡棉垫1件、腿部增高垫 2 件、腿部垫固定装置1套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4脚踝支撑组件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4.1脚踝支撑组件配置：脚部泡棉垫1 件、脚踝泡棉固定装置1套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5头部立体定向固定组件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5.1头部立体定向固定组件配置：碳纤维底板1件、0号可更换边框2件、-1号可更换边框1件、+1号可更换边框1件、卡爪14个、头枕1个</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6体部立体定向固定组件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6.1弓形尺采用卡扣式锁紧设计，左右两侧独立调节，可实现偏侧压腹调节，高度可调档位≥13，一键锁紧设计，非通过螺丝固定</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6.2弓形尺采用环形结构设计，可以进入普通孔径CT，使用核磁模拟定位时环形弓形尺可以避免体部线圈与扫描部位距离过远而影响图像质量</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6.3腹部弓形尺刚性压腹板可升降调节距离≥60mm，最小可调刻度值≤1mm，用于控制患者呼吸幅度微调</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lang w:eastAsia="zh-CN"/>
              </w:rPr>
            </w:pPr>
            <w:r>
              <w:rPr>
                <w:rFonts w:hint="eastAsia" w:ascii="宋体" w:hAnsi="宋体" w:cs="宋体"/>
                <w:szCs w:val="21"/>
              </w:rPr>
              <w:t>6.4设计有柔性压腹板，柔性压腹板采用气囊形式，通过充气控制患者呼吸幅度微调，改善患者舒适性</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6.5膝部垫、脚垫采用连续滑动锁紧设计，便于临床对固定位置进行微调</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6.6体部立体定向固定组件配置：翼形板1套、压腹弓形尺1件、膝部弓形尺1件、膝部支撑组件1套、脚踝支撑组件1套、适配条1条、体部真空袋1件、膝部真空袋1件、柔性气囊1件、手持泵1件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7俯卧盆腔固定组件</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7.1俯卧盆腔固定组件配置：俯卧盆腔下半段1套、俯卧盆腔上半段1套、腿部垫1件、双杆把手2根、可调头枕托1套、适配条2根</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8定制MR床板</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8.1根据磁共振设备定制平面床板和线圈支架，满足患者重复摆位的基础条件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材质：床板为凯夫拉材质，结构件为POM、PEEK、黄铜等无磁材料，产品标识为MR Conditional，床板主体使用高强度凯夫拉材料通过真空高压一体成型，稳定性强，床面平整度≤1mm，均匀负载80KG形变幅度≤0.5mm，在3.0T及以下场强MR环境安全使用，床板两侧有丝印刻度，有适配条索引孔位，床板与扫描床应采用卡扣方式固定，利于拆卸和安装，不影响日常MR扫描，可拓展兼容体位固定附件的定制头颈扫描线圈，需配置头部与体部两个线圈支架，线圈支架材质：ABS、玻璃纤维、PEEK、铜等无磁材料，产品标识为MR Conditional头部与体部线圈支架可根据病人体厚调节高度，使得线圈无限贴近人体,又不会因重力压到患者引起体态变形，体部线圈支架高度一键调节，可调范围≥190mm，体部线圈支架头脚方向俯仰角调节范围≥25°，线圈位于支架内部，扫描区内无金属和磁性部件，不造成图像伪影。</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8.2定制MR床板配置：核磁兼容底板1块、头部线圈支架1套、体部线圈支架1套</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9核磁兼容多功能固定架（窄款）</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9.1多功能一体架可用于头、头颈、胸腹、下腹、乳腺、全身等各部位肿瘤放疗仰卧体位固定，可拓展组件实现俯卧体位固定</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9.2固定架整体为核磁兼容材质</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9.3固定架规格尺寸长度≥1990mm，宽度≤540mm，厚度≥25mm，易于进入常规孔径CT和MRI，重量≤6kg</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9.4设计有乳腺开窗定位膜，固定头部、健侧乳腺及上腹部，患侧乳腺器官裸露不受挤压，头部偏健侧固定可更好地暴露锁骨上靶区并保证摆位重复性，提供临床案例数据</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9.5设计有体侧抓握把手，把手头脚方向可调档位≥8</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9.6可扩展SRS、SBRT、头颈肩膜快速自动解锁、俯卧乳腺体位固定、俯卧盆腔体位固定等功能组件</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9.7可使用国际标准适配条把固定架锁紧在扫描床/治疗床上，固定架背面设计有适配条凹槽，凹槽数量≥3</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9.8具有良好的生物兼容性，不含对人体健康或工作环境有害的重金属物质，提供第三方检测报告</w:t>
            </w:r>
            <w:r>
              <w:rPr>
                <w:rFonts w:hint="eastAsia" w:ascii="宋体" w:hAnsi="宋体" w:cs="宋体"/>
                <w:szCs w:val="21"/>
                <w:lang w:eastAsia="zh-CN"/>
              </w:rPr>
              <w:t>；</w:t>
            </w:r>
          </w:p>
          <w:p>
            <w:pPr>
              <w:numPr>
                <w:ilvl w:val="0"/>
                <w:numId w:val="0"/>
              </w:numPr>
              <w:spacing w:line="240" w:lineRule="auto"/>
              <w:textAlignment w:val="auto"/>
              <w:rPr>
                <w:rFonts w:hint="eastAsia" w:ascii="宋体" w:hAnsi="宋体" w:eastAsia="宋体" w:cs="宋体"/>
                <w:szCs w:val="21"/>
                <w:lang w:eastAsia="zh-CN"/>
              </w:rPr>
            </w:pPr>
            <w:r>
              <w:rPr>
                <w:rFonts w:hint="eastAsia" w:ascii="宋体" w:hAnsi="宋体" w:cs="宋体"/>
                <w:szCs w:val="21"/>
              </w:rPr>
              <w:t>9.9核磁兼容多功能固定架配置：核磁兼容底板1件、头枕适配器1件、分腿固定装置1件、分腿片5件、体侧抓握把手1对</w:t>
            </w:r>
            <w:r>
              <w:rPr>
                <w:rFonts w:hint="eastAsia" w:ascii="宋体" w:hAnsi="宋体" w:cs="宋体"/>
                <w:szCs w:val="21"/>
                <w:lang w:eastAsia="zh-CN"/>
              </w:rPr>
              <w:t>。</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▲四、项目配套第三方设备清单：</w:t>
            </w:r>
          </w:p>
          <w:p>
            <w:pPr>
              <w:numPr>
                <w:ilvl w:val="0"/>
                <w:numId w:val="0"/>
              </w:numPr>
              <w:spacing w:line="240" w:lineRule="auto"/>
              <w:textAlignment w:val="auto"/>
              <w:rPr>
                <w:rFonts w:hint="eastAsia" w:ascii="宋体" w:hAnsi="宋体" w:cs="宋体"/>
                <w:szCs w:val="21"/>
              </w:rPr>
            </w:pPr>
            <w:r>
              <w:rPr>
                <w:rFonts w:hint="eastAsia" w:ascii="宋体" w:hAnsi="宋体" w:cs="宋体"/>
                <w:szCs w:val="21"/>
              </w:rPr>
              <w:t>放疗流程管理系统1套、放射剂量叠加评估软件1套、</w:t>
            </w:r>
            <w:r>
              <w:rPr>
                <w:rFonts w:hint="eastAsia" w:ascii="宋体" w:hAnsi="宋体" w:cs="宋体"/>
                <w:strike w:val="0"/>
                <w:dstrike w:val="0"/>
                <w:szCs w:val="21"/>
                <w:highlight w:val="none"/>
              </w:rPr>
              <w:t>小野立体定向验证系统1套</w:t>
            </w:r>
            <w:r>
              <w:rPr>
                <w:rFonts w:hint="eastAsia" w:ascii="宋体" w:hAnsi="宋体" w:cs="宋体"/>
                <w:strike w:val="0"/>
                <w:szCs w:val="21"/>
                <w:highlight w:val="none"/>
              </w:rPr>
              <w:t>、绝对计量仪1套、</w:t>
            </w:r>
            <w:r>
              <w:rPr>
                <w:rFonts w:hint="eastAsia" w:ascii="宋体" w:hAnsi="宋体" w:cs="宋体"/>
                <w:strike w:val="0"/>
                <w:dstrike w:val="0"/>
                <w:szCs w:val="21"/>
                <w:highlight w:val="none"/>
              </w:rPr>
              <w:t>晨检仪1套</w:t>
            </w:r>
            <w:r>
              <w:rPr>
                <w:rFonts w:hint="eastAsia" w:ascii="宋体" w:hAnsi="宋体" w:cs="宋体"/>
                <w:strike w:val="0"/>
                <w:szCs w:val="21"/>
                <w:highlight w:val="none"/>
              </w:rPr>
              <w:t>、</w:t>
            </w:r>
            <w:r>
              <w:rPr>
                <w:rFonts w:hint="eastAsia" w:ascii="宋体" w:hAnsi="宋体" w:cs="宋体"/>
                <w:strike w:val="0"/>
                <w:szCs w:val="21"/>
                <w:highlight w:val="none"/>
                <w:lang w:val="en-US" w:eastAsia="zh-CN"/>
              </w:rPr>
              <w:t>CT</w:t>
            </w:r>
            <w:r>
              <w:rPr>
                <w:rFonts w:hint="eastAsia" w:ascii="宋体" w:hAnsi="宋体" w:cs="宋体"/>
                <w:strike w:val="0"/>
                <w:szCs w:val="21"/>
                <w:highlight w:val="none"/>
              </w:rPr>
              <w:t>电子密度模体1套、胶片扫描仪和分析软件1套、超声膀胱扫描仪1套、一维小水箱1套、</w:t>
            </w:r>
            <w:r>
              <w:rPr>
                <w:rFonts w:hint="eastAsia" w:ascii="宋体" w:hAnsi="宋体" w:cs="宋体"/>
                <w:strike w:val="0"/>
                <w:dstrike w:val="0"/>
                <w:szCs w:val="21"/>
                <w:highlight w:val="none"/>
              </w:rPr>
              <w:t>免洗胶片3个</w:t>
            </w:r>
            <w:r>
              <w:rPr>
                <w:rFonts w:hint="eastAsia" w:ascii="宋体" w:hAnsi="宋体" w:cs="宋体"/>
                <w:strike w:val="0"/>
                <w:szCs w:val="21"/>
                <w:highlight w:val="none"/>
              </w:rPr>
              <w:t>、</w:t>
            </w:r>
            <w:r>
              <w:rPr>
                <w:rFonts w:hint="eastAsia" w:ascii="宋体" w:hAnsi="宋体" w:cs="宋体"/>
                <w:strike w:val="0"/>
                <w:dstrike w:val="0"/>
                <w:szCs w:val="21"/>
                <w:highlight w:val="none"/>
              </w:rPr>
              <w:t>辐射巡检仪1套</w:t>
            </w:r>
            <w:r>
              <w:rPr>
                <w:rFonts w:hint="eastAsia" w:ascii="宋体" w:hAnsi="宋体" w:cs="宋体"/>
                <w:szCs w:val="21"/>
              </w:rPr>
              <w:t>、干燥箱1套</w:t>
            </w:r>
            <w:r>
              <w:rPr>
                <w:rFonts w:hint="eastAsia" w:ascii="宋体" w:hAnsi="宋体" w:cs="宋体"/>
                <w:szCs w:val="21"/>
                <w:lang w:eastAsia="zh-CN"/>
              </w:rPr>
              <w:t>、</w:t>
            </w:r>
            <w:r>
              <w:rPr>
                <w:rFonts w:hint="eastAsia" w:ascii="宋体" w:hAnsi="宋体" w:cs="宋体"/>
                <w:szCs w:val="21"/>
              </w:rPr>
              <w:t>多功能固定架（窄款）3套、手臂支持架（窄款）3套、膝部支持组件2套、脚踝支撑组件2套、头部立体定向固定组件1套、体部立体固定组件2套、俯卧盆腔固定组件2套、定制MR床板1套、核磁兼容多功能固定架（窄款）1套、透明枕头4套、铝合金适配条6根、核磁兼容适配条2根</w:t>
            </w:r>
            <w:r>
              <w:rPr>
                <w:rFonts w:hint="eastAsia" w:ascii="宋体" w:hAnsi="宋体" w:cs="宋体"/>
                <w:szCs w:val="21"/>
                <w:lang w:eastAsia="zh-CN"/>
              </w:rPr>
              <w:t>、</w:t>
            </w:r>
            <w:r>
              <w:rPr>
                <w:rFonts w:hint="eastAsia" w:ascii="宋体" w:hAnsi="宋体" w:cs="宋体"/>
                <w:szCs w:val="21"/>
              </w:rPr>
              <w:t>多功能烤箱1台、气压表1个、钢板短直尺2把、钢板长直尺2把、红外线水平仪1套、标记铅粒5盒、水平尺1把、示波器1台、万用表1个、电子温湿度计6个、组织补偿胶10卷（0.3cm及0.5cm各5卷）、放疗专用图章1枚、固体水模及适配器1套、除湿机1台。</w:t>
            </w:r>
          </w:p>
        </w:tc>
      </w:tr>
    </w:tbl>
    <w:p>
      <w:pPr>
        <w:pStyle w:val="2"/>
        <w:ind w:firstLine="480" w:firstLineChars="200"/>
        <w:rPr>
          <w:rStyle w:val="191"/>
          <w:rFonts w:hint="eastAsia" w:ascii="宋体" w:hAnsi="宋体"/>
          <w:b/>
          <w:bCs/>
          <w:color w:val="auto"/>
          <w:szCs w:val="21"/>
          <w:u w:val="none"/>
        </w:rPr>
      </w:pPr>
    </w:p>
    <w:p>
      <w:pPr>
        <w:ind w:firstLine="420" w:firstLineChars="200"/>
        <w:rPr>
          <w:rFonts w:hint="eastAsia" w:ascii="宋体" w:hAnsi="宋体" w:cs="宋体"/>
          <w:b/>
          <w:bCs/>
          <w:sz w:val="21"/>
          <w:szCs w:val="21"/>
        </w:rPr>
      </w:pPr>
      <w:r>
        <w:rPr>
          <w:rStyle w:val="191"/>
          <w:rFonts w:hint="eastAsia" w:ascii="宋体" w:hAnsi="宋体"/>
          <w:b/>
          <w:bCs/>
          <w:color w:val="auto"/>
          <w:szCs w:val="21"/>
          <w:u w:val="none"/>
        </w:rPr>
        <w:t>▲</w:t>
      </w:r>
      <w:r>
        <w:rPr>
          <w:rFonts w:hint="eastAsia" w:ascii="宋体" w:hAnsi="宋体" w:cs="宋体"/>
          <w:b/>
          <w:bCs/>
          <w:sz w:val="21"/>
          <w:szCs w:val="21"/>
        </w:rPr>
        <w:t>二、商务要求（以下所有为实质性要求条款不满足作无效投标处理）</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（一）质量保证期</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质量保证期（以下简称质保期）按国家有关产品“三包”规定执行“三包”，产品生产厂家提供整机保修及免费升级承诺函，且保修时间不得少于3年，自设备验收合格并能正常使用之日起计算。投标人应在投标文件中提供质保期后维保服务优惠报价供采购人日后采购时参考。</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（二）交货时间及地点</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1.交货时间：合同</w:t>
      </w:r>
      <w:r>
        <w:rPr>
          <w:rFonts w:hint="eastAsia" w:ascii="宋体" w:hAnsi="宋体" w:cs="宋体"/>
          <w:sz w:val="21"/>
          <w:szCs w:val="21"/>
          <w:lang w:eastAsia="zh"/>
        </w:rPr>
        <w:t>签订</w:t>
      </w:r>
      <w:r>
        <w:rPr>
          <w:rFonts w:hint="eastAsia" w:ascii="宋体" w:hAnsi="宋体" w:cs="宋体"/>
          <w:sz w:val="21"/>
          <w:szCs w:val="21"/>
        </w:rPr>
        <w:t>之日起，中标供应商在30个日历日内向采购人交付全部货物。</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2.交货地点：广西范围内，采购人指定地点。</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（三）服务标准、服务效率、售后服务要求</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1.中标供应商负责送货上门，保障设备、人员安全及安装调试，安装前提供相关的布局图和设计要求，培训采购人的操作人员至能完全独立操作、日常维护及承担以上所产生的相关费用。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2.质保期内提供7×24小时售后服务，仪器设备出现故障，在接到电话通知后，2小时内做出实质性响应（远程解决或做出预备维护动作），需维护工程师现场解决的，要求在24小时内到现场处理。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3.质保期内发生故障的设备如无法在24小时内修复，须保证年开机率</w:t>
      </w:r>
      <w:r>
        <w:rPr>
          <w:rFonts w:hint="eastAsia" w:ascii="宋体" w:hAnsi="宋体" w:cs="宋体"/>
          <w:sz w:val="21"/>
          <w:szCs w:val="21"/>
          <w:lang w:eastAsia="zh"/>
        </w:rPr>
        <w:t>95%</w:t>
      </w:r>
      <w:r>
        <w:rPr>
          <w:rFonts w:hint="eastAsia" w:ascii="宋体" w:hAnsi="宋体" w:cs="宋体"/>
          <w:sz w:val="21"/>
          <w:szCs w:val="21"/>
        </w:rPr>
        <w:t>以上，否则中标供应商承担相应的损失。单次故障（不可抗力因素除外）维修时间超过20天仍无法修复的，采购人有权要求更换设备或赔偿。</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4.质保期内每季度一次定期回访以及对设备维护。质保期满前1个月内中标供应商应负责对设备进行一次免费全面检查，如发现潜在问题，应负责排除，保证设备正常运行。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5.投标产品必须是全新，且生产日期为</w:t>
      </w:r>
      <w:r>
        <w:rPr>
          <w:rFonts w:hint="eastAsia" w:ascii="宋体" w:hAnsi="宋体" w:cs="宋体"/>
          <w:sz w:val="21"/>
          <w:szCs w:val="21"/>
          <w:lang w:val="en-US" w:eastAsia="zh"/>
        </w:rPr>
        <w:t>1年内</w:t>
      </w:r>
      <w:r>
        <w:rPr>
          <w:rFonts w:hint="eastAsia" w:ascii="宋体" w:hAnsi="宋体" w:cs="宋体"/>
          <w:sz w:val="21"/>
          <w:szCs w:val="21"/>
        </w:rPr>
        <w:t>（签订合同之日计算）的产品。产品包装必须是全新的合格产品，并按照原厂标准包装规格供货，不接受散装或拆包装件。所有货物都提供中文说明书和详细装箱清单及质量合格证。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6.</w:t>
      </w:r>
      <w:r>
        <w:rPr>
          <w:rFonts w:hint="eastAsia" w:ascii="宋体" w:hAnsi="宋体" w:cs="宋体"/>
          <w:color w:val="000000" w:themeColor="text1"/>
          <w:sz w:val="21"/>
          <w:szCs w:val="21"/>
          <w14:textFill>
            <w14:solidFill>
              <w14:schemeClr w14:val="tx1"/>
            </w14:solidFill>
          </w14:textFill>
        </w:rPr>
        <w:t>安装调试完成后，中标供应商对采购人提供</w:t>
      </w:r>
      <w:r>
        <w:rPr>
          <w:rFonts w:hint="eastAsia" w:ascii="宋体" w:hAnsi="宋体" w:cs="宋体"/>
          <w:color w:val="000000" w:themeColor="text1"/>
          <w:sz w:val="21"/>
          <w:szCs w:val="21"/>
          <w:lang w:val="en-US" w:eastAsia="zh-CN"/>
          <w14:textFill>
            <w14:solidFill>
              <w14:schemeClr w14:val="tx1"/>
            </w14:solidFill>
          </w14:textFill>
        </w:rPr>
        <w:t>不少于3人</w:t>
      </w:r>
      <w:r>
        <w:rPr>
          <w:rFonts w:hint="eastAsia" w:ascii="宋体" w:hAnsi="宋体" w:cs="宋体"/>
          <w:color w:val="000000" w:themeColor="text1"/>
          <w:sz w:val="21"/>
          <w:szCs w:val="21"/>
          <w14:textFill>
            <w14:solidFill>
              <w14:schemeClr w14:val="tx1"/>
            </w14:solidFill>
          </w14:textFill>
        </w:rPr>
        <w:t>次培训，使采购人的操作人员及工程人员熟练掌握全部功能及基本维修，相关费用包括在投标报价中，采购人不再另行支付。</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7.中标供应商提供维护手册、维修手册、软件备份、故障代码表、备件清单。质保期外，无偿提供维修密码及所附软件在该项目的永久使用权。</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中标供应商承诺的质保期内的所有售后服务，其中硬件的售后服务包括但不限于硬件维护维修、配件更换、整机更换、提供替代品；涉及软件的，应用软件的售后服务包括但不限于应用软件维护升级以及非结构性修改；中标供应商承担质保期内售后服务所产生的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9.中标供应商保证采购人能够合法应用该器械及相应服务。采购人在办理相关证件及验收等流程中，中标供应商必须提供所需的合法材料。</w:t>
      </w:r>
    </w:p>
    <w:p>
      <w:pPr>
        <w:spacing w:line="460" w:lineRule="exact"/>
        <w:ind w:firstLine="420" w:firstLineChars="200"/>
        <w:rPr>
          <w:rFonts w:hint="eastAsia" w:ascii="宋体" w:hAnsi="宋体" w:cs="宋体"/>
          <w:b/>
          <w:bCs/>
          <w:color w:val="auto"/>
          <w:sz w:val="21"/>
          <w:szCs w:val="21"/>
        </w:rPr>
      </w:pPr>
      <w:r>
        <w:rPr>
          <w:rFonts w:hint="eastAsia" w:ascii="宋体" w:hAnsi="宋体" w:cs="宋体"/>
          <w:b/>
          <w:bCs/>
          <w:color w:val="auto"/>
          <w:sz w:val="21"/>
          <w:szCs w:val="21"/>
        </w:rPr>
        <w:t>（四）付款方式</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1.第一期：预付款为合同金额的30%；签订合同后，采购人收到中标供应商开具合法有效的合同款30%等额发票后，10个工作日内，向中标供应商支付预付款；</w:t>
      </w:r>
    </w:p>
    <w:p>
      <w:pPr>
        <w:spacing w:line="46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70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spacing w:line="460" w:lineRule="exact"/>
        <w:ind w:firstLine="420" w:firstLineChars="200"/>
        <w:rPr>
          <w:rFonts w:hint="eastAsia" w:ascii="宋体" w:hAnsi="宋体" w:cs="宋体"/>
          <w:b/>
          <w:bCs/>
          <w:sz w:val="21"/>
          <w:szCs w:val="21"/>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（五）履约保证金</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履约保证金金额：中标供应商按中标金额的5%向采购人支付履约保证金。（如中标供应商为中小微企业，按中标金额的2%），如中标供应商以保函形式提交的履约保证金，采购人不得拒收。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备注：在签订合同之前，中标供应商需把履约保证金足额交到采购人指定账户。未提交履约保证金的，不予签订本合同。验收合格后，采购人应当按照合同约定的退还方式，由中标供应商提出书面申请后，在5个工作日内办理履约保证金退还手续。中标供应商在履行合同过程中，未能按照合同约定履行质量保证义务的（不可抗力除外），若因此给采购人造成损失的，应向采购人进行等额赔偿。</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（六）投标报价要求</w:t>
      </w:r>
    </w:p>
    <w:p>
      <w:pPr>
        <w:spacing w:line="460" w:lineRule="exact"/>
        <w:ind w:firstLine="420" w:firstLineChars="200"/>
        <w:rPr>
          <w:rFonts w:hint="eastAsia" w:ascii="宋体" w:hAnsi="宋体" w:eastAsia="宋体" w:cs="宋体"/>
          <w:sz w:val="21"/>
          <w:szCs w:val="21"/>
          <w:lang w:eastAsia="zh"/>
        </w:rPr>
      </w:pPr>
      <w:r>
        <w:rPr>
          <w:rFonts w:hint="eastAsia" w:ascii="宋体" w:hAnsi="宋体" w:cs="宋体"/>
          <w:sz w:val="21"/>
          <w:szCs w:val="21"/>
        </w:rPr>
        <w:t>投标报价包含货物、货物标准附件、备品备件、专用工具、设备安装辅材、施工辅材、包装、运输、装卸、保险、连接医院信息系统接口费（如</w:t>
      </w:r>
      <w:r>
        <w:rPr>
          <w:rFonts w:hint="eastAsia" w:ascii="宋体" w:hAnsi="宋体" w:cs="宋体"/>
          <w:sz w:val="21"/>
          <w:szCs w:val="21"/>
          <w:lang w:eastAsia="zh"/>
        </w:rPr>
        <w:t>HIS、PACS</w:t>
      </w:r>
      <w:r>
        <w:rPr>
          <w:rFonts w:hint="eastAsia" w:ascii="宋体" w:hAnsi="宋体" w:cs="宋体"/>
          <w:sz w:val="21"/>
          <w:szCs w:val="21"/>
        </w:rPr>
        <w:t>）以及安装、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包括但不限于的所有责任、义务和一般风险等一切费用。</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（七）政策性加分条件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符合节能环保等国家政策要求。</w:t>
      </w:r>
    </w:p>
    <w:p>
      <w:pPr>
        <w:spacing w:line="460" w:lineRule="exact"/>
        <w:ind w:firstLine="420" w:firstLineChars="200"/>
        <w:rPr>
          <w:rFonts w:hint="eastAsia" w:ascii="宋体" w:hAnsi="宋体" w:cs="宋体"/>
          <w:b/>
          <w:bCs/>
          <w:sz w:val="21"/>
          <w:szCs w:val="21"/>
        </w:rPr>
      </w:pPr>
      <w:r>
        <w:rPr>
          <w:rFonts w:hint="eastAsia" w:ascii="宋体" w:hAnsi="宋体" w:cs="宋体"/>
          <w:b/>
          <w:bCs/>
          <w:sz w:val="21"/>
          <w:szCs w:val="21"/>
        </w:rPr>
        <w:t>（八）验收标准及验收方法</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1.中标供应商应将所提供货物的装箱清单、用户手册、原厂保修卡、随机资料、工具和备品、备件等交付给采购人，如有缺失应在采购人要求的期限内及时补齐，否则视为逾期交货。</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采购人将依据招标文件上的技术要求和国家有关质量标准对中标供应商提交的货物进行初步签收；中标供应商如提供不符合招标文件、投标文件和采购合同规定的货物，采购人有权不予签收，由此产生的一切损失均由中标供应商自行承担。</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3.中标供应商需承担供货时产品质量抽样检测的相关费用以及项目验收时发生的一切费用。</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4.安装合格后15日内提供安装调试报告与原厂技术规格书(或Datasheet)。 本条所有涉及的文件均提供纸质与电子档。</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5.当项目调试完成后，由中标供应商向采购人提出项目竣工测试申请，并于验收前向采购人提供一切有关技术文件、资料、图纸和培训相关记录等竣工材料，并在竣工前5个工作日通知采购人及有关部门准备验收。拟竣工项目的实施总体功能、性能符合采购人认可的技术设计方案及合同规定的，采购人在7个工作日内组织验收，并作出验收结果报告。供需双方签署项目终验验收证书并加盖公章，自正式交付使用之日起，开始计算质保期。</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rPr>
      </w:pPr>
      <w:r>
        <w:rPr>
          <w:rFonts w:hint="eastAsia" w:ascii="宋体" w:hAnsi="宋体" w:cs="宋体"/>
          <w:sz w:val="21"/>
          <w:szCs w:val="21"/>
        </w:rPr>
        <w:t>6.采购人对验收有异议的，以书面形式向中标供应商提出，中标供应商应自收到采购人书面异议后5个工作日内及时予以解决，中标供应商不予答复或未予以实质解决的，视为认可采购人异议及处置意见。</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7.验收标准</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1)项目招标文件及中标供应商投标文件中的“技术响应表”,逐条验收；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2)项目招标文件及中标供应商投标文件中的“商务响应表”,逐条验收；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3)中标供应商投标文件中其他技术、服务、商务性的说明、承诺事项，逐条验收。</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4)国家相关法律、法规、标准和规范等。</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5)其他未尽事宜应严格参照《关于印发广西壮族自治区政府采购项目履约验收管理办法的通知》[桂财采〔2015〕22号]以及《财政部关于进一步加强政府采购需求和履约验收管理的指导意见》[财库〔2016〕205号]规定执行。</w:t>
      </w:r>
    </w:p>
    <w:p>
      <w:pPr>
        <w:spacing w:line="460" w:lineRule="exact"/>
        <w:ind w:firstLine="420" w:firstLineChars="200"/>
        <w:rPr>
          <w:rFonts w:hint="eastAsia" w:ascii="宋体" w:hAnsi="宋体" w:cs="宋体"/>
          <w:sz w:val="21"/>
          <w:szCs w:val="21"/>
        </w:rPr>
      </w:pPr>
      <w:r>
        <w:rPr>
          <w:rFonts w:hint="eastAsia" w:ascii="宋体" w:hAnsi="宋体" w:cs="宋体"/>
          <w:sz w:val="21"/>
          <w:szCs w:val="21"/>
        </w:rPr>
        <w:t>8.若采购人委托第三方组织的验收项目，其验收时间以该项目验收方案确定的验收时间为准，验收结果以该项目验收报告结论为准。在验收过程中发现中标供应商有违约问题，可暂缓资金结算，待违约问题解决后，方可办理资金结算事宜，在此期间，采购人不承担逾期付款责任。</w:t>
      </w:r>
    </w:p>
    <w:p>
      <w:pPr>
        <w:spacing w:line="460" w:lineRule="exact"/>
        <w:ind w:firstLine="420" w:firstLineChars="200"/>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9.</w:t>
      </w:r>
      <w:r>
        <w:rPr>
          <w:rFonts w:hint="eastAsia" w:ascii="宋体" w:hAnsi="宋体" w:eastAsia="宋体" w:cs="宋体"/>
          <w:b w:val="0"/>
          <w:bCs w:val="0"/>
          <w:color w:val="auto"/>
          <w:sz w:val="21"/>
          <w:szCs w:val="21"/>
          <w:lang w:eastAsia="zh-CN"/>
        </w:rPr>
        <w:t>中标供应商提供</w:t>
      </w:r>
      <w:r>
        <w:rPr>
          <w:rFonts w:hint="eastAsia" w:ascii="宋体" w:hAnsi="宋体" w:cs="宋体"/>
          <w:b w:val="0"/>
          <w:bCs w:val="0"/>
          <w:color w:val="auto"/>
          <w:sz w:val="21"/>
          <w:szCs w:val="21"/>
          <w:lang w:eastAsia="zh-CN"/>
        </w:rPr>
        <w:t>的</w:t>
      </w:r>
      <w:r>
        <w:rPr>
          <w:rFonts w:hint="eastAsia" w:ascii="宋体" w:hAnsi="宋体" w:eastAsia="宋体" w:cs="宋体"/>
          <w:b w:val="0"/>
          <w:bCs w:val="0"/>
          <w:color w:val="auto"/>
          <w:sz w:val="21"/>
          <w:szCs w:val="21"/>
          <w:lang w:eastAsia="zh-CN"/>
        </w:rPr>
        <w:t>货物</w:t>
      </w:r>
      <w:r>
        <w:rPr>
          <w:rFonts w:hint="eastAsia" w:ascii="宋体" w:hAnsi="宋体" w:eastAsia="宋体" w:cs="宋体"/>
          <w:b w:val="0"/>
          <w:bCs w:val="0"/>
          <w:color w:val="auto"/>
          <w:sz w:val="21"/>
          <w:szCs w:val="21"/>
          <w:lang w:val="en-US" w:eastAsia="zh-CN"/>
        </w:rPr>
        <w:t>与投标文件响应情况不符，视为验收不合格</w:t>
      </w:r>
      <w:r>
        <w:rPr>
          <w:rFonts w:hint="eastAsia" w:ascii="宋体" w:hAnsi="宋体" w:cs="宋体"/>
          <w:b w:val="0"/>
          <w:bCs w:val="0"/>
          <w:color w:val="auto"/>
          <w:sz w:val="21"/>
          <w:szCs w:val="21"/>
          <w:lang w:val="en-US" w:eastAsia="zh-CN"/>
        </w:rPr>
        <w:t>。</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（九）进口产品说明</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本标项不接受进口设备参与投标。</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（十）规范标准</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执行现行的强制执行的国家、行业、地方标准。</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（十一）产品资料及说明文件</w:t>
      </w:r>
    </w:p>
    <w:p>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cs="宋体"/>
          <w:sz w:val="21"/>
          <w:szCs w:val="21"/>
          <w:lang w:val="en-US" w:eastAsia="zh-CN"/>
        </w:rPr>
      </w:pPr>
      <w:r>
        <w:rPr>
          <w:rFonts w:hint="eastAsia" w:ascii="宋体" w:hAnsi="宋体" w:eastAsia="宋体" w:cs="宋体"/>
          <w:color w:val="000000" w:themeColor="text1"/>
          <w:kern w:val="2"/>
          <w:sz w:val="21"/>
          <w:szCs w:val="21"/>
          <w:lang w:val="en-US" w:eastAsia="zh-CN" w:bidi="ar-SA"/>
          <w14:textFill>
            <w14:solidFill>
              <w14:schemeClr w14:val="tx1"/>
            </w14:solidFill>
          </w14:textFill>
        </w:rPr>
        <w:t>投标文件中提供除第三方设备外的投标产品对外公开的产品彩页或说明书（须体现实质性技术参数及重要技术参数，可以是从生产厂家网页下载的PDF或HTM文件或在药品监督管理部门备案的技术参数或检测报告或生产厂家盖章的技术参数证明材料），以供评标时核对。当投标文件提供的仪器性能参数与该仪器生产商提供的性能参数不符合时，以后者为准。</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（十二）采购预算价及最高限价</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投标报价超采购预算（含单项采购预算，如有）及最高限价（含单项最高限价，如有）的投标无效。</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（十三）医疗器械注册或备案要求</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p>
      <w:pPr>
        <w:spacing w:line="440" w:lineRule="exact"/>
        <w:ind w:firstLine="420" w:firstLineChars="200"/>
        <w:rPr>
          <w:rFonts w:hint="eastAsia" w:ascii="宋体" w:hAnsi="宋体" w:cs="宋体"/>
          <w:b/>
          <w:bCs/>
          <w:sz w:val="21"/>
          <w:szCs w:val="21"/>
        </w:rPr>
      </w:pPr>
      <w:r>
        <w:rPr>
          <w:rFonts w:hint="eastAsia" w:ascii="宋体" w:hAnsi="宋体" w:cs="宋体"/>
          <w:b/>
          <w:bCs/>
          <w:sz w:val="21"/>
          <w:szCs w:val="21"/>
        </w:rPr>
        <w:t>（十四）其它</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投标人根据自身情况提供项目实施方案，内容包括但不限于：</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1.技术及项目实施方案（包含但不限于管理措施、具体实施流程、进度安排、质量保证措施、有利于采购项目实施的内容或合理性建议的等）；</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2.技术人员方案（包含但不限于技术人员投入计划，有技术人员在安装调试过程提供技术支持和协助计划，拟派有资质技术人员完成实施方案，有利于采购项目实施的内容或合理性建议的）；</w:t>
      </w:r>
    </w:p>
    <w:p>
      <w:pPr>
        <w:spacing w:line="440" w:lineRule="exact"/>
        <w:ind w:firstLine="420" w:firstLineChars="200"/>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sz w:val="21"/>
          <w:szCs w:val="21"/>
        </w:rPr>
        <w:t>3.培训计划（包括但不限于：培训方式、培训次数、人数、课程内容及师资等）</w:t>
      </w:r>
      <w:r>
        <w:rPr>
          <w:rFonts w:hint="eastAsia" w:ascii="宋体" w:hAnsi="宋体" w:cs="宋体"/>
          <w:color w:val="000000" w:themeColor="text1"/>
          <w:sz w:val="21"/>
          <w:szCs w:val="21"/>
          <w:lang w:eastAsia="zh-CN"/>
          <w14:textFill>
            <w14:solidFill>
              <w14:schemeClr w14:val="tx1"/>
            </w14:solidFill>
          </w14:textFill>
        </w:rPr>
        <w:t>；</w:t>
      </w:r>
    </w:p>
    <w:p>
      <w:pPr>
        <w:spacing w:line="440" w:lineRule="exact"/>
        <w:ind w:firstLine="420" w:firstLineChars="200"/>
        <w:rPr>
          <w:rFonts w:hint="eastAsia" w:ascii="宋体" w:hAnsi="宋体" w:cs="宋体"/>
          <w:sz w:val="21"/>
          <w:szCs w:val="21"/>
        </w:rPr>
      </w:pPr>
      <w:r>
        <w:rPr>
          <w:rFonts w:hint="eastAsia" w:ascii="宋体" w:hAnsi="宋体" w:cs="宋体"/>
          <w:sz w:val="21"/>
          <w:szCs w:val="21"/>
        </w:rPr>
        <w:t>4.生产厂家售后服务承诺书等。</w:t>
      </w:r>
    </w:p>
    <w:p>
      <w:pPr>
        <w:pStyle w:val="2"/>
        <w:spacing w:before="157" w:beforeLines="50" w:line="260" w:lineRule="exact"/>
        <w:ind w:firstLine="420" w:firstLineChars="200"/>
        <w:rPr>
          <w:rFonts w:hint="eastAsia" w:hAnsi="宋体"/>
          <w:b/>
          <w:bCs/>
          <w:sz w:val="21"/>
          <w:szCs w:val="21"/>
        </w:rPr>
      </w:pPr>
      <w:r>
        <w:rPr>
          <w:rFonts w:hint="eastAsia" w:ascii="宋体" w:hAnsi="宋体" w:eastAsia="宋体" w:cs="宋体"/>
          <w:b/>
          <w:bCs/>
          <w:color w:val="auto"/>
          <w:kern w:val="2"/>
          <w:sz w:val="21"/>
          <w:szCs w:val="21"/>
          <w:lang w:eastAsia="zh-CN"/>
        </w:rPr>
        <w:t>（十五）</w:t>
      </w:r>
      <w:r>
        <w:rPr>
          <w:rFonts w:hint="eastAsia" w:hAnsi="宋体"/>
          <w:b/>
          <w:bCs/>
          <w:sz w:val="21"/>
          <w:szCs w:val="21"/>
          <w:lang w:eastAsia="zh-CN"/>
        </w:rPr>
        <w:t>核心产品：医用直线加速器(分标</w:t>
      </w:r>
      <w:r>
        <w:rPr>
          <w:rFonts w:hint="eastAsia" w:hAnsi="宋体"/>
          <w:b/>
          <w:bCs/>
          <w:sz w:val="21"/>
          <w:szCs w:val="21"/>
          <w:lang w:val="en-US" w:eastAsia="zh-CN"/>
        </w:rPr>
        <w:t>3</w:t>
      </w:r>
      <w:r>
        <w:rPr>
          <w:rFonts w:hint="eastAsia" w:hAnsi="宋体"/>
          <w:b/>
          <w:bCs/>
          <w:sz w:val="21"/>
          <w:szCs w:val="21"/>
          <w:lang w:eastAsia="zh-CN"/>
        </w:rPr>
        <w:t>)</w:t>
      </w:r>
      <w:r>
        <w:rPr>
          <w:rFonts w:hint="eastAsia" w:hAnsi="宋体" w:cs="宋体"/>
          <w:b/>
          <w:bCs/>
          <w:sz w:val="21"/>
          <w:szCs w:val="21"/>
          <w:lang w:eastAsia="zh-CN"/>
        </w:rPr>
        <w:t>。</w:t>
      </w:r>
    </w:p>
    <w:p>
      <w:pPr>
        <w:pStyle w:val="2"/>
        <w:spacing w:line="260" w:lineRule="exact"/>
        <w:ind w:firstLine="420" w:firstLineChars="200"/>
        <w:rPr>
          <w:rStyle w:val="191"/>
          <w:rFonts w:hint="eastAsia" w:ascii="宋体" w:hAnsi="宋体" w:cs="宋体"/>
          <w:b/>
          <w:bCs/>
          <w:color w:val="auto"/>
          <w:kern w:val="2"/>
          <w:sz w:val="21"/>
          <w:szCs w:val="21"/>
          <w:u w:val="none"/>
        </w:rPr>
      </w:pPr>
    </w:p>
    <w:p>
      <w:pPr>
        <w:pStyle w:val="2"/>
        <w:numPr>
          <w:ilvl w:val="-1"/>
          <w:numId w:val="0"/>
        </w:numPr>
        <w:spacing w:line="240" w:lineRule="exact"/>
        <w:ind w:firstLine="420" w:firstLineChars="200"/>
        <w:rPr>
          <w:rFonts w:hint="eastAsia" w:hAnsi="宋体"/>
          <w:sz w:val="21"/>
          <w:szCs w:val="21"/>
          <w:lang w:eastAsia="zh-CN"/>
        </w:rPr>
      </w:pPr>
      <w:r>
        <w:rPr>
          <w:rStyle w:val="191"/>
          <w:rFonts w:hint="eastAsia" w:ascii="宋体" w:hAnsi="宋体" w:eastAsia="宋体" w:cs="宋体"/>
          <w:b/>
          <w:bCs/>
          <w:color w:val="auto"/>
          <w:sz w:val="21"/>
          <w:szCs w:val="21"/>
          <w:lang w:eastAsia="zh-CN"/>
        </w:rPr>
        <w:t>三、</w:t>
      </w:r>
      <w:r>
        <w:rPr>
          <w:rStyle w:val="191"/>
          <w:rFonts w:hint="eastAsia" w:ascii="宋体" w:hAnsi="宋体" w:eastAsia="宋体" w:cs="宋体"/>
          <w:b/>
          <w:bCs/>
          <w:color w:val="auto"/>
          <w:sz w:val="21"/>
          <w:szCs w:val="21"/>
        </w:rPr>
        <w:t>采购人信息</w:t>
      </w:r>
    </w:p>
    <w:tbl>
      <w:tblPr>
        <w:tblStyle w:val="55"/>
        <w:tblpPr w:leftFromText="180" w:rightFromText="180" w:vertAnchor="text" w:horzAnchor="page" w:tblpX="1847" w:tblpY="429"/>
        <w:tblOverlap w:val="never"/>
        <w:tblW w:w="5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165"/>
        <w:gridCol w:w="848"/>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序号</w:t>
            </w:r>
          </w:p>
        </w:tc>
        <w:tc>
          <w:tcPr>
            <w:tcW w:w="31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lang w:eastAsia="zh-CN"/>
              </w:rPr>
              <w:t>采购人</w:t>
            </w:r>
            <w:r>
              <w:rPr>
                <w:rFonts w:hint="eastAsia" w:ascii="宋体" w:hAnsi="宋体" w:eastAsia="宋体" w:cs="宋体"/>
                <w:b/>
                <w:kern w:val="0"/>
                <w:sz w:val="21"/>
                <w:szCs w:val="21"/>
                <w:highlight w:val="none"/>
              </w:rPr>
              <w:t>名称</w:t>
            </w:r>
          </w:p>
        </w:tc>
        <w:tc>
          <w:tcPr>
            <w:tcW w:w="8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数量</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60" w:lineRule="exact"/>
              <w:jc w:val="center"/>
              <w:textAlignment w:val="auto"/>
              <w:rPr>
                <w:rFonts w:hint="eastAsia" w:ascii="宋体" w:hAnsi="宋体" w:eastAsia="宋体" w:cs="宋体"/>
                <w:b/>
                <w:kern w:val="0"/>
                <w:sz w:val="21"/>
                <w:szCs w:val="21"/>
                <w:highlight w:val="none"/>
              </w:rPr>
            </w:pPr>
            <w:r>
              <w:rPr>
                <w:rFonts w:hint="eastAsia" w:ascii="宋体" w:hAnsi="宋体" w:eastAsia="宋体" w:cs="宋体"/>
                <w:b/>
                <w:kern w:val="0"/>
                <w:sz w:val="21"/>
                <w:szCs w:val="21"/>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p>
        </w:tc>
        <w:tc>
          <w:tcPr>
            <w:tcW w:w="31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lang w:val="en-US" w:eastAsia="zh-CN"/>
              </w:rPr>
              <w:t>玉林市第一人民医院</w:t>
            </w:r>
          </w:p>
        </w:tc>
        <w:tc>
          <w:tcPr>
            <w:tcW w:w="8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val="en-US" w:eastAsia="zh-CN"/>
              </w:rPr>
            </w:pPr>
            <w:r>
              <w:rPr>
                <w:rFonts w:hint="eastAsia" w:ascii="宋体" w:hAnsi="宋体" w:eastAsia="宋体" w:cs="宋体"/>
                <w:b w:val="0"/>
                <w:bCs/>
                <w:kern w:val="0"/>
                <w:sz w:val="21"/>
                <w:szCs w:val="21"/>
                <w:highlight w:val="none"/>
              </w:rPr>
              <w:t>1</w:t>
            </w:r>
          </w:p>
        </w:tc>
        <w:tc>
          <w:tcPr>
            <w:tcW w:w="10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before="95" w:beforeLines="30" w:after="95" w:afterLines="30" w:line="240" w:lineRule="auto"/>
              <w:jc w:val="center"/>
              <w:textAlignment w:val="auto"/>
              <w:rPr>
                <w:rFonts w:hint="eastAsia" w:ascii="宋体" w:hAnsi="宋体" w:eastAsia="宋体" w:cs="宋体"/>
                <w:b w:val="0"/>
                <w:bCs/>
                <w:kern w:val="0"/>
                <w:sz w:val="21"/>
                <w:szCs w:val="21"/>
                <w:highlight w:val="none"/>
                <w:lang w:eastAsia="zh-CN"/>
              </w:rPr>
            </w:pPr>
            <w:r>
              <w:rPr>
                <w:rFonts w:hint="eastAsia" w:ascii="宋体" w:hAnsi="宋体" w:eastAsia="宋体" w:cs="宋体"/>
                <w:b w:val="0"/>
                <w:bCs/>
                <w:kern w:val="0"/>
                <w:sz w:val="21"/>
                <w:szCs w:val="21"/>
                <w:highlight w:val="none"/>
                <w:lang w:val="en-US" w:eastAsia="zh-CN"/>
              </w:rPr>
              <w:t>套</w:t>
            </w:r>
          </w:p>
        </w:tc>
      </w:tr>
    </w:tbl>
    <w:p>
      <w:pPr>
        <w:spacing w:line="240" w:lineRule="auto"/>
        <w:rPr>
          <w:rStyle w:val="191"/>
          <w:rFonts w:hint="eastAsia" w:ascii="宋体" w:hAnsi="宋体" w:cs="宋体"/>
          <w:b/>
          <w:bCs/>
          <w:color w:val="auto"/>
          <w:szCs w:val="21"/>
          <w:u w:val="none"/>
        </w:rPr>
      </w:pPr>
    </w:p>
    <w:p>
      <w:pPr>
        <w:pStyle w:val="2"/>
        <w:rPr>
          <w:rFonts w:hint="eastAsia" w:hAnsi="宋体"/>
          <w:sz w:val="21"/>
          <w:szCs w:val="21"/>
        </w:rPr>
      </w:pPr>
    </w:p>
    <w:p>
      <w:pPr>
        <w:rPr>
          <w:rFonts w:hint="eastAsia" w:ascii="宋体" w:hAnsi="宋体" w:cs="宋体"/>
          <w:szCs w:val="21"/>
        </w:rPr>
      </w:pPr>
    </w:p>
    <w:p>
      <w:pPr>
        <w:rPr>
          <w:rFonts w:hint="eastAsia"/>
        </w:rPr>
      </w:pPr>
    </w:p>
    <w:p>
      <w:pPr>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1"/>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3"/>
        <w:jc w:val="center"/>
      </w:pPr>
      <w:r>
        <w:rPr>
          <w:rFonts w:hint="eastAsia"/>
        </w:rPr>
        <w:t>第三章  投标人须知</w:t>
      </w:r>
      <w:bookmarkEnd w:id="9"/>
    </w:p>
    <w:p>
      <w:pPr>
        <w:snapToGrid w:val="0"/>
        <w:jc w:val="center"/>
        <w:rPr>
          <w:rFonts w:ascii="黑体" w:hAnsi="宋体" w:eastAsia="黑体"/>
          <w:sz w:val="32"/>
          <w:szCs w:val="32"/>
        </w:rPr>
      </w:pPr>
    </w:p>
    <w:p>
      <w:pPr>
        <w:snapToGrid w:val="0"/>
        <w:jc w:val="center"/>
        <w:rPr>
          <w:rFonts w:ascii="黑体" w:hAnsi="宋体" w:eastAsia="黑体"/>
          <w:sz w:val="32"/>
          <w:szCs w:val="32"/>
        </w:rPr>
      </w:pPr>
    </w:p>
    <w:p>
      <w:pPr>
        <w:pageBreakBefore/>
        <w:snapToGrid w:val="0"/>
        <w:jc w:val="center"/>
        <w:rPr>
          <w:rFonts w:ascii="仿宋_GB2312" w:hAnsi="宋体" w:eastAsia="仿宋_GB2312"/>
          <w:b/>
          <w:szCs w:val="21"/>
        </w:rPr>
      </w:pPr>
      <w:r>
        <w:rPr>
          <w:rFonts w:hint="eastAsia" w:ascii="仿宋_GB2312" w:hAnsi="宋体" w:eastAsia="仿宋_GB2312"/>
          <w:b/>
          <w:sz w:val="32"/>
          <w:szCs w:val="32"/>
        </w:rPr>
        <w:t>投标</w:t>
      </w:r>
      <w:bookmarkStart w:id="11" w:name="_Toc254970526"/>
      <w:bookmarkStart w:id="12" w:name="_Toc254970667"/>
      <w:r>
        <w:rPr>
          <w:rFonts w:hint="eastAsia" w:ascii="仿宋_GB2312" w:hAnsi="宋体" w:eastAsia="仿宋_GB2312"/>
          <w:b/>
          <w:sz w:val="32"/>
          <w:szCs w:val="32"/>
        </w:rPr>
        <w:t>人须知及前附表</w:t>
      </w:r>
      <w:bookmarkEnd w:id="11"/>
      <w:bookmarkEnd w:id="12"/>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序号</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400" w:lineRule="exact"/>
              <w:ind w:right="-109" w:rightChars="-52"/>
              <w:jc w:val="left"/>
              <w:rPr>
                <w:rFonts w:ascii="宋体" w:hAnsi="宋体"/>
                <w:b/>
                <w:szCs w:val="21"/>
                <w:lang w:val="en"/>
              </w:rPr>
            </w:pPr>
            <w:r>
              <w:rPr>
                <w:rFonts w:hint="eastAsia" w:ascii="宋体" w:hAnsi="宋体"/>
                <w:szCs w:val="21"/>
              </w:rPr>
              <w:t>项目名称：</w:t>
            </w:r>
            <w:r>
              <w:rPr>
                <w:rFonts w:hint="default" w:ascii="宋体" w:hAnsi="宋体" w:cs="宋体"/>
                <w:b w:val="0"/>
                <w:sz w:val="21"/>
                <w:szCs w:val="18"/>
                <w:lang w:val="en"/>
              </w:rPr>
              <w:t>2025年广西大型医用设备(</w:t>
            </w:r>
            <w:r>
              <w:rPr>
                <w:rFonts w:hint="eastAsia" w:ascii="宋体" w:hAnsi="宋体" w:cs="宋体"/>
                <w:b w:val="0"/>
                <w:sz w:val="21"/>
                <w:szCs w:val="18"/>
                <w:lang w:val="en" w:eastAsia="zh"/>
              </w:rPr>
              <w:t>医用直线加速器</w:t>
            </w:r>
            <w:r>
              <w:rPr>
                <w:rFonts w:hint="default" w:ascii="宋体" w:hAnsi="宋体" w:cs="宋体"/>
                <w:b w:val="0"/>
                <w:sz w:val="21"/>
                <w:szCs w:val="18"/>
                <w:lang w:val="en"/>
              </w:rPr>
              <w:t>)集中采购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szCs w:val="21"/>
              </w:rPr>
            </w:pPr>
            <w:r>
              <w:rPr>
                <w:rFonts w:hint="eastAsia" w:ascii="宋体" w:hAnsi="宋体"/>
                <w:szCs w:val="21"/>
              </w:rPr>
              <w:t>投标报价及费用：1</w:t>
            </w:r>
            <w:r>
              <w:rPr>
                <w:rFonts w:hint="eastAsia" w:ascii="宋体" w:hAnsi="宋体"/>
                <w:szCs w:val="21"/>
                <w:lang w:val="en-US" w:eastAsia="zh-CN"/>
              </w:rPr>
              <w:t>.</w:t>
            </w:r>
            <w:r>
              <w:rPr>
                <w:rFonts w:hint="eastAsia" w:ascii="宋体" w:hAnsi="宋体"/>
                <w:szCs w:val="21"/>
              </w:rPr>
              <w:t>本项目投标应以人民币报价；2</w:t>
            </w:r>
            <w:r>
              <w:rPr>
                <w:rFonts w:hint="eastAsia" w:ascii="宋体" w:hAnsi="宋体"/>
                <w:szCs w:val="21"/>
                <w:lang w:val="en-US" w:eastAsia="zh-CN"/>
              </w:rPr>
              <w:t>.</w:t>
            </w:r>
            <w:r>
              <w:rPr>
                <w:rFonts w:hint="eastAsia" w:ascii="宋体" w:hAnsi="宋体"/>
                <w:szCs w:val="21"/>
              </w:rPr>
              <w:t>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ascii="宋体" w:hAnsi="宋体"/>
                <w:b/>
                <w:szCs w:val="21"/>
              </w:rPr>
            </w:pPr>
            <w:r>
              <w:rPr>
                <w:rFonts w:hint="eastAsia" w:ascii="宋体" w:hAnsi="宋体"/>
                <w:szCs w:val="21"/>
              </w:rPr>
              <w:t>投标保证金：详见本项目公开招标公告。</w:t>
            </w:r>
          </w:p>
          <w:p>
            <w:pPr>
              <w:snapToGrid w:val="0"/>
              <w:spacing w:line="380" w:lineRule="exact"/>
              <w:rPr>
                <w:rFonts w:ascii="宋体" w:hAnsi="宋体"/>
                <w:szCs w:val="21"/>
              </w:rPr>
            </w:pPr>
            <w:r>
              <w:rPr>
                <w:rFonts w:hint="eastAsia" w:ascii="宋体" w:hAnsi="宋体"/>
                <w:bCs/>
                <w:szCs w:val="21"/>
              </w:rPr>
              <w:t>实际交纳的保证金按上述要求，否则视为未交纳保证金</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b/>
                <w:szCs w:val="21"/>
              </w:rPr>
            </w:pPr>
            <w:r>
              <w:rPr>
                <w:rFonts w:hint="eastAsia" w:ascii="宋体" w:hAnsi="宋体"/>
                <w:b/>
                <w:szCs w:val="21"/>
              </w:rPr>
              <w:t>4</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ascii="宋体" w:hAnsi="宋体"/>
                <w:b/>
                <w:szCs w:val="21"/>
              </w:rPr>
            </w:pPr>
            <w:r>
              <w:rPr>
                <w:rFonts w:hint="eastAsia" w:ascii="宋体" w:hAnsi="宋体"/>
                <w:b/>
                <w:szCs w:val="21"/>
              </w:rPr>
              <w:t>现场踏勘：详见采购需求（如有）。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演示时间及地点：</w:t>
            </w:r>
            <w:r>
              <w:rPr>
                <w:rFonts w:hint="eastAsia" w:ascii="宋体" w:hAnsi="宋体"/>
                <w:szCs w:val="21"/>
                <w:u w:val="single"/>
              </w:rPr>
              <w:t>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6</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szCs w:val="21"/>
              </w:rPr>
            </w:pPr>
            <w:r>
              <w:rPr>
                <w:rFonts w:hint="eastAsia"/>
                <w:szCs w:val="21"/>
              </w:rPr>
              <w:t>（1）答疑、澄清：</w:t>
            </w:r>
            <w:r>
              <w:rPr>
                <w:rFonts w:hint="eastAsia"/>
                <w:b/>
                <w:szCs w:val="21"/>
                <w:u w:val="single"/>
              </w:rPr>
              <w:t>如投标人认为招标文件表述不清晰、</w:t>
            </w:r>
            <w:r>
              <w:rPr>
                <w:rFonts w:hint="eastAsia"/>
                <w:b/>
                <w:bCs/>
                <w:u w:val="single"/>
              </w:rPr>
              <w:t>有误或有不合理要求的</w:t>
            </w:r>
            <w:r>
              <w:rPr>
                <w:rFonts w:hint="eastAsia"/>
                <w:szCs w:val="21"/>
              </w:rPr>
              <w:t>，</w:t>
            </w:r>
            <w:r>
              <w:rPr>
                <w:szCs w:val="21"/>
              </w:rPr>
              <w:t>应当以书面形式要求本中心作出书面答疑、澄清</w:t>
            </w:r>
            <w:r>
              <w:rPr>
                <w:rFonts w:hint="eastAsia"/>
                <w:szCs w:val="21"/>
              </w:rPr>
              <w:t>；</w:t>
            </w:r>
          </w:p>
          <w:p>
            <w:pPr>
              <w:snapToGrid w:val="0"/>
              <w:spacing w:line="300" w:lineRule="exact"/>
              <w:rPr>
                <w:rFonts w:ascii="宋体" w:hAnsi="宋体" w:cs="宋体"/>
                <w:szCs w:val="21"/>
              </w:rPr>
            </w:pPr>
            <w:r>
              <w:rPr>
                <w:rFonts w:hint="eastAsia" w:hAnsi="宋体"/>
                <w:szCs w:val="21"/>
              </w:rPr>
              <w:t>（2）询问、质疑：</w:t>
            </w:r>
            <w:r>
              <w:rPr>
                <w:rFonts w:hint="eastAsia" w:hAnsi="宋体"/>
                <w:b/>
                <w:szCs w:val="21"/>
                <w:u w:val="single"/>
              </w:rPr>
              <w:t>如投标人对</w:t>
            </w:r>
            <w:r>
              <w:rPr>
                <w:rFonts w:hint="eastAsia" w:ascii="宋体" w:hAnsi="宋体" w:cs="宋体"/>
                <w:szCs w:val="21"/>
                <w:shd w:val="clear" w:color="auto" w:fill="FFFFFF"/>
              </w:rPr>
              <w:t>政府采购活动事项有疑问或认为招标文件、采购过程和中标结果使其权益受到损害的</w:t>
            </w:r>
            <w:r>
              <w:rPr>
                <w:rFonts w:hint="eastAsia" w:ascii="宋体" w:hAnsi="宋体" w:cs="宋体"/>
                <w:szCs w:val="21"/>
              </w:rPr>
              <w:t>，按投标人须知“一、总则（九）询问、质疑和投诉”中的要求向</w:t>
            </w:r>
            <w:r>
              <w:rPr>
                <w:rFonts w:hint="eastAsia" w:ascii="宋体" w:hAnsi="宋体" w:cs="宋体"/>
                <w:szCs w:val="21"/>
                <w:lang w:eastAsia="zh-CN"/>
              </w:rPr>
              <w:t>本中心</w:t>
            </w:r>
            <w:r>
              <w:rPr>
                <w:rFonts w:hint="eastAsia" w:ascii="宋体" w:hAnsi="宋体" w:cs="宋体"/>
                <w:szCs w:val="21"/>
              </w:rPr>
              <w:t>提出书面询问、质疑，并提供必要的证明材料。</w:t>
            </w:r>
          </w:p>
          <w:p>
            <w:pPr>
              <w:snapToGrid w:val="0"/>
              <w:spacing w:line="320" w:lineRule="exact"/>
              <w:rPr>
                <w:rFonts w:ascii="宋体" w:hAnsi="宋体"/>
                <w:szCs w:val="21"/>
              </w:rPr>
            </w:pPr>
            <w:r>
              <w:rPr>
                <w:rFonts w:hint="eastAsia" w:ascii="宋体" w:hAnsi="宋体" w:cs="宋体"/>
                <w:szCs w:val="21"/>
              </w:rPr>
              <w:t>答疑、澄清内容是招标文件的组成部份，本中心将以书面形式送达所有已报名的投标人。</w:t>
            </w:r>
            <w:r>
              <w:rPr>
                <w:rFonts w:hint="eastAsia" w:ascii="宋体" w:hAnsi="宋体" w:cs="宋体"/>
              </w:rPr>
              <w:t>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7</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zCs w:val="21"/>
              </w:rPr>
              <w:t>投标文件形式：</w:t>
            </w:r>
            <w:r>
              <w:rPr>
                <w:rFonts w:hint="eastAsia" w:ascii="宋体" w:hAnsi="宋体"/>
                <w:snapToGrid w:val="0"/>
                <w:szCs w:val="21"/>
              </w:rPr>
              <w:t>投标供应商应准备电子投标文件。</w:t>
            </w:r>
          </w:p>
          <w:p>
            <w:pPr>
              <w:autoSpaceDE w:val="0"/>
              <w:autoSpaceDN w:val="0"/>
              <w:snapToGrid w:val="0"/>
              <w:spacing w:line="360" w:lineRule="exact"/>
              <w:textAlignment w:val="bottom"/>
              <w:rPr>
                <w:rFonts w:ascii="宋体" w:hAnsi="宋体"/>
                <w:szCs w:val="21"/>
              </w:rPr>
            </w:pPr>
            <w:r>
              <w:rPr>
                <w:rFonts w:hint="eastAsia" w:ascii="宋体" w:hAnsi="宋体"/>
                <w:snapToGrid w:val="0"/>
                <w:szCs w:val="21"/>
              </w:rPr>
              <w:t>电子投标文件是指通过“</w:t>
            </w:r>
            <w:r>
              <w:rPr>
                <w:rFonts w:ascii="宋体" w:hAnsi="宋体"/>
                <w:snapToGrid w:val="0"/>
                <w:szCs w:val="21"/>
                <w:lang w:val="en"/>
              </w:rPr>
              <w:t>广西政府采购云平台新版客户端</w:t>
            </w:r>
            <w:r>
              <w:rPr>
                <w:rFonts w:hint="eastAsia" w:ascii="宋体" w:hAnsi="宋体"/>
                <w:snapToGrid w:val="0"/>
                <w:szCs w:val="21"/>
              </w:rPr>
              <w:t>”完成投标文件编制后生成并加密的数据电文形式的电子加密投标文件。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8</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zCs w:val="21"/>
              </w:rPr>
            </w:pPr>
            <w:r>
              <w:rPr>
                <w:rFonts w:hint="eastAsia" w:ascii="宋体" w:hAnsi="宋体"/>
                <w:snapToGrid w:val="0"/>
                <w:szCs w:val="21"/>
              </w:rPr>
              <w:t>投标文件的编制：供应商应先安装“</w:t>
            </w:r>
            <w:r>
              <w:rPr>
                <w:rFonts w:ascii="宋体" w:hAnsi="宋体"/>
                <w:snapToGrid w:val="0"/>
                <w:szCs w:val="21"/>
                <w:lang w:val="en"/>
              </w:rPr>
              <w:t>广西政府采购云平台新版客户端</w:t>
            </w:r>
            <w:r>
              <w:rPr>
                <w:rFonts w:hint="eastAsia" w:ascii="宋体" w:hAnsi="宋体"/>
                <w:snapToGrid w:val="0"/>
                <w:szCs w:val="21"/>
              </w:rPr>
              <w:t>”，并按照本招标文件和“广西政府采购云平台”的要求，通过“</w:t>
            </w:r>
            <w:r>
              <w:rPr>
                <w:rFonts w:ascii="宋体" w:hAnsi="宋体"/>
                <w:snapToGrid w:val="0"/>
                <w:szCs w:val="21"/>
                <w:lang w:val="en"/>
              </w:rPr>
              <w:t>广西政府采购云平台新版客户端</w:t>
            </w:r>
            <w:r>
              <w:rPr>
                <w:rFonts w:hint="eastAsia" w:ascii="宋体" w:hAnsi="宋体"/>
                <w:snapToGrid w:val="0"/>
                <w:szCs w:val="21"/>
              </w:rPr>
              <w:t>”编制并加密投标文件。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9</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10</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法定代表人或其授权代表签字或盖章：本招标文件所涉及的法定代表人或其授权代表签字或盖章的内容，如果投标单位没有法定代表人电子签章，涉及</w:t>
            </w:r>
            <w:r>
              <w:rPr>
                <w:rFonts w:hint="eastAsia" w:ascii="宋体" w:hAnsi="宋体"/>
                <w:snapToGrid w:val="0"/>
                <w:szCs w:val="21"/>
                <w:lang w:eastAsia="zh-CN"/>
              </w:rPr>
              <w:t>的</w:t>
            </w:r>
            <w:r>
              <w:rPr>
                <w:rFonts w:hint="eastAsia" w:ascii="宋体" w:hAnsi="宋体"/>
                <w:snapToGrid w:val="0"/>
                <w:szCs w:val="21"/>
              </w:rPr>
              <w:t>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12</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投标文件的上传和提交：本项目通过“广西政府采购云平台（</w:t>
            </w:r>
            <w:r>
              <w:rPr>
                <w:rFonts w:ascii="宋体" w:hAnsi="宋体"/>
                <w:snapToGrid w:val="0"/>
                <w:szCs w:val="21"/>
                <w:lang w:val="en"/>
              </w:rPr>
              <w:t>http://www.gcy.zfcg.gxzf.gov.cn</w:t>
            </w:r>
            <w:r>
              <w:rPr>
                <w:rFonts w:ascii="宋体" w:hAnsi="宋体"/>
                <w:snapToGrid w:val="0"/>
                <w:szCs w:val="21"/>
              </w:rPr>
              <w:t>）”实行在线投标响应（电子投标），投标供应商应当在投标截止时间前，将生成的“电子加密投标文件”上传提交至“</w:t>
            </w:r>
            <w:r>
              <w:rPr>
                <w:rFonts w:hint="eastAsia" w:ascii="宋体" w:hAnsi="宋体"/>
                <w:snapToGrid w:val="0"/>
                <w:szCs w:val="21"/>
              </w:rPr>
              <w:t>广西政府采购云平台</w:t>
            </w:r>
            <w:r>
              <w:rPr>
                <w:rFonts w:ascii="宋体" w:hAnsi="宋体"/>
                <w:snapToGrid w:val="0"/>
                <w:szCs w:val="21"/>
              </w:rPr>
              <w:t>”。</w:t>
            </w:r>
          </w:p>
          <w:p>
            <w:pPr>
              <w:spacing w:line="300" w:lineRule="exact"/>
              <w:rPr>
                <w:rFonts w:ascii="宋体" w:hAnsi="宋体"/>
                <w:snapToGrid w:val="0"/>
                <w:szCs w:val="21"/>
              </w:rPr>
            </w:pPr>
            <w:r>
              <w:rPr>
                <w:rFonts w:hint="eastAsia" w:ascii="宋体" w:hAnsi="宋体"/>
                <w:snapToGrid w:val="0"/>
                <w:szCs w:val="21"/>
              </w:rPr>
              <w:t>“电子加密投标文件”的上传、提交：</w:t>
            </w:r>
          </w:p>
          <w:p>
            <w:pPr>
              <w:spacing w:line="300" w:lineRule="exact"/>
              <w:rPr>
                <w:rFonts w:ascii="宋体" w:hAnsi="宋体"/>
                <w:snapToGrid w:val="0"/>
                <w:szCs w:val="21"/>
              </w:rPr>
            </w:pPr>
            <w:r>
              <w:rPr>
                <w:rFonts w:hint="eastAsia" w:ascii="宋体" w:hAnsi="宋体"/>
                <w:snapToGrid w:val="0"/>
                <w:szCs w:val="21"/>
              </w:rPr>
              <w:t>a.投标供应商应在投标截止时间前将“电子加密投标文件”成功上传提交至“广西政府采购云平台”，否则投标无效。</w:t>
            </w:r>
          </w:p>
          <w:p>
            <w:pPr>
              <w:spacing w:line="300" w:lineRule="exact"/>
              <w:rPr>
                <w:rFonts w:ascii="宋体" w:hAnsi="宋体"/>
                <w:snapToGrid w:val="0"/>
                <w:szCs w:val="21"/>
              </w:rPr>
            </w:pPr>
            <w:r>
              <w:rPr>
                <w:rFonts w:hint="eastAsia" w:ascii="宋体" w:hAnsi="宋体"/>
                <w:snapToGrid w:val="0"/>
                <w:szCs w:val="21"/>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13</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snapToGrid w:val="0"/>
                <w:szCs w:val="21"/>
              </w:rPr>
            </w:pPr>
            <w:r>
              <w:rPr>
                <w:rFonts w:hint="eastAsia" w:ascii="宋体" w:hAnsi="宋体"/>
                <w:snapToGrid w:val="0"/>
                <w:szCs w:val="21"/>
              </w:rPr>
              <w:t>电子加密投标文件的解密：</w:t>
            </w:r>
          </w:p>
          <w:p>
            <w:pPr>
              <w:spacing w:line="300" w:lineRule="exact"/>
              <w:rPr>
                <w:rFonts w:ascii="宋体" w:hAnsi="宋体"/>
                <w:snapToGrid w:val="0"/>
                <w:szCs w:val="21"/>
              </w:rPr>
            </w:pPr>
            <w:r>
              <w:rPr>
                <w:rFonts w:hint="eastAsia" w:ascii="宋体" w:hAnsi="宋体"/>
                <w:snapToGrid w:val="0"/>
                <w:szCs w:val="21"/>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14</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投标截止时间及地点：</w:t>
            </w:r>
            <w:r>
              <w:rPr>
                <w:rFonts w:hint="eastAsia" w:ascii="宋体" w:hAnsi="宋体"/>
                <w:b/>
                <w:szCs w:val="21"/>
                <w:u w:val="single"/>
                <w:lang w:eastAsia="zh"/>
              </w:rPr>
              <w:t>2026年</w:t>
            </w:r>
            <w:r>
              <w:rPr>
                <w:rFonts w:hint="eastAsia" w:ascii="宋体" w:hAnsi="宋体"/>
                <w:b/>
                <w:szCs w:val="21"/>
                <w:u w:val="single"/>
                <w:lang w:val="en-US" w:eastAsia="zh-CN"/>
              </w:rPr>
              <w:t>9</w:t>
            </w:r>
            <w:r>
              <w:rPr>
                <w:rFonts w:hint="eastAsia" w:ascii="宋体" w:hAnsi="宋体"/>
                <w:b/>
                <w:szCs w:val="21"/>
                <w:u w:val="single"/>
                <w:lang w:eastAsia="zh"/>
              </w:rPr>
              <w:t>月</w:t>
            </w:r>
            <w:r>
              <w:rPr>
                <w:rFonts w:hint="eastAsia" w:ascii="宋体" w:hAnsi="宋体"/>
                <w:b/>
                <w:szCs w:val="21"/>
                <w:u w:val="single"/>
                <w:lang w:val="en-US" w:eastAsia="zh-CN"/>
              </w:rPr>
              <w:t>11</w:t>
            </w:r>
            <w:r>
              <w:rPr>
                <w:rFonts w:hint="eastAsia" w:ascii="宋体" w:hAnsi="宋体"/>
                <w:b/>
                <w:szCs w:val="21"/>
                <w:u w:val="single"/>
                <w:lang w:eastAsia="zh"/>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color w:val="auto"/>
                <w:szCs w:val="21"/>
              </w:rPr>
              <w:t>（</w:t>
            </w:r>
            <w:r>
              <w:rPr>
                <w:rFonts w:hint="eastAsia" w:ascii="宋体" w:hAnsi="宋体"/>
                <w:color w:val="auto"/>
                <w:szCs w:val="21"/>
              </w:rPr>
              <w:t>本项目采用在线开评标方式，投标供应商无须前往开</w:t>
            </w:r>
            <w:r>
              <w:rPr>
                <w:rFonts w:hint="eastAsia" w:ascii="宋体" w:hAnsi="宋体"/>
                <w:szCs w:val="21"/>
              </w:rPr>
              <w:t>标现场</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ascii="宋体" w:hAnsi="宋体"/>
                <w:szCs w:val="21"/>
              </w:rPr>
            </w:pPr>
            <w:r>
              <w:rPr>
                <w:rFonts w:hint="eastAsia" w:ascii="宋体" w:hAnsi="宋体"/>
                <w:szCs w:val="21"/>
              </w:rPr>
              <w:t>开标时间及地点：</w:t>
            </w:r>
            <w:r>
              <w:rPr>
                <w:rFonts w:hint="eastAsia" w:ascii="宋体" w:hAnsi="宋体"/>
                <w:b/>
                <w:szCs w:val="21"/>
                <w:u w:val="single"/>
                <w:lang w:eastAsia="zh"/>
              </w:rPr>
              <w:t>2026年</w:t>
            </w:r>
            <w:r>
              <w:rPr>
                <w:rFonts w:hint="eastAsia" w:ascii="宋体" w:hAnsi="宋体"/>
                <w:b/>
                <w:szCs w:val="21"/>
                <w:u w:val="single"/>
                <w:lang w:val="en-US" w:eastAsia="zh-CN"/>
              </w:rPr>
              <w:t>9</w:t>
            </w:r>
            <w:r>
              <w:rPr>
                <w:rFonts w:hint="eastAsia" w:ascii="宋体" w:hAnsi="宋体"/>
                <w:b/>
                <w:szCs w:val="21"/>
                <w:u w:val="single"/>
                <w:lang w:eastAsia="zh"/>
              </w:rPr>
              <w:t>月</w:t>
            </w:r>
            <w:r>
              <w:rPr>
                <w:rFonts w:hint="eastAsia" w:ascii="宋体" w:hAnsi="宋体"/>
                <w:b/>
                <w:szCs w:val="21"/>
                <w:u w:val="single"/>
                <w:lang w:val="en-US" w:eastAsia="zh-CN"/>
              </w:rPr>
              <w:t>11</w:t>
            </w:r>
            <w:bookmarkStart w:id="60" w:name="_GoBack"/>
            <w:bookmarkEnd w:id="60"/>
            <w:r>
              <w:rPr>
                <w:rFonts w:hint="eastAsia" w:ascii="宋体" w:hAnsi="宋体"/>
                <w:b/>
                <w:szCs w:val="21"/>
                <w:u w:val="single"/>
                <w:lang w:eastAsia="zh"/>
              </w:rPr>
              <w:t>日</w:t>
            </w:r>
            <w:r>
              <w:rPr>
                <w:rFonts w:hint="eastAsia" w:ascii="宋体" w:hAnsi="宋体"/>
                <w:b/>
                <w:szCs w:val="21"/>
              </w:rPr>
              <w:t>上午10时整，</w:t>
            </w:r>
            <w:r>
              <w:rPr>
                <w:rFonts w:hint="eastAsia" w:ascii="宋体" w:hAnsi="宋体"/>
                <w:b/>
                <w:szCs w:val="21"/>
                <w:u w:val="single"/>
              </w:rPr>
              <w:t>南宁市星湖路22号</w:t>
            </w:r>
            <w:r>
              <w:rPr>
                <w:rFonts w:ascii="宋体" w:hAnsi="宋体" w:cs="Arial"/>
                <w:b/>
                <w:color w:val="auto"/>
                <w:szCs w:val="21"/>
                <w:u w:val="single"/>
                <w:lang w:val="en"/>
              </w:rPr>
              <w:t>广西壮族自治区公共资源交易中心</w:t>
            </w:r>
            <w:r>
              <w:rPr>
                <w:rFonts w:hint="eastAsia" w:ascii="宋体" w:hAnsi="宋体" w:cs="Arial"/>
                <w:b/>
                <w:color w:val="auto"/>
                <w:szCs w:val="21"/>
                <w:u w:val="single"/>
              </w:rPr>
              <w:t>开标室</w:t>
            </w:r>
            <w:r>
              <w:rPr>
                <w:rFonts w:hint="eastAsia" w:ascii="宋体" w:hAnsi="宋体"/>
                <w:b/>
                <w:color w:val="auto"/>
                <w:szCs w:val="21"/>
                <w:u w:val="single"/>
              </w:rPr>
              <w:t>。</w:t>
            </w:r>
            <w:r>
              <w:rPr>
                <w:rFonts w:hint="eastAsia" w:ascii="宋体" w:hAnsi="宋体"/>
                <w:b/>
                <w:szCs w:val="21"/>
                <w:u w:val="single"/>
              </w:rPr>
              <w:t>（</w:t>
            </w:r>
            <w:r>
              <w:rPr>
                <w:rFonts w:hint="eastAsia" w:ascii="宋体" w:hAnsi="宋体"/>
                <w:szCs w:val="21"/>
              </w:rPr>
              <w:t>本项目采用在线开评标方式，投标供应商无须前往开标现场</w:t>
            </w:r>
            <w:r>
              <w:rPr>
                <w:rFonts w:hint="eastAsia" w:ascii="宋体" w:hAnsi="宋体"/>
                <w:b/>
                <w:szCs w:val="21"/>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16</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ascii="宋体" w:hAnsi="宋体"/>
                <w:szCs w:val="21"/>
              </w:rPr>
            </w:pPr>
            <w:r>
              <w:rPr>
                <w:rFonts w:hint="eastAsia" w:ascii="宋体" w:hAnsi="宋体"/>
                <w:szCs w:val="21"/>
                <w:lang w:eastAsia="zh-CN"/>
              </w:rPr>
              <w:t>评标方法</w:t>
            </w:r>
            <w:r>
              <w:rPr>
                <w:rFonts w:hint="eastAsia" w:ascii="宋体" w:hAnsi="宋体"/>
                <w:szCs w:val="21"/>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17</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18</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19</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21</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napToGrid/>
              <w:spacing w:line="240" w:lineRule="auto"/>
              <w:jc w:val="left"/>
              <w:rPr>
                <w:rFonts w:ascii="宋体" w:hAnsi="宋体"/>
                <w:szCs w:val="21"/>
              </w:rPr>
            </w:pPr>
            <w:r>
              <w:rPr>
                <w:rFonts w:hint="eastAsia" w:ascii="宋体" w:hAnsi="宋体"/>
                <w:b/>
                <w:bCs/>
                <w:color w:val="auto"/>
                <w:szCs w:val="21"/>
              </w:rPr>
              <w:t>对招标文件、采购过程或者中标结果的质疑由</w:t>
            </w:r>
            <w:r>
              <w:rPr>
                <w:rFonts w:hint="eastAsia" w:ascii="宋体" w:hAnsi="宋体" w:eastAsia="宋体" w:cs="Times New Roman"/>
                <w:b/>
                <w:bCs/>
                <w:i w:val="0"/>
                <w:caps w:val="0"/>
                <w:color w:val="auto"/>
                <w:spacing w:val="0"/>
                <w:kern w:val="2"/>
                <w:sz w:val="21"/>
                <w:szCs w:val="21"/>
                <w:shd w:val="clear" w:fill="auto"/>
                <w:lang w:val="en-US" w:eastAsia="zh-CN" w:bidi="ar"/>
              </w:rPr>
              <w:t>自治区公共资源交易中心按相关规定组织专家组论证后答复</w:t>
            </w:r>
            <w:r>
              <w:rPr>
                <w:rFonts w:hint="eastAsia" w:ascii="宋体" w:hAnsi="宋体"/>
                <w:b/>
                <w:bCs/>
                <w:color w:val="auto"/>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pPr>
            <w:r>
              <w:rPr>
                <w:rFonts w:hint="eastAsia" w:ascii="宋体" w:hAnsi="宋体"/>
                <w:szCs w:val="21"/>
              </w:rPr>
              <w:t>质疑</w:t>
            </w:r>
            <w:r>
              <w:rPr>
                <w:rFonts w:hint="eastAsia"/>
              </w:rPr>
              <w:t>联系部门及联系方式：</w:t>
            </w:r>
          </w:p>
          <w:p>
            <w:pPr>
              <w:snapToGrid w:val="0"/>
              <w:spacing w:line="360" w:lineRule="exact"/>
              <w:ind w:firstLine="420" w:firstLineChars="200"/>
            </w:pPr>
            <w:r>
              <w:rPr>
                <w:lang w:val="en"/>
              </w:rPr>
              <w:t>广西壮族自治区公共资源交易中心</w:t>
            </w:r>
            <w:r>
              <w:rPr>
                <w:rFonts w:hint="eastAsia"/>
              </w:rPr>
              <w:t xml:space="preserve">交易监督处     </w:t>
            </w:r>
          </w:p>
          <w:p>
            <w:pPr>
              <w:snapToGrid w:val="0"/>
              <w:spacing w:line="360" w:lineRule="exact"/>
              <w:ind w:firstLine="420" w:firstLineChars="200"/>
              <w:rPr>
                <w:color w:val="auto"/>
              </w:rPr>
            </w:pPr>
            <w:r>
              <w:rPr>
                <w:rFonts w:hint="eastAsia"/>
                <w:color w:val="auto"/>
              </w:rPr>
              <w:t>电话：0771-8600304</w:t>
            </w:r>
          </w:p>
          <w:p>
            <w:pPr>
              <w:snapToGrid w:val="0"/>
              <w:spacing w:line="360" w:lineRule="exact"/>
              <w:ind w:firstLine="420" w:firstLineChars="200"/>
              <w:rPr>
                <w:rFonts w:ascii="宋体" w:hAnsi="宋体"/>
                <w:szCs w:val="21"/>
                <w:lang w:val="en"/>
              </w:rPr>
            </w:pPr>
            <w:r>
              <w:rPr>
                <w:rFonts w:hint="eastAsia"/>
              </w:rPr>
              <w:t>地址：广西南宁市星湖路22号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现场提交质疑办理业务时间：质疑期内每个工作日正常工作时间（</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3</w:t>
            </w:r>
            <w:r>
              <w:rPr>
                <w:rFonts w:hint="eastAsia" w:ascii="宋体" w:hAnsi="宋体"/>
                <w:szCs w:val="21"/>
              </w:rPr>
              <w:t>0-12：00，1</w:t>
            </w: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3</w:t>
            </w:r>
            <w:r>
              <w:rPr>
                <w:rFonts w:hint="eastAsia" w:ascii="宋体" w:hAnsi="宋体"/>
                <w:szCs w:val="21"/>
              </w:rPr>
              <w:t>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22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本招标文件解释权属</w:t>
            </w:r>
            <w:r>
              <w:rPr>
                <w:rFonts w:ascii="宋体" w:hAnsi="宋体"/>
                <w:szCs w:val="21"/>
                <w:lang w:val="en"/>
              </w:rPr>
              <w:t>广西壮族自治区公共资源交易中心</w:t>
            </w:r>
            <w:r>
              <w:rPr>
                <w:rFonts w:hint="eastAsia" w:ascii="宋体" w:hAnsi="宋体"/>
                <w:szCs w:val="21"/>
              </w:rPr>
              <w:t>。</w:t>
            </w:r>
          </w:p>
        </w:tc>
      </w:tr>
    </w:tbl>
    <w:p>
      <w:pPr>
        <w:pStyle w:val="29"/>
        <w:pageBreakBefore/>
        <w:snapToGrid w:val="0"/>
        <w:spacing w:before="120" w:after="120" w:line="360" w:lineRule="exact"/>
        <w:jc w:val="center"/>
        <w:rPr>
          <w:rFonts w:hAnsi="宋体"/>
          <w:b/>
        </w:rPr>
      </w:pPr>
      <w:r>
        <w:rPr>
          <w:rFonts w:hint="eastAsia" w:ascii="仿宋_GB2312" w:hAnsi="宋体" w:eastAsia="仿宋_GB2312"/>
          <w:b/>
          <w:sz w:val="32"/>
          <w:szCs w:val="32"/>
        </w:rPr>
        <w:t>投标人须知</w:t>
      </w:r>
    </w:p>
    <w:p>
      <w:pPr>
        <w:pStyle w:val="29"/>
        <w:adjustRightInd w:val="0"/>
        <w:snapToGrid w:val="0"/>
        <w:spacing w:line="400" w:lineRule="exact"/>
        <w:rPr>
          <w:rFonts w:hAnsi="宋体"/>
          <w:b/>
        </w:rPr>
      </w:pPr>
      <w:r>
        <w:rPr>
          <w:rFonts w:hint="eastAsia" w:hAnsi="宋体"/>
          <w:b/>
        </w:rPr>
        <w:t>一、总  则</w:t>
      </w:r>
    </w:p>
    <w:p>
      <w:pPr>
        <w:adjustRightInd w:val="0"/>
        <w:snapToGrid w:val="0"/>
        <w:spacing w:line="400" w:lineRule="exact"/>
        <w:ind w:firstLine="420" w:firstLineChars="200"/>
        <w:rPr>
          <w:rFonts w:ascii="宋体" w:hAnsi="宋体"/>
          <w:b/>
          <w:szCs w:val="21"/>
        </w:rPr>
      </w:pPr>
      <w:bookmarkStart w:id="13" w:name="_Toc254970527"/>
      <w:bookmarkStart w:id="14" w:name="_Toc254970668"/>
      <w:r>
        <w:rPr>
          <w:rFonts w:hint="eastAsia" w:ascii="宋体" w:hAnsi="宋体"/>
          <w:b/>
          <w:szCs w:val="21"/>
        </w:rPr>
        <w:t>（一） 适用范围</w:t>
      </w:r>
      <w:bookmarkEnd w:id="13"/>
      <w:bookmarkEnd w:id="14"/>
    </w:p>
    <w:p>
      <w:pPr>
        <w:adjustRightInd w:val="0"/>
        <w:snapToGrid w:val="0"/>
        <w:spacing w:line="400" w:lineRule="exact"/>
        <w:ind w:firstLine="420" w:firstLineChars="200"/>
        <w:jc w:val="left"/>
        <w:rPr>
          <w:rFonts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5" w:name="_Toc254970669"/>
      <w:bookmarkStart w:id="16" w:name="_Toc254970528"/>
      <w:bookmarkStart w:id="17" w:name="_Toc254970548"/>
      <w:bookmarkStart w:id="18" w:name="_Toc254970689"/>
      <w:r>
        <w:rPr>
          <w:rFonts w:hint="eastAsia" w:ascii="宋体" w:hAnsi="宋体"/>
          <w:b/>
          <w:szCs w:val="21"/>
        </w:rPr>
        <w:t>（二）定义</w:t>
      </w:r>
      <w:bookmarkEnd w:id="15"/>
      <w:bookmarkEnd w:id="16"/>
    </w:p>
    <w:p>
      <w:pPr>
        <w:adjustRightInd w:val="0"/>
        <w:snapToGrid w:val="0"/>
        <w:spacing w:line="400" w:lineRule="exact"/>
        <w:ind w:firstLine="420" w:firstLineChars="200"/>
        <w:jc w:val="left"/>
        <w:rPr>
          <w:rFonts w:ascii="宋体" w:hAnsi="宋体"/>
          <w:szCs w:val="21"/>
        </w:rPr>
      </w:pPr>
      <w:bookmarkStart w:id="19" w:name="_Toc254970670"/>
      <w:bookmarkStart w:id="20" w:name="_Toc254970529"/>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2.“采购代理机构”系指</w:t>
      </w:r>
      <w:r>
        <w:rPr>
          <w:rFonts w:ascii="宋体" w:hAnsi="宋体"/>
          <w:szCs w:val="21"/>
          <w:lang w:val="en"/>
        </w:rPr>
        <w:t>广西壮族自治区公共资源交易中心</w:t>
      </w:r>
      <w:r>
        <w:rPr>
          <w:rFonts w:hint="eastAsia" w:ascii="宋体" w:hAnsi="宋体"/>
          <w:szCs w:val="21"/>
        </w:rPr>
        <w:t>（以下简称“本中心”）。</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ascii="宋体" w:hAnsi="宋体"/>
          <w:b/>
          <w:szCs w:val="21"/>
        </w:rPr>
      </w:pPr>
      <w:r>
        <w:rPr>
          <w:rFonts w:hint="eastAsia" w:ascii="宋体" w:hAnsi="宋体"/>
          <w:b/>
          <w:szCs w:val="21"/>
        </w:rPr>
        <w:t>（三）招标方式</w:t>
      </w:r>
      <w:bookmarkEnd w:id="19"/>
      <w:bookmarkEnd w:id="20"/>
    </w:p>
    <w:p>
      <w:pPr>
        <w:adjustRightInd w:val="0"/>
        <w:snapToGrid w:val="0"/>
        <w:spacing w:line="400" w:lineRule="exact"/>
        <w:ind w:firstLine="420" w:firstLineChars="200"/>
        <w:jc w:val="left"/>
        <w:rPr>
          <w:rFonts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ascii="宋体" w:hAnsi="宋体"/>
          <w:b/>
          <w:szCs w:val="21"/>
        </w:rPr>
      </w:pPr>
      <w:bookmarkStart w:id="21" w:name="_Toc254970671"/>
      <w:bookmarkStart w:id="22" w:name="_Toc254970530"/>
      <w:r>
        <w:rPr>
          <w:rFonts w:hint="eastAsia" w:ascii="宋体" w:hAnsi="宋体"/>
          <w:b/>
          <w:szCs w:val="21"/>
        </w:rPr>
        <w:t>（四）投标委托</w:t>
      </w:r>
      <w:bookmarkEnd w:id="21"/>
      <w:bookmarkEnd w:id="22"/>
    </w:p>
    <w:p>
      <w:pPr>
        <w:pStyle w:val="22"/>
        <w:adjustRightInd w:val="0"/>
        <w:snapToGrid w:val="0"/>
        <w:spacing w:line="400" w:lineRule="exact"/>
        <w:ind w:firstLine="420" w:firstLineChars="200"/>
        <w:jc w:val="left"/>
        <w:rPr>
          <w:rFonts w:ascii="宋体" w:hAnsi="宋体" w:eastAsia="宋体"/>
          <w:sz w:val="21"/>
          <w:szCs w:val="21"/>
        </w:rPr>
      </w:pPr>
      <w:r>
        <w:rPr>
          <w:rFonts w:hint="eastAsia" w:ascii="宋体" w:hAnsi="宋体" w:eastAsia="宋体"/>
          <w:sz w:val="21"/>
          <w:szCs w:val="21"/>
        </w:rPr>
        <w:t>如投标人代表不是法定代表人，须有法定代表人出具的授权委托书，格式见第六章《投标文件格式》）。</w:t>
      </w:r>
    </w:p>
    <w:p>
      <w:pPr>
        <w:adjustRightInd w:val="0"/>
        <w:snapToGrid w:val="0"/>
        <w:spacing w:line="400" w:lineRule="exact"/>
        <w:ind w:firstLine="420" w:firstLineChars="200"/>
        <w:rPr>
          <w:rFonts w:ascii="宋体" w:hAnsi="宋体"/>
          <w:b/>
          <w:szCs w:val="21"/>
        </w:rPr>
      </w:pPr>
      <w:bookmarkStart w:id="23" w:name="_Toc254970672"/>
      <w:bookmarkStart w:id="24" w:name="_Toc254970531"/>
      <w:r>
        <w:rPr>
          <w:rFonts w:hint="eastAsia" w:ascii="宋体" w:hAnsi="宋体"/>
          <w:b/>
          <w:szCs w:val="21"/>
        </w:rPr>
        <w:t>（五）投标费用</w:t>
      </w:r>
      <w:bookmarkEnd w:id="23"/>
      <w:bookmarkEnd w:id="24"/>
    </w:p>
    <w:p>
      <w:pPr>
        <w:adjustRightInd w:val="0"/>
        <w:snapToGrid w:val="0"/>
        <w:spacing w:line="400" w:lineRule="exact"/>
        <w:ind w:firstLine="420" w:firstLineChars="200"/>
        <w:jc w:val="left"/>
        <w:rPr>
          <w:rFonts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rPr>
          <w:rFonts w:ascii="宋体" w:hAnsi="宋体"/>
          <w:szCs w:val="21"/>
        </w:rPr>
      </w:pPr>
      <w:r>
        <w:rPr>
          <w:rFonts w:hint="eastAsia" w:ascii="宋体" w:hAnsi="宋体"/>
          <w:b/>
          <w:szCs w:val="21"/>
        </w:rPr>
        <w:t>（六）</w:t>
      </w:r>
      <w:r>
        <w:rPr>
          <w:rFonts w:hint="eastAsia" w:ascii="宋体" w:hAnsi="宋体"/>
          <w:b/>
          <w:bCs/>
          <w:szCs w:val="21"/>
        </w:rPr>
        <w:t>本项目不接受联合体投标。</w:t>
      </w:r>
    </w:p>
    <w:p>
      <w:pPr>
        <w:adjustRightInd w:val="0"/>
        <w:snapToGrid w:val="0"/>
        <w:spacing w:line="400" w:lineRule="exact"/>
        <w:ind w:firstLine="420" w:firstLineChars="200"/>
        <w:rPr>
          <w:rFonts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ascii="宋体" w:hAnsi="宋体"/>
          <w:b/>
          <w:szCs w:val="21"/>
        </w:rPr>
      </w:pPr>
      <w:bookmarkStart w:id="25" w:name="_Toc254970673"/>
      <w:bookmarkStart w:id="26" w:name="_Toc254970532"/>
      <w:r>
        <w:rPr>
          <w:rFonts w:hint="eastAsia" w:ascii="宋体" w:hAnsi="宋体"/>
          <w:b/>
          <w:szCs w:val="21"/>
        </w:rPr>
        <w:t>（八）特别说明：</w:t>
      </w:r>
      <w:bookmarkEnd w:id="25"/>
      <w:bookmarkEnd w:id="26"/>
    </w:p>
    <w:p>
      <w:pPr>
        <w:pStyle w:val="29"/>
        <w:adjustRightInd w:val="0"/>
        <w:snapToGrid w:val="0"/>
        <w:spacing w:line="400" w:lineRule="exact"/>
        <w:ind w:left="2" w:leftChars="1" w:firstLine="420" w:firstLineChars="200"/>
        <w:rPr>
          <w:rFonts w:hAnsi="宋体" w:cs="Times New Roman"/>
        </w:rPr>
      </w:pPr>
      <w:bookmarkStart w:id="27" w:name="_Toc254970534"/>
      <w:bookmarkStart w:id="28" w:name="_Toc254970675"/>
      <w:r>
        <w:rPr>
          <w:rFonts w:hint="eastAsia" w:hAnsi="宋体" w:cs="Times New Roman"/>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▲2.</w:t>
      </w:r>
      <w:r>
        <w:rPr>
          <w:rFonts w:hint="eastAsia" w:ascii="宋体" w:hAnsi="宋体"/>
          <w:szCs w:val="21"/>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szCs w:val="21"/>
          <w:lang w:eastAsia="zh-CN"/>
        </w:rPr>
        <w:t>评标方法及评分标准</w:t>
      </w:r>
      <w:r>
        <w:rPr>
          <w:rFonts w:hint="eastAsia" w:ascii="宋体" w:hAnsi="宋体"/>
          <w:szCs w:val="21"/>
        </w:rPr>
        <w:t>》中的推荐原则确定一个投标人获得中标人推荐资格，其他同品牌投标人不作为中标候选人。</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非单一产品采购项目中，多家投标人提供的招标文件中载明的核心产品品牌相同的，视为提供相同品牌产品。</w:t>
      </w:r>
    </w:p>
    <w:p>
      <w:pPr>
        <w:pStyle w:val="29"/>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29"/>
        <w:adjustRightInd w:val="0"/>
        <w:snapToGrid w:val="0"/>
        <w:spacing w:line="400" w:lineRule="exact"/>
        <w:ind w:left="2" w:leftChars="1" w:firstLine="420" w:firstLineChars="200"/>
        <w:rPr>
          <w:rFonts w:hAnsi="宋体" w:cs="Times New Roman"/>
        </w:rPr>
      </w:pPr>
      <w:r>
        <w:rPr>
          <w:rFonts w:hint="eastAsia" w:hAnsi="宋体" w:cs="Times New Roman"/>
        </w:rPr>
        <w:t>▲4.投标人在投标活动中提供任何虚假材料、互相串通投标，其投标无效，并报监管部门查处。</w:t>
      </w:r>
    </w:p>
    <w:p>
      <w:pPr>
        <w:pStyle w:val="29"/>
        <w:adjustRightInd w:val="0"/>
        <w:snapToGrid w:val="0"/>
        <w:spacing w:line="400" w:lineRule="exact"/>
        <w:ind w:left="2" w:leftChars="1"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hAnsi="宋体" w:cs="Times New Roman"/>
        </w:rPr>
        <w:t>▲5.</w:t>
      </w: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中小企业价格评审优惠：</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根据《政府采购促进中小企业发展管理办法》（财库〔2020〕46号）的规定，本项目对符合条件的小型、微型企业的报价给予价格扣除优惠，扣除比例详见评标方法及评分标准。投标人如申请享受此项价格扣除，必须按本文件“投标文件格式”要求，填写并提交《中小企业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▲6.</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w:t>
      </w:r>
      <w:r>
        <w:rPr>
          <w:rFonts w:hint="eastAsia" w:ascii="宋体" w:hAnsi="宋体" w:cs="宋体"/>
          <w:color w:val="000000" w:themeColor="text1"/>
          <w:kern w:val="0"/>
          <w:sz w:val="21"/>
          <w:szCs w:val="21"/>
          <w:highlight w:val="none"/>
          <w:shd w:val="clear" w:color="auto" w:fill="auto"/>
          <w:lang w:val="en-US" w:eastAsia="zh-CN" w:bidi="ar-SA"/>
          <w14:textFill>
            <w14:solidFill>
              <w14:schemeClr w14:val="tx1"/>
            </w14:solidFill>
          </w14:textFill>
        </w:rPr>
        <w:t>标</w:t>
      </w:r>
      <w:r>
        <w:rPr>
          <w:rFonts w:hint="eastAsia" w:ascii="宋体" w:hAnsi="宋体" w:eastAsia="宋体" w:cs="宋体"/>
          <w:color w:val="000000" w:themeColor="text1"/>
          <w:kern w:val="0"/>
          <w:sz w:val="21"/>
          <w:szCs w:val="21"/>
          <w:highlight w:val="none"/>
          <w:shd w:val="clear" w:color="auto" w:fill="auto"/>
          <w:lang w:val="en-US" w:eastAsia="zh-CN" w:bidi="ar-SA"/>
          <w14:textFill>
            <w14:solidFill>
              <w14:schemeClr w14:val="tx1"/>
            </w14:solidFill>
          </w14:textFill>
        </w:rPr>
        <w:t>方法及评分标准。投标人如申请享受此项价格扣除，必须按本文件“投标文件格式”要求，填写并提交《关于符合本国产品标准的声明函》。未提交或提交不符合要求的，不享受扣除，按其原报价计算价格分。</w:t>
      </w:r>
    </w:p>
    <w:p>
      <w:pPr>
        <w:snapToGrid w:val="0"/>
        <w:spacing w:line="360" w:lineRule="exact"/>
        <w:ind w:firstLine="420" w:firstLineChars="200"/>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kern w:val="0"/>
          <w:szCs w:val="21"/>
          <w:highlight w:val="none"/>
          <w:shd w:val="clear" w:color="auto" w:fill="auto"/>
          <w:lang w:val="en-US" w:eastAsia="zh-CN"/>
          <w14:textFill>
            <w14:solidFill>
              <w14:schemeClr w14:val="tx1"/>
            </w14:solidFill>
          </w14:textFill>
        </w:rPr>
        <w:t>▲7.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29"/>
        <w:snapToGrid w:val="0"/>
        <w:spacing w:line="360" w:lineRule="exact"/>
        <w:ind w:firstLine="308" w:firstLineChars="147"/>
        <w:outlineLvl w:val="0"/>
        <w:rPr>
          <w:b/>
          <w:bCs/>
        </w:rPr>
      </w:pPr>
      <w:r>
        <w:rPr>
          <w:rFonts w:hint="eastAsia"/>
          <w:b/>
          <w:bCs/>
        </w:rPr>
        <w:t>（九）</w:t>
      </w:r>
      <w:r>
        <w:rPr>
          <w:rFonts w:hint="eastAsia"/>
          <w:b/>
        </w:rPr>
        <w:t>询问、质疑和投诉</w:t>
      </w:r>
    </w:p>
    <w:p>
      <w:pPr>
        <w:pStyle w:val="29"/>
        <w:snapToGrid w:val="0"/>
        <w:spacing w:line="360" w:lineRule="exact"/>
        <w:ind w:firstLine="420" w:firstLineChars="200"/>
      </w:pPr>
      <w:r>
        <w:rPr>
          <w:rFonts w:hint="eastAsia"/>
        </w:rPr>
        <w:t>1.投标人对政府采购活动事项有疑问的，可以向</w:t>
      </w:r>
      <w:r>
        <w:rPr>
          <w:rFonts w:hint="eastAsia" w:ascii="宋体" w:hAnsi="宋体"/>
          <w:szCs w:val="21"/>
        </w:rPr>
        <w:t>本中心</w:t>
      </w:r>
      <w:r>
        <w:rPr>
          <w:rFonts w:hint="eastAsia"/>
        </w:rPr>
        <w:t>提出询问。</w:t>
      </w:r>
    </w:p>
    <w:p>
      <w:pPr>
        <w:pStyle w:val="29"/>
        <w:snapToGrid w:val="0"/>
        <w:spacing w:line="360" w:lineRule="exact"/>
        <w:ind w:firstLine="420" w:firstLineChars="200"/>
      </w:pPr>
      <w:r>
        <w:rPr>
          <w:rFonts w:hint="eastAsia"/>
        </w:rPr>
        <w:t>2.投标人认为招标文件、采购过程或中标结果使自己的合法权益受到损害的，应当在知道或者应知其权益受到损害之日起七个工作日内，以书面形式向</w:t>
      </w:r>
      <w:r>
        <w:rPr>
          <w:rFonts w:hint="eastAsia" w:ascii="宋体" w:hAnsi="宋体"/>
          <w:szCs w:val="21"/>
        </w:rPr>
        <w:t>本中心</w:t>
      </w:r>
      <w:r>
        <w:rPr>
          <w:rFonts w:hint="eastAsia"/>
        </w:rPr>
        <w:t>提出质疑。具体计算时间如下：</w:t>
      </w:r>
    </w:p>
    <w:p>
      <w:pPr>
        <w:pStyle w:val="29"/>
        <w:snapToGrid w:val="0"/>
        <w:spacing w:line="360" w:lineRule="exact"/>
        <w:ind w:firstLine="308" w:firstLineChars="147"/>
        <w:rPr>
          <w:bCs/>
        </w:rPr>
      </w:pPr>
      <w:r>
        <w:rPr>
          <w:rFonts w:hint="eastAsia"/>
          <w:b/>
        </w:rPr>
        <w:t>（1）对可以质疑的招标文件提出质疑的，为收到招标文件之日；</w:t>
      </w:r>
    </w:p>
    <w:p>
      <w:pPr>
        <w:widowControl/>
        <w:spacing w:line="360" w:lineRule="exact"/>
        <w:jc w:val="left"/>
        <w:rPr>
          <w:rFonts w:ascii="宋体" w:cs="Courier New"/>
          <w:b/>
          <w:szCs w:val="21"/>
        </w:rPr>
      </w:pPr>
      <w:r>
        <w:rPr>
          <w:rFonts w:hint="eastAsia" w:ascii="宋体" w:cs="Courier New"/>
          <w:szCs w:val="21"/>
        </w:rPr>
        <w:t xml:space="preserve">　 </w:t>
      </w:r>
      <w:r>
        <w:rPr>
          <w:rFonts w:hint="eastAsia" w:ascii="宋体" w:cs="Courier New"/>
          <w:b/>
          <w:szCs w:val="21"/>
        </w:rPr>
        <w:t>（2）对采购过程提出质疑的，为各采购程序环节结束之日；</w:t>
      </w:r>
    </w:p>
    <w:p>
      <w:pPr>
        <w:widowControl/>
        <w:spacing w:line="360" w:lineRule="exact"/>
        <w:ind w:firstLine="308" w:firstLineChars="147"/>
        <w:jc w:val="left"/>
        <w:rPr>
          <w:rFonts w:ascii="宋体" w:cs="Courier New"/>
          <w:b/>
          <w:szCs w:val="21"/>
        </w:rPr>
      </w:pPr>
      <w:r>
        <w:rPr>
          <w:rFonts w:hint="eastAsia" w:cs="Courier New"/>
          <w:b/>
          <w:szCs w:val="21"/>
        </w:rPr>
        <w:t>（3）对中标结果提出质疑的，为中标结果公告期限届满之日。投标人对</w:t>
      </w:r>
      <w:r>
        <w:rPr>
          <w:rFonts w:hint="eastAsia" w:ascii="宋体" w:hAnsi="宋体"/>
          <w:szCs w:val="21"/>
        </w:rPr>
        <w:t>本中心</w:t>
      </w:r>
      <w:r>
        <w:rPr>
          <w:rFonts w:hint="eastAsia" w:cs="Courier New"/>
          <w:b/>
          <w:szCs w:val="21"/>
        </w:rPr>
        <w:t>的质疑答复不满意或者</w:t>
      </w:r>
      <w:r>
        <w:rPr>
          <w:rFonts w:hint="eastAsia" w:ascii="宋体" w:hAnsi="宋体"/>
          <w:szCs w:val="21"/>
        </w:rPr>
        <w:t>本中心</w:t>
      </w:r>
      <w:r>
        <w:rPr>
          <w:rFonts w:hint="eastAsia" w:cs="Courier New"/>
          <w:b/>
          <w:szCs w:val="21"/>
        </w:rPr>
        <w:t>未在规定时间内作出答复的，可以在答复期满后十五个工作日内向同级政府采购监督管理部门投诉。</w:t>
      </w:r>
    </w:p>
    <w:p>
      <w:pPr>
        <w:pStyle w:val="29"/>
        <w:snapToGrid w:val="0"/>
        <w:spacing w:line="360" w:lineRule="exact"/>
        <w:ind w:firstLine="420" w:firstLineChars="200"/>
        <w:rPr>
          <w:bCs/>
        </w:rPr>
      </w:pPr>
      <w:r>
        <w:rPr>
          <w:rFonts w:hint="eastAsia"/>
          <w:bCs/>
        </w:rPr>
        <w:t>3.质疑、投诉应当采用书面形式，质疑函、投诉书均应明确阐述招标文件、采购过程、中标结果中使自己合法权益受到损害的实质性内容，提供相关事实、明确的请求、必要的证明材料，便于有关单位调查、答复和处理。</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bCs/>
        </w:rPr>
      </w:pPr>
      <w:r>
        <w:rPr>
          <w:rFonts w:hint="eastAsia"/>
          <w:bCs/>
        </w:rPr>
        <w:t>4.</w:t>
      </w:r>
      <w:r>
        <w:rPr>
          <w:rFonts w:hint="eastAsia" w:ascii="宋体" w:hAnsi="宋体"/>
          <w:szCs w:val="21"/>
        </w:rPr>
        <w:t>本中心</w:t>
      </w:r>
      <w:r>
        <w:rPr>
          <w:rFonts w:hint="eastAsia"/>
          <w:bCs/>
        </w:rPr>
        <w:t>接收质疑函的方式、联系部门、联系电话和地址等信息详见“投标人须知前附表”。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b w:val="0"/>
          <w:bCs/>
          <w:color w:val="auto"/>
          <w:highlight w:val="none"/>
          <w:shd w:val="clear" w:color="auto" w:fill="auto"/>
          <w:lang w:val="en-US" w:eastAsia="zh-CN"/>
        </w:rPr>
        <w:t>5.</w:t>
      </w:r>
      <w:r>
        <w:rPr>
          <w:rFonts w:hint="eastAsia" w:hAnsi="宋体"/>
          <w:color w:val="auto"/>
          <w:sz w:val="21"/>
          <w:highlight w:val="none"/>
          <w:shd w:val="clear" w:color="auto" w:fill="auto"/>
          <w:lang w:val="en-US" w:eastAsia="zh-CN"/>
        </w:rPr>
        <w:t>质疑供应商提起质疑应当符合下列条件：</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（1）质疑供应商是参与所质疑项目采购活动的供应商（潜在供应商已依法获取可之一的采购文件的，可以对该采购文件质疑）；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（2）质疑函内容符合本章第3项的规定；</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（3）在质疑有效期限内提起质疑；</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（4）属于所质疑的采购人或采购人委托的采购代理机构组织的采购活动；</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 xml:space="preserve">（5）同一质疑事项未经采购人或采购人委托的采购代理机构质疑处理； </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（6）供应商对同一采购程序环节的质疑应当在质疑有效期内一次性提出；</w:t>
      </w:r>
    </w:p>
    <w:p>
      <w:pPr>
        <w:pStyle w:val="29"/>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hAnsi="宋体"/>
          <w:color w:val="auto"/>
          <w:sz w:val="21"/>
          <w:highlight w:val="none"/>
          <w:shd w:val="clear" w:color="auto" w:fill="auto"/>
          <w:lang w:val="en-US" w:eastAsia="zh-CN"/>
        </w:rPr>
      </w:pPr>
      <w:r>
        <w:rPr>
          <w:rFonts w:hint="eastAsia" w:hAnsi="宋体"/>
          <w:color w:val="auto"/>
          <w:sz w:val="21"/>
          <w:highlight w:val="none"/>
          <w:shd w:val="clear" w:color="auto" w:fill="auto"/>
          <w:lang w:val="en-US" w:eastAsia="zh-CN"/>
        </w:rPr>
        <w:t>（7）供应商提交质疑应当提交必要的证明材料，证明材料应以合法手段取得；</w:t>
      </w:r>
    </w:p>
    <w:p>
      <w:pPr>
        <w:pStyle w:val="29"/>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default" w:eastAsia="宋体"/>
          <w:b/>
          <w:color w:val="auto"/>
          <w:highlight w:val="none"/>
          <w:shd w:val="clear" w:color="auto" w:fill="auto"/>
          <w:lang w:val="en-US" w:eastAsia="zh-CN"/>
        </w:rPr>
      </w:pPr>
      <w:r>
        <w:rPr>
          <w:rFonts w:hint="eastAsia" w:hAnsi="宋体"/>
          <w:color w:val="auto"/>
          <w:sz w:val="21"/>
          <w:highlight w:val="none"/>
          <w:shd w:val="clear" w:color="auto" w:fill="auto"/>
          <w:lang w:val="en-US" w:eastAsia="zh-CN"/>
        </w:rPr>
        <w:t>（8）财政部门规定的其他条件。</w:t>
      </w:r>
    </w:p>
    <w:p>
      <w:pPr>
        <w:pStyle w:val="29"/>
        <w:adjustRightInd w:val="0"/>
        <w:snapToGrid w:val="0"/>
        <w:spacing w:line="400" w:lineRule="exact"/>
        <w:rPr>
          <w:rFonts w:hAnsi="宋体"/>
          <w:b/>
        </w:rPr>
      </w:pPr>
      <w:r>
        <w:rPr>
          <w:rFonts w:hint="eastAsia" w:hAnsi="宋体"/>
          <w:b/>
        </w:rPr>
        <w:t>二、招标文件</w:t>
      </w:r>
      <w:bookmarkEnd w:id="27"/>
      <w:bookmarkEnd w:id="28"/>
    </w:p>
    <w:p>
      <w:pPr>
        <w:adjustRightInd w:val="0"/>
        <w:snapToGrid w:val="0"/>
        <w:spacing w:line="400" w:lineRule="exact"/>
        <w:ind w:firstLine="420" w:firstLineChars="200"/>
        <w:rPr>
          <w:rFonts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ascii="宋体" w:hAnsi="宋体"/>
          <w:b/>
          <w:szCs w:val="21"/>
        </w:rPr>
      </w:pPr>
      <w:r>
        <w:rPr>
          <w:rFonts w:hint="eastAsia" w:ascii="宋体" w:hAnsi="宋体"/>
          <w:b/>
          <w:szCs w:val="21"/>
        </w:rPr>
        <w:t xml:space="preserve">（三）招标文件的澄清与修改 </w:t>
      </w:r>
    </w:p>
    <w:p>
      <w:pPr>
        <w:pStyle w:val="29"/>
        <w:adjustRightInd w:val="0"/>
        <w:snapToGrid w:val="0"/>
        <w:spacing w:line="400" w:lineRule="exact"/>
        <w:ind w:firstLine="420" w:firstLineChars="200"/>
        <w:rPr>
          <w:rFonts w:hAnsi="宋体"/>
        </w:rPr>
      </w:pPr>
      <w:r>
        <w:rPr>
          <w:rFonts w:hint="eastAsia" w:hAnsi="宋体"/>
        </w:rPr>
        <w:t>1.</w:t>
      </w:r>
      <w:r>
        <w:rPr>
          <w:rFonts w:hint="eastAsia" w:hAnsi="宋体"/>
          <w:bCs/>
        </w:rPr>
        <w:t>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9"/>
        <w:adjustRightInd w:val="0"/>
        <w:snapToGrid w:val="0"/>
        <w:spacing w:line="400" w:lineRule="exact"/>
        <w:ind w:firstLine="420" w:firstLineChars="200"/>
        <w:rPr>
          <w:rFonts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9"/>
        <w:adjustRightInd w:val="0"/>
        <w:snapToGrid w:val="0"/>
        <w:spacing w:line="400" w:lineRule="exact"/>
        <w:ind w:firstLine="420" w:firstLineChars="200"/>
        <w:rPr>
          <w:rFonts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9"/>
        <w:adjustRightInd w:val="0"/>
        <w:snapToGrid w:val="0"/>
        <w:spacing w:line="400" w:lineRule="exact"/>
        <w:ind w:firstLine="420" w:firstLineChars="200"/>
        <w:rPr>
          <w:rFonts w:hAnsi="宋体"/>
        </w:rPr>
      </w:pPr>
      <w:r>
        <w:rPr>
          <w:rFonts w:hint="eastAsia" w:hAnsi="宋体"/>
        </w:rPr>
        <w:t>4.招标文件的答疑、澄清、修改、补充都应该通过本中心以法定形式发布，采购人非通过本机构，不得擅自答疑、澄清、修改、补充招标文件。</w:t>
      </w:r>
    </w:p>
    <w:p>
      <w:pPr>
        <w:pStyle w:val="29"/>
        <w:adjustRightInd w:val="0"/>
        <w:snapToGrid w:val="0"/>
        <w:spacing w:line="400" w:lineRule="exact"/>
        <w:ind w:firstLine="420" w:firstLineChars="200"/>
        <w:rPr>
          <w:rFonts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9"/>
        <w:adjustRightInd w:val="0"/>
        <w:snapToGrid w:val="0"/>
        <w:spacing w:line="400" w:lineRule="exact"/>
        <w:rPr>
          <w:rFonts w:hAnsi="宋体"/>
          <w:b/>
        </w:rPr>
      </w:pPr>
      <w:bookmarkStart w:id="29" w:name="_Toc254970676"/>
      <w:bookmarkStart w:id="30" w:name="_Toc254970535"/>
      <w:r>
        <w:rPr>
          <w:rFonts w:hint="eastAsia" w:hAnsi="宋体"/>
          <w:b/>
        </w:rPr>
        <w:t>三、投标文件的编制</w:t>
      </w:r>
      <w:bookmarkEnd w:id="29"/>
      <w:bookmarkEnd w:id="30"/>
    </w:p>
    <w:p>
      <w:pPr>
        <w:adjustRightInd w:val="0"/>
        <w:snapToGrid w:val="0"/>
        <w:spacing w:line="400" w:lineRule="exact"/>
        <w:ind w:firstLine="420" w:firstLineChars="200"/>
        <w:rPr>
          <w:rFonts w:ascii="宋体" w:hAnsi="宋体"/>
          <w:b/>
          <w:szCs w:val="21"/>
        </w:rPr>
      </w:pPr>
      <w:bookmarkStart w:id="31" w:name="_Toc254970536"/>
      <w:bookmarkStart w:id="32" w:name="_Toc254970677"/>
      <w:r>
        <w:rPr>
          <w:rFonts w:hint="eastAsia" w:ascii="宋体" w:hAnsi="宋体"/>
          <w:b/>
          <w:szCs w:val="21"/>
        </w:rPr>
        <w:t>（一）投标文件的组成</w:t>
      </w:r>
      <w:bookmarkEnd w:id="31"/>
      <w:bookmarkEnd w:id="32"/>
    </w:p>
    <w:p>
      <w:pPr>
        <w:snapToGrid w:val="0"/>
        <w:spacing w:line="360" w:lineRule="exact"/>
        <w:ind w:firstLine="420" w:firstLineChars="200"/>
        <w:jc w:val="left"/>
        <w:rPr>
          <w:rFonts w:hint="eastAsia" w:ascii="宋体" w:hAnsi="宋体"/>
          <w:color w:val="auto"/>
          <w:szCs w:val="21"/>
          <w:highlight w:val="none"/>
          <w:shd w:val="clear" w:color="auto" w:fill="auto"/>
        </w:rPr>
      </w:pPr>
      <w:r>
        <w:rPr>
          <w:rFonts w:hint="eastAsia" w:ascii="宋体"/>
          <w:color w:val="auto"/>
          <w:szCs w:val="21"/>
          <w:highlight w:val="none"/>
          <w:shd w:val="clear" w:color="auto" w:fill="auto"/>
        </w:rPr>
        <w:t>投标文件由资格文件、商务文件及资信、技术文件、投标报价文件</w:t>
      </w:r>
      <w:r>
        <w:rPr>
          <w:rFonts w:hint="eastAsia" w:ascii="宋体"/>
          <w:b/>
          <w:color w:val="auto"/>
          <w:szCs w:val="21"/>
          <w:highlight w:val="none"/>
          <w:shd w:val="clear" w:color="auto" w:fill="auto"/>
        </w:rPr>
        <w:t>四部份</w:t>
      </w:r>
      <w:r>
        <w:rPr>
          <w:rFonts w:hint="eastAsia" w:ascii="宋体"/>
          <w:color w:val="auto"/>
          <w:szCs w:val="21"/>
          <w:highlight w:val="none"/>
          <w:shd w:val="clear" w:color="auto" w:fill="auto"/>
        </w:rPr>
        <w:t>组成。</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0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00" w:lineRule="exact"/>
        <w:ind w:firstLine="525" w:firstLineChars="250"/>
        <w:rPr>
          <w:rFonts w:hAnsi="宋体"/>
          <w:b/>
        </w:rPr>
      </w:pPr>
      <w:r>
        <w:rPr>
          <w:rFonts w:hint="eastAsia" w:hAnsi="宋体"/>
        </w:rPr>
        <w:t>②对于有经营资质要求的，投标人提供有效的经营资质证书副本内页扫描件或其他电子文件，同时要加盖单位公章。</w:t>
      </w:r>
      <w:r>
        <w:rPr>
          <w:rFonts w:hint="eastAsia" w:hAnsi="宋体"/>
          <w:b/>
        </w:rPr>
        <w:t>（必须提供）</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0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00" w:lineRule="exact"/>
        <w:ind w:firstLine="411" w:firstLineChars="196"/>
        <w:jc w:val="left"/>
        <w:rPr>
          <w:rFonts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hint="eastAsia"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w:t>
      </w:r>
      <w:r>
        <w:rPr>
          <w:rFonts w:hint="eastAsia" w:ascii="宋体" w:hAnsi="宋体"/>
          <w:b/>
          <w:color w:val="auto"/>
          <w:szCs w:val="21"/>
          <w:highlight w:val="none"/>
          <w:u w:val="single"/>
          <w:shd w:val="clear" w:color="auto" w:fill="auto"/>
          <w:lang w:eastAsia="zh-CN"/>
        </w:rPr>
        <w:t>，</w:t>
      </w:r>
      <w:r>
        <w:rPr>
          <w:rFonts w:hint="eastAsia" w:ascii="宋体" w:hAnsi="宋体"/>
          <w:b/>
          <w:color w:val="auto"/>
          <w:szCs w:val="21"/>
          <w:highlight w:val="none"/>
          <w:u w:val="single"/>
          <w:shd w:val="clear" w:color="auto" w:fill="auto"/>
        </w:rPr>
        <w:t>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 xml:space="preserve">（5）投标人项目实施人员一览表；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00" w:lineRule="exact"/>
        <w:ind w:firstLine="411" w:firstLineChars="196"/>
        <w:jc w:val="left"/>
        <w:rPr>
          <w:rFonts w:ascii="宋体" w:hAnsi="宋体"/>
          <w:b/>
          <w:szCs w:val="21"/>
        </w:rPr>
      </w:pPr>
      <w:r>
        <w:rPr>
          <w:rFonts w:hint="eastAsia" w:ascii="宋体" w:hAnsi="宋体"/>
          <w:b/>
          <w:szCs w:val="21"/>
        </w:rPr>
        <w:t>3.报价文件：</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（1）投标函（格式见第六章）； （</w:t>
      </w:r>
      <w:r>
        <w:rPr>
          <w:rFonts w:hint="eastAsia" w:ascii="宋体" w:hAnsi="宋体"/>
          <w:b/>
          <w:szCs w:val="21"/>
          <w:u w:val="single"/>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（2）投标报价明细表（格式见第六章）；（</w:t>
      </w:r>
      <w:r>
        <w:rPr>
          <w:rFonts w:hint="eastAsia" w:ascii="宋体" w:hAnsi="宋体"/>
          <w:b/>
          <w:szCs w:val="21"/>
          <w:u w:val="single"/>
        </w:rPr>
        <w:t>必须提供</w:t>
      </w:r>
      <w:r>
        <w:rPr>
          <w:rFonts w:hint="eastAsia" w:ascii="宋体" w:hAnsi="宋体"/>
          <w:szCs w:val="21"/>
        </w:rPr>
        <w:t>）</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ascii="宋体" w:hAnsi="宋体"/>
          <w:szCs w:val="21"/>
        </w:rPr>
      </w:pPr>
      <w:r>
        <w:rPr>
          <w:rFonts w:hint="eastAsia" w:ascii="宋体" w:hAnsi="宋体"/>
          <w:szCs w:val="21"/>
        </w:rPr>
        <w:t>（4）开标一览表（格式见第六章）（</w:t>
      </w:r>
      <w:r>
        <w:rPr>
          <w:rFonts w:hint="eastAsia" w:ascii="宋体" w:hAnsi="宋体"/>
          <w:b/>
          <w:szCs w:val="21"/>
          <w:u w:val="single"/>
        </w:rPr>
        <w:t>必须提供</w:t>
      </w:r>
      <w:r>
        <w:rPr>
          <w:rFonts w:hint="eastAsia" w:ascii="宋体" w:hAnsi="宋体"/>
          <w:szCs w:val="21"/>
        </w:rPr>
        <w:t>）。</w:t>
      </w:r>
    </w:p>
    <w:p>
      <w:pPr>
        <w:pStyle w:val="48"/>
        <w:adjustRightInd w:val="0"/>
        <w:snapToGrid w:val="0"/>
        <w:spacing w:after="0" w:line="400" w:lineRule="exact"/>
        <w:ind w:firstLine="420" w:firstLineChars="200"/>
        <w:rPr>
          <w:rFonts w:ascii="宋体" w:hAnsi="宋体"/>
          <w:szCs w:val="21"/>
        </w:rPr>
      </w:pPr>
      <w:r>
        <w:rPr>
          <w:rFonts w:hint="eastAsia" w:ascii="宋体" w:hAnsi="宋体"/>
          <w:szCs w:val="21"/>
        </w:rPr>
        <w:t>▲</w:t>
      </w:r>
      <w:r>
        <w:rPr>
          <w:rFonts w:hint="eastAsia" w:ascii="宋体" w:hAnsi="宋体"/>
          <w:b/>
          <w:szCs w:val="21"/>
        </w:rPr>
        <w:t>注：法定代表人授权委托书、投标声明书、投标函、开标一览表必须招标文件格式要求签署和加盖单位公章。</w:t>
      </w:r>
    </w:p>
    <w:p>
      <w:pPr>
        <w:adjustRightInd w:val="0"/>
        <w:snapToGrid w:val="0"/>
        <w:spacing w:line="400" w:lineRule="exact"/>
        <w:ind w:firstLine="420" w:firstLineChars="200"/>
        <w:rPr>
          <w:rFonts w:ascii="宋体" w:hAnsi="宋体"/>
          <w:b/>
          <w:szCs w:val="21"/>
        </w:rPr>
      </w:pPr>
      <w:bookmarkStart w:id="33" w:name="_Toc254970537"/>
      <w:bookmarkStart w:id="34" w:name="_Toc254970678"/>
      <w:r>
        <w:rPr>
          <w:rFonts w:hint="eastAsia" w:ascii="宋体" w:hAnsi="宋体"/>
          <w:b/>
          <w:szCs w:val="21"/>
        </w:rPr>
        <w:t>（二）投标文件的语言及计量</w:t>
      </w:r>
      <w:bookmarkEnd w:id="33"/>
      <w:bookmarkEnd w:id="3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ascii="宋体" w:hAnsi="宋体"/>
          <w:b/>
          <w:szCs w:val="21"/>
        </w:rPr>
      </w:pPr>
      <w:bookmarkStart w:id="35" w:name="_Toc254970538"/>
      <w:bookmarkStart w:id="36" w:name="_Toc254970679"/>
      <w:r>
        <w:rPr>
          <w:rFonts w:hint="eastAsia" w:ascii="宋体" w:hAnsi="宋体"/>
          <w:b/>
          <w:szCs w:val="21"/>
        </w:rPr>
        <w:t>（三）投标报价</w:t>
      </w:r>
      <w:bookmarkEnd w:id="35"/>
      <w:bookmarkEnd w:id="36"/>
    </w:p>
    <w:p>
      <w:pPr>
        <w:pStyle w:val="29"/>
        <w:snapToGrid w:val="0"/>
        <w:spacing w:line="360" w:lineRule="exact"/>
        <w:ind w:firstLine="420" w:firstLineChars="200"/>
        <w:jc w:val="left"/>
        <w:rPr>
          <w:rFonts w:hAnsi="宋体"/>
          <w:color w:val="auto"/>
          <w:highlight w:val="none"/>
          <w:shd w:val="clear" w:color="auto" w:fill="auto"/>
        </w:rPr>
      </w:pPr>
      <w:r>
        <w:rPr>
          <w:rFonts w:hint="eastAsia" w:hAnsi="宋体"/>
        </w:rPr>
        <w:t>1.投标报价应按招标文件中相关附表格式填写。</w:t>
      </w:r>
      <w:r>
        <w:rPr>
          <w:rFonts w:hint="eastAsia" w:hAnsi="宋体"/>
          <w:b/>
          <w:bCs/>
          <w:color w:val="auto"/>
          <w:highlight w:val="none"/>
          <w:shd w:val="clear" w:color="auto" w:fill="auto"/>
        </w:rPr>
        <w:t>投标人可就《项目采购需求》中所有分标的货物和服务内容按分标分别作完整唯一报价，也可对某个分标或几个分标的货物和服务内容按分标分别作完整唯一报价。</w:t>
      </w:r>
    </w:p>
    <w:p>
      <w:pPr>
        <w:pStyle w:val="29"/>
        <w:adjustRightInd w:val="0"/>
        <w:snapToGrid w:val="0"/>
        <w:spacing w:line="400" w:lineRule="exact"/>
        <w:ind w:firstLine="420" w:firstLineChars="200"/>
        <w:jc w:val="left"/>
        <w:rPr>
          <w:rFonts w:hAnsi="宋体"/>
        </w:rPr>
      </w:pPr>
      <w:r>
        <w:rPr>
          <w:rFonts w:hint="eastAsia" w:hAnsi="宋体"/>
        </w:rPr>
        <w:t>2.投标报价是履行合同的最终价格</w:t>
      </w:r>
      <w:r>
        <w:rPr>
          <w:rFonts w:hint="eastAsia" w:hAnsi="宋体"/>
          <w:lang w:eastAsia="zh-CN"/>
        </w:rPr>
        <w:t>，</w:t>
      </w:r>
      <w:r>
        <w:rPr>
          <w:rFonts w:hint="eastAsia" w:hAnsi="宋体"/>
          <w:color w:val="auto"/>
          <w:highlight w:val="none"/>
          <w:shd w:val="clear" w:color="auto" w:fill="auto"/>
        </w:rPr>
        <w:t>应包括货款、标准附件、备品备件、专用工具、包装、运输、装卸、保险、税金、货到就位以及安装、调试、培训、保修等一切税金和费用</w:t>
      </w:r>
      <w:r>
        <w:rPr>
          <w:rFonts w:hint="eastAsia" w:hAnsi="宋体"/>
        </w:rPr>
        <w:t>。</w:t>
      </w:r>
    </w:p>
    <w:p>
      <w:pPr>
        <w:tabs>
          <w:tab w:val="left" w:pos="525"/>
        </w:tabs>
        <w:adjustRightInd w:val="0"/>
        <w:snapToGrid w:val="0"/>
        <w:spacing w:line="400" w:lineRule="exact"/>
        <w:ind w:firstLine="420" w:firstLineChars="200"/>
        <w:jc w:val="left"/>
        <w:rPr>
          <w:rFonts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ascii="宋体" w:hAnsi="宋体"/>
          <w:b/>
          <w:szCs w:val="21"/>
        </w:rPr>
      </w:pPr>
      <w:r>
        <w:rPr>
          <w:rFonts w:hint="eastAsia" w:ascii="宋体" w:hAnsi="宋体"/>
          <w:b/>
          <w:szCs w:val="21"/>
        </w:rPr>
        <w:t>（四）投标文件的有效期</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7" w:name="_Toc254970539"/>
      <w:bookmarkStart w:id="38"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37"/>
      <w:bookmarkEnd w:id="38"/>
      <w:r>
        <w:rPr>
          <w:rFonts w:hint="eastAsia" w:ascii="宋体" w:hAnsi="宋体"/>
          <w:sz w:val="21"/>
          <w:szCs w:val="21"/>
        </w:rPr>
        <w:t xml:space="preserve"> </w:t>
      </w:r>
    </w:p>
    <w:p>
      <w:pPr>
        <w:pStyle w:val="14"/>
        <w:widowControl w:val="0"/>
        <w:tabs>
          <w:tab w:val="clear" w:pos="454"/>
        </w:tabs>
        <w:adjustRightInd w:val="0"/>
        <w:snapToGrid w:val="0"/>
        <w:spacing w:after="0" w:afterLines="0" w:line="400" w:lineRule="exact"/>
        <w:ind w:left="0" w:firstLine="424" w:firstLineChars="202"/>
        <w:rPr>
          <w:rFonts w:ascii="宋体" w:hAnsi="宋体"/>
          <w:sz w:val="21"/>
          <w:szCs w:val="21"/>
        </w:rPr>
      </w:pPr>
      <w:bookmarkStart w:id="39" w:name="_Toc254970681"/>
      <w:bookmarkStart w:id="40" w:name="_Toc254970540"/>
      <w:r>
        <w:rPr>
          <w:rFonts w:hint="eastAsia" w:ascii="宋体" w:hAnsi="宋体"/>
          <w:sz w:val="21"/>
          <w:szCs w:val="21"/>
        </w:rPr>
        <w:t>4.中标人的投标文件自开标之日起至合同履行完毕止均应保持有效。</w:t>
      </w:r>
      <w:bookmarkEnd w:id="39"/>
      <w:bookmarkEnd w:id="40"/>
    </w:p>
    <w:p>
      <w:pPr>
        <w:adjustRightInd w:val="0"/>
        <w:snapToGrid w:val="0"/>
        <w:spacing w:line="400" w:lineRule="exact"/>
        <w:ind w:firstLine="420" w:firstLineChars="200"/>
        <w:rPr>
          <w:rFonts w:ascii="宋体" w:hAnsi="宋体"/>
          <w:b/>
          <w:szCs w:val="21"/>
        </w:rPr>
      </w:pPr>
      <w:bookmarkStart w:id="41" w:name="_Toc254970682"/>
      <w:bookmarkStart w:id="42" w:name="_Toc254970541"/>
      <w:r>
        <w:rPr>
          <w:rFonts w:hint="eastAsia" w:ascii="宋体" w:hAnsi="宋体"/>
          <w:b/>
          <w:szCs w:val="21"/>
        </w:rPr>
        <w:t>（五）投标保证金</w:t>
      </w:r>
      <w:bookmarkEnd w:id="41"/>
      <w:bookmarkEnd w:id="42"/>
    </w:p>
    <w:p>
      <w:pPr>
        <w:pStyle w:val="29"/>
        <w:adjustRightInd w:val="0"/>
        <w:snapToGrid w:val="0"/>
        <w:spacing w:line="400" w:lineRule="exact"/>
        <w:ind w:left="840" w:leftChars="200" w:hanging="420" w:hangingChars="200"/>
        <w:rPr>
          <w:rFonts w:hAnsi="宋体" w:cs="宋体"/>
        </w:rPr>
      </w:pPr>
      <w:r>
        <w:rPr>
          <w:rFonts w:hint="eastAsia" w:hAnsi="宋体" w:cs="宋体"/>
        </w:rPr>
        <w:t>1.投标保证金应用人民币，投标人须按规定提交投标保证金。否则，其投标将被拒绝。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w:t>
      </w:r>
      <w:r>
        <w:rPr>
          <w:rFonts w:hint="eastAsia" w:ascii="宋体" w:hAnsi="宋体"/>
          <w:szCs w:val="21"/>
        </w:rPr>
        <w:t>金融</w:t>
      </w:r>
      <w:r>
        <w:rPr>
          <w:rFonts w:ascii="宋体" w:hAnsi="宋体"/>
          <w:szCs w:val="21"/>
        </w:rPr>
        <w:t>、</w:t>
      </w:r>
      <w:r>
        <w:rPr>
          <w:rFonts w:hint="eastAsia" w:ascii="宋体" w:hAnsi="宋体"/>
          <w:szCs w:val="21"/>
        </w:rPr>
        <w:t>担保</w:t>
      </w:r>
      <w:r>
        <w:rPr>
          <w:rFonts w:ascii="宋体" w:hAnsi="宋体"/>
          <w:szCs w:val="21"/>
        </w:rPr>
        <w:t>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本项目保证金事宜请联系本中心财务处（电话：0771-8600309，地址：南宁市星湖路22号）。</w:t>
      </w:r>
    </w:p>
    <w:p>
      <w:pPr>
        <w:pStyle w:val="29"/>
        <w:adjustRightInd w:val="0"/>
        <w:snapToGrid w:val="0"/>
        <w:spacing w:line="400" w:lineRule="exact"/>
        <w:ind w:firstLine="562" w:firstLineChars="268"/>
        <w:rPr>
          <w:rFonts w:hAnsi="宋体"/>
          <w:b/>
        </w:rPr>
      </w:pP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②未中标供应商的投标保证金在中标通知书发出后五个工作日内退还，不计利息。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③中标供应商的投标保证金自政府采购合同签订之日起五个工作日内（合同签订后送达本中心)后退还，不计利息。</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29"/>
        <w:adjustRightInd w:val="0"/>
        <w:snapToGrid w:val="0"/>
        <w:spacing w:line="400" w:lineRule="exact"/>
        <w:ind w:firstLine="420" w:firstLineChars="200"/>
        <w:rPr>
          <w:rFonts w:hAnsi="宋体"/>
        </w:rPr>
      </w:pPr>
      <w:r>
        <w:rPr>
          <w:rFonts w:hint="eastAsia" w:hAnsi="宋体"/>
        </w:rPr>
        <w:t>5.投标保证金不计息。</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（1）投标人在投标有效期内撤回投标文件的；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（2）投标人在投标过程中弄虚作假，提供虚假材料的；</w:t>
      </w:r>
    </w:p>
    <w:p>
      <w:pPr>
        <w:adjustRightInd w:val="0"/>
        <w:snapToGrid w:val="0"/>
        <w:spacing w:line="400" w:lineRule="exact"/>
        <w:ind w:firstLine="411" w:firstLineChars="196"/>
        <w:jc w:val="left"/>
        <w:rPr>
          <w:rFonts w:ascii="宋体" w:hAnsi="宋体"/>
          <w:bCs/>
          <w:szCs w:val="21"/>
        </w:rPr>
      </w:pPr>
      <w:r>
        <w:rPr>
          <w:rFonts w:hint="eastAsia" w:ascii="宋体" w:hAnsi="宋体"/>
          <w:bCs/>
          <w:szCs w:val="21"/>
        </w:rPr>
        <w:t>（3）中标人无正当理由不与采购人签订合同的；</w:t>
      </w:r>
    </w:p>
    <w:p>
      <w:pPr>
        <w:adjustRightInd w:val="0"/>
        <w:snapToGrid w:val="0"/>
        <w:spacing w:line="400" w:lineRule="exact"/>
        <w:ind w:firstLine="411" w:firstLineChars="196"/>
        <w:rPr>
          <w:rFonts w:ascii="宋体" w:hAnsi="宋体"/>
          <w:bCs/>
          <w:szCs w:val="21"/>
        </w:rPr>
      </w:pPr>
      <w:r>
        <w:rPr>
          <w:rFonts w:hint="eastAsia" w:ascii="宋体" w:hAnsi="宋体"/>
          <w:bCs/>
          <w:szCs w:val="21"/>
        </w:rPr>
        <w:t>（4）</w:t>
      </w:r>
      <w:r>
        <w:rPr>
          <w:rFonts w:hint="eastAsia" w:ascii="宋体" w:hAnsi="宋体"/>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ascii="宋体" w:hAnsi="宋体"/>
          <w:b/>
          <w:szCs w:val="21"/>
        </w:rPr>
      </w:pPr>
      <w:r>
        <w:rPr>
          <w:rFonts w:hint="eastAsia" w:ascii="宋体" w:hAnsi="宋体"/>
          <w:bCs/>
          <w:szCs w:val="21"/>
        </w:rPr>
        <w:t>（5）拒绝履</w:t>
      </w:r>
      <w:r>
        <w:rPr>
          <w:rFonts w:hint="eastAsia" w:ascii="宋体" w:hAnsi="宋体"/>
          <w:szCs w:val="21"/>
        </w:rPr>
        <w:t>行合同义务的；</w:t>
      </w:r>
    </w:p>
    <w:p>
      <w:pPr>
        <w:adjustRightInd w:val="0"/>
        <w:snapToGrid w:val="0"/>
        <w:spacing w:line="400" w:lineRule="exact"/>
        <w:ind w:firstLine="420" w:firstLineChars="200"/>
        <w:rPr>
          <w:rFonts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ascii="宋体" w:hAnsi="宋体"/>
          <w:b/>
          <w:szCs w:val="21"/>
        </w:rPr>
      </w:pPr>
      <w:bookmarkStart w:id="43" w:name="_Toc254970683"/>
      <w:bookmarkStart w:id="44" w:name="_Toc254970542"/>
      <w:r>
        <w:rPr>
          <w:rFonts w:hint="eastAsia" w:ascii="宋体" w:hAnsi="宋体"/>
          <w:b/>
          <w:szCs w:val="21"/>
        </w:rPr>
        <w:t>（六）投标文件的签署和份数</w:t>
      </w:r>
      <w:bookmarkEnd w:id="43"/>
      <w:bookmarkEnd w:id="44"/>
    </w:p>
    <w:p>
      <w:pPr>
        <w:adjustRightInd w:val="0"/>
        <w:snapToGrid w:val="0"/>
        <w:spacing w:line="400" w:lineRule="exact"/>
        <w:ind w:firstLine="420" w:firstLineChars="200"/>
        <w:jc w:val="left"/>
        <w:rPr>
          <w:rFonts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2.投标文件份数：见投标人须知及前附表。</w:t>
      </w:r>
    </w:p>
    <w:p>
      <w:pPr>
        <w:adjustRightInd w:val="0"/>
        <w:snapToGrid w:val="0"/>
        <w:spacing w:line="400" w:lineRule="exact"/>
        <w:ind w:firstLine="420" w:firstLineChars="200"/>
        <w:jc w:val="left"/>
        <w:rPr>
          <w:rFonts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ascii="宋体" w:hAnsi="宋体"/>
          <w:b/>
          <w:szCs w:val="21"/>
        </w:rPr>
      </w:pPr>
      <w:r>
        <w:rPr>
          <w:rFonts w:hint="eastAsia" w:ascii="宋体" w:hAnsi="宋体"/>
          <w:szCs w:val="21"/>
        </w:rPr>
        <w:t>▲1.</w:t>
      </w:r>
      <w:r>
        <w:rPr>
          <w:rFonts w:hint="eastAsia" w:ascii="宋体" w:hAnsi="宋体"/>
          <w:b/>
          <w:szCs w:val="21"/>
        </w:rPr>
        <w:t>投标文件的上传、提交：见投标人须知及前附表。</w:t>
      </w:r>
    </w:p>
    <w:p>
      <w:pPr>
        <w:adjustRightInd w:val="0"/>
        <w:snapToGrid w:val="0"/>
        <w:spacing w:line="400" w:lineRule="exact"/>
        <w:ind w:firstLine="420"/>
        <w:jc w:val="left"/>
        <w:rPr>
          <w:rFonts w:ascii="宋体" w:hAnsi="宋体"/>
          <w:szCs w:val="21"/>
        </w:rPr>
      </w:pPr>
      <w:r>
        <w:rPr>
          <w:rFonts w:hint="eastAsia" w:ascii="宋体" w:hAnsi="宋体"/>
          <w:szCs w:val="21"/>
        </w:rPr>
        <w:t>2.</w:t>
      </w:r>
      <w:r>
        <w:rPr>
          <w:rFonts w:hint="eastAsia" w:ascii="宋体" w:hAnsi="宋体" w:cs="仿宋_GB2312"/>
          <w:kern w:val="0"/>
          <w:szCs w:val="21"/>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adjustRightInd w:val="0"/>
        <w:snapToGrid w:val="0"/>
        <w:spacing w:line="400" w:lineRule="exact"/>
        <w:ind w:firstLine="424" w:firstLineChars="210"/>
        <w:rPr>
          <w:rFonts w:ascii="宋体" w:hAnsi="宋体"/>
          <w:spacing w:val="-4"/>
          <w:szCs w:val="21"/>
        </w:rPr>
      </w:pPr>
      <w:bookmarkStart w:id="45" w:name="_Toc254970543"/>
      <w:bookmarkStart w:id="46" w:name="_Toc254970684"/>
      <w:r>
        <w:rPr>
          <w:rFonts w:hint="eastAsia" w:ascii="宋体" w:hAnsi="宋体"/>
          <w:spacing w:val="-4"/>
          <w:szCs w:val="21"/>
        </w:rPr>
        <w:t>3.</w:t>
      </w:r>
      <w:r>
        <w:rPr>
          <w:rFonts w:hint="eastAsia" w:ascii="宋体" w:hAnsi="宋体"/>
          <w:snapToGrid w:val="0"/>
          <w:szCs w:val="21"/>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ascii="宋体" w:hAnsi="宋体"/>
          <w:b/>
          <w:szCs w:val="21"/>
        </w:rPr>
      </w:pPr>
      <w:r>
        <w:rPr>
          <w:rFonts w:hint="eastAsia" w:ascii="宋体" w:hAnsi="宋体"/>
          <w:b/>
          <w:szCs w:val="21"/>
        </w:rPr>
        <w:t>（八）投标无效的情形</w:t>
      </w:r>
      <w:bookmarkEnd w:id="45"/>
      <w:bookmarkEnd w:id="46"/>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广西政府采购云平台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（3）投标文件无法定代表人或其授权委托代理人签字，或未提供法定代表人授权委托书、投标声明书或者填写项目不齐全的；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（4）投标代表人未能出具身份证明或与法定代表人授权委托人身份不符的；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（5）项目不齐全或者内容虚假的；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（3）项目采购需求中要求带“▲”的内容项目发生负偏离达1项（含）以上的；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2"/>
        <w:adjustRightInd w:val="0"/>
        <w:snapToGrid w:val="0"/>
        <w:spacing w:line="400" w:lineRule="exact"/>
        <w:ind w:firstLine="395" w:firstLineChars="196"/>
        <w:rPr>
          <w:rFonts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（5）不同投标人的投标文件相互混装；</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2"/>
        <w:adjustRightInd w:val="0"/>
        <w:snapToGrid w:val="0"/>
        <w:spacing w:line="400" w:lineRule="exact"/>
        <w:ind w:firstLine="411" w:firstLineChars="196"/>
        <w:rPr>
          <w:rFonts w:ascii="宋体" w:hAnsi="宋体" w:eastAsia="宋体"/>
          <w:bCs/>
          <w:sz w:val="21"/>
          <w:szCs w:val="21"/>
        </w:rPr>
      </w:pPr>
      <w:bookmarkStart w:id="47" w:name="_Toc254970685"/>
      <w:bookmarkStart w:id="48" w:name="_Toc254970544"/>
      <w:r>
        <w:rPr>
          <w:rFonts w:hint="eastAsia" w:ascii="宋体" w:hAnsi="宋体" w:eastAsia="宋体"/>
          <w:bCs/>
          <w:sz w:val="21"/>
          <w:szCs w:val="21"/>
          <w:lang w:val="en-US" w:eastAsia="zh-CN"/>
        </w:rPr>
        <w:t>5</w:t>
      </w:r>
      <w:r>
        <w:rPr>
          <w:rFonts w:hint="eastAsia" w:ascii="宋体" w:hAnsi="宋体" w:eastAsia="宋体"/>
          <w:bCs/>
          <w:sz w:val="21"/>
          <w:szCs w:val="21"/>
        </w:rPr>
        <w:t>.其他投标无效的情形：</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2"/>
        <w:adjustRightInd w:val="0"/>
        <w:snapToGrid w:val="0"/>
        <w:spacing w:line="400" w:lineRule="exact"/>
        <w:ind w:firstLine="411" w:firstLineChars="196"/>
        <w:rPr>
          <w:rFonts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9"/>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2"/>
        <w:adjustRightInd w:val="0"/>
        <w:snapToGrid w:val="0"/>
        <w:spacing w:line="400" w:lineRule="exact"/>
        <w:ind w:firstLine="411" w:firstLineChars="196"/>
        <w:rPr>
          <w:rFonts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2"/>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lang w:val="en-US" w:eastAsia="zh-CN"/>
        </w:rPr>
        <w:t>6</w:t>
      </w:r>
      <w:r>
        <w:rPr>
          <w:rFonts w:hint="eastAsia" w:ascii="宋体" w:hAnsi="宋体" w:eastAsia="宋体"/>
          <w:bCs/>
          <w:sz w:val="21"/>
          <w:szCs w:val="21"/>
        </w:rPr>
        <w:t>.被拒绝的投标文件为无效。</w:t>
      </w:r>
    </w:p>
    <w:p>
      <w:pPr>
        <w:pStyle w:val="29"/>
        <w:adjustRightInd w:val="0"/>
        <w:snapToGrid w:val="0"/>
        <w:spacing w:line="400" w:lineRule="exact"/>
        <w:rPr>
          <w:rFonts w:hAnsi="宋体"/>
          <w:b/>
        </w:rPr>
      </w:pPr>
      <w:r>
        <w:rPr>
          <w:rFonts w:hint="eastAsia" w:hAnsi="宋体"/>
          <w:b/>
        </w:rPr>
        <w:t>四、开标</w:t>
      </w:r>
      <w:bookmarkEnd w:id="47"/>
      <w:bookmarkEnd w:id="48"/>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（一）开标准备</w:t>
      </w:r>
    </w:p>
    <w:p>
      <w:pPr>
        <w:shd w:val="clear"/>
        <w:adjustRightInd w:val="0"/>
        <w:snapToGrid w:val="0"/>
        <w:spacing w:line="400" w:lineRule="exact"/>
        <w:ind w:firstLine="420" w:firstLineChars="200"/>
        <w:rPr>
          <w:rFonts w:ascii="宋体" w:hAnsi="宋体"/>
          <w:bCs/>
          <w:szCs w:val="21"/>
        </w:rPr>
      </w:pPr>
      <w:r>
        <w:rPr>
          <w:rFonts w:hint="eastAsia" w:ascii="宋体" w:hAnsi="宋体"/>
          <w:szCs w:val="21"/>
        </w:rPr>
        <w:t>本中心按招标文件规定的时间、地点通过“广西政府采购云平台”组织开标、开启投标文件，所有供应商均应当准时在线参加。投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hint="eastAsia" w:ascii="宋体" w:hAnsi="宋体"/>
          <w:szCs w:val="21"/>
        </w:rPr>
        <w:t>行</w:t>
      </w:r>
      <w:r>
        <w:rPr>
          <w:rFonts w:ascii="宋体" w:hAnsi="宋体"/>
          <w:szCs w:val="21"/>
        </w:rPr>
        <w:t>承担。</w:t>
      </w:r>
    </w:p>
    <w:p>
      <w:pPr>
        <w:adjustRightInd w:val="0"/>
        <w:snapToGrid w:val="0"/>
        <w:spacing w:line="400" w:lineRule="exact"/>
        <w:ind w:firstLine="420" w:firstLineChars="200"/>
        <w:rPr>
          <w:rFonts w:ascii="宋体" w:hAnsi="宋体"/>
          <w:b/>
          <w:szCs w:val="21"/>
        </w:rPr>
      </w:pPr>
      <w:r>
        <w:rPr>
          <w:rFonts w:hint="eastAsia" w:ascii="宋体" w:hAnsi="宋体"/>
          <w:b/>
          <w:szCs w:val="21"/>
        </w:rPr>
        <w:t>（二） 开标程序：</w:t>
      </w:r>
    </w:p>
    <w:p>
      <w:pPr>
        <w:pStyle w:val="29"/>
        <w:adjustRightInd w:val="0"/>
        <w:snapToGrid w:val="0"/>
        <w:spacing w:line="400" w:lineRule="exact"/>
        <w:ind w:firstLine="420" w:firstLineChars="200"/>
        <w:rPr>
          <w:rFonts w:hint="eastAsia" w:hAnsi="宋体" w:eastAsia="宋体"/>
          <w:lang w:val="en-US" w:eastAsia="zh-CN"/>
        </w:rPr>
      </w:pPr>
      <w:r>
        <w:rPr>
          <w:rFonts w:hint="eastAsia" w:hAnsi="宋体"/>
        </w:rPr>
        <w:t>1.电子开标会由本中心主持</w:t>
      </w:r>
      <w:r>
        <w:rPr>
          <w:rFonts w:hint="eastAsia" w:hAnsi="宋体"/>
          <w:lang w:eastAsia="zh-CN"/>
        </w:rPr>
        <w:t>。</w:t>
      </w:r>
    </w:p>
    <w:p>
      <w:pPr>
        <w:pStyle w:val="29"/>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29"/>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9"/>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9"/>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9"/>
        <w:adjustRightInd w:val="0"/>
        <w:snapToGrid w:val="0"/>
        <w:spacing w:line="400" w:lineRule="exact"/>
        <w:ind w:firstLine="420"/>
        <w:rPr>
          <w:rFonts w:hAnsi="宋体"/>
        </w:rPr>
      </w:pPr>
      <w:r>
        <w:rPr>
          <w:rFonts w:hint="eastAsia" w:hAnsi="宋体"/>
        </w:rPr>
        <w:t>注：①当整个招标项目的投标人不足3家的不开标，本中心将按政府采购管理的有关规定处理。</w:t>
      </w:r>
    </w:p>
    <w:p>
      <w:pPr>
        <w:pStyle w:val="29"/>
        <w:adjustRightInd w:val="0"/>
        <w:snapToGrid w:val="0"/>
        <w:spacing w:line="400" w:lineRule="exact"/>
        <w:ind w:firstLine="840" w:firstLineChars="400"/>
        <w:rPr>
          <w:rFonts w:hAnsi="宋体"/>
        </w:rPr>
      </w:pPr>
      <w:r>
        <w:rPr>
          <w:rFonts w:hint="eastAsia" w:hAnsi="宋体"/>
        </w:rPr>
        <w:t>②开标后，某分标投标人不足3家的，本中心将按政府采购管理的有关规定处理。</w:t>
      </w:r>
    </w:p>
    <w:p>
      <w:pPr>
        <w:pStyle w:val="29"/>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广西政府采购云平台</w:t>
      </w:r>
      <w:r>
        <w:rPr>
          <w:rFonts w:hAnsi="宋体"/>
          <w:b/>
          <w:bCs/>
        </w:rPr>
        <w:t>”电子化开标或评审程序调整的，按调整后程序执行。</w:t>
      </w:r>
    </w:p>
    <w:p>
      <w:pPr>
        <w:pStyle w:val="29"/>
        <w:adjustRightInd w:val="0"/>
        <w:snapToGrid w:val="0"/>
        <w:spacing w:line="400" w:lineRule="exact"/>
        <w:rPr>
          <w:rFonts w:hAnsi="宋体"/>
          <w:b/>
        </w:rPr>
      </w:pPr>
      <w:bookmarkStart w:id="49" w:name="_Toc254970545"/>
      <w:bookmarkStart w:id="50" w:name="_Toc254970686"/>
      <w:r>
        <w:rPr>
          <w:rFonts w:hint="eastAsia" w:hAnsi="宋体"/>
          <w:b/>
        </w:rPr>
        <w:t>五、资格审查</w:t>
      </w:r>
    </w:p>
    <w:p>
      <w:pPr>
        <w:pStyle w:val="29"/>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9"/>
        <w:adjustRightInd w:val="0"/>
        <w:snapToGrid w:val="0"/>
        <w:spacing w:line="400" w:lineRule="exact"/>
        <w:rPr>
          <w:rFonts w:hAnsi="宋体"/>
          <w:b/>
        </w:rPr>
      </w:pPr>
      <w:r>
        <w:rPr>
          <w:rFonts w:hint="eastAsia" w:hAnsi="宋体"/>
          <w:b/>
        </w:rPr>
        <w:t>六、评标</w:t>
      </w:r>
      <w:bookmarkEnd w:id="49"/>
      <w:bookmarkEnd w:id="50"/>
    </w:p>
    <w:p>
      <w:pPr>
        <w:adjustRightInd w:val="0"/>
        <w:snapToGrid w:val="0"/>
        <w:spacing w:line="400" w:lineRule="exact"/>
        <w:ind w:firstLine="420" w:firstLineChars="200"/>
        <w:rPr>
          <w:rFonts w:ascii="宋体" w:hAnsi="宋体"/>
          <w:b/>
          <w:szCs w:val="21"/>
        </w:rPr>
      </w:pPr>
      <w:r>
        <w:rPr>
          <w:rFonts w:hint="eastAsia" w:ascii="宋体" w:hAnsi="宋体"/>
          <w:b/>
          <w:szCs w:val="21"/>
        </w:rPr>
        <w:t>（一）组建评标委员会</w:t>
      </w:r>
    </w:p>
    <w:p>
      <w:pPr>
        <w:pStyle w:val="29"/>
        <w:adjustRightInd w:val="0"/>
        <w:snapToGrid w:val="0"/>
        <w:spacing w:line="400" w:lineRule="exact"/>
        <w:ind w:firstLine="420" w:firstLineChars="200"/>
        <w:rPr>
          <w:rFonts w:hAnsi="宋体"/>
        </w:rPr>
      </w:pPr>
      <w:r>
        <w:rPr>
          <w:rFonts w:hint="eastAsia" w:hAnsi="宋体"/>
          <w:bCs/>
        </w:rPr>
        <w:t>本招标采购项目的</w:t>
      </w:r>
      <w:r>
        <w:rPr>
          <w:rFonts w:hAnsi="宋体"/>
          <w:spacing w:val="-4"/>
        </w:rPr>
        <w:t>评标委员会由采购人代表和评审专家组成，成员人数应当为</w:t>
      </w:r>
      <w:r>
        <w:rPr>
          <w:rFonts w:hint="eastAsia" w:hAnsi="宋体"/>
          <w:color w:val="auto"/>
          <w:spacing w:val="-4"/>
        </w:rPr>
        <w:t>7</w:t>
      </w:r>
      <w:r>
        <w:rPr>
          <w:rFonts w:hAnsi="宋体"/>
          <w:color w:val="auto"/>
          <w:spacing w:val="-4"/>
        </w:rPr>
        <w:t>人以</w:t>
      </w:r>
      <w:r>
        <w:rPr>
          <w:rFonts w:hAnsi="宋体"/>
          <w:spacing w:val="-4"/>
        </w:rPr>
        <w:t>上单数，其中评审专家不得少于成员总数的三分之二。</w:t>
      </w:r>
    </w:p>
    <w:p>
      <w:pPr>
        <w:adjustRightInd w:val="0"/>
        <w:snapToGrid w:val="0"/>
        <w:spacing w:line="400" w:lineRule="exact"/>
        <w:ind w:firstLine="420" w:firstLineChars="200"/>
        <w:rPr>
          <w:rFonts w:ascii="宋体" w:hAnsi="宋体"/>
          <w:b/>
          <w:szCs w:val="21"/>
        </w:rPr>
      </w:pPr>
      <w:r>
        <w:rPr>
          <w:rFonts w:hint="eastAsia" w:ascii="宋体" w:hAnsi="宋体"/>
          <w:b/>
          <w:szCs w:val="21"/>
        </w:rPr>
        <w:t>（二）评标的方式</w:t>
      </w:r>
    </w:p>
    <w:p>
      <w:pPr>
        <w:pStyle w:val="29"/>
        <w:adjustRightInd w:val="0"/>
        <w:snapToGrid w:val="0"/>
        <w:spacing w:line="400" w:lineRule="exact"/>
        <w:ind w:left="688" w:leftChars="228" w:hanging="210" w:hangingChars="100"/>
        <w:rPr>
          <w:rFonts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ascii="宋体" w:hAnsi="宋体"/>
          <w:b/>
          <w:szCs w:val="21"/>
        </w:rPr>
      </w:pPr>
      <w:r>
        <w:rPr>
          <w:rFonts w:hint="eastAsia" w:ascii="宋体" w:hAnsi="宋体"/>
          <w:b/>
          <w:szCs w:val="21"/>
        </w:rPr>
        <w:t>（三）评标程序</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szCs w:val="21"/>
        </w:rPr>
        <w:t>（</w:t>
      </w:r>
      <w:r>
        <w:rPr>
          <w:rFonts w:hint="eastAsia" w:ascii="宋体" w:hAnsi="宋体"/>
          <w:color w:val="000000" w:themeColor="text1"/>
          <w:szCs w:val="21"/>
          <w:highlight w:val="none"/>
          <w:shd w:val="clear" w:color="auto" w:fill="auto"/>
          <w14:textFill>
            <w14:solidFill>
              <w14:schemeClr w14:val="tx1"/>
            </w14:solidFill>
          </w14:textFill>
        </w:rPr>
        <w:t>评标委员会仅对通过资格审查的投标文件进行后续评审，程序如下：</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（1）符合性审查：评标委员会审查投标文件是否实质性响应招标文件要求。未通过审查的投标，不进入详细评审。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（2）询标与澄清：在评</w:t>
      </w:r>
      <w:r>
        <w:rPr>
          <w:rFonts w:hint="eastAsia" w:ascii="宋体" w:hAnsi="宋体"/>
          <w:color w:val="000000" w:themeColor="text1"/>
          <w:szCs w:val="21"/>
          <w:highlight w:val="none"/>
          <w:shd w:val="clear" w:color="auto" w:fill="auto"/>
          <w:lang w:eastAsia="zh-CN"/>
          <w14:textFill>
            <w14:solidFill>
              <w14:schemeClr w14:val="tx1"/>
            </w14:solidFill>
          </w14:textFill>
        </w:rPr>
        <w:t>标过程中</w:t>
      </w:r>
      <w:r>
        <w:rPr>
          <w:rFonts w:hint="eastAsia" w:ascii="宋体" w:hAnsi="宋体"/>
          <w:color w:val="000000" w:themeColor="text1"/>
          <w:szCs w:val="21"/>
          <w:highlight w:val="none"/>
          <w:shd w:val="clear" w:color="auto" w:fill="auto"/>
          <w14:textFill>
            <w14:solidFill>
              <w14:schemeClr w14:val="tx1"/>
            </w14:solidFill>
          </w14:textFill>
        </w:rPr>
        <w:t>，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（3）商务与技术评审：评标委员会依据评分标准，对通过符合性审查的投标进行详细评审。</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（4）报价评审</w:t>
      </w:r>
    </w:p>
    <w:p>
      <w:pPr>
        <w:snapToGrid w:val="0"/>
        <w:spacing w:line="360" w:lineRule="exact"/>
        <w:ind w:left="0" w:leftChars="0" w:firstLine="630" w:firstLineChars="300"/>
        <w:rPr>
          <w:rFonts w:hint="eastAsia" w:ascii="宋体" w:hAnsi="宋体"/>
          <w:color w:val="000000" w:themeColor="text1"/>
          <w:szCs w:val="21"/>
          <w:highlight w:val="none"/>
          <w:shd w:val="clear" w:color="auto" w:fill="auto"/>
          <w14:textFill>
            <w14:solidFill>
              <w14:schemeClr w14:val="tx1"/>
            </w14:solidFill>
          </w14:textFill>
        </w:rPr>
      </w:pPr>
      <w:r>
        <w:rPr>
          <w:rFonts w:hint="default" w:ascii="宋体" w:hAnsi="宋体"/>
          <w:color w:val="000000" w:themeColor="text1"/>
          <w:szCs w:val="21"/>
          <w:highlight w:val="none"/>
          <w:shd w:val="clear" w:color="auto" w:fill="auto"/>
          <w:lang w:val="en"/>
          <w14:textFill>
            <w14:solidFill>
              <w14:schemeClr w14:val="tx1"/>
            </w14:solidFill>
          </w14:textFill>
        </w:rPr>
        <w:t>a)</w:t>
      </w:r>
      <w:r>
        <w:rPr>
          <w:rFonts w:hint="eastAsia" w:ascii="宋体" w:hAnsi="宋体"/>
          <w:color w:val="000000" w:themeColor="text1"/>
          <w:szCs w:val="21"/>
          <w:highlight w:val="none"/>
          <w:shd w:val="clear" w:color="auto" w:fill="auto"/>
          <w14:textFill>
            <w14:solidFill>
              <w14:schemeClr w14:val="tx1"/>
            </w14:solidFill>
          </w14:textFill>
        </w:rPr>
        <w:t xml:space="preserve"> 报价符合性审查：评标委员会审查投标报价是否符合招标文件关于报价的格式、币种、范围</w:t>
      </w:r>
      <w:r>
        <w:rPr>
          <w:rFonts w:hint="eastAsia" w:ascii="宋体" w:hAnsi="宋体"/>
          <w:color w:val="000000" w:themeColor="text1"/>
          <w:szCs w:val="21"/>
          <w:highlight w:val="none"/>
          <w:shd w:val="clear" w:color="auto" w:fill="auto"/>
          <w:lang w:eastAsia="zh-CN"/>
          <w14:textFill>
            <w14:solidFill>
              <w14:schemeClr w14:val="tx1"/>
            </w14:solidFill>
          </w14:textFill>
        </w:rPr>
        <w:t>（如报价是否完全响应并覆盖招标文件“采购需求”及“货物</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服务</w:t>
      </w:r>
      <w:r>
        <w:rPr>
          <w:rFonts w:hint="default" w:ascii="宋体" w:hAnsi="宋体"/>
          <w:color w:val="000000" w:themeColor="text1"/>
          <w:szCs w:val="21"/>
          <w:highlight w:val="none"/>
          <w:shd w:val="clear" w:color="auto" w:fill="auto"/>
          <w:lang w:val="en" w:eastAsia="zh-CN"/>
          <w14:textFill>
            <w14:solidFill>
              <w14:schemeClr w14:val="tx1"/>
            </w14:solidFill>
          </w14:textFill>
        </w:rPr>
        <w:t>”</w:t>
      </w:r>
      <w:r>
        <w:rPr>
          <w:rFonts w:hint="eastAsia" w:ascii="宋体" w:hAnsi="宋体"/>
          <w:color w:val="000000" w:themeColor="text1"/>
          <w:szCs w:val="21"/>
          <w:highlight w:val="none"/>
          <w:shd w:val="clear" w:color="auto" w:fill="auto"/>
          <w:lang w:eastAsia="zh-CN"/>
          <w14:textFill>
            <w14:solidFill>
              <w14:schemeClr w14:val="tx1"/>
            </w14:solidFill>
          </w14:textFill>
        </w:rPr>
        <w:t>清单中所列全部内容、是否超采购预算或最高限价）</w:t>
      </w:r>
      <w:r>
        <w:rPr>
          <w:rFonts w:hint="eastAsia" w:ascii="宋体" w:hAnsi="宋体"/>
          <w:color w:val="000000" w:themeColor="text1"/>
          <w:szCs w:val="21"/>
          <w:highlight w:val="none"/>
          <w:shd w:val="clear" w:color="auto" w:fill="auto"/>
          <w14:textFill>
            <w14:solidFill>
              <w14:schemeClr w14:val="tx1"/>
            </w14:solidFill>
          </w14:textFill>
        </w:rPr>
        <w:t>等基础要求。</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b)</w:t>
      </w:r>
      <w:r>
        <w:rPr>
          <w:rFonts w:hint="eastAsia" w:ascii="宋体" w:hAnsi="宋体"/>
          <w:color w:val="000000" w:themeColor="text1"/>
          <w:szCs w:val="21"/>
          <w:highlight w:val="none"/>
          <w:shd w:val="clear" w:color="auto" w:fill="auto"/>
          <w14:textFill>
            <w14:solidFill>
              <w14:schemeClr w14:val="tx1"/>
            </w14:solidFill>
          </w14:textFill>
        </w:rPr>
        <w:t xml:space="preserve"> 异常低价甄别与说明：对通过报价符合性审查的投标，如触发下列情形，评标委员会应当启动异常低价审查程序：</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１）报价</w:t>
      </w:r>
      <w:r>
        <w:rPr>
          <w:rFonts w:hint="eastAsia" w:ascii="宋体" w:hAnsi="宋体"/>
          <w:color w:val="000000" w:themeColor="text1"/>
          <w:szCs w:val="21"/>
          <w:highlight w:val="none"/>
          <w:shd w:val="clear" w:color="auto" w:fill="auto"/>
          <w14:textFill>
            <w14:solidFill>
              <w14:schemeClr w14:val="tx1"/>
            </w14:solidFill>
          </w14:textFill>
        </w:rPr>
        <w:t>低于全部通过符合性审查投标人</w:t>
      </w:r>
      <w:r>
        <w:rPr>
          <w:rFonts w:hint="eastAsia" w:ascii="宋体" w:hAnsi="宋体"/>
          <w:color w:val="000000" w:themeColor="text1"/>
          <w:szCs w:val="21"/>
          <w:highlight w:val="none"/>
          <w:shd w:val="clear" w:color="auto" w:fill="auto"/>
          <w:lang w:eastAsia="zh-CN"/>
          <w14:textFill>
            <w14:solidFill>
              <w14:schemeClr w14:val="tx1"/>
            </w14:solidFill>
          </w14:textFill>
        </w:rPr>
        <w:t>投标</w:t>
      </w:r>
      <w:r>
        <w:rPr>
          <w:rFonts w:hint="eastAsia" w:ascii="宋体" w:hAnsi="宋体"/>
          <w:color w:val="000000" w:themeColor="text1"/>
          <w:szCs w:val="21"/>
          <w:highlight w:val="none"/>
          <w:shd w:val="clear" w:color="auto" w:fill="auto"/>
          <w14:textFill>
            <w14:solidFill>
              <w14:schemeClr w14:val="tx1"/>
            </w14:solidFill>
          </w14:textFill>
        </w:rPr>
        <w:t>报价平均值50%的；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２）报价</w:t>
      </w:r>
      <w:r>
        <w:rPr>
          <w:rFonts w:hint="eastAsia" w:ascii="宋体" w:hAnsi="宋体"/>
          <w:color w:val="000000" w:themeColor="text1"/>
          <w:szCs w:val="21"/>
          <w:highlight w:val="none"/>
          <w:shd w:val="clear" w:color="auto" w:fill="auto"/>
          <w14:textFill>
            <w14:solidFill>
              <w14:schemeClr w14:val="tx1"/>
            </w14:solidFill>
          </w14:textFill>
        </w:rPr>
        <w:t>低于通过符合性审查的次低报价</w:t>
      </w:r>
      <w:r>
        <w:rPr>
          <w:rFonts w:hint="eastAsia" w:ascii="宋体" w:hAnsi="宋体"/>
          <w:color w:val="000000" w:themeColor="text1"/>
          <w:szCs w:val="21"/>
          <w:highlight w:val="none"/>
          <w:shd w:val="clear" w:color="auto" w:fill="auto"/>
          <w:lang w:eastAsia="zh-CN"/>
          <w14:textFill>
            <w14:solidFill>
              <w14:schemeClr w14:val="tx1"/>
            </w14:solidFill>
          </w14:textFill>
        </w:rPr>
        <w:t>投标人投标报价</w:t>
      </w:r>
      <w:r>
        <w:rPr>
          <w:rFonts w:hint="eastAsia" w:ascii="宋体" w:hAnsi="宋体"/>
          <w:color w:val="000000" w:themeColor="text1"/>
          <w:szCs w:val="21"/>
          <w:highlight w:val="none"/>
          <w:shd w:val="clear" w:color="auto" w:fill="auto"/>
          <w14:textFill>
            <w14:solidFill>
              <w14:schemeClr w14:val="tx1"/>
            </w14:solidFill>
          </w14:textFill>
        </w:rPr>
        <w:t>50%的；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３）报价</w:t>
      </w:r>
      <w:r>
        <w:rPr>
          <w:rFonts w:hint="eastAsia" w:ascii="宋体" w:hAnsi="宋体"/>
          <w:color w:val="000000" w:themeColor="text1"/>
          <w:szCs w:val="21"/>
          <w:highlight w:val="none"/>
          <w:shd w:val="clear" w:color="auto" w:fill="auto"/>
          <w14:textFill>
            <w14:solidFill>
              <w14:schemeClr w14:val="tx1"/>
            </w14:solidFill>
          </w14:textFill>
        </w:rPr>
        <w:t>低于采购项目最高限价</w:t>
      </w:r>
      <w:r>
        <w:rPr>
          <w:rFonts w:hint="eastAsia" w:ascii="宋体" w:hAnsi="宋体"/>
          <w:color w:val="000000" w:themeColor="text1"/>
          <w:szCs w:val="21"/>
          <w:highlight w:val="none"/>
          <w:shd w:val="clear" w:color="auto" w:fill="auto"/>
          <w:lang w:val="en-US" w:eastAsia="zh-CN"/>
          <w14:textFill>
            <w14:solidFill>
              <w14:schemeClr w14:val="tx1"/>
            </w14:solidFill>
          </w14:textFill>
        </w:rPr>
        <w:t>6</w:t>
      </w:r>
      <w:r>
        <w:rPr>
          <w:rFonts w:hint="eastAsia" w:ascii="宋体" w:hAnsi="宋体"/>
          <w:color w:val="000000" w:themeColor="text1"/>
          <w:szCs w:val="21"/>
          <w:highlight w:val="none"/>
          <w:shd w:val="clear" w:color="auto" w:fill="auto"/>
          <w14:textFill>
            <w14:solidFill>
              <w14:schemeClr w14:val="tx1"/>
            </w14:solidFill>
          </w14:textFill>
        </w:rPr>
        <w:t>5%的；</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４）</w:t>
      </w:r>
      <w:r>
        <w:rPr>
          <w:rFonts w:hint="eastAsia" w:ascii="宋体" w:hAnsi="宋体"/>
          <w:color w:val="000000" w:themeColor="text1"/>
          <w:szCs w:val="21"/>
          <w:highlight w:val="none"/>
          <w:shd w:val="clear" w:color="auto" w:fill="auto"/>
          <w14:textFill>
            <w14:solidFill>
              <w14:schemeClr w14:val="tx1"/>
            </w14:solidFill>
          </w14:textFill>
        </w:rPr>
        <w:t>评标委员会基于专业判断，认为</w:t>
      </w:r>
      <w:r>
        <w:rPr>
          <w:rFonts w:hint="eastAsia" w:ascii="宋体" w:hAnsi="宋体"/>
          <w:color w:val="000000" w:themeColor="text1"/>
          <w:szCs w:val="21"/>
          <w:highlight w:val="none"/>
          <w:shd w:val="clear" w:color="auto" w:fill="auto"/>
          <w:lang w:eastAsia="zh-CN"/>
          <w14:textFill>
            <w14:solidFill>
              <w14:schemeClr w14:val="tx1"/>
            </w14:solidFill>
          </w14:textFill>
        </w:rPr>
        <w:t>投标人报价过低，有</w:t>
      </w:r>
      <w:r>
        <w:rPr>
          <w:rFonts w:hint="eastAsia" w:ascii="宋体" w:hAnsi="宋体"/>
          <w:color w:val="000000" w:themeColor="text1"/>
          <w:szCs w:val="21"/>
          <w:highlight w:val="none"/>
          <w:shd w:val="clear" w:color="auto" w:fill="auto"/>
          <w14:textFill>
            <w14:solidFill>
              <w14:schemeClr w14:val="tx1"/>
            </w14:solidFill>
          </w14:textFill>
        </w:rPr>
        <w:t>可能影响</w:t>
      </w:r>
      <w:r>
        <w:rPr>
          <w:rFonts w:hint="eastAsia" w:ascii="宋体" w:hAnsi="宋体"/>
          <w:color w:val="000000" w:themeColor="text1"/>
          <w:szCs w:val="21"/>
          <w:highlight w:val="none"/>
          <w:shd w:val="clear" w:color="auto" w:fill="auto"/>
          <w:lang w:eastAsia="zh-CN"/>
          <w14:textFill>
            <w14:solidFill>
              <w14:schemeClr w14:val="tx1"/>
            </w14:solidFill>
          </w14:textFill>
        </w:rPr>
        <w:t>产品</w:t>
      </w:r>
      <w:r>
        <w:rPr>
          <w:rFonts w:hint="eastAsia" w:ascii="宋体" w:hAnsi="宋体"/>
          <w:color w:val="000000" w:themeColor="text1"/>
          <w:szCs w:val="21"/>
          <w:highlight w:val="none"/>
          <w:shd w:val="clear" w:color="auto" w:fill="auto"/>
          <w14:textFill>
            <w14:solidFill>
              <w14:schemeClr w14:val="tx1"/>
            </w14:solidFill>
          </w14:textFill>
        </w:rPr>
        <w:t>质量或</w:t>
      </w:r>
      <w:r>
        <w:rPr>
          <w:rFonts w:hint="eastAsia" w:ascii="宋体" w:hAnsi="宋体"/>
          <w:color w:val="000000" w:themeColor="text1"/>
          <w:szCs w:val="21"/>
          <w:highlight w:val="none"/>
          <w:shd w:val="clear" w:color="auto" w:fill="auto"/>
          <w:lang w:eastAsia="zh-CN"/>
          <w14:textFill>
            <w14:solidFill>
              <w14:schemeClr w14:val="tx1"/>
            </w14:solidFill>
          </w14:textFill>
        </w:rPr>
        <w:t>者不能诚信</w:t>
      </w:r>
      <w:r>
        <w:rPr>
          <w:rFonts w:hint="eastAsia" w:ascii="宋体" w:hAnsi="宋体"/>
          <w:color w:val="000000" w:themeColor="text1"/>
          <w:szCs w:val="21"/>
          <w:highlight w:val="none"/>
          <w:shd w:val="clear" w:color="auto" w:fill="auto"/>
          <w14:textFill>
            <w14:solidFill>
              <w14:schemeClr w14:val="tx1"/>
            </w14:solidFill>
          </w14:textFill>
        </w:rPr>
        <w:t>履约的其他情形。</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评标委员会通过电子询标方式，要求相关投标人在规定时间内</w:t>
      </w:r>
      <w:r>
        <w:rPr>
          <w:rFonts w:hint="eastAsia"/>
          <w:bCs/>
          <w:color w:val="auto"/>
        </w:rPr>
        <w:t>提供项目具体成本测算等与报价合理性相关的书面说明</w:t>
      </w:r>
      <w:r>
        <w:rPr>
          <w:rFonts w:hint="eastAsia"/>
          <w:bCs/>
          <w:color w:val="auto"/>
          <w:lang w:eastAsia="zh-CN"/>
        </w:rPr>
        <w:t>及</w:t>
      </w:r>
      <w:r>
        <w:rPr>
          <w:rFonts w:hint="eastAsia"/>
          <w:bCs/>
          <w:color w:val="auto"/>
        </w:rPr>
        <w:t>必要</w:t>
      </w:r>
      <w:r>
        <w:rPr>
          <w:rFonts w:hint="eastAsia"/>
          <w:bCs/>
          <w:color w:val="auto"/>
          <w:lang w:eastAsia="zh-CN"/>
        </w:rPr>
        <w:t>的</w:t>
      </w:r>
      <w:r>
        <w:rPr>
          <w:rFonts w:hint="eastAsia"/>
          <w:bCs/>
          <w:color w:val="auto"/>
        </w:rPr>
        <w:t>证明材料</w:t>
      </w:r>
      <w:r>
        <w:rPr>
          <w:rFonts w:hint="eastAsia"/>
          <w:bCs/>
          <w:color w:val="auto"/>
          <w:lang w:eastAsia="zh-CN"/>
        </w:rPr>
        <w:t>，包括但不限于原材料成本、人工成本、制造费用等</w:t>
      </w:r>
      <w:r>
        <w:rPr>
          <w:rFonts w:hint="eastAsia"/>
          <w:bCs/>
          <w:color w:val="auto"/>
        </w:rPr>
        <w:t>；</w:t>
      </w:r>
      <w:r>
        <w:rPr>
          <w:rFonts w:hint="eastAsia"/>
          <w:bCs/>
          <w:color w:val="auto"/>
          <w:lang w:val="en-US" w:eastAsia="zh-CN"/>
        </w:rPr>
        <w:t>投标人不能提供书面说明、证明材料，或者提供的书面说明、证明材料不能证明其报价合理性的</w:t>
      </w:r>
      <w:r>
        <w:rPr>
          <w:rFonts w:hint="eastAsia"/>
          <w:bCs/>
          <w:color w:val="auto"/>
        </w:rPr>
        <w:t>，评标委员会应当将其作为无效投标处理</w:t>
      </w:r>
      <w:r>
        <w:rPr>
          <w:rFonts w:hint="eastAsia"/>
          <w:bCs/>
          <w:color w:val="auto"/>
          <w:lang w:eastAsia="zh-CN"/>
        </w:rPr>
        <w:t>。</w:t>
      </w:r>
    </w:p>
    <w:p>
      <w:pPr>
        <w:snapToGrid w:val="0"/>
        <w:spacing w:line="360" w:lineRule="exact"/>
        <w:ind w:firstLine="420" w:firstLineChars="20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lang w:eastAsia="zh-CN"/>
          <w14:textFill>
            <w14:solidFill>
              <w14:schemeClr w14:val="tx1"/>
            </w14:solidFill>
          </w14:textFill>
        </w:rPr>
        <w:t>　</w:t>
      </w:r>
      <w:r>
        <w:rPr>
          <w:rFonts w:hint="default" w:ascii="宋体" w:hAnsi="宋体"/>
          <w:color w:val="000000" w:themeColor="text1"/>
          <w:szCs w:val="21"/>
          <w:highlight w:val="none"/>
          <w:shd w:val="clear" w:color="auto" w:fill="auto"/>
          <w:lang w:val="en"/>
          <w14:textFill>
            <w14:solidFill>
              <w14:schemeClr w14:val="tx1"/>
            </w14:solidFill>
          </w14:textFill>
        </w:rPr>
        <w:t>c)</w:t>
      </w:r>
      <w:r>
        <w:rPr>
          <w:rFonts w:hint="eastAsia" w:ascii="宋体" w:hAnsi="宋体"/>
          <w:color w:val="000000" w:themeColor="text1"/>
          <w:szCs w:val="21"/>
          <w:highlight w:val="none"/>
          <w:shd w:val="clear" w:color="auto" w:fill="auto"/>
          <w14:textFill>
            <w14:solidFill>
              <w14:schemeClr w14:val="tx1"/>
            </w14:solidFill>
          </w14:textFill>
        </w:rPr>
        <w:t xml:space="preserve"> 价格评分：对通过上述全部审查的有效报价，由系统按招标文件规定计算价格分。</w:t>
      </w:r>
    </w:p>
    <w:p>
      <w:pPr>
        <w:snapToGrid w:val="0"/>
        <w:spacing w:line="360" w:lineRule="exact"/>
        <w:ind w:firstLine="420" w:firstLineChars="200"/>
        <w:outlineLvl w:val="0"/>
        <w:rPr>
          <w:rFonts w:hint="eastAsia" w:ascii="宋体" w:hAnsi="宋体"/>
          <w:color w:val="000000" w:themeColor="text1"/>
          <w:szCs w:val="21"/>
          <w:highlight w:val="none"/>
          <w:shd w:val="clear" w:color="auto" w:fill="auto"/>
          <w14:textFill>
            <w14:solidFill>
              <w14:schemeClr w14:val="tx1"/>
            </w14:solidFill>
          </w14:textFill>
        </w:rPr>
      </w:pPr>
      <w:r>
        <w:rPr>
          <w:rFonts w:hint="eastAsia" w:ascii="宋体" w:hAnsi="宋体"/>
          <w:color w:val="000000" w:themeColor="text1"/>
          <w:szCs w:val="21"/>
          <w:highlight w:val="none"/>
          <w:shd w:val="clear" w:color="auto" w:fill="auto"/>
          <w14:textFill>
            <w14:solidFill>
              <w14:schemeClr w14:val="tx1"/>
            </w14:solidFill>
          </w14:textFill>
        </w:rPr>
        <w:t>（5）评分汇总与推荐：评标委员会在评审系统内完成评审后，系统将自动计算、汇总得分并生成排序结果。评标委员会</w:t>
      </w:r>
      <w:r>
        <w:rPr>
          <w:rFonts w:hint="eastAsia" w:ascii="宋体" w:hAnsi="宋体"/>
          <w:color w:val="000000" w:themeColor="text1"/>
          <w:szCs w:val="21"/>
          <w:highlight w:val="none"/>
          <w:shd w:val="clear" w:color="auto" w:fill="auto"/>
          <w:lang w:eastAsia="zh-CN"/>
          <w14:textFill>
            <w14:solidFill>
              <w14:schemeClr w14:val="tx1"/>
            </w14:solidFill>
          </w14:textFill>
        </w:rPr>
        <w:t>据此集体审议推荐</w:t>
      </w:r>
      <w:r>
        <w:rPr>
          <w:rFonts w:hint="eastAsia" w:ascii="宋体" w:hAnsi="宋体"/>
          <w:color w:val="000000" w:themeColor="text1"/>
          <w:szCs w:val="21"/>
          <w:highlight w:val="none"/>
          <w:shd w:val="clear" w:color="auto" w:fill="auto"/>
          <w14:textFill>
            <w14:solidFill>
              <w14:schemeClr w14:val="tx1"/>
            </w14:solidFill>
          </w14:textFill>
        </w:rPr>
        <w:t>中标候选人，并</w:t>
      </w:r>
      <w:r>
        <w:rPr>
          <w:rFonts w:hint="eastAsia" w:ascii="宋体" w:hAnsi="宋体"/>
          <w:color w:val="000000" w:themeColor="text1"/>
          <w:szCs w:val="21"/>
          <w:highlight w:val="none"/>
          <w:shd w:val="clear" w:color="auto" w:fill="auto"/>
          <w:lang w:eastAsia="zh-CN"/>
          <w14:textFill>
            <w14:solidFill>
              <w14:schemeClr w14:val="tx1"/>
            </w14:solidFill>
          </w14:textFill>
        </w:rPr>
        <w:t>对</w:t>
      </w:r>
      <w:r>
        <w:rPr>
          <w:rFonts w:hint="eastAsia" w:ascii="宋体" w:hAnsi="宋体"/>
          <w:color w:val="000000" w:themeColor="text1"/>
          <w:szCs w:val="21"/>
          <w:highlight w:val="none"/>
          <w:shd w:val="clear" w:color="auto" w:fill="auto"/>
          <w14:textFill>
            <w14:solidFill>
              <w14:schemeClr w14:val="tx1"/>
            </w14:solidFill>
          </w14:textFill>
        </w:rPr>
        <w:t>《评标报告》予以确认。</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）错误修正</w:t>
      </w:r>
    </w:p>
    <w:p>
      <w:pPr>
        <w:pStyle w:val="29"/>
        <w:adjustRightInd w:val="0"/>
        <w:snapToGrid w:val="0"/>
        <w:spacing w:line="400" w:lineRule="exact"/>
        <w:ind w:left="688" w:leftChars="228" w:hanging="210" w:hangingChars="100"/>
        <w:rPr>
          <w:rFonts w:hAnsi="宋体"/>
        </w:rPr>
      </w:pPr>
      <w:r>
        <w:rPr>
          <w:rFonts w:hint="eastAsia" w:hAnsi="宋体"/>
        </w:rPr>
        <w:t>投标文件如果出现计算或表达上的错误，修正错误的原则如下：</w:t>
      </w:r>
    </w:p>
    <w:p>
      <w:pPr>
        <w:pStyle w:val="29"/>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29"/>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29"/>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29"/>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29"/>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29"/>
        <w:adjustRightInd w:val="0"/>
        <w:snapToGrid w:val="0"/>
        <w:spacing w:line="400" w:lineRule="exact"/>
        <w:ind w:firstLine="420" w:firstLineChars="200"/>
        <w:rPr>
          <w:rFonts w:hAnsi="宋体"/>
        </w:rPr>
      </w:pPr>
      <w:r>
        <w:rPr>
          <w:rFonts w:hint="eastAsia" w:hAnsi="宋体"/>
        </w:rPr>
        <w:t>同时出现两种以上不一致的，按照前款规定的顺序修正。</w:t>
      </w:r>
    </w:p>
    <w:p>
      <w:pPr>
        <w:pStyle w:val="29"/>
        <w:adjustRightInd w:val="0"/>
        <w:snapToGrid w:val="0"/>
        <w:spacing w:line="400" w:lineRule="exact"/>
        <w:ind w:firstLine="420" w:firstLineChars="200"/>
        <w:rPr>
          <w:rFonts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）评标原则和评标办法</w:t>
      </w:r>
    </w:p>
    <w:p>
      <w:pPr>
        <w:pStyle w:val="29"/>
        <w:adjustRightInd w:val="0"/>
        <w:snapToGrid w:val="0"/>
        <w:spacing w:line="400" w:lineRule="exact"/>
        <w:ind w:firstLine="420" w:firstLineChars="200"/>
        <w:rPr>
          <w:rFonts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9"/>
        <w:adjustRightInd w:val="0"/>
        <w:snapToGrid w:val="0"/>
        <w:spacing w:line="400" w:lineRule="exact"/>
        <w:ind w:firstLine="420" w:firstLineChars="200"/>
        <w:rPr>
          <w:rFonts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ascii="宋体" w:hAnsi="宋体"/>
          <w:b/>
          <w:szCs w:val="21"/>
        </w:rPr>
      </w:pPr>
      <w:r>
        <w:rPr>
          <w:rFonts w:hint="eastAsia" w:ascii="宋体" w:hAnsi="宋体"/>
          <w:b/>
          <w:szCs w:val="21"/>
        </w:rPr>
        <w:t>（</w:t>
      </w:r>
      <w:r>
        <w:rPr>
          <w:rFonts w:hint="eastAsia" w:ascii="宋体" w:hAnsi="宋体"/>
          <w:b/>
          <w:szCs w:val="21"/>
          <w:lang w:eastAsia="zh-CN"/>
        </w:rPr>
        <w:t>六</w:t>
      </w:r>
      <w:r>
        <w:rPr>
          <w:rFonts w:hint="eastAsia" w:ascii="宋体" w:hAnsi="宋体"/>
          <w:b/>
          <w:szCs w:val="21"/>
        </w:rPr>
        <w:t>）评标过程的监控</w:t>
      </w:r>
    </w:p>
    <w:p>
      <w:pPr>
        <w:pStyle w:val="29"/>
        <w:adjustRightInd w:val="0"/>
        <w:snapToGrid w:val="0"/>
        <w:spacing w:line="400" w:lineRule="exact"/>
        <w:ind w:firstLine="420" w:firstLineChars="200"/>
        <w:rPr>
          <w:rFonts w:hAnsi="宋体"/>
        </w:rPr>
      </w:pPr>
      <w:r>
        <w:rPr>
          <w:rFonts w:hint="eastAsia" w:hAnsi="宋体"/>
        </w:rPr>
        <w:t>本项目评标过程实行全程录音、录像监控，投标人在评标过程中所进行的试图影响评标结果的不公正活动，可能导致其投标被拒绝。</w:t>
      </w:r>
    </w:p>
    <w:p>
      <w:pPr>
        <w:pStyle w:val="29"/>
        <w:adjustRightInd w:val="0"/>
        <w:snapToGrid w:val="0"/>
        <w:spacing w:line="400" w:lineRule="exact"/>
        <w:rPr>
          <w:rFonts w:hAnsi="宋体"/>
          <w:b/>
        </w:rPr>
      </w:pPr>
      <w:bookmarkStart w:id="51" w:name="_Toc254970546"/>
      <w:bookmarkStart w:id="52" w:name="_Toc254970687"/>
      <w:r>
        <w:rPr>
          <w:rFonts w:hint="eastAsia" w:hAnsi="宋体"/>
          <w:b/>
        </w:rPr>
        <w:t>七、评标结果</w:t>
      </w:r>
      <w:bookmarkEnd w:id="51"/>
      <w:bookmarkEnd w:id="52"/>
    </w:p>
    <w:p>
      <w:pPr>
        <w:pStyle w:val="29"/>
        <w:adjustRightInd w:val="0"/>
        <w:snapToGrid w:val="0"/>
        <w:spacing w:line="400" w:lineRule="exact"/>
        <w:ind w:firstLine="420"/>
        <w:rPr>
          <w:rFonts w:hAnsi="宋体"/>
        </w:rPr>
      </w:pPr>
      <w:r>
        <w:rPr>
          <w:rFonts w:hint="eastAsia" w:hAnsi="宋体"/>
        </w:rPr>
        <w:t>（一）本中心将在评标结束后2个工作日内将评标报告送采购人，采购人在5个工作日内按照评标报告中推荐的中标候选供应商顺序确定中标供应商。采购人也可以事先授权评标委员会直接确定中标供应商。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9"/>
        <w:adjustRightInd w:val="0"/>
        <w:snapToGrid w:val="0"/>
        <w:spacing w:line="400" w:lineRule="exact"/>
        <w:ind w:firstLine="420"/>
        <w:rPr>
          <w:rFonts w:hAnsi="宋体"/>
        </w:rPr>
      </w:pPr>
      <w:r>
        <w:rPr>
          <w:rFonts w:hint="eastAsia" w:hAnsi="宋体"/>
        </w:rPr>
        <w:t>（二）中标供应商确定后，本中心在中国政府采购网、广西政府采购网、</w:t>
      </w:r>
      <w:r>
        <w:rPr>
          <w:rFonts w:hAnsi="宋体"/>
          <w:lang w:val="en"/>
        </w:rPr>
        <w:t>广西壮族自治区公共资源交易中心</w:t>
      </w:r>
      <w:r>
        <w:rPr>
          <w:rFonts w:hint="eastAsia" w:hAnsi="宋体"/>
        </w:rPr>
        <w:t>网站发布中标公告。</w:t>
      </w:r>
    </w:p>
    <w:p>
      <w:pPr>
        <w:pStyle w:val="29"/>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hAnsi="宋体"/>
          <w:bCs/>
          <w:color w:val="auto"/>
          <w:highlight w:val="none"/>
          <w:shd w:val="clear" w:color="auto" w:fill="auto"/>
        </w:rPr>
      </w:pPr>
      <w:r>
        <w:rPr>
          <w:rFonts w:hint="eastAsia" w:hAnsi="宋体"/>
          <w:color w:val="auto"/>
          <w:highlight w:val="none"/>
          <w:shd w:val="clear" w:color="auto" w:fill="auto"/>
        </w:rPr>
        <w:t>（四）</w:t>
      </w:r>
      <w:r>
        <w:rPr>
          <w:rFonts w:hint="eastAsia" w:hAnsi="宋体"/>
          <w:bCs/>
          <w:color w:val="auto"/>
          <w:highlight w:val="none"/>
          <w:shd w:val="clear" w:color="auto" w:fill="auto"/>
        </w:rPr>
        <w:t>投标人认为招标文件、招标过程和中标结果使自己的权益受到损害的，可以在知道或者应知其权益受到损害之日起七个工作日内，以书面形式向本中心提出质疑，并及时索要书面回执。</w:t>
      </w:r>
    </w:p>
    <w:p>
      <w:pPr>
        <w:pStyle w:val="29"/>
        <w:keepNext w:val="0"/>
        <w:keepLines w:val="0"/>
        <w:pageBreakBefore w:val="0"/>
        <w:widowControl w:val="0"/>
        <w:kinsoku/>
        <w:wordWrap/>
        <w:overflowPunct/>
        <w:topLinePunct w:val="0"/>
        <w:autoSpaceDE/>
        <w:autoSpaceDN/>
        <w:bidi w:val="0"/>
        <w:adjustRightInd/>
        <w:snapToGrid/>
        <w:spacing w:line="400" w:lineRule="exact"/>
        <w:ind w:firstLine="420"/>
        <w:textAlignment w:val="auto"/>
        <w:rPr>
          <w:rFonts w:hint="eastAsia" w:hAnsi="宋体"/>
          <w:color w:val="auto"/>
          <w:highlight w:val="none"/>
          <w:shd w:val="clear" w:color="auto" w:fill="auto"/>
        </w:rPr>
      </w:pPr>
      <w:r>
        <w:rPr>
          <w:rFonts w:hint="eastAsia" w:hAnsi="宋体"/>
          <w:color w:val="auto"/>
          <w:highlight w:val="none"/>
          <w:shd w:val="clear" w:color="auto" w:fill="auto"/>
        </w:rPr>
        <w:t>（五）</w:t>
      </w:r>
      <w:r>
        <w:rPr>
          <w:rFonts w:hint="eastAsia" w:hAnsi="宋体"/>
          <w:bCs/>
          <w:color w:val="auto"/>
          <w:highlight w:val="none"/>
          <w:shd w:val="clear" w:color="auto" w:fill="auto"/>
        </w:rPr>
        <w:t>本中心应当按照有关规定就采购人委托授权范围内的事项在收到投标人的书面质疑后七个工作日内做出答复，但答复的内容不得涉及商业秘密。</w:t>
      </w:r>
    </w:p>
    <w:p>
      <w:pPr>
        <w:pStyle w:val="29"/>
        <w:adjustRightInd w:val="0"/>
        <w:snapToGrid w:val="0"/>
        <w:spacing w:line="400" w:lineRule="exact"/>
        <w:rPr>
          <w:rFonts w:hAnsi="宋体"/>
          <w:b/>
        </w:rPr>
      </w:pPr>
      <w:r>
        <w:rPr>
          <w:rFonts w:hint="eastAsia" w:hAnsi="宋体"/>
          <w:b/>
        </w:rPr>
        <w:t>八、签订合同</w:t>
      </w:r>
    </w:p>
    <w:p>
      <w:pPr>
        <w:adjustRightInd w:val="0"/>
        <w:snapToGrid w:val="0"/>
        <w:spacing w:line="400" w:lineRule="exact"/>
        <w:ind w:firstLine="420" w:firstLineChars="200"/>
        <w:rPr>
          <w:rFonts w:ascii="宋体" w:hAnsi="宋体"/>
          <w:b/>
          <w:szCs w:val="21"/>
        </w:rPr>
      </w:pPr>
      <w:r>
        <w:rPr>
          <w:rFonts w:hint="eastAsia" w:ascii="宋体" w:hAnsi="宋体"/>
          <w:b/>
          <w:szCs w:val="21"/>
        </w:rPr>
        <w:t>（一）合同授予标准</w:t>
      </w:r>
    </w:p>
    <w:p>
      <w:pPr>
        <w:pStyle w:val="29"/>
        <w:adjustRightInd w:val="0"/>
        <w:snapToGrid w:val="0"/>
        <w:spacing w:line="400" w:lineRule="exact"/>
        <w:ind w:firstLine="420"/>
        <w:rPr>
          <w:rFonts w:hAnsi="宋体"/>
        </w:rPr>
      </w:pPr>
      <w:r>
        <w:rPr>
          <w:rFonts w:hint="eastAsia" w:hAnsi="宋体"/>
          <w:color w:val="auto"/>
          <w:highlight w:val="none"/>
          <w:shd w:val="clear" w:color="auto" w:fill="auto"/>
        </w:rPr>
        <w:t>合同将授予被确定投标文件满足招标文件全部实质性要求，具备履行合同能力，评审得分最高，综合评分排名第一的供应商。</w:t>
      </w:r>
    </w:p>
    <w:p>
      <w:pPr>
        <w:adjustRightInd w:val="0"/>
        <w:snapToGrid w:val="0"/>
        <w:spacing w:line="400" w:lineRule="exact"/>
        <w:ind w:firstLine="420" w:firstLineChars="200"/>
        <w:rPr>
          <w:rFonts w:ascii="宋体" w:hAnsi="宋体"/>
          <w:b/>
          <w:szCs w:val="21"/>
        </w:rPr>
      </w:pPr>
      <w:r>
        <w:rPr>
          <w:rFonts w:hint="eastAsia" w:ascii="宋体" w:hAnsi="宋体"/>
          <w:b/>
          <w:szCs w:val="21"/>
        </w:rPr>
        <w:t>（二）签订合同</w:t>
      </w:r>
    </w:p>
    <w:p>
      <w:pPr>
        <w:pStyle w:val="29"/>
        <w:adjustRightInd w:val="0"/>
        <w:snapToGrid w:val="0"/>
        <w:spacing w:line="400" w:lineRule="exact"/>
        <w:ind w:firstLine="420"/>
        <w:rPr>
          <w:rFonts w:hAnsi="宋体"/>
        </w:rPr>
      </w:pPr>
      <w:r>
        <w:rPr>
          <w:rFonts w:hint="eastAsia" w:hAnsi="宋体"/>
        </w:rPr>
        <w:t>（1）投标人接到中标通知书后，应按中标通知书规定的时间、地点与采购人签订合同。中标人无正当理由不得放弃中标。</w:t>
      </w:r>
    </w:p>
    <w:p>
      <w:pPr>
        <w:pStyle w:val="29"/>
        <w:adjustRightInd w:val="0"/>
        <w:snapToGrid w:val="0"/>
        <w:spacing w:line="400" w:lineRule="exact"/>
        <w:ind w:firstLine="420"/>
        <w:rPr>
          <w:rFonts w:hAnsi="宋体"/>
        </w:rPr>
      </w:pPr>
      <w:r>
        <w:rPr>
          <w:rFonts w:hint="eastAsia" w:hAnsi="宋体"/>
        </w:rPr>
        <w:t>（2）如中标供应商不按中标通知书的规定签订合同，则按中标供应商违约处理，本中心将没收中标供应商投标的全部投标保证金。</w:t>
      </w:r>
    </w:p>
    <w:p>
      <w:pPr>
        <w:pStyle w:val="29"/>
        <w:adjustRightInd w:val="0"/>
        <w:snapToGrid w:val="0"/>
        <w:spacing w:line="400" w:lineRule="exact"/>
        <w:ind w:firstLine="420" w:firstLineChars="200"/>
        <w:rPr>
          <w:rFonts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9"/>
        <w:adjustRightInd w:val="0"/>
        <w:snapToGrid w:val="0"/>
        <w:spacing w:line="400" w:lineRule="exact"/>
        <w:rPr>
          <w:rFonts w:hAnsi="宋体"/>
          <w:b/>
        </w:rPr>
      </w:pPr>
      <w:r>
        <w:rPr>
          <w:rFonts w:hint="eastAsia" w:hAnsi="宋体"/>
          <w:b/>
        </w:rPr>
        <w:t>九、其他事项</w:t>
      </w:r>
    </w:p>
    <w:p>
      <w:pPr>
        <w:pStyle w:val="29"/>
        <w:adjustRightInd w:val="0"/>
        <w:snapToGrid w:val="0"/>
        <w:spacing w:line="400" w:lineRule="exact"/>
        <w:ind w:left="688" w:leftChars="228" w:hanging="210" w:hangingChars="100"/>
        <w:rPr>
          <w:rFonts w:hAnsi="宋体"/>
        </w:rPr>
      </w:pPr>
      <w:r>
        <w:rPr>
          <w:rFonts w:hint="eastAsia" w:hAnsi="宋体"/>
        </w:rPr>
        <w:t>（一）解释权：本招标文件解释权属本中心。</w:t>
      </w:r>
    </w:p>
    <w:p>
      <w:pPr>
        <w:pStyle w:val="29"/>
        <w:adjustRightInd w:val="0"/>
        <w:snapToGrid w:val="0"/>
        <w:spacing w:line="400" w:lineRule="exact"/>
        <w:ind w:left="688" w:leftChars="228" w:hanging="210" w:hangingChars="100"/>
        <w:rPr>
          <w:rFonts w:hAnsi="宋体"/>
        </w:rPr>
      </w:pPr>
      <w:r>
        <w:rPr>
          <w:rFonts w:hint="eastAsia" w:hAnsi="宋体"/>
        </w:rPr>
        <w:t>（二）有关事宜</w:t>
      </w:r>
    </w:p>
    <w:p>
      <w:pPr>
        <w:pStyle w:val="29"/>
        <w:adjustRightInd w:val="0"/>
        <w:snapToGrid w:val="0"/>
        <w:spacing w:line="400" w:lineRule="exact"/>
        <w:ind w:firstLine="728" w:firstLineChars="347"/>
        <w:rPr>
          <w:rFonts w:hAnsi="宋体"/>
        </w:rPr>
      </w:pPr>
      <w:r>
        <w:rPr>
          <w:rFonts w:hint="eastAsia" w:hAnsi="宋体"/>
        </w:rPr>
        <w:t>所有与本招标文件有关的函件请按下列通讯地址联系：</w:t>
      </w:r>
    </w:p>
    <w:p>
      <w:pPr>
        <w:pStyle w:val="29"/>
        <w:adjustRightInd w:val="0"/>
        <w:snapToGrid w:val="0"/>
        <w:spacing w:line="400" w:lineRule="exact"/>
        <w:ind w:firstLine="840"/>
        <w:rPr>
          <w:rFonts w:hAnsi="宋体"/>
          <w:lang w:val="en"/>
        </w:rPr>
      </w:pPr>
      <w:r>
        <w:rPr>
          <w:rFonts w:hAnsi="宋体"/>
          <w:lang w:val="en"/>
        </w:rPr>
        <w:t>广西壮族自治区公共资源交易中心</w:t>
      </w:r>
    </w:p>
    <w:p>
      <w:pPr>
        <w:pStyle w:val="29"/>
        <w:tabs>
          <w:tab w:val="left" w:pos="1990"/>
        </w:tabs>
        <w:adjustRightInd w:val="0"/>
        <w:snapToGrid w:val="0"/>
        <w:spacing w:line="400" w:lineRule="exact"/>
        <w:ind w:firstLine="824"/>
        <w:rPr>
          <w:rFonts w:hint="default" w:hAnsi="宋体" w:eastAsia="宋体"/>
          <w:u w:val="single"/>
          <w:lang w:val="en-US" w:eastAsia="zh-CN"/>
        </w:rPr>
      </w:pPr>
      <w:r>
        <w:rPr>
          <w:rFonts w:hint="eastAsia" w:hAnsi="宋体"/>
        </w:rPr>
        <w:t>邮政编码：5300</w:t>
      </w:r>
      <w:r>
        <w:rPr>
          <w:rFonts w:hint="eastAsia" w:hAnsi="宋体"/>
          <w:lang w:val="en-US" w:eastAsia="zh-CN"/>
        </w:rPr>
        <w:t>22</w:t>
      </w:r>
    </w:p>
    <w:p>
      <w:pPr>
        <w:pStyle w:val="29"/>
        <w:tabs>
          <w:tab w:val="left" w:pos="1990"/>
        </w:tabs>
        <w:adjustRightInd w:val="0"/>
        <w:snapToGrid w:val="0"/>
        <w:spacing w:line="400" w:lineRule="exact"/>
        <w:ind w:firstLine="824"/>
        <w:rPr>
          <w:rFonts w:hAnsi="宋体"/>
          <w:spacing w:val="-4"/>
        </w:rPr>
      </w:pPr>
      <w:r>
        <w:rPr>
          <w:rFonts w:hint="eastAsia" w:hAnsi="宋体"/>
        </w:rPr>
        <w:t>通讯地址：</w:t>
      </w:r>
      <w:r>
        <w:rPr>
          <w:rFonts w:hint="eastAsia" w:hAnsi="宋体"/>
          <w:spacing w:val="-4"/>
        </w:rPr>
        <w:t>广西南宁市星湖路22号</w:t>
      </w:r>
    </w:p>
    <w:p>
      <w:pPr>
        <w:pStyle w:val="29"/>
        <w:tabs>
          <w:tab w:val="left" w:pos="1990"/>
        </w:tabs>
        <w:adjustRightInd w:val="0"/>
        <w:snapToGrid w:val="0"/>
        <w:spacing w:line="400" w:lineRule="exact"/>
        <w:ind w:firstLine="824"/>
        <w:rPr>
          <w:rFonts w:hAnsi="宋体"/>
          <w:spacing w:val="-4"/>
        </w:rPr>
      </w:pPr>
      <w:r>
        <w:rPr>
          <w:rFonts w:hint="eastAsia" w:hAnsi="宋体"/>
          <w:spacing w:val="-4"/>
        </w:rPr>
        <w:t>电</w:t>
      </w:r>
      <w:r>
        <w:rPr>
          <w:rFonts w:hAnsi="宋体"/>
          <w:spacing w:val="-4"/>
        </w:rPr>
        <w:t xml:space="preserve">    </w:t>
      </w:r>
      <w:r>
        <w:rPr>
          <w:rFonts w:hint="eastAsia" w:hAnsi="宋体"/>
          <w:spacing w:val="-4"/>
        </w:rPr>
        <w:t>话：</w:t>
      </w:r>
      <w:r>
        <w:rPr>
          <w:rStyle w:val="141"/>
          <w:rFonts w:cs="宋体"/>
          <w:color w:val="auto"/>
          <w:sz w:val="21"/>
          <w:szCs w:val="21"/>
          <w:lang w:val="en"/>
        </w:rPr>
        <w:t>0771-</w:t>
      </w:r>
      <w:r>
        <w:rPr>
          <w:rStyle w:val="141"/>
          <w:rFonts w:hint="eastAsia" w:cs="宋体"/>
          <w:color w:val="auto"/>
          <w:sz w:val="21"/>
          <w:szCs w:val="21"/>
          <w:lang w:val="en-US" w:eastAsia="zh-CN"/>
        </w:rPr>
        <w:t>8600361、8600359</w:t>
      </w:r>
      <w:r>
        <w:rPr>
          <w:rFonts w:hAnsi="宋体"/>
          <w:spacing w:val="-4"/>
        </w:rPr>
        <w:t xml:space="preserve">            </w:t>
      </w:r>
      <w:r>
        <w:rPr>
          <w:rFonts w:hint="eastAsia" w:hAnsi="宋体"/>
          <w:spacing w:val="-4"/>
        </w:rPr>
        <w:t>传</w:t>
      </w:r>
      <w:r>
        <w:rPr>
          <w:rFonts w:hAnsi="宋体"/>
          <w:spacing w:val="-4"/>
        </w:rPr>
        <w:t xml:space="preserve">    </w:t>
      </w:r>
      <w:r>
        <w:rPr>
          <w:rFonts w:hint="eastAsia" w:hAnsi="宋体"/>
          <w:spacing w:val="-4"/>
        </w:rPr>
        <w:t>真：</w:t>
      </w:r>
      <w:r>
        <w:rPr>
          <w:rFonts w:hAnsi="宋体"/>
          <w:spacing w:val="-4"/>
        </w:rPr>
        <w:t>0771-</w:t>
      </w:r>
      <w:r>
        <w:rPr>
          <w:rFonts w:hint="eastAsia" w:hAnsi="宋体"/>
          <w:spacing w:val="-4"/>
        </w:rPr>
        <w:t>8600305。</w:t>
      </w:r>
    </w:p>
    <w:bookmarkEnd w:id="17"/>
    <w:bookmarkEnd w:id="18"/>
    <w:p>
      <w:pPr>
        <w:pStyle w:val="29"/>
        <w:snapToGrid w:val="0"/>
        <w:spacing w:before="120" w:after="120"/>
        <w:jc w:val="center"/>
        <w:outlineLvl w:val="0"/>
        <w:rPr>
          <w:rFonts w:hAnsi="宋体"/>
          <w:b/>
          <w:sz w:val="44"/>
          <w:szCs w:val="44"/>
        </w:rPr>
      </w:pPr>
      <w:bookmarkStart w:id="53" w:name="_Toc254970549"/>
      <w:bookmarkStart w:id="54" w:name="_Toc254970690"/>
    </w:p>
    <w:p>
      <w:pPr>
        <w:pStyle w:val="29"/>
        <w:pageBreakBefore/>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p>
      <w:pPr>
        <w:pStyle w:val="29"/>
        <w:snapToGrid w:val="0"/>
        <w:spacing w:before="120" w:after="120"/>
        <w:jc w:val="center"/>
        <w:outlineLvl w:val="0"/>
        <w:rPr>
          <w:rFonts w:hAnsi="宋体"/>
          <w:b/>
          <w:sz w:val="44"/>
          <w:szCs w:val="44"/>
        </w:rPr>
      </w:pPr>
    </w:p>
    <w:bookmarkEnd w:id="53"/>
    <w:bookmarkEnd w:id="54"/>
    <w:p>
      <w:pPr>
        <w:pStyle w:val="3"/>
        <w:jc w:val="center"/>
        <w:rPr>
          <w:rFonts w:hint="eastAsia" w:eastAsia="宋体"/>
          <w:lang w:eastAsia="zh-CN"/>
        </w:rPr>
      </w:pPr>
      <w:bookmarkStart w:id="55" w:name="_Toc1211477353"/>
      <w:r>
        <w:rPr>
          <w:rFonts w:hint="eastAsia"/>
        </w:rPr>
        <w:t xml:space="preserve">第四章  </w:t>
      </w:r>
      <w:bookmarkEnd w:id="55"/>
      <w:r>
        <w:rPr>
          <w:rFonts w:hint="eastAsia"/>
          <w:lang w:eastAsia="zh-CN"/>
        </w:rPr>
        <w:t>评标方法及评分标准</w:t>
      </w: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111"/>
        <w:adjustRightInd w:val="0"/>
        <w:snapToGrid w:val="0"/>
        <w:spacing w:line="400" w:lineRule="exact"/>
        <w:ind w:firstLine="42"/>
        <w:rPr>
          <w:b/>
          <w:bCs/>
        </w:rPr>
      </w:pP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Times New Roman" w:hAnsi="Times New Roman" w:eastAsia="仿宋_GB2312"/>
          <w:b/>
          <w:sz w:val="32"/>
          <w:szCs w:val="32"/>
          <w:lang w:val="en-US" w:eastAsia="zh-CN"/>
        </w:rPr>
        <w:t>1</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40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40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adjustRightInd w:val="0"/>
        <w:snapToGrid w:val="0"/>
        <w:spacing w:line="400" w:lineRule="exact"/>
        <w:ind w:firstLine="289" w:firstLineChars="138"/>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pStyle w:val="6"/>
        <w:keepNext/>
        <w:keepLines/>
        <w:pageBreakBefore w:val="0"/>
        <w:widowControl/>
        <w:kinsoku/>
        <w:wordWrap/>
        <w:overflowPunct/>
        <w:topLinePunct w:val="0"/>
        <w:autoSpaceDE/>
        <w:autoSpaceDN/>
        <w:bidi w:val="0"/>
        <w:adjustRightInd/>
        <w:snapToGrid/>
        <w:ind w:firstLine="420" w:firstLineChars="200"/>
        <w:jc w:val="both"/>
        <w:textAlignment w:val="auto"/>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400" w:lineRule="exact"/>
        <w:ind w:firstLine="42" w:firstLineChars="20"/>
        <w:rPr>
          <w:rFonts w:hAnsi="宋体"/>
          <w:b/>
        </w:rPr>
      </w:pPr>
      <w:r>
        <w:rPr>
          <w:rFonts w:hint="eastAsia" w:hAnsi="宋体"/>
          <w:b/>
        </w:rPr>
        <w:t>二、评标方法</w:t>
      </w:r>
    </w:p>
    <w:p>
      <w:pPr>
        <w:pStyle w:val="111"/>
        <w:adjustRightInd w:val="0"/>
        <w:snapToGrid w:val="0"/>
        <w:spacing w:line="400" w:lineRule="exact"/>
        <w:ind w:firstLine="378" w:firstLineChars="180"/>
      </w:pPr>
      <w:r>
        <w:rPr>
          <w:rFonts w:hint="eastAsia"/>
        </w:rPr>
        <w:t>（一）对进入详评的，采用百分制综合评分法。</w:t>
      </w:r>
    </w:p>
    <w:p>
      <w:pPr>
        <w:pStyle w:val="111"/>
        <w:adjustRightInd w:val="0"/>
        <w:snapToGrid w:val="0"/>
        <w:spacing w:line="40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ascii="Times New Roman" w:hAnsi="Times New Roman"/>
          <w:b/>
          <w:bCs/>
        </w:rPr>
        <w:t>1</w:t>
      </w:r>
      <w:r>
        <w:rPr>
          <w:rFonts w:hint="eastAsia"/>
          <w:b/>
          <w:bCs/>
          <w:lang w:val="en-US" w:eastAsia="zh-CN"/>
        </w:rPr>
        <w:t>.</w:t>
      </w:r>
      <w:r>
        <w:rPr>
          <w:rFonts w:hint="eastAsia"/>
          <w:b/>
          <w:bCs/>
          <w:lang w:eastAsia="zh-CN"/>
        </w:rPr>
        <w:t>价格</w:t>
      </w:r>
      <w:r>
        <w:rPr>
          <w:rFonts w:hint="eastAsia"/>
          <w:b/>
          <w:bCs/>
        </w:rPr>
        <w:t>分…………………………………………………………………………………………</w:t>
      </w:r>
      <w:r>
        <w:rPr>
          <w:rFonts w:hint="eastAsia" w:ascii="Times New Roman" w:hAnsi="Times New Roman"/>
          <w:b/>
          <w:bCs/>
          <w:lang w:val="en-US" w:eastAsia="zh"/>
        </w:rPr>
        <w:t>3</w:t>
      </w:r>
      <w:r>
        <w:rPr>
          <w:rFonts w:hint="eastAsia"/>
          <w:b/>
          <w:bCs/>
          <w:lang w:val="en-US" w:eastAsia="zh-CN"/>
        </w:rPr>
        <w:t>0</w:t>
      </w:r>
      <w:r>
        <w:rPr>
          <w:rFonts w:hint="eastAsia"/>
          <w:b/>
          <w:bCs/>
        </w:rPr>
        <w:t>分</w:t>
      </w:r>
    </w:p>
    <w:p>
      <w:pPr>
        <w:pStyle w:val="111"/>
        <w:adjustRightInd w:val="0"/>
        <w:snapToGrid w:val="0"/>
        <w:spacing w:line="400" w:lineRule="exact"/>
        <w:ind w:firstLine="378" w:firstLineChars="180"/>
      </w:pPr>
      <w:r>
        <w:rPr>
          <w:rFonts w:hint="eastAsia"/>
        </w:rPr>
        <w:t>（</w:t>
      </w:r>
      <w:r>
        <w:rPr>
          <w:rFonts w:hint="eastAsia" w:ascii="Times New Roman" w:hAnsi="Times New Roman"/>
        </w:rPr>
        <w:t>1</w:t>
      </w:r>
      <w:r>
        <w:rPr>
          <w:rFonts w:hint="eastAsia"/>
        </w:rPr>
        <w:t>）</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w:t>
      </w:r>
      <w:r>
        <w:rPr>
          <w:rFonts w:hint="eastAsia"/>
        </w:rPr>
        <w:t>〔</w:t>
      </w:r>
      <w:r>
        <w:rPr>
          <w:rFonts w:ascii="Times New Roman" w:hAnsi="Times New Roman"/>
        </w:rPr>
        <w:t>2014</w:t>
      </w:r>
      <w:r>
        <w:rPr>
          <w:rFonts w:hint="eastAsia"/>
        </w:rPr>
        <w:t>〕</w:t>
      </w:r>
      <w:r>
        <w:rPr>
          <w:rFonts w:ascii="Times New Roman" w:hAnsi="Times New Roman"/>
        </w:rPr>
        <w:t>68</w:t>
      </w:r>
      <w:r>
        <w:t>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w:t>
      </w:r>
      <w:r>
        <w:rPr>
          <w:rFonts w:hint="eastAsia" w:ascii="Times New Roman" w:hAnsi="Times New Roman"/>
        </w:rPr>
        <w:t>2017</w:t>
      </w:r>
      <w:r>
        <w:rPr>
          <w:rFonts w:hint="eastAsia"/>
        </w:rPr>
        <w:t>〕</w:t>
      </w:r>
      <w:r>
        <w:rPr>
          <w:rFonts w:hint="eastAsia" w:ascii="Times New Roman" w:hAnsi="Times New Roman"/>
        </w:rPr>
        <w:t>141</w:t>
      </w:r>
      <w:r>
        <w:rPr>
          <w:rFonts w:hint="eastAsia"/>
        </w:rPr>
        <w:t>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adjustRightInd w:val="0"/>
        <w:snapToGrid w:val="0"/>
        <w:spacing w:line="400" w:lineRule="exact"/>
        <w:ind w:firstLine="378" w:firstLineChars="180"/>
      </w:pPr>
      <w:r>
        <w:rPr>
          <w:rFonts w:hint="eastAsia"/>
        </w:rPr>
        <w:t>（</w:t>
      </w:r>
      <w:r>
        <w:rPr>
          <w:rFonts w:hint="eastAsia" w:ascii="Times New Roman" w:hAnsi="Times New Roman"/>
        </w:rPr>
        <w:t>2</w:t>
      </w:r>
      <w:r>
        <w:rPr>
          <w:rFonts w:hint="eastAsia"/>
        </w:rPr>
        <w:t>）</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adjustRightInd w:val="0"/>
        <w:snapToGrid w:val="0"/>
        <w:spacing w:line="360" w:lineRule="exact"/>
        <w:ind w:firstLine="378" w:firstLineChars="180"/>
      </w:pPr>
      <w:r>
        <w:rPr>
          <w:rFonts w:hint="eastAsia"/>
        </w:rPr>
        <w:t>（</w:t>
      </w:r>
      <w:r>
        <w:rPr>
          <w:rFonts w:ascii="Times New Roman" w:hAnsi="Times New Roman"/>
        </w:rP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ind w:firstLine="420" w:firstLineChars="200"/>
        <w:rPr>
          <w:rFonts w:hAnsi="宋体"/>
          <w:b/>
        </w:rPr>
      </w:pPr>
      <w:r>
        <w:rPr>
          <w:rFonts w:hint="eastAsia" w:ascii="Times New Roman" w:hAnsi="Times New Roman"/>
          <w:b/>
          <w:bCs/>
        </w:rPr>
        <w:t>2</w:t>
      </w:r>
      <w:r>
        <w:rPr>
          <w:rFonts w:hint="eastAsia"/>
          <w:b/>
          <w:bCs/>
          <w:lang w:val="en-US" w:eastAsia="zh-CN"/>
        </w:rPr>
        <w:t>.</w:t>
      </w:r>
      <w:r>
        <w:rPr>
          <w:rFonts w:hint="eastAsia"/>
          <w:b/>
          <w:bCs/>
        </w:rPr>
        <w:t>技术分…………………………………………………………………………………………</w:t>
      </w:r>
      <w:r>
        <w:rPr>
          <w:rFonts w:hint="eastAsia"/>
          <w:b/>
          <w:bCs/>
          <w:lang w:val="en-US" w:eastAsia="zh-CN"/>
        </w:rPr>
        <w:t>60</w:t>
      </w:r>
      <w:r>
        <w:rPr>
          <w:rFonts w:hint="eastAsia"/>
          <w:b/>
          <w:bCs/>
        </w:rPr>
        <w:t>分</w:t>
      </w:r>
    </w:p>
    <w:p>
      <w:pPr>
        <w:pStyle w:val="111"/>
        <w:adjustRightInd w:val="0"/>
        <w:snapToGrid w:val="0"/>
        <w:spacing w:line="400" w:lineRule="exact"/>
        <w:ind w:firstLine="378" w:firstLineChars="180"/>
        <w:rPr>
          <w:rFonts w:hint="eastAsia"/>
        </w:rPr>
      </w:pPr>
      <w:r>
        <w:rPr>
          <w:rFonts w:hint="eastAsia"/>
        </w:rPr>
        <w:t>（</w:t>
      </w:r>
      <w:r>
        <w:rPr>
          <w:rFonts w:hint="eastAsia" w:ascii="Times New Roman" w:hAnsi="Times New Roman"/>
        </w:rPr>
        <w:t>1</w:t>
      </w:r>
      <w:r>
        <w:rPr>
          <w:rFonts w:hint="eastAsia"/>
        </w:rPr>
        <w:t>）一般技术参数要求响应得分（满分</w:t>
      </w:r>
      <w:r>
        <w:rPr>
          <w:rFonts w:hint="eastAsia" w:ascii="Times New Roman" w:hAnsi="Times New Roman"/>
          <w:lang w:val="en-US" w:eastAsia="zh-CN"/>
        </w:rPr>
        <w:t>7</w:t>
      </w:r>
      <w:r>
        <w:rPr>
          <w:rFonts w:hint="eastAsia"/>
        </w:rPr>
        <w:t>分）</w:t>
      </w:r>
    </w:p>
    <w:p>
      <w:pPr>
        <w:pStyle w:val="111"/>
        <w:adjustRightInd w:val="0"/>
        <w:snapToGrid w:val="0"/>
        <w:spacing w:line="400" w:lineRule="exact"/>
        <w:ind w:firstLine="378" w:firstLineChars="180"/>
        <w:rPr>
          <w:rFonts w:hint="eastAsia" w:ascii="宋体" w:hAnsi="宋体" w:eastAsia="宋体"/>
          <w:bCs w:val="0"/>
          <w:szCs w:val="21"/>
        </w:rPr>
      </w:pPr>
      <w:r>
        <w:rPr>
          <w:rFonts w:hint="eastAsia" w:ascii="宋体" w:hAnsi="宋体" w:eastAsia="宋体"/>
          <w:b w:val="0"/>
          <w:szCs w:val="21"/>
        </w:rPr>
        <w:t>一般技术参数要求响应得分</w:t>
      </w:r>
      <w:r>
        <w:rPr>
          <w:rFonts w:hint="eastAsia" w:ascii="宋体" w:hAnsi="宋体" w:eastAsia="宋体"/>
          <w:bCs w:val="0"/>
          <w:szCs w:val="21"/>
        </w:rPr>
        <w:t>（共计</w:t>
      </w:r>
      <w:r>
        <w:rPr>
          <w:rFonts w:hint="eastAsia" w:ascii="Times New Roman" w:hAnsi="Times New Roman"/>
          <w:bCs w:val="0"/>
          <w:szCs w:val="21"/>
          <w:lang w:val="en-US" w:eastAsia="zh-CN"/>
        </w:rPr>
        <w:t>175</w:t>
      </w:r>
      <w:r>
        <w:rPr>
          <w:rFonts w:hint="eastAsia" w:ascii="宋体" w:hAnsi="宋体" w:eastAsia="宋体"/>
          <w:bCs w:val="0"/>
          <w:szCs w:val="21"/>
        </w:rPr>
        <w:t>项），“</w:t>
      </w:r>
      <w:r>
        <w:rPr>
          <w:rFonts w:hint="eastAsia" w:ascii="宋体" w:hAnsi="宋体" w:eastAsia="宋体"/>
          <w:bCs w:val="0"/>
          <w:szCs w:val="21"/>
          <w:lang w:eastAsia="zh-CN"/>
        </w:rPr>
        <w:t>放射治疗设备要求</w:t>
      </w:r>
      <w:r>
        <w:rPr>
          <w:rFonts w:hint="eastAsia" w:ascii="宋体" w:hAnsi="宋体" w:eastAsia="宋体"/>
          <w:bCs w:val="0"/>
          <w:szCs w:val="21"/>
          <w:lang w:val="en-US" w:eastAsia="zh-CN"/>
        </w:rPr>
        <w:t>概述</w:t>
      </w:r>
      <w:r>
        <w:rPr>
          <w:rFonts w:hint="eastAsia" w:ascii="宋体" w:hAnsi="宋体" w:eastAsia="宋体"/>
          <w:bCs w:val="0"/>
          <w:szCs w:val="21"/>
        </w:rPr>
        <w:t xml:space="preserve"> ”“机架运动系统”“束流系统 ”“剂量监测系统”“准直器系统”“治疗床系统”“机载图像引导系统”“</w:t>
      </w:r>
      <w:r>
        <w:rPr>
          <w:rFonts w:hint="eastAsia" w:ascii="Times New Roman" w:hAnsi="Times New Roman" w:eastAsia="宋体"/>
          <w:bCs w:val="0"/>
          <w:szCs w:val="21"/>
        </w:rPr>
        <w:t>EPID</w:t>
      </w:r>
      <w:r>
        <w:rPr>
          <w:rFonts w:hint="eastAsia" w:ascii="宋体" w:hAnsi="宋体" w:eastAsia="宋体"/>
          <w:bCs w:val="0"/>
          <w:szCs w:val="21"/>
        </w:rPr>
        <w:t>成像系统”“</w:t>
      </w:r>
      <w:r>
        <w:rPr>
          <w:rFonts w:hint="eastAsia" w:ascii="Times New Roman" w:hAnsi="Times New Roman" w:eastAsia="宋体"/>
          <w:bCs w:val="0"/>
          <w:szCs w:val="21"/>
        </w:rPr>
        <w:t>EPID</w:t>
      </w:r>
      <w:r>
        <w:rPr>
          <w:rFonts w:hint="eastAsia" w:ascii="宋体" w:hAnsi="宋体" w:eastAsia="宋体"/>
          <w:bCs w:val="0"/>
          <w:szCs w:val="21"/>
        </w:rPr>
        <w:t>质控系统”“治疗模式”“</w:t>
      </w:r>
      <w:r>
        <w:rPr>
          <w:rFonts w:hint="eastAsia" w:ascii="宋体" w:hAnsi="宋体" w:eastAsia="宋体"/>
          <w:bCs w:val="0"/>
          <w:szCs w:val="21"/>
          <w:lang w:val="en-US" w:eastAsia="zh-CN"/>
        </w:rPr>
        <w:t>放射治疗计划系统</w:t>
      </w:r>
      <w:r>
        <w:rPr>
          <w:rFonts w:hint="eastAsia" w:ascii="宋体" w:hAnsi="宋体" w:eastAsia="宋体"/>
          <w:bCs w:val="0"/>
          <w:szCs w:val="21"/>
        </w:rPr>
        <w:t>”“放疗专用肿瘤信息管理系统”“放疗专用激光灯系统”“三维调强验证系统”“立体定向放疗质控模体”“二次剂量验证系统”</w:t>
      </w:r>
      <w:r>
        <w:rPr>
          <w:rFonts w:hint="eastAsia" w:ascii="宋体" w:hAnsi="宋体" w:eastAsia="宋体"/>
          <w:bCs w:val="0"/>
          <w:szCs w:val="21"/>
          <w:lang w:eastAsia="zh-CN"/>
        </w:rPr>
        <w:t>“晨检仪”“辐射防护设备和其他设备”“体位固定方案”“体表光学定位系统”“剂量仪”“三维水箱”“平面剂量验证系统”“数据管理系统”</w:t>
      </w:r>
      <w:r>
        <w:rPr>
          <w:rFonts w:hint="eastAsia" w:ascii="宋体" w:hAnsi="宋体" w:eastAsia="宋体"/>
          <w:bCs w:val="0"/>
          <w:szCs w:val="21"/>
        </w:rPr>
        <w:t>等为技术参数要求的名称描述，不计入一般技术参数要求数量。</w:t>
      </w:r>
    </w:p>
    <w:p>
      <w:pPr>
        <w:pStyle w:val="111"/>
        <w:adjustRightInd w:val="0"/>
        <w:snapToGrid w:val="0"/>
        <w:spacing w:line="400" w:lineRule="exact"/>
        <w:ind w:firstLine="378" w:firstLineChars="180"/>
      </w:pPr>
      <w:r>
        <w:rPr>
          <w:rFonts w:hint="eastAsia" w:ascii="宋体" w:hAnsi="宋体" w:eastAsia="宋体"/>
          <w:bCs w:val="0"/>
          <w:szCs w:val="21"/>
        </w:rPr>
        <w:t>一般技术参数满足</w:t>
      </w:r>
      <w:r>
        <w:rPr>
          <w:rFonts w:hint="eastAsia"/>
          <w:bCs w:val="0"/>
          <w:szCs w:val="21"/>
          <w:lang w:eastAsia="zh-CN"/>
        </w:rPr>
        <w:t>采购需求</w:t>
      </w:r>
      <w:r>
        <w:rPr>
          <w:rFonts w:hint="eastAsia" w:ascii="宋体" w:hAnsi="宋体" w:eastAsia="宋体"/>
          <w:bCs w:val="0"/>
          <w:szCs w:val="21"/>
        </w:rPr>
        <w:t>的，每项</w:t>
      </w:r>
      <w:r>
        <w:rPr>
          <w:rFonts w:hint="eastAsia"/>
          <w:bCs w:val="0"/>
          <w:szCs w:val="21"/>
          <w:lang w:eastAsia="zh-CN"/>
        </w:rPr>
        <w:t>得</w:t>
      </w:r>
      <w:r>
        <w:rPr>
          <w:rFonts w:hint="eastAsia" w:ascii="Times New Roman" w:hAnsi="Times New Roman"/>
          <w:bCs w:val="0"/>
          <w:szCs w:val="21"/>
          <w:lang w:val="en-US" w:eastAsia="zh-CN"/>
        </w:rPr>
        <w:t>0.04</w:t>
      </w:r>
      <w:r>
        <w:rPr>
          <w:rFonts w:hint="eastAsia" w:ascii="宋体" w:hAnsi="宋体" w:eastAsia="宋体"/>
          <w:bCs w:val="0"/>
          <w:szCs w:val="21"/>
        </w:rPr>
        <w:t>分。</w:t>
      </w:r>
    </w:p>
    <w:p>
      <w:pPr>
        <w:pStyle w:val="111"/>
        <w:adjustRightInd w:val="0"/>
        <w:snapToGrid w:val="0"/>
        <w:spacing w:line="400" w:lineRule="exact"/>
        <w:ind w:firstLine="378" w:firstLineChars="180"/>
      </w:pPr>
      <w:r>
        <w:rPr>
          <w:rFonts w:hint="eastAsia"/>
        </w:rPr>
        <w:t>注：一般技术参数要求是指技术参数要求中未标注“▲”、“★”的技术参数。</w:t>
      </w:r>
    </w:p>
    <w:p>
      <w:pPr>
        <w:pStyle w:val="111"/>
        <w:adjustRightInd w:val="0"/>
        <w:snapToGrid w:val="0"/>
        <w:spacing w:line="400" w:lineRule="exact"/>
        <w:ind w:firstLine="378" w:firstLineChars="180"/>
      </w:pPr>
      <w:r>
        <w:rPr>
          <w:rFonts w:hint="eastAsia"/>
        </w:rPr>
        <w:t>（</w:t>
      </w:r>
      <w:r>
        <w:rPr>
          <w:rFonts w:hint="eastAsia" w:ascii="Times New Roman" w:hAnsi="Times New Roman"/>
        </w:rPr>
        <w:t>2</w:t>
      </w:r>
      <w:r>
        <w:rPr>
          <w:rFonts w:hint="eastAsia"/>
        </w:rPr>
        <w:t>）重要</w:t>
      </w:r>
      <w:r>
        <w:rPr>
          <w:rFonts w:hint="eastAsia"/>
          <w:lang w:eastAsia="zh-CN"/>
        </w:rPr>
        <w:t>技术</w:t>
      </w:r>
      <w:r>
        <w:rPr>
          <w:rFonts w:hint="eastAsia"/>
        </w:rPr>
        <w:t>参数要求响应得分（满分</w:t>
      </w:r>
      <w:r>
        <w:rPr>
          <w:rFonts w:hint="eastAsia" w:ascii="Times New Roman" w:hAnsi="Times New Roman"/>
          <w:lang w:val="en-US" w:eastAsia="zh-CN"/>
        </w:rPr>
        <w:t>42</w:t>
      </w:r>
      <w:r>
        <w:rPr>
          <w:rFonts w:hint="eastAsia"/>
        </w:rPr>
        <w:t>分）</w:t>
      </w:r>
    </w:p>
    <w:p>
      <w:pPr>
        <w:pStyle w:val="111"/>
        <w:adjustRightInd w:val="0"/>
        <w:snapToGrid w:val="0"/>
        <w:spacing w:line="400" w:lineRule="exact"/>
        <w:ind w:firstLine="378" w:firstLineChars="180"/>
      </w:pPr>
      <w:r>
        <w:rPr>
          <w:rFonts w:hint="eastAsia"/>
        </w:rPr>
        <w:t>重要技术参数要求响应得分（共计</w:t>
      </w:r>
      <w:r>
        <w:rPr>
          <w:rFonts w:hint="eastAsia" w:ascii="Times New Roman" w:hAnsi="Times New Roman"/>
          <w:lang w:val="en-US" w:eastAsia="zh-CN"/>
        </w:rPr>
        <w:t>12</w:t>
      </w:r>
      <w:r>
        <w:rPr>
          <w:rFonts w:hint="eastAsia"/>
        </w:rPr>
        <w:t>项）；</w:t>
      </w:r>
    </w:p>
    <w:p>
      <w:pPr>
        <w:pStyle w:val="111"/>
        <w:adjustRightInd w:val="0"/>
        <w:snapToGrid w:val="0"/>
        <w:spacing w:line="400" w:lineRule="exact"/>
        <w:ind w:firstLine="378" w:firstLineChars="180"/>
      </w:pPr>
      <w:r>
        <w:rPr>
          <w:rFonts w:hint="eastAsia"/>
        </w:rPr>
        <w:t>重要技术参数满足要求的，每项</w:t>
      </w:r>
      <w:r>
        <w:rPr>
          <w:rFonts w:hint="eastAsia"/>
          <w:lang w:eastAsia="zh-CN"/>
        </w:rPr>
        <w:t>得</w:t>
      </w:r>
      <w:r>
        <w:rPr>
          <w:rFonts w:hint="eastAsia" w:ascii="Times New Roman" w:hAnsi="Times New Roman"/>
          <w:lang w:val="en-US" w:eastAsia="zh-CN"/>
        </w:rPr>
        <w:t>3.5</w:t>
      </w:r>
      <w:r>
        <w:rPr>
          <w:rFonts w:hint="eastAsia"/>
        </w:rPr>
        <w:t>分。</w:t>
      </w:r>
    </w:p>
    <w:p>
      <w:pPr>
        <w:pStyle w:val="111"/>
        <w:adjustRightInd w:val="0"/>
        <w:snapToGrid w:val="0"/>
        <w:spacing w:line="400" w:lineRule="exact"/>
        <w:ind w:firstLine="378" w:firstLineChars="180"/>
      </w:pPr>
      <w:r>
        <w:rPr>
          <w:rFonts w:hint="eastAsia"/>
        </w:rPr>
        <w:t>注：重要技术参数是指技术参数中标注“★”的技术参数。</w:t>
      </w:r>
    </w:p>
    <w:p>
      <w:pPr>
        <w:pStyle w:val="111"/>
        <w:adjustRightInd w:val="0"/>
        <w:snapToGrid w:val="0"/>
        <w:spacing w:line="400" w:lineRule="exact"/>
        <w:ind w:firstLine="378" w:firstLineChars="180"/>
      </w:pPr>
      <w:r>
        <w:rPr>
          <w:rFonts w:hint="eastAsia"/>
        </w:rPr>
        <w:t>（</w:t>
      </w:r>
      <w:r>
        <w:rPr>
          <w:rFonts w:hint="eastAsia" w:ascii="Times New Roman" w:hAnsi="Times New Roman"/>
          <w:lang w:val="en-US" w:eastAsia="zh"/>
        </w:rPr>
        <w:t>3</w:t>
      </w:r>
      <w:r>
        <w:rPr>
          <w:rFonts w:hint="eastAsia"/>
        </w:rPr>
        <w:t>）技术及项目实施方案分（满分</w:t>
      </w:r>
      <w:r>
        <w:rPr>
          <w:rFonts w:hint="eastAsia" w:ascii="Times New Roman" w:hAnsi="Times New Roman"/>
        </w:rPr>
        <w:t>4</w:t>
      </w:r>
      <w:r>
        <w:rPr>
          <w:rFonts w:hint="eastAsia"/>
        </w:rPr>
        <w:t>分）</w:t>
      </w:r>
    </w:p>
    <w:p>
      <w:pPr>
        <w:pStyle w:val="111"/>
        <w:snapToGrid w:val="0"/>
        <w:spacing w:line="400" w:lineRule="exact"/>
        <w:ind w:firstLine="378" w:firstLineChars="180"/>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snapToGrid w:val="0"/>
        <w:spacing w:line="400" w:lineRule="exact"/>
        <w:ind w:firstLine="378" w:firstLineChars="180"/>
        <w:rPr>
          <w:rFonts w:hint="eastAsia" w:ascii="宋体" w:hAnsi="宋体" w:eastAsia="宋体"/>
          <w:bCs w:val="0"/>
          <w:szCs w:val="21"/>
        </w:rPr>
      </w:pPr>
      <w:r>
        <w:rPr>
          <w:rFonts w:hint="eastAsia" w:ascii="宋体" w:hAnsi="宋体" w:eastAsia="宋体"/>
          <w:bCs w:val="0"/>
          <w:szCs w:val="21"/>
        </w:rPr>
        <w:t>一档（</w:t>
      </w:r>
      <w:r>
        <w:rPr>
          <w:rFonts w:hint="default" w:ascii="Times New Roman" w:hAnsi="Times New Roman"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snapToGrid w:val="0"/>
        <w:spacing w:line="400" w:lineRule="exact"/>
        <w:ind w:firstLine="378" w:firstLineChars="180"/>
        <w:rPr>
          <w:rFonts w:hint="eastAsia" w:ascii="宋体" w:hAnsi="宋体" w:eastAsia="宋体"/>
          <w:bCs w:val="0"/>
          <w:szCs w:val="21"/>
        </w:rPr>
      </w:pPr>
      <w:r>
        <w:rPr>
          <w:rFonts w:hint="eastAsia" w:ascii="宋体" w:hAnsi="宋体" w:eastAsia="宋体"/>
          <w:bCs w:val="0"/>
          <w:szCs w:val="21"/>
        </w:rPr>
        <w:t>二档（</w:t>
      </w:r>
      <w:r>
        <w:rPr>
          <w:rFonts w:hint="default" w:ascii="Times New Roman" w:hAnsi="Times New Roman"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snapToGrid w:val="0"/>
        <w:spacing w:line="400" w:lineRule="exact"/>
        <w:ind w:firstLine="378" w:firstLineChars="180"/>
        <w:rPr>
          <w:rFonts w:hint="eastAsia" w:ascii="宋体" w:hAnsi="宋体" w:eastAsia="宋体"/>
          <w:bCs w:val="0"/>
          <w:szCs w:val="21"/>
        </w:rPr>
      </w:pPr>
      <w:r>
        <w:rPr>
          <w:rFonts w:hint="eastAsia" w:ascii="宋体" w:hAnsi="宋体" w:eastAsia="宋体"/>
          <w:bCs w:val="0"/>
          <w:szCs w:val="21"/>
        </w:rPr>
        <w:t>三档（</w:t>
      </w:r>
      <w:r>
        <w:rPr>
          <w:rFonts w:hint="default" w:ascii="Times New Roman" w:hAnsi="Times New Roman"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adjustRightInd w:val="0"/>
        <w:snapToGrid w:val="0"/>
        <w:spacing w:line="400" w:lineRule="exact"/>
        <w:ind w:firstLine="378" w:firstLineChars="180"/>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snapToGrid w:val="0"/>
        <w:spacing w:line="400" w:lineRule="exact"/>
        <w:ind w:firstLine="378" w:firstLineChars="180"/>
        <w:rPr>
          <w:rFonts w:hint="eastAsia"/>
        </w:rPr>
      </w:pPr>
      <w:r>
        <w:rPr>
          <w:rFonts w:hint="eastAsia"/>
        </w:rPr>
        <w:t>（</w:t>
      </w:r>
      <w:r>
        <w:rPr>
          <w:rFonts w:hint="eastAsia" w:ascii="Times New Roman" w:hAnsi="Times New Roman"/>
          <w:lang w:val="en-US" w:eastAsia="zh"/>
        </w:rPr>
        <w:t>4</w:t>
      </w:r>
      <w:r>
        <w:rPr>
          <w:rFonts w:hint="eastAsia"/>
        </w:rPr>
        <w:t>）技术人员分（满分</w:t>
      </w:r>
      <w:r>
        <w:rPr>
          <w:rFonts w:hint="eastAsia" w:ascii="Times New Roman" w:hAnsi="Times New Roman"/>
        </w:rPr>
        <w:t>4</w:t>
      </w:r>
      <w:r>
        <w:rPr>
          <w:rFonts w:hint="eastAsia"/>
        </w:rPr>
        <w:t>分）</w:t>
      </w:r>
    </w:p>
    <w:p>
      <w:pPr>
        <w:pStyle w:val="111"/>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一档（</w:t>
      </w:r>
      <w:r>
        <w:rPr>
          <w:rFonts w:hint="eastAsia" w:ascii="Times New Roman" w:hAnsi="Times New Roman" w:eastAsia="宋体" w:cs="Times New Roman"/>
          <w:szCs w:val="21"/>
        </w:rPr>
        <w:t>1</w:t>
      </w:r>
      <w:r>
        <w:rPr>
          <w:rFonts w:hint="eastAsia" w:ascii="宋体" w:hAnsi="宋体" w:eastAsia="宋体" w:cs="Times New Roman"/>
          <w:szCs w:val="21"/>
        </w:rPr>
        <w:t xml:space="preserve">分）：技术人员投入计划，技术人员在安装调试过程提供技术支持和协助计划，拟派技术人员的经验介绍等方案内容齐全，符合基础条件的。 </w:t>
      </w:r>
    </w:p>
    <w:p>
      <w:pPr>
        <w:pStyle w:val="111"/>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二档（</w:t>
      </w:r>
      <w:r>
        <w:rPr>
          <w:rFonts w:hint="eastAsia" w:ascii="Times New Roman" w:hAnsi="Times New Roman" w:eastAsia="宋体" w:cs="Times New Roman"/>
          <w:szCs w:val="21"/>
        </w:rPr>
        <w:t>2</w:t>
      </w:r>
      <w:r>
        <w:rPr>
          <w:rFonts w:hint="eastAsia" w:ascii="宋体" w:hAnsi="宋体" w:eastAsia="宋体" w:cs="Times New Roman"/>
          <w:szCs w:val="21"/>
        </w:rPr>
        <w:t>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adjustRightInd/>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三档（</w:t>
      </w:r>
      <w:r>
        <w:rPr>
          <w:rFonts w:hint="eastAsia" w:ascii="Times New Roman" w:hAnsi="Times New Roman" w:eastAsia="宋体" w:cs="Times New Roman"/>
          <w:szCs w:val="21"/>
        </w:rPr>
        <w:t>4</w:t>
      </w:r>
      <w:r>
        <w:rPr>
          <w:rFonts w:hint="eastAsia" w:ascii="宋体" w:hAnsi="宋体" w:eastAsia="宋体" w:cs="Times New Roman"/>
          <w:szCs w:val="21"/>
        </w:rPr>
        <w:t>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adjustRightInd w:val="0"/>
        <w:snapToGrid w:val="0"/>
        <w:spacing w:line="400" w:lineRule="exact"/>
        <w:ind w:firstLine="378" w:firstLineChars="180"/>
        <w:rPr>
          <w:rFonts w:hint="eastAsia"/>
        </w:rPr>
      </w:pPr>
      <w:r>
        <w:rPr>
          <w:rFonts w:hint="default" w:ascii="宋体" w:hAnsi="宋体" w:eastAsia="宋体" w:cs="Times New Roman"/>
          <w:b/>
          <w:bCs/>
        </w:rPr>
        <w:t>无技术人员方案或不齐全的不得分。</w:t>
      </w:r>
    </w:p>
    <w:p>
      <w:pPr>
        <w:pStyle w:val="111"/>
        <w:adjustRightInd w:val="0"/>
        <w:snapToGrid w:val="0"/>
        <w:ind w:firstLine="378" w:firstLineChars="180"/>
      </w:pPr>
      <w:r>
        <w:rPr>
          <w:rFonts w:hint="eastAsia"/>
        </w:rPr>
        <w:t>（</w:t>
      </w:r>
      <w:r>
        <w:rPr>
          <w:rFonts w:hint="eastAsia" w:ascii="Times New Roman" w:hAnsi="Times New Roman"/>
          <w:lang w:val="en-US" w:eastAsia="zh"/>
        </w:rPr>
        <w:t>5</w:t>
      </w:r>
      <w:r>
        <w:rPr>
          <w:rFonts w:hint="eastAsia"/>
        </w:rPr>
        <w:t>）培训计划分（满分</w:t>
      </w:r>
      <w:r>
        <w:rPr>
          <w:rFonts w:hint="eastAsia" w:ascii="Times New Roman" w:hAnsi="Times New Roman"/>
        </w:rPr>
        <w:t>3</w:t>
      </w:r>
      <w:r>
        <w:rPr>
          <w:rFonts w:hint="eastAsia"/>
        </w:rPr>
        <w:t>分）</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一档（</w:t>
      </w:r>
      <w:r>
        <w:rPr>
          <w:rFonts w:hint="eastAsia" w:ascii="Times New Roman" w:hAnsi="Times New Roman" w:eastAsia="宋体"/>
          <w:bCs w:val="0"/>
          <w:kern w:val="0"/>
          <w:szCs w:val="21"/>
        </w:rPr>
        <w:t>1</w:t>
      </w:r>
      <w:r>
        <w:rPr>
          <w:rFonts w:hint="eastAsia" w:ascii="宋体" w:hAnsi="宋体" w:eastAsia="宋体"/>
          <w:bCs w:val="0"/>
          <w:kern w:val="0"/>
          <w:szCs w:val="21"/>
        </w:rPr>
        <w:t>分）：培训方案有简单的培训计划安排，能满足基本要求。</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二档（</w:t>
      </w:r>
      <w:r>
        <w:rPr>
          <w:rFonts w:hint="eastAsia" w:ascii="Times New Roman" w:hAnsi="Times New Roman" w:eastAsia="宋体"/>
          <w:bCs w:val="0"/>
          <w:kern w:val="0"/>
          <w:szCs w:val="21"/>
        </w:rPr>
        <w:t>3</w:t>
      </w:r>
      <w:r>
        <w:rPr>
          <w:rFonts w:hint="eastAsia" w:ascii="宋体" w:hAnsi="宋体" w:eastAsia="宋体"/>
          <w:bCs w:val="0"/>
          <w:kern w:val="0"/>
          <w:szCs w:val="21"/>
        </w:rPr>
        <w:t>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default" w:ascii="宋体" w:hAnsi="宋体" w:eastAsia="宋体" w:cs="Times New Roman"/>
          <w:b/>
          <w:bCs/>
        </w:rPr>
        <w:t>未提供或有明显错误的不得分。</w:t>
      </w:r>
    </w:p>
    <w:p>
      <w:pPr>
        <w:pStyle w:val="405"/>
        <w:ind w:firstLine="420" w:firstLineChars="200"/>
        <w:rPr>
          <w:rFonts w:ascii="宋体" w:hAnsi="宋体"/>
        </w:rPr>
      </w:pPr>
      <w:r>
        <w:rPr>
          <w:rFonts w:hint="eastAsia" w:ascii="Times New Roman" w:hAnsi="Times New Roman"/>
          <w:b/>
          <w:bCs/>
        </w:rPr>
        <w:t>3</w:t>
      </w:r>
      <w:r>
        <w:rPr>
          <w:rFonts w:hint="eastAsia"/>
          <w:b/>
          <w:bCs/>
          <w:lang w:val="en-US" w:eastAsia="zh-CN"/>
        </w:rPr>
        <w:t>.</w:t>
      </w:r>
      <w:r>
        <w:rPr>
          <w:rFonts w:hint="eastAsia"/>
          <w:b/>
          <w:bCs/>
        </w:rPr>
        <w:t>售后服务分……………………………………………………………………………………</w:t>
      </w:r>
      <w:r>
        <w:rPr>
          <w:rFonts w:hint="eastAsia" w:ascii="Times New Roman" w:hAnsi="Times New Roman"/>
          <w:b/>
          <w:bCs/>
        </w:rPr>
        <w:t>5</w:t>
      </w:r>
      <w:r>
        <w:rPr>
          <w:rFonts w:hint="eastAsia"/>
          <w:b/>
          <w:bCs/>
        </w:rPr>
        <w:t>分</w:t>
      </w:r>
    </w:p>
    <w:p>
      <w:pPr>
        <w:pStyle w:val="111"/>
        <w:adjustRightInd w:val="0"/>
        <w:snapToGrid w:val="0"/>
        <w:ind w:firstLine="378" w:firstLineChars="180"/>
      </w:pPr>
      <w:r>
        <w:rPr>
          <w:rFonts w:hint="eastAsia"/>
        </w:rPr>
        <w:t>（</w:t>
      </w:r>
      <w:r>
        <w:rPr>
          <w:rFonts w:hint="eastAsia" w:ascii="Times New Roman" w:hAnsi="Times New Roman"/>
        </w:rPr>
        <w:t>1</w:t>
      </w:r>
      <w:r>
        <w:rPr>
          <w:rFonts w:hint="eastAsia"/>
        </w:rPr>
        <w:t>）售后服务承诺分（满分</w:t>
      </w:r>
      <w:r>
        <w:rPr>
          <w:rFonts w:hint="eastAsia" w:ascii="Times New Roman" w:hAnsi="Times New Roman"/>
        </w:rPr>
        <w:t>3</w:t>
      </w:r>
      <w:r>
        <w:rPr>
          <w:rFonts w:hint="eastAsia"/>
        </w:rPr>
        <w:t>分）</w:t>
      </w:r>
    </w:p>
    <w:p>
      <w:pPr>
        <w:spacing w:line="40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一档（</w:t>
      </w:r>
      <w:r>
        <w:rPr>
          <w:rFonts w:hint="eastAsia" w:ascii="Times New Roman" w:hAnsi="Times New Roman" w:eastAsia="宋体" w:cs="Times New Roman"/>
          <w:kern w:val="0"/>
          <w:szCs w:val="21"/>
        </w:rPr>
        <w:t>1</w:t>
      </w:r>
      <w:r>
        <w:rPr>
          <w:rFonts w:hint="eastAsia" w:ascii="宋体" w:hAnsi="宋体" w:eastAsia="宋体" w:cs="Times New Roman"/>
          <w:kern w:val="0"/>
          <w:szCs w:val="21"/>
        </w:rPr>
        <w:t>分）：售后服务方案仅满足招标文件基本要求。</w:t>
      </w:r>
    </w:p>
    <w:p>
      <w:pPr>
        <w:spacing w:line="40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二档（</w:t>
      </w:r>
      <w:r>
        <w:rPr>
          <w:rFonts w:hint="eastAsia" w:ascii="Times New Roman" w:hAnsi="Times New Roman" w:eastAsia="宋体" w:cs="Times New Roman"/>
          <w:kern w:val="0"/>
          <w:szCs w:val="21"/>
        </w:rPr>
        <w:t>3</w:t>
      </w:r>
      <w:r>
        <w:rPr>
          <w:rFonts w:hint="eastAsia" w:ascii="宋体" w:hAnsi="宋体" w:eastAsia="宋体" w:cs="Times New Roman"/>
          <w:kern w:val="0"/>
          <w:szCs w:val="21"/>
        </w:rPr>
        <w:t>分）：售后服务方案细致、合理、可行，能提供生产厂家售后服务承诺书原件，有详细的售后服务管理制度、售后服务流程、应急预案、年度保养计划、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w:t>
      </w:r>
      <w:r>
        <w:rPr>
          <w:rFonts w:hint="eastAsia" w:ascii="Times New Roman" w:hAnsi="Times New Roman"/>
        </w:rPr>
        <w:t>2</w:t>
      </w:r>
      <w:r>
        <w:rPr>
          <w:rFonts w:hint="eastAsia"/>
        </w:rPr>
        <w:t>）质保期（保修期）（满分</w:t>
      </w:r>
      <w:r>
        <w:rPr>
          <w:rFonts w:hint="eastAsia" w:ascii="Times New Roman" w:hAnsi="Times New Roman"/>
        </w:rPr>
        <w:t>2</w:t>
      </w:r>
      <w:r>
        <w:rPr>
          <w:rFonts w:hint="eastAsia"/>
        </w:rPr>
        <w:t>分）</w:t>
      </w:r>
    </w:p>
    <w:p>
      <w:pPr>
        <w:pStyle w:val="111"/>
        <w:adjustRightInd w:val="0"/>
        <w:snapToGrid w:val="0"/>
        <w:spacing w:line="400" w:lineRule="exact"/>
        <w:ind w:firstLine="378" w:firstLineChars="180"/>
        <w:rPr>
          <w:rFonts w:hint="eastAsia"/>
        </w:rPr>
      </w:pPr>
      <w:r>
        <w:rPr>
          <w:rFonts w:hint="eastAsia" w:ascii="宋体" w:hAnsi="宋体" w:eastAsia="宋体"/>
          <w:bCs w:val="0"/>
        </w:rPr>
        <w:t>在满足基本质保期（保修期）（</w:t>
      </w:r>
      <w:r>
        <w:rPr>
          <w:rFonts w:hint="eastAsia" w:ascii="Times New Roman" w:hAnsi="Times New Roman" w:eastAsia="宋体"/>
          <w:bCs w:val="0"/>
        </w:rPr>
        <w:t>3</w:t>
      </w:r>
      <w:r>
        <w:rPr>
          <w:rFonts w:hint="eastAsia" w:ascii="宋体" w:hAnsi="宋体" w:eastAsia="宋体"/>
          <w:bCs w:val="0"/>
        </w:rPr>
        <w:t>年）的基础上，免费保修期每延长</w:t>
      </w:r>
      <w:r>
        <w:rPr>
          <w:rFonts w:hint="eastAsia" w:ascii="Times New Roman" w:hAnsi="Times New Roman" w:eastAsia="宋体"/>
          <w:bCs w:val="0"/>
        </w:rPr>
        <w:t>6</w:t>
      </w:r>
      <w:r>
        <w:rPr>
          <w:rFonts w:hint="eastAsia" w:ascii="宋体" w:hAnsi="宋体" w:eastAsia="宋体"/>
          <w:bCs w:val="0"/>
        </w:rPr>
        <w:t>个月得</w:t>
      </w:r>
      <w:r>
        <w:rPr>
          <w:rFonts w:hint="eastAsia" w:ascii="Times New Roman" w:hAnsi="Times New Roman" w:eastAsia="宋体"/>
          <w:bCs w:val="0"/>
        </w:rPr>
        <w:t>0</w:t>
      </w:r>
      <w:r>
        <w:rPr>
          <w:rFonts w:hint="eastAsia" w:ascii="宋体" w:hAnsi="宋体" w:eastAsia="宋体"/>
          <w:bCs w:val="0"/>
        </w:rPr>
        <w:t>.</w:t>
      </w:r>
      <w:r>
        <w:rPr>
          <w:rFonts w:hint="eastAsia" w:ascii="Times New Roman" w:hAnsi="Times New Roman" w:eastAsia="宋体"/>
          <w:bCs w:val="0"/>
        </w:rPr>
        <w:t>5</w:t>
      </w:r>
      <w:r>
        <w:rPr>
          <w:rFonts w:hint="eastAsia" w:ascii="宋体" w:hAnsi="宋体" w:eastAsia="宋体"/>
          <w:bCs w:val="0"/>
        </w:rPr>
        <w:t>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w:t>
      </w:r>
      <w:r>
        <w:rPr>
          <w:rFonts w:hint="eastAsia" w:ascii="Times New Roman" w:hAnsi="Times New Roman" w:eastAsia="宋体"/>
          <w:bCs w:val="0"/>
        </w:rPr>
        <w:t>2</w:t>
      </w:r>
      <w:r>
        <w:rPr>
          <w:rFonts w:hint="eastAsia" w:ascii="宋体" w:hAnsi="宋体" w:eastAsia="宋体"/>
          <w:bCs w:val="0"/>
        </w:rPr>
        <w:t>分。</w:t>
      </w:r>
    </w:p>
    <w:p>
      <w:pPr>
        <w:pStyle w:val="405"/>
        <w:ind w:firstLine="420" w:firstLineChars="200"/>
        <w:rPr>
          <w:rFonts w:ascii="宋体" w:hAnsi="宋体"/>
        </w:rPr>
      </w:pPr>
      <w:r>
        <w:rPr>
          <w:rFonts w:hint="eastAsia" w:ascii="Times New Roman" w:hAnsi="Times New Roman"/>
          <w:b/>
          <w:bCs/>
        </w:rPr>
        <w:t>4</w:t>
      </w:r>
      <w:r>
        <w:rPr>
          <w:rFonts w:hint="eastAsia"/>
          <w:b/>
          <w:bCs/>
          <w:lang w:val="en-US" w:eastAsia="zh-CN"/>
        </w:rPr>
        <w:t>.业绩</w:t>
      </w:r>
      <w:r>
        <w:rPr>
          <w:rFonts w:hint="eastAsia"/>
          <w:b/>
          <w:bCs/>
        </w:rPr>
        <w:t>分…………………………………………………………………………………………</w:t>
      </w:r>
      <w:r>
        <w:rPr>
          <w:rFonts w:hint="eastAsia"/>
          <w:b/>
          <w:bCs/>
          <w:lang w:val="en-US" w:eastAsia="zh-CN"/>
        </w:rPr>
        <w:t>4</w:t>
      </w:r>
      <w:r>
        <w:rPr>
          <w:rFonts w:hint="eastAsia"/>
          <w:b/>
          <w:bCs/>
        </w:rPr>
        <w:t>分</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cs="宋体"/>
          <w:szCs w:val="21"/>
          <w:lang w:eastAsia="zh-CN"/>
        </w:rPr>
      </w:pPr>
      <w:r>
        <w:rPr>
          <w:rFonts w:hint="eastAsia" w:ascii="宋体" w:hAnsi="宋体" w:cs="宋体"/>
          <w:szCs w:val="21"/>
          <w:lang w:eastAsia="zh-CN"/>
        </w:rPr>
        <w:t>业绩（满分4分）</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eastAsia="zh-CN"/>
        </w:rPr>
        <w:t>提供</w:t>
      </w:r>
      <w:r>
        <w:rPr>
          <w:rFonts w:hint="default" w:ascii="Times New Roman" w:hAnsi="Times New Roman" w:eastAsia="宋体" w:cs="Times New Roman"/>
          <w:szCs w:val="21"/>
        </w:rPr>
        <w:t>202</w:t>
      </w:r>
      <w:r>
        <w:rPr>
          <w:rFonts w:hint="eastAsia" w:cs="Times New Roman"/>
          <w:szCs w:val="21"/>
          <w:lang w:val="en-US" w:eastAsia="zh-CN"/>
        </w:rPr>
        <w:t>3</w:t>
      </w:r>
      <w:r>
        <w:rPr>
          <w:rFonts w:hint="eastAsia" w:ascii="宋体" w:hAnsi="宋体" w:eastAsia="宋体" w:cs="宋体"/>
          <w:szCs w:val="21"/>
        </w:rPr>
        <w:t>年</w:t>
      </w:r>
      <w:r>
        <w:rPr>
          <w:rFonts w:hint="default" w:ascii="Times New Roman" w:hAnsi="Times New Roman" w:eastAsia="宋体" w:cs="Times New Roman"/>
          <w:szCs w:val="21"/>
        </w:rPr>
        <w:t>1</w:t>
      </w:r>
      <w:r>
        <w:rPr>
          <w:rFonts w:hint="eastAsia" w:ascii="宋体" w:hAnsi="宋体" w:eastAsia="宋体" w:cs="宋体"/>
          <w:szCs w:val="21"/>
        </w:rPr>
        <w:t>月</w:t>
      </w:r>
      <w:r>
        <w:rPr>
          <w:rFonts w:hint="default" w:ascii="Times New Roman" w:hAnsi="Times New Roman" w:eastAsia="宋体" w:cs="Times New Roman"/>
          <w:szCs w:val="21"/>
        </w:rPr>
        <w:t>1</w:t>
      </w:r>
      <w:r>
        <w:rPr>
          <w:rFonts w:hint="eastAsia" w:ascii="宋体" w:hAnsi="宋体" w:eastAsia="宋体" w:cs="宋体"/>
          <w:szCs w:val="21"/>
        </w:rPr>
        <w:t>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w:t>
      </w:r>
      <w:r>
        <w:rPr>
          <w:rFonts w:hint="default" w:ascii="Times New Roman" w:hAnsi="Times New Roman" w:eastAsia="宋体" w:cs="Times New Roman"/>
          <w:szCs w:val="21"/>
        </w:rPr>
        <w:t>1</w:t>
      </w:r>
      <w:r>
        <w:rPr>
          <w:rFonts w:hint="eastAsia" w:ascii="宋体" w:hAnsi="宋体" w:eastAsia="宋体" w:cs="宋体"/>
          <w:szCs w:val="21"/>
        </w:rPr>
        <w:t>项得</w:t>
      </w:r>
      <w:r>
        <w:rPr>
          <w:rFonts w:hint="default" w:ascii="Times New Roman" w:hAnsi="Times New Roman" w:eastAsia="宋体" w:cs="Times New Roman"/>
          <w:szCs w:val="21"/>
        </w:rPr>
        <w:t>0.</w:t>
      </w:r>
      <w:r>
        <w:rPr>
          <w:rFonts w:hint="eastAsia" w:cs="Times New Roman"/>
          <w:szCs w:val="21"/>
          <w:lang w:val="en-US" w:eastAsia="zh-CN"/>
        </w:rPr>
        <w:t>5</w:t>
      </w:r>
      <w:r>
        <w:rPr>
          <w:rFonts w:hint="eastAsia" w:ascii="宋体" w:hAnsi="宋体" w:eastAsia="宋体" w:cs="宋体"/>
          <w:szCs w:val="21"/>
        </w:rPr>
        <w:t>分，满分</w:t>
      </w:r>
      <w:r>
        <w:rPr>
          <w:rFonts w:hint="eastAsia" w:cs="Times New Roman"/>
          <w:szCs w:val="21"/>
          <w:lang w:val="en-US" w:eastAsia="zh-CN"/>
        </w:rPr>
        <w:t>4</w:t>
      </w:r>
      <w:r>
        <w:rPr>
          <w:rFonts w:hint="eastAsia" w:ascii="宋体" w:hAnsi="宋体" w:eastAsia="宋体" w:cs="宋体"/>
          <w:szCs w:val="21"/>
        </w:rPr>
        <w:t>分。</w:t>
      </w:r>
    </w:p>
    <w:p>
      <w:pPr>
        <w:pStyle w:val="405"/>
        <w:keepNext w:val="0"/>
        <w:keepLines w:val="0"/>
        <w:pageBreakBefore w:val="0"/>
        <w:kinsoku/>
        <w:wordWrap/>
        <w:overflowPunct/>
        <w:topLinePunct w:val="0"/>
        <w:autoSpaceDE/>
        <w:autoSpaceDN/>
        <w:bidi w:val="0"/>
        <w:spacing w:line="400" w:lineRule="exact"/>
        <w:ind w:firstLine="420" w:firstLineChars="200"/>
        <w:textAlignment w:val="auto"/>
        <w:rPr>
          <w:rFonts w:hint="eastAsia"/>
          <w:b/>
          <w:bCs/>
        </w:rPr>
      </w:pPr>
      <w:r>
        <w:rPr>
          <w:rFonts w:hint="eastAsia"/>
          <w:b/>
          <w:bCs/>
        </w:rPr>
        <w:t>注：投标文件中提供有效的中标通知书/合同复印件（或扫描件）、验收报告，并逐份加盖投标人电子签章，材料须体现签订时间、买卖双方信息、产品品牌型号</w:t>
      </w:r>
      <w:r>
        <w:rPr>
          <w:rFonts w:hint="eastAsia"/>
          <w:b/>
          <w:bCs/>
          <w:lang w:eastAsia="zh-CN"/>
        </w:rPr>
        <w:t>（</w:t>
      </w:r>
      <w:r>
        <w:rPr>
          <w:rFonts w:hint="eastAsia"/>
          <w:b/>
          <w:bCs/>
        </w:rPr>
        <w:t>以上三项信息缺一不可，且均须清晰完整</w:t>
      </w:r>
      <w:r>
        <w:rPr>
          <w:rFonts w:hint="eastAsia"/>
          <w:b/>
          <w:bCs/>
          <w:lang w:eastAsia="zh-CN"/>
        </w:rPr>
        <w:t>）</w:t>
      </w:r>
      <w:r>
        <w:rPr>
          <w:rFonts w:hint="eastAsia"/>
          <w:b/>
          <w:bCs/>
        </w:rPr>
        <w:t>，否则不予以计分。</w:t>
      </w:r>
    </w:p>
    <w:p>
      <w:pPr>
        <w:pStyle w:val="405"/>
        <w:keepNext w:val="0"/>
        <w:keepLines w:val="0"/>
        <w:pageBreakBefore w:val="0"/>
        <w:kinsoku/>
        <w:wordWrap/>
        <w:overflowPunct/>
        <w:topLinePunct w:val="0"/>
        <w:autoSpaceDE/>
        <w:autoSpaceDN/>
        <w:bidi w:val="0"/>
        <w:spacing w:line="400" w:lineRule="exact"/>
        <w:ind w:firstLine="420" w:firstLineChars="200"/>
        <w:textAlignment w:val="auto"/>
        <w:rPr>
          <w:rFonts w:ascii="宋体" w:hAnsi="宋体"/>
        </w:rPr>
      </w:pPr>
      <w:r>
        <w:rPr>
          <w:rFonts w:hint="eastAsia" w:ascii="Times New Roman" w:hAnsi="Times New Roman"/>
          <w:b/>
          <w:bCs/>
        </w:rPr>
        <w:t>5</w:t>
      </w:r>
      <w:r>
        <w:rPr>
          <w:rFonts w:hint="eastAsia"/>
          <w:b/>
          <w:bCs/>
          <w:lang w:val="en-US" w:eastAsia="zh-CN"/>
        </w:rPr>
        <w:t>.</w:t>
      </w:r>
      <w:r>
        <w:rPr>
          <w:rFonts w:hint="eastAsia"/>
          <w:b/>
          <w:bCs/>
        </w:rPr>
        <w:t>政策功能分……………………………………………………………………………………</w:t>
      </w:r>
      <w:r>
        <w:rPr>
          <w:rFonts w:hint="eastAsia" w:ascii="Times New Roman" w:hAnsi="Times New Roman"/>
          <w:b/>
          <w:bCs/>
        </w:rPr>
        <w:t>1</w:t>
      </w:r>
      <w:r>
        <w:rPr>
          <w:rFonts w:hint="eastAsia"/>
          <w:b/>
          <w:bCs/>
        </w:rPr>
        <w:t>分</w:t>
      </w:r>
    </w:p>
    <w:p>
      <w:pPr>
        <w:pStyle w:val="111"/>
        <w:keepNext w:val="0"/>
        <w:keepLines w:val="0"/>
        <w:pageBreakBefore w:val="0"/>
        <w:kinsoku/>
        <w:wordWrap/>
        <w:overflowPunct/>
        <w:topLinePunct w:val="0"/>
        <w:autoSpaceDE/>
        <w:autoSpaceDN/>
        <w:bidi w:val="0"/>
        <w:adjustRightInd w:val="0"/>
        <w:snapToGrid w:val="0"/>
        <w:spacing w:line="400" w:lineRule="exact"/>
        <w:ind w:firstLine="378" w:firstLineChars="180"/>
        <w:textAlignment w:val="auto"/>
      </w:pPr>
      <w:r>
        <w:rPr>
          <w:rFonts w:hint="eastAsia"/>
        </w:rPr>
        <w:t>节能、环保分（满分</w:t>
      </w:r>
      <w:r>
        <w:rPr>
          <w:rFonts w:hint="eastAsia" w:ascii="Times New Roman" w:hAnsi="Times New Roman"/>
        </w:rPr>
        <w:t>1</w:t>
      </w:r>
      <w:r>
        <w:rPr>
          <w:rFonts w:hint="eastAsia"/>
        </w:rPr>
        <w:t>分）</w:t>
      </w:r>
    </w:p>
    <w:p>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w:t>
      </w:r>
      <w:r>
        <w:rPr>
          <w:rFonts w:hint="eastAsia" w:ascii="Times New Roman" w:hAnsi="Times New Roman" w:eastAsia="宋体" w:cs="宋体"/>
          <w:szCs w:val="21"/>
        </w:rPr>
        <w:t>1</w:t>
      </w:r>
      <w:r>
        <w:rPr>
          <w:rFonts w:hint="eastAsia" w:ascii="宋体" w:hAnsi="宋体" w:eastAsia="宋体" w:cs="宋体"/>
          <w:szCs w:val="21"/>
        </w:rPr>
        <w:t>）</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w:t>
      </w:r>
      <w:r>
        <w:rPr>
          <w:rFonts w:hint="eastAsia" w:ascii="Times New Roman" w:hAnsi="Times New Roman" w:eastAsia="宋体" w:cs="宋体"/>
          <w:szCs w:val="21"/>
        </w:rPr>
        <w:t>0</w:t>
      </w:r>
      <w:r>
        <w:rPr>
          <w:rFonts w:hint="eastAsia" w:ascii="宋体" w:hAnsi="宋体" w:eastAsia="宋体" w:cs="宋体"/>
          <w:szCs w:val="21"/>
        </w:rPr>
        <w:t>.</w:t>
      </w:r>
      <w:r>
        <w:rPr>
          <w:rFonts w:hint="eastAsia" w:ascii="Times New Roman" w:hAnsi="Times New Roman" w:eastAsia="宋体" w:cs="宋体"/>
          <w:szCs w:val="21"/>
        </w:rPr>
        <w:t>5</w:t>
      </w:r>
      <w:r>
        <w:rPr>
          <w:rFonts w:hint="eastAsia" w:ascii="宋体" w:hAnsi="宋体" w:eastAsia="宋体" w:cs="宋体"/>
          <w:szCs w:val="21"/>
        </w:rPr>
        <w:t>分。</w:t>
      </w:r>
    </w:p>
    <w:p>
      <w:pPr>
        <w:pStyle w:val="111"/>
        <w:adjustRightInd w:val="0"/>
        <w:snapToGrid w:val="0"/>
        <w:spacing w:line="400" w:lineRule="exact"/>
        <w:ind w:firstLine="378" w:firstLineChars="180"/>
        <w:rPr>
          <w:rFonts w:hint="eastAsia" w:cs="宋体"/>
        </w:rPr>
      </w:pPr>
      <w:r>
        <w:rPr>
          <w:rFonts w:hint="eastAsia" w:ascii="宋体" w:hAnsi="宋体" w:eastAsia="宋体" w:cs="宋体"/>
        </w:rPr>
        <w:t>（</w:t>
      </w:r>
      <w:r>
        <w:rPr>
          <w:rFonts w:hint="eastAsia" w:ascii="Times New Roman" w:hAnsi="Times New Roman" w:eastAsia="宋体" w:cs="宋体"/>
        </w:rPr>
        <w:t>2</w:t>
      </w:r>
      <w:r>
        <w:rPr>
          <w:rFonts w:hint="eastAsia" w:ascii="宋体" w:hAnsi="宋体" w:eastAsia="宋体" w:cs="宋体"/>
        </w:rPr>
        <w:t>）</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w:t>
      </w:r>
      <w:r>
        <w:rPr>
          <w:rFonts w:hint="eastAsia" w:ascii="Times New Roman" w:hAnsi="Times New Roman" w:eastAsia="宋体" w:cs="宋体"/>
        </w:rPr>
        <w:t>0</w:t>
      </w:r>
      <w:r>
        <w:rPr>
          <w:rFonts w:hint="eastAsia" w:ascii="宋体" w:hAnsi="宋体" w:eastAsia="宋体" w:cs="宋体"/>
        </w:rPr>
        <w:t>.</w:t>
      </w:r>
      <w:r>
        <w:rPr>
          <w:rFonts w:hint="eastAsia" w:ascii="Times New Roman" w:hAnsi="Times New Roman" w:eastAsia="宋体" w:cs="宋体"/>
        </w:rPr>
        <w:t>5</w:t>
      </w:r>
      <w:r>
        <w:rPr>
          <w:rFonts w:hint="eastAsia" w:ascii="宋体" w:hAnsi="宋体" w:eastAsia="宋体" w:cs="宋体"/>
        </w:rPr>
        <w:t>分。</w:t>
      </w:r>
    </w:p>
    <w:p>
      <w:pPr>
        <w:adjustRightInd w:val="0"/>
        <w:snapToGrid w:val="0"/>
        <w:spacing w:line="360" w:lineRule="exact"/>
        <w:jc w:val="left"/>
        <w:rPr>
          <w:rFonts w:hAnsi="宋体"/>
          <w:b/>
        </w:rPr>
      </w:pPr>
    </w:p>
    <w:p>
      <w:pPr>
        <w:adjustRightInd w:val="0"/>
        <w:snapToGrid w:val="0"/>
        <w:spacing w:line="360" w:lineRule="exact"/>
        <w:jc w:val="left"/>
        <w:rPr>
          <w:b/>
          <w:kern w:val="4"/>
        </w:rPr>
      </w:pPr>
      <w:r>
        <w:rPr>
          <w:rFonts w:hint="eastAsia" w:hAnsi="宋体"/>
          <w:b/>
        </w:rPr>
        <w:t>（三）总得分=</w:t>
      </w:r>
      <w:r>
        <w:rPr>
          <w:rFonts w:hint="eastAsia" w:ascii="Times New Roman" w:hAnsi="Times New Roman"/>
          <w:b/>
        </w:rPr>
        <w:t>1</w:t>
      </w:r>
      <w:r>
        <w:rPr>
          <w:rFonts w:hint="eastAsia" w:hAnsi="宋体"/>
          <w:b/>
        </w:rPr>
        <w:t xml:space="preserve">+ </w:t>
      </w:r>
      <w:r>
        <w:rPr>
          <w:rFonts w:hint="eastAsia" w:ascii="Times New Roman" w:hAnsi="Times New Roman"/>
          <w:b/>
        </w:rPr>
        <w:t>2</w:t>
      </w:r>
      <w:r>
        <w:rPr>
          <w:rFonts w:hint="eastAsia" w:hAnsi="宋体"/>
          <w:b/>
        </w:rPr>
        <w:t xml:space="preserve">+ </w:t>
      </w:r>
      <w:r>
        <w:rPr>
          <w:rFonts w:hint="eastAsia" w:ascii="Times New Roman" w:hAnsi="Times New Roman"/>
          <w:b/>
        </w:rPr>
        <w:t>3</w:t>
      </w:r>
      <w:r>
        <w:rPr>
          <w:rFonts w:hint="eastAsia" w:hAnsi="宋体"/>
          <w:b/>
        </w:rPr>
        <w:t xml:space="preserve">+ </w:t>
      </w:r>
      <w:r>
        <w:rPr>
          <w:rFonts w:hint="eastAsia" w:ascii="Times New Roman" w:hAnsi="Times New Roman"/>
          <w:b/>
        </w:rPr>
        <w:t>4</w:t>
      </w:r>
      <w:r>
        <w:rPr>
          <w:rFonts w:hint="eastAsia" w:hAnsi="宋体"/>
          <w:b/>
        </w:rPr>
        <w:t xml:space="preserve">+ </w:t>
      </w:r>
      <w:r>
        <w:rPr>
          <w:rFonts w:hint="eastAsia" w:ascii="Times New Roman" w:hAnsi="Times New Roman"/>
          <w:b/>
        </w:rPr>
        <w:t>5</w:t>
      </w:r>
      <w:r>
        <w:rPr>
          <w:rFonts w:hint="eastAsia" w:hAnsi="宋体"/>
          <w:b/>
        </w:rPr>
        <w:t>。</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pStyle w:val="29"/>
        <w:adjustRightInd w:val="0"/>
        <w:snapToGrid w:val="0"/>
        <w:spacing w:line="400" w:lineRule="exact"/>
        <w:ind w:firstLine="420" w:firstLineChars="200"/>
        <w:rPr>
          <w:rFonts w:hAnsi="宋体"/>
        </w:rPr>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Times New Roman" w:hAnsi="Times New Roman" w:eastAsia="仿宋_GB2312"/>
          <w:b/>
          <w:sz w:val="32"/>
          <w:szCs w:val="32"/>
          <w:lang w:val="en-US" w:eastAsia="zh-CN"/>
        </w:rPr>
        <w:t>2</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adjustRightInd w:val="0"/>
        <w:snapToGrid w:val="0"/>
        <w:spacing w:line="360" w:lineRule="exact"/>
        <w:ind w:firstLine="378" w:firstLineChars="180"/>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pageBreakBefore w:val="0"/>
        <w:kinsoku/>
        <w:wordWrap/>
        <w:overflowPunct/>
        <w:topLinePunct w:val="0"/>
        <w:autoSpaceDE/>
        <w:autoSpaceDN/>
        <w:bidi w:val="0"/>
        <w:adjustRightInd w:val="0"/>
        <w:snapToGrid w:val="0"/>
        <w:spacing w:line="360" w:lineRule="exact"/>
        <w:ind w:firstLine="289" w:firstLineChars="138"/>
        <w:textAlignment w:val="auto"/>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pStyle w:val="6"/>
        <w:keepNext/>
        <w:keepLines/>
        <w:pageBreakBefore w:val="0"/>
        <w:widowControl/>
        <w:kinsoku/>
        <w:wordWrap/>
        <w:overflowPunct/>
        <w:topLinePunct w:val="0"/>
        <w:autoSpaceDE/>
        <w:autoSpaceDN/>
        <w:bidi w:val="0"/>
        <w:adjustRightInd/>
        <w:snapToGrid/>
        <w:spacing w:line="360" w:lineRule="exact"/>
        <w:ind w:firstLine="420" w:firstLineChars="200"/>
        <w:jc w:val="both"/>
        <w:textAlignment w:val="auto"/>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80" w:lineRule="exact"/>
        <w:ind w:firstLine="420" w:firstLineChars="200"/>
        <w:rPr>
          <w:b/>
          <w:bCs/>
        </w:rPr>
      </w:pPr>
      <w:r>
        <w:rPr>
          <w:rFonts w:hint="eastAsia" w:ascii="Times New Roman" w:hAnsi="Times New Roman"/>
          <w:b/>
          <w:bCs/>
        </w:rPr>
        <w:t>1</w:t>
      </w:r>
      <w:r>
        <w:rPr>
          <w:rFonts w:hint="eastAsia"/>
          <w:b/>
          <w:bCs/>
          <w:lang w:val="en-US" w:eastAsia="zh-CN"/>
        </w:rPr>
        <w:t>.</w:t>
      </w:r>
      <w:r>
        <w:rPr>
          <w:rFonts w:hint="eastAsia"/>
          <w:b/>
          <w:bCs/>
          <w:lang w:eastAsia="zh-CN"/>
        </w:rPr>
        <w:t>价格</w:t>
      </w:r>
      <w:r>
        <w:rPr>
          <w:rFonts w:hint="eastAsia"/>
          <w:b/>
          <w:bCs/>
        </w:rPr>
        <w:t>分…………………………………………………………………………………………</w:t>
      </w:r>
      <w:r>
        <w:rPr>
          <w:rFonts w:hint="eastAsia" w:ascii="Times New Roman" w:hAnsi="Times New Roman"/>
          <w:b/>
          <w:bCs/>
          <w:lang w:val="en-US" w:eastAsia="zh"/>
        </w:rPr>
        <w:t>3</w:t>
      </w:r>
      <w:r>
        <w:rPr>
          <w:rFonts w:hint="eastAsia"/>
          <w:b/>
          <w:bCs/>
          <w:lang w:val="en-US" w:eastAsia="zh-CN"/>
        </w:rPr>
        <w:t>0</w:t>
      </w:r>
      <w:r>
        <w:rPr>
          <w:rFonts w:hint="eastAsia"/>
          <w:b/>
          <w:bCs/>
        </w:rPr>
        <w:t>分</w:t>
      </w:r>
    </w:p>
    <w:p>
      <w:pPr>
        <w:pStyle w:val="111"/>
        <w:adjustRightInd w:val="0"/>
        <w:snapToGrid w:val="0"/>
        <w:spacing w:line="380" w:lineRule="exact"/>
        <w:ind w:firstLine="378" w:firstLineChars="180"/>
      </w:pPr>
      <w:r>
        <w:rPr>
          <w:rFonts w:hint="eastAsia"/>
        </w:rPr>
        <w:t>（</w:t>
      </w:r>
      <w:r>
        <w:rPr>
          <w:rFonts w:hint="eastAsia" w:ascii="Times New Roman" w:hAnsi="Times New Roman"/>
        </w:rPr>
        <w:t>1</w:t>
      </w:r>
      <w:r>
        <w:rPr>
          <w:rFonts w:hint="eastAsia"/>
        </w:rPr>
        <w:t>）</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380" w:lineRule="exact"/>
        <w:ind w:firstLine="378" w:firstLineChars="180"/>
      </w:pPr>
      <w:r>
        <w:t>投标产品生产企业或服务提供企业按《关于政府采购支持监狱企业发展有关问题的通知》</w:t>
      </w:r>
      <w:r>
        <w:rPr>
          <w:rFonts w:hint="eastAsia"/>
        </w:rPr>
        <w:t>（</w:t>
      </w:r>
      <w:r>
        <w:t>财库</w:t>
      </w:r>
      <w:r>
        <w:rPr>
          <w:rFonts w:hint="eastAsia"/>
        </w:rPr>
        <w:t>〔</w:t>
      </w:r>
      <w:r>
        <w:rPr>
          <w:rFonts w:ascii="Times New Roman" w:hAnsi="Times New Roman"/>
        </w:rPr>
        <w:t>2014</w:t>
      </w:r>
      <w:r>
        <w:rPr>
          <w:rFonts w:hint="eastAsia"/>
        </w:rPr>
        <w:t>〕</w:t>
      </w:r>
      <w:r>
        <w:rPr>
          <w:rFonts w:ascii="Times New Roman" w:hAnsi="Times New Roman"/>
        </w:rPr>
        <w:t>68</w:t>
      </w:r>
      <w:r>
        <w:t>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380" w:lineRule="exact"/>
        <w:ind w:firstLine="378" w:firstLineChars="180"/>
      </w:pPr>
      <w:r>
        <w:t>投标产品生产</w:t>
      </w:r>
      <w:r>
        <w:rPr>
          <w:rFonts w:hint="eastAsia"/>
        </w:rPr>
        <w:t>单位</w:t>
      </w:r>
      <w:r>
        <w:t>或服务提供</w:t>
      </w:r>
      <w:r>
        <w:rPr>
          <w:rFonts w:hint="eastAsia"/>
        </w:rPr>
        <w:t>单位按《关于促进残疾人就业政府采购政策的通知》（财库〔</w:t>
      </w:r>
      <w:r>
        <w:rPr>
          <w:rFonts w:hint="eastAsia" w:ascii="Times New Roman" w:hAnsi="Times New Roman"/>
        </w:rPr>
        <w:t>2017</w:t>
      </w:r>
      <w:r>
        <w:rPr>
          <w:rFonts w:hint="eastAsia"/>
        </w:rPr>
        <w:t>〕</w:t>
      </w:r>
      <w:r>
        <w:rPr>
          <w:rFonts w:hint="eastAsia" w:ascii="Times New Roman" w:hAnsi="Times New Roman"/>
        </w:rPr>
        <w:t>141</w:t>
      </w:r>
      <w:r>
        <w:rPr>
          <w:rFonts w:hint="eastAsia"/>
        </w:rPr>
        <w:t>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ascii="宋体" w:hAnsi="宋体" w:eastAsia="宋体" w:cs="宋体"/>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ind w:firstLine="420" w:firstLineChars="200"/>
        <w:rPr>
          <w:rFonts w:hAnsi="宋体"/>
          <w:b/>
        </w:rPr>
      </w:pPr>
      <w:r>
        <w:rPr>
          <w:rFonts w:hint="eastAsia" w:ascii="Times New Roman" w:hAnsi="Times New Roman"/>
          <w:b/>
          <w:bCs/>
        </w:rPr>
        <w:t>2</w:t>
      </w:r>
      <w:r>
        <w:rPr>
          <w:rFonts w:hint="eastAsia"/>
          <w:b/>
          <w:bCs/>
          <w:lang w:val="en-US" w:eastAsia="zh-CN"/>
        </w:rPr>
        <w:t>.</w:t>
      </w:r>
      <w:r>
        <w:rPr>
          <w:rFonts w:hint="eastAsia"/>
          <w:b/>
          <w:bCs/>
        </w:rPr>
        <w:t>技术分…………………………………………………………………………………………</w:t>
      </w:r>
      <w:r>
        <w:rPr>
          <w:rFonts w:hint="eastAsia"/>
          <w:b/>
          <w:bCs/>
          <w:lang w:val="en-US" w:eastAsia="zh-CN"/>
        </w:rPr>
        <w:t>60</w:t>
      </w:r>
      <w:r>
        <w:rPr>
          <w:rFonts w:hint="eastAsia"/>
          <w:b/>
          <w:bCs/>
        </w:rPr>
        <w:t>分</w:t>
      </w:r>
    </w:p>
    <w:p>
      <w:pPr>
        <w:pStyle w:val="111"/>
        <w:adjustRightInd w:val="0"/>
        <w:snapToGrid w:val="0"/>
        <w:spacing w:line="380" w:lineRule="exact"/>
        <w:ind w:firstLine="378" w:firstLineChars="180"/>
        <w:textAlignment w:val="baseline"/>
        <w:rPr>
          <w:rFonts w:hint="eastAsia"/>
        </w:rPr>
      </w:pPr>
      <w:r>
        <w:rPr>
          <w:rFonts w:hint="eastAsia"/>
        </w:rPr>
        <w:t>（</w:t>
      </w:r>
      <w:r>
        <w:rPr>
          <w:rFonts w:hint="eastAsia" w:ascii="Times New Roman" w:hAnsi="Times New Roman"/>
        </w:rPr>
        <w:t>1</w:t>
      </w:r>
      <w:r>
        <w:rPr>
          <w:rFonts w:hint="eastAsia"/>
        </w:rPr>
        <w:t>）一般技术参数要求响应得分（满分</w:t>
      </w:r>
      <w:r>
        <w:rPr>
          <w:rFonts w:hint="eastAsia" w:ascii="Times New Roman" w:hAnsi="Times New Roman"/>
          <w:lang w:val="en-US" w:eastAsia="zh-CN"/>
        </w:rPr>
        <w:t>24</w:t>
      </w:r>
      <w:r>
        <w:rPr>
          <w:rFonts w:hint="eastAsia"/>
        </w:rPr>
        <w:t>分）</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 w:val="0"/>
          <w:szCs w:val="21"/>
        </w:rPr>
        <w:t>一般技术参数要求响应得分</w:t>
      </w:r>
      <w:r>
        <w:rPr>
          <w:rFonts w:hint="eastAsia" w:ascii="宋体" w:hAnsi="宋体" w:eastAsia="宋体"/>
          <w:bCs w:val="0"/>
          <w:szCs w:val="21"/>
        </w:rPr>
        <w:t>（共计</w:t>
      </w:r>
      <w:r>
        <w:rPr>
          <w:rFonts w:hint="eastAsia" w:ascii="Times New Roman" w:hAnsi="Times New Roman"/>
          <w:bCs w:val="0"/>
          <w:szCs w:val="21"/>
          <w:lang w:val="en-US" w:eastAsia="zh-CN"/>
        </w:rPr>
        <w:t>160</w:t>
      </w:r>
      <w:r>
        <w:rPr>
          <w:rFonts w:hint="eastAsia" w:ascii="宋体" w:hAnsi="宋体" w:eastAsia="宋体"/>
          <w:bCs w:val="0"/>
          <w:szCs w:val="21"/>
        </w:rPr>
        <w:t>项），“</w:t>
      </w:r>
      <w:r>
        <w:rPr>
          <w:rFonts w:hint="eastAsia" w:ascii="宋体" w:hAnsi="宋体" w:eastAsia="宋体"/>
          <w:bCs w:val="0"/>
          <w:szCs w:val="21"/>
          <w:lang w:eastAsia="zh-CN"/>
        </w:rPr>
        <w:t>医用直线加速器</w:t>
      </w:r>
      <w:r>
        <w:rPr>
          <w:rFonts w:hint="eastAsia" w:ascii="宋体" w:hAnsi="宋体" w:eastAsia="宋体"/>
          <w:bCs w:val="0"/>
          <w:szCs w:val="21"/>
        </w:rPr>
        <w:t xml:space="preserve"> ”“主机基本要求 ”“</w:t>
      </w:r>
      <w:r>
        <w:rPr>
          <w:rFonts w:hint="eastAsia" w:ascii="Times New Roman" w:hAnsi="Times New Roman" w:eastAsia="宋体"/>
          <w:bCs w:val="0"/>
          <w:szCs w:val="21"/>
        </w:rPr>
        <w:t>X</w:t>
      </w:r>
      <w:r>
        <w:rPr>
          <w:rFonts w:hint="eastAsia" w:ascii="宋体" w:hAnsi="宋体" w:eastAsia="宋体"/>
          <w:bCs w:val="0"/>
          <w:szCs w:val="21"/>
        </w:rPr>
        <w:t>射线束特性 ”“治疗模式”“机械运动系统”“电动多叶准直器（</w:t>
      </w:r>
      <w:r>
        <w:rPr>
          <w:rFonts w:hint="eastAsia" w:ascii="Times New Roman" w:hAnsi="Times New Roman" w:eastAsia="宋体"/>
          <w:bCs w:val="0"/>
          <w:szCs w:val="21"/>
        </w:rPr>
        <w:t>MLC</w:t>
      </w:r>
      <w:r>
        <w:rPr>
          <w:rFonts w:hint="eastAsia" w:ascii="宋体" w:hAnsi="宋体" w:eastAsia="宋体"/>
          <w:bCs w:val="0"/>
          <w:szCs w:val="21"/>
        </w:rPr>
        <w:t>）系统 ”“治疗床”“四维影像引导系统或</w:t>
      </w:r>
      <w:r>
        <w:rPr>
          <w:rFonts w:hint="eastAsia" w:ascii="Times New Roman" w:hAnsi="Times New Roman" w:eastAsia="宋体"/>
          <w:bCs w:val="0"/>
          <w:szCs w:val="21"/>
        </w:rPr>
        <w:t>IGRT</w:t>
      </w:r>
      <w:r>
        <w:rPr>
          <w:rFonts w:hint="eastAsia" w:ascii="宋体" w:hAnsi="宋体" w:eastAsia="宋体"/>
          <w:bCs w:val="0"/>
          <w:szCs w:val="21"/>
        </w:rPr>
        <w:t>影像系统”“</w:t>
      </w:r>
      <w:r>
        <w:rPr>
          <w:rFonts w:hint="eastAsia" w:ascii="Times New Roman" w:hAnsi="Times New Roman" w:eastAsia="宋体"/>
          <w:bCs w:val="0"/>
          <w:szCs w:val="21"/>
        </w:rPr>
        <w:t>EPID</w:t>
      </w:r>
      <w:r>
        <w:rPr>
          <w:rFonts w:hint="eastAsia" w:ascii="宋体" w:hAnsi="宋体" w:eastAsia="宋体"/>
          <w:bCs w:val="0"/>
          <w:szCs w:val="21"/>
        </w:rPr>
        <w:t>系统”“硬件要求”“</w:t>
      </w:r>
      <w:r>
        <w:rPr>
          <w:rFonts w:hint="eastAsia" w:ascii="宋体" w:hAnsi="宋体" w:eastAsia="宋体"/>
          <w:bCs w:val="0"/>
          <w:szCs w:val="21"/>
          <w:lang w:val="en-US" w:eastAsia="zh-CN"/>
        </w:rPr>
        <w:t>软件要求</w:t>
      </w:r>
      <w:r>
        <w:rPr>
          <w:rFonts w:hint="eastAsia" w:ascii="宋体" w:hAnsi="宋体" w:eastAsia="宋体"/>
          <w:bCs w:val="0"/>
          <w:szCs w:val="21"/>
        </w:rPr>
        <w:t>”“旋转容积调强功能”“具备立体定向放疗功能”“具备呼吸门控治疗系统”“放射治疗计划系统”“放疗专用网络系统”等为技术参数要求的名称描述，不计入一般技术参数要求数量。</w:t>
      </w:r>
    </w:p>
    <w:p>
      <w:pPr>
        <w:pStyle w:val="111"/>
        <w:adjustRightInd w:val="0"/>
        <w:snapToGrid w:val="0"/>
        <w:spacing w:line="380" w:lineRule="exact"/>
        <w:ind w:firstLine="378" w:firstLineChars="180"/>
      </w:pPr>
      <w:r>
        <w:rPr>
          <w:rFonts w:hint="eastAsia" w:ascii="宋体" w:hAnsi="宋体" w:eastAsia="宋体"/>
          <w:bCs w:val="0"/>
          <w:szCs w:val="21"/>
        </w:rPr>
        <w:t>一般技术参数满足</w:t>
      </w:r>
      <w:r>
        <w:rPr>
          <w:rFonts w:hint="eastAsia"/>
          <w:bCs w:val="0"/>
          <w:szCs w:val="21"/>
          <w:lang w:eastAsia="zh-CN"/>
        </w:rPr>
        <w:t>采购需求</w:t>
      </w:r>
      <w:r>
        <w:rPr>
          <w:rFonts w:hint="eastAsia" w:ascii="宋体" w:hAnsi="宋体" w:eastAsia="宋体"/>
          <w:bCs w:val="0"/>
          <w:szCs w:val="21"/>
        </w:rPr>
        <w:t>的，每项</w:t>
      </w:r>
      <w:r>
        <w:rPr>
          <w:rFonts w:hint="eastAsia"/>
          <w:bCs w:val="0"/>
          <w:szCs w:val="21"/>
          <w:lang w:eastAsia="zh-CN"/>
        </w:rPr>
        <w:t>得</w:t>
      </w:r>
      <w:r>
        <w:rPr>
          <w:rFonts w:hint="eastAsia" w:ascii="Times New Roman" w:hAnsi="Times New Roman" w:eastAsia="宋体"/>
          <w:bCs w:val="0"/>
          <w:szCs w:val="21"/>
        </w:rPr>
        <w:t>0</w:t>
      </w:r>
      <w:r>
        <w:rPr>
          <w:rFonts w:hint="eastAsia" w:ascii="宋体" w:hAnsi="宋体" w:eastAsia="宋体"/>
          <w:bCs w:val="0"/>
          <w:szCs w:val="21"/>
        </w:rPr>
        <w:t>.</w:t>
      </w:r>
      <w:r>
        <w:rPr>
          <w:rFonts w:hint="eastAsia" w:ascii="Times New Roman" w:hAnsi="Times New Roman"/>
          <w:bCs w:val="0"/>
          <w:szCs w:val="21"/>
          <w:lang w:val="en-US" w:eastAsia="zh-CN"/>
        </w:rPr>
        <w:t>15</w:t>
      </w:r>
      <w:r>
        <w:rPr>
          <w:rFonts w:hint="eastAsia" w:ascii="宋体" w:hAnsi="宋体" w:eastAsia="宋体"/>
          <w:bCs w:val="0"/>
          <w:szCs w:val="21"/>
        </w:rPr>
        <w:t>分。</w:t>
      </w:r>
    </w:p>
    <w:p>
      <w:pPr>
        <w:pStyle w:val="111"/>
        <w:adjustRightInd w:val="0"/>
        <w:snapToGrid w:val="0"/>
        <w:spacing w:line="380" w:lineRule="exact"/>
        <w:ind w:firstLine="378" w:firstLineChars="180"/>
      </w:pPr>
      <w:r>
        <w:rPr>
          <w:rFonts w:hint="eastAsia"/>
        </w:rPr>
        <w:t>注：一般技术参数要求是指技术参数要求中未标注“▲”、“★”的技术参数。</w:t>
      </w:r>
    </w:p>
    <w:p>
      <w:pPr>
        <w:pStyle w:val="111"/>
        <w:adjustRightInd w:val="0"/>
        <w:snapToGrid w:val="0"/>
        <w:spacing w:line="400" w:lineRule="exact"/>
        <w:ind w:firstLine="378" w:firstLineChars="180"/>
      </w:pPr>
      <w:r>
        <w:rPr>
          <w:rFonts w:hint="eastAsia"/>
        </w:rPr>
        <w:t>（</w:t>
      </w:r>
      <w:r>
        <w:rPr>
          <w:rFonts w:hint="eastAsia" w:ascii="Times New Roman" w:hAnsi="Times New Roman"/>
        </w:rPr>
        <w:t>2</w:t>
      </w:r>
      <w:r>
        <w:rPr>
          <w:rFonts w:hint="eastAsia"/>
        </w:rPr>
        <w:t>）重要</w:t>
      </w:r>
      <w:r>
        <w:rPr>
          <w:rFonts w:hint="eastAsia"/>
          <w:lang w:eastAsia="zh-CN"/>
        </w:rPr>
        <w:t>技术</w:t>
      </w:r>
      <w:r>
        <w:rPr>
          <w:rFonts w:hint="eastAsia"/>
        </w:rPr>
        <w:t>参数要求响应得分（满分</w:t>
      </w:r>
      <w:r>
        <w:rPr>
          <w:rFonts w:hint="eastAsia" w:ascii="Times New Roman" w:hAnsi="Times New Roman"/>
          <w:lang w:val="en-US" w:eastAsia="zh-CN"/>
        </w:rPr>
        <w:t>25</w:t>
      </w:r>
      <w:r>
        <w:rPr>
          <w:rFonts w:hint="eastAsia"/>
        </w:rPr>
        <w:t>分）</w:t>
      </w:r>
    </w:p>
    <w:p>
      <w:pPr>
        <w:pStyle w:val="111"/>
        <w:adjustRightInd w:val="0"/>
        <w:snapToGrid w:val="0"/>
        <w:spacing w:line="400" w:lineRule="exact"/>
        <w:ind w:firstLine="378" w:firstLineChars="180"/>
      </w:pPr>
      <w:r>
        <w:rPr>
          <w:rFonts w:hint="eastAsia"/>
        </w:rPr>
        <w:t>重要技术参数要求响应得分（共计</w:t>
      </w:r>
      <w:r>
        <w:rPr>
          <w:rFonts w:hint="eastAsia" w:ascii="Times New Roman" w:hAnsi="Times New Roman"/>
          <w:lang w:val="en-US" w:eastAsia="zh-CN"/>
        </w:rPr>
        <w:t>5</w:t>
      </w:r>
      <w:r>
        <w:rPr>
          <w:rFonts w:hint="eastAsia"/>
        </w:rPr>
        <w:t>项）；</w:t>
      </w:r>
    </w:p>
    <w:p>
      <w:pPr>
        <w:pStyle w:val="111"/>
        <w:adjustRightInd w:val="0"/>
        <w:snapToGrid w:val="0"/>
        <w:spacing w:line="400" w:lineRule="exact"/>
        <w:ind w:firstLine="378" w:firstLineChars="180"/>
      </w:pPr>
      <w:r>
        <w:rPr>
          <w:rFonts w:hint="eastAsia"/>
        </w:rPr>
        <w:t>重要技术参数满足要求的，每项</w:t>
      </w:r>
      <w:r>
        <w:rPr>
          <w:rFonts w:hint="eastAsia"/>
          <w:lang w:eastAsia="zh-CN"/>
        </w:rPr>
        <w:t>得</w:t>
      </w:r>
      <w:r>
        <w:rPr>
          <w:rFonts w:hint="eastAsia" w:ascii="Times New Roman" w:hAnsi="Times New Roman"/>
          <w:lang w:val="en-US" w:eastAsia="zh-CN"/>
        </w:rPr>
        <w:t>5</w:t>
      </w:r>
      <w:r>
        <w:rPr>
          <w:rFonts w:hint="eastAsia"/>
        </w:rPr>
        <w:t>分。</w:t>
      </w:r>
    </w:p>
    <w:p>
      <w:pPr>
        <w:pStyle w:val="111"/>
        <w:adjustRightInd w:val="0"/>
        <w:snapToGrid w:val="0"/>
        <w:spacing w:line="400" w:lineRule="exact"/>
        <w:ind w:firstLine="378" w:firstLineChars="180"/>
      </w:pPr>
      <w:r>
        <w:rPr>
          <w:rFonts w:hint="eastAsia"/>
        </w:rPr>
        <w:t>注：重要技术参数是指技术参数中标注“★”的技术参数。</w:t>
      </w:r>
    </w:p>
    <w:p>
      <w:pPr>
        <w:pStyle w:val="111"/>
        <w:adjustRightInd w:val="0"/>
        <w:snapToGrid w:val="0"/>
        <w:spacing w:line="380" w:lineRule="exact"/>
        <w:ind w:firstLine="378" w:firstLineChars="180"/>
      </w:pPr>
      <w:r>
        <w:rPr>
          <w:rFonts w:hint="eastAsia"/>
        </w:rPr>
        <w:t>（</w:t>
      </w:r>
      <w:r>
        <w:rPr>
          <w:rFonts w:hint="eastAsia" w:ascii="Times New Roman" w:hAnsi="Times New Roman"/>
          <w:lang w:val="en-US" w:eastAsia="zh"/>
        </w:rPr>
        <w:t>3</w:t>
      </w:r>
      <w:r>
        <w:rPr>
          <w:rFonts w:hint="eastAsia"/>
        </w:rPr>
        <w:t>）技术及项目实施方案分（满分</w:t>
      </w:r>
      <w:r>
        <w:rPr>
          <w:rFonts w:hint="eastAsia" w:ascii="Times New Roman" w:hAnsi="Times New Roman"/>
        </w:rPr>
        <w:t>4</w:t>
      </w:r>
      <w:r>
        <w:rPr>
          <w:rFonts w:hint="eastAsia"/>
        </w:rPr>
        <w:t>分）</w:t>
      </w:r>
    </w:p>
    <w:p>
      <w:pPr>
        <w:pStyle w:val="111"/>
        <w:snapToGrid w:val="0"/>
        <w:spacing w:line="380" w:lineRule="exact"/>
        <w:ind w:firstLine="378" w:firstLineChars="180"/>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一档（</w:t>
      </w:r>
      <w:r>
        <w:rPr>
          <w:rFonts w:hint="default" w:ascii="Times New Roman" w:hAnsi="Times New Roman"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二档（</w:t>
      </w:r>
      <w:r>
        <w:rPr>
          <w:rFonts w:hint="default" w:ascii="Times New Roman" w:hAnsi="Times New Roman"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adjustRightInd w:val="0"/>
        <w:snapToGrid w:val="0"/>
        <w:spacing w:line="38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三档（</w:t>
      </w:r>
      <w:r>
        <w:rPr>
          <w:rFonts w:hint="default" w:ascii="Times New Roman" w:hAnsi="Times New Roman"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adjustRightInd w:val="0"/>
        <w:snapToGrid w:val="0"/>
        <w:spacing w:line="400" w:lineRule="exact"/>
        <w:ind w:firstLine="378" w:firstLineChars="180"/>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snapToGrid w:val="0"/>
        <w:spacing w:line="380" w:lineRule="exact"/>
        <w:ind w:firstLine="378" w:firstLineChars="180"/>
        <w:rPr>
          <w:rFonts w:hint="eastAsia"/>
        </w:rPr>
      </w:pPr>
      <w:r>
        <w:rPr>
          <w:rFonts w:hint="eastAsia"/>
        </w:rPr>
        <w:t>（</w:t>
      </w:r>
      <w:r>
        <w:rPr>
          <w:rFonts w:hint="eastAsia" w:ascii="Times New Roman" w:hAnsi="Times New Roman"/>
          <w:lang w:val="en-US" w:eastAsia="zh"/>
        </w:rPr>
        <w:t>4</w:t>
      </w:r>
      <w:r>
        <w:rPr>
          <w:rFonts w:hint="eastAsia"/>
        </w:rPr>
        <w:t>）技术人员分（满分</w:t>
      </w:r>
      <w:r>
        <w:rPr>
          <w:rFonts w:hint="eastAsia" w:ascii="Times New Roman" w:hAnsi="Times New Roman"/>
        </w:rPr>
        <w:t>4</w:t>
      </w:r>
      <w:r>
        <w:rPr>
          <w:rFonts w:hint="eastAsia"/>
        </w:rPr>
        <w:t>分）</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一档（</w:t>
      </w:r>
      <w:r>
        <w:rPr>
          <w:rFonts w:hint="eastAsia" w:ascii="Times New Roman" w:hAnsi="Times New Roman" w:eastAsia="宋体" w:cs="Times New Roman"/>
          <w:szCs w:val="21"/>
        </w:rPr>
        <w:t>1</w:t>
      </w:r>
      <w:r>
        <w:rPr>
          <w:rFonts w:hint="eastAsia" w:ascii="宋体" w:hAnsi="宋体" w:eastAsia="宋体" w:cs="Times New Roman"/>
          <w:szCs w:val="21"/>
        </w:rPr>
        <w:t xml:space="preserve">分）：技术人员投入计划，技术人员在安装调试过程提供技术支持和协助计划，拟派技术人员的经验介绍等方案内容齐全，符合基础条件的。 </w:t>
      </w:r>
    </w:p>
    <w:p>
      <w:pPr>
        <w:pStyle w:val="111"/>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二档（</w:t>
      </w:r>
      <w:r>
        <w:rPr>
          <w:rFonts w:hint="eastAsia" w:ascii="Times New Roman" w:hAnsi="Times New Roman" w:eastAsia="宋体" w:cs="Times New Roman"/>
          <w:szCs w:val="21"/>
        </w:rPr>
        <w:t>2</w:t>
      </w:r>
      <w:r>
        <w:rPr>
          <w:rFonts w:hint="eastAsia" w:ascii="宋体" w:hAnsi="宋体" w:eastAsia="宋体" w:cs="Times New Roman"/>
          <w:szCs w:val="21"/>
        </w:rPr>
        <w:t>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adjustRightInd/>
        <w:snapToGrid w:val="0"/>
        <w:spacing w:line="380" w:lineRule="exact"/>
        <w:ind w:firstLine="378" w:firstLineChars="180"/>
        <w:rPr>
          <w:rFonts w:hint="eastAsia" w:ascii="宋体" w:hAnsi="宋体" w:eastAsia="宋体" w:cs="Times New Roman"/>
          <w:szCs w:val="21"/>
        </w:rPr>
      </w:pPr>
      <w:r>
        <w:rPr>
          <w:rFonts w:hint="eastAsia" w:ascii="宋体" w:hAnsi="宋体" w:eastAsia="宋体" w:cs="Times New Roman"/>
          <w:szCs w:val="21"/>
        </w:rPr>
        <w:t>三档（</w:t>
      </w:r>
      <w:r>
        <w:rPr>
          <w:rFonts w:hint="eastAsia" w:ascii="Times New Roman" w:hAnsi="Times New Roman" w:eastAsia="宋体" w:cs="Times New Roman"/>
          <w:szCs w:val="21"/>
        </w:rPr>
        <w:t>4</w:t>
      </w:r>
      <w:r>
        <w:rPr>
          <w:rFonts w:hint="eastAsia" w:ascii="宋体" w:hAnsi="宋体" w:eastAsia="宋体" w:cs="Times New Roman"/>
          <w:szCs w:val="21"/>
        </w:rPr>
        <w:t>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adjustRightInd w:val="0"/>
        <w:snapToGrid w:val="0"/>
        <w:spacing w:line="380" w:lineRule="exact"/>
        <w:ind w:firstLine="378" w:firstLineChars="180"/>
        <w:rPr>
          <w:rFonts w:hint="eastAsia"/>
        </w:rPr>
      </w:pPr>
      <w:r>
        <w:rPr>
          <w:rFonts w:hint="default" w:ascii="宋体" w:hAnsi="宋体" w:eastAsia="宋体" w:cs="Times New Roman"/>
          <w:b/>
          <w:bCs/>
        </w:rPr>
        <w:t>无技术人员方案或不齐全的不得分。</w:t>
      </w:r>
    </w:p>
    <w:p>
      <w:pPr>
        <w:pStyle w:val="111"/>
        <w:adjustRightInd w:val="0"/>
        <w:snapToGrid w:val="0"/>
        <w:spacing w:line="380" w:lineRule="exact"/>
        <w:ind w:firstLine="378" w:firstLineChars="180"/>
      </w:pPr>
      <w:r>
        <w:rPr>
          <w:rFonts w:hint="eastAsia"/>
        </w:rPr>
        <w:t>（</w:t>
      </w:r>
      <w:r>
        <w:rPr>
          <w:rFonts w:hint="eastAsia" w:ascii="Times New Roman" w:hAnsi="Times New Roman"/>
          <w:lang w:val="en-US" w:eastAsia="zh"/>
        </w:rPr>
        <w:t>5</w:t>
      </w:r>
      <w:r>
        <w:rPr>
          <w:rFonts w:hint="eastAsia"/>
        </w:rPr>
        <w:t>）培训计划分（满分</w:t>
      </w:r>
      <w:r>
        <w:rPr>
          <w:rFonts w:hint="eastAsia" w:ascii="Times New Roman" w:hAnsi="Times New Roman"/>
        </w:rPr>
        <w:t>3</w:t>
      </w:r>
      <w:r>
        <w:rPr>
          <w:rFonts w:hint="eastAsia"/>
        </w:rPr>
        <w:t>分）</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一档（</w:t>
      </w:r>
      <w:r>
        <w:rPr>
          <w:rFonts w:hint="eastAsia" w:ascii="Times New Roman" w:hAnsi="Times New Roman" w:eastAsia="宋体"/>
          <w:bCs w:val="0"/>
          <w:kern w:val="0"/>
          <w:szCs w:val="21"/>
        </w:rPr>
        <w:t>1</w:t>
      </w:r>
      <w:r>
        <w:rPr>
          <w:rFonts w:hint="eastAsia" w:ascii="宋体" w:hAnsi="宋体" w:eastAsia="宋体"/>
          <w:bCs w:val="0"/>
          <w:kern w:val="0"/>
          <w:szCs w:val="21"/>
        </w:rPr>
        <w:t>分）：培训方案有简单的培训计划安排，能满足基本要求。</w:t>
      </w:r>
    </w:p>
    <w:p>
      <w:pPr>
        <w:spacing w:line="38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二档（</w:t>
      </w:r>
      <w:r>
        <w:rPr>
          <w:rFonts w:hint="eastAsia" w:ascii="Times New Roman" w:hAnsi="Times New Roman" w:eastAsia="宋体"/>
          <w:bCs w:val="0"/>
          <w:kern w:val="0"/>
          <w:szCs w:val="21"/>
        </w:rPr>
        <w:t>3</w:t>
      </w:r>
      <w:r>
        <w:rPr>
          <w:rFonts w:hint="eastAsia" w:ascii="宋体" w:hAnsi="宋体" w:eastAsia="宋体"/>
          <w:bCs w:val="0"/>
          <w:kern w:val="0"/>
          <w:szCs w:val="21"/>
        </w:rPr>
        <w:t>分）：培训方案应全面、详细，方案内容至少包含：拟派培训人员的安排及介绍、培训时间、规模人数、设备功能理论、简单故障排除等内容。</w:t>
      </w:r>
    </w:p>
    <w:p>
      <w:pPr>
        <w:pStyle w:val="111"/>
        <w:adjustRightInd w:val="0"/>
        <w:snapToGrid w:val="0"/>
        <w:spacing w:line="380" w:lineRule="exact"/>
        <w:ind w:firstLine="378" w:firstLineChars="180"/>
        <w:rPr>
          <w:rFonts w:hint="eastAsia"/>
        </w:rPr>
      </w:pPr>
      <w:r>
        <w:rPr>
          <w:rFonts w:hint="default" w:ascii="宋体" w:hAnsi="宋体" w:eastAsia="宋体" w:cs="Times New Roman"/>
          <w:b/>
          <w:bCs/>
        </w:rPr>
        <w:t>未提供或有明显错误的不得分。</w:t>
      </w:r>
    </w:p>
    <w:p>
      <w:pPr>
        <w:pStyle w:val="405"/>
        <w:spacing w:line="380" w:lineRule="exact"/>
        <w:ind w:firstLine="420" w:firstLineChars="200"/>
        <w:rPr>
          <w:rFonts w:ascii="宋体" w:hAnsi="宋体"/>
        </w:rPr>
      </w:pPr>
      <w:r>
        <w:rPr>
          <w:rFonts w:hint="eastAsia" w:ascii="Times New Roman" w:hAnsi="Times New Roman"/>
          <w:b/>
          <w:bCs/>
        </w:rPr>
        <w:t>3</w:t>
      </w:r>
      <w:r>
        <w:rPr>
          <w:rFonts w:hint="eastAsia"/>
          <w:b/>
          <w:bCs/>
          <w:lang w:val="en-US" w:eastAsia="zh-CN"/>
        </w:rPr>
        <w:t>.</w:t>
      </w:r>
      <w:r>
        <w:rPr>
          <w:rFonts w:hint="eastAsia"/>
          <w:b/>
          <w:bCs/>
        </w:rPr>
        <w:t>售后服务分……………………………………………………………………………………</w:t>
      </w:r>
      <w:r>
        <w:rPr>
          <w:rFonts w:hint="eastAsia" w:ascii="Times New Roman" w:hAnsi="Times New Roman"/>
          <w:b/>
          <w:bCs/>
        </w:rPr>
        <w:t>5</w:t>
      </w:r>
      <w:r>
        <w:rPr>
          <w:rFonts w:hint="eastAsia"/>
          <w:b/>
          <w:bCs/>
        </w:rPr>
        <w:t>分</w:t>
      </w:r>
    </w:p>
    <w:p>
      <w:pPr>
        <w:pStyle w:val="111"/>
        <w:adjustRightInd w:val="0"/>
        <w:snapToGrid w:val="0"/>
        <w:spacing w:line="380" w:lineRule="exact"/>
        <w:ind w:firstLine="378" w:firstLineChars="180"/>
      </w:pPr>
      <w:r>
        <w:rPr>
          <w:rFonts w:hint="eastAsia"/>
        </w:rPr>
        <w:t>（</w:t>
      </w:r>
      <w:r>
        <w:rPr>
          <w:rFonts w:hint="eastAsia" w:ascii="Times New Roman" w:hAnsi="Times New Roman"/>
        </w:rPr>
        <w:t>1</w:t>
      </w:r>
      <w:r>
        <w:rPr>
          <w:rFonts w:hint="eastAsia"/>
        </w:rPr>
        <w:t>）售后服务承诺分（满分</w:t>
      </w:r>
      <w:r>
        <w:rPr>
          <w:rFonts w:hint="eastAsia" w:ascii="Times New Roman" w:hAnsi="Times New Roman"/>
        </w:rPr>
        <w:t>3</w:t>
      </w:r>
      <w:r>
        <w:rPr>
          <w:rFonts w:hint="eastAsia"/>
        </w:rPr>
        <w:t>分）</w:t>
      </w:r>
    </w:p>
    <w:p>
      <w:pPr>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一档（</w:t>
      </w:r>
      <w:r>
        <w:rPr>
          <w:rFonts w:hint="eastAsia" w:ascii="Times New Roman" w:hAnsi="Times New Roman" w:eastAsia="宋体" w:cs="Times New Roman"/>
          <w:kern w:val="0"/>
          <w:szCs w:val="21"/>
        </w:rPr>
        <w:t>1</w:t>
      </w:r>
      <w:r>
        <w:rPr>
          <w:rFonts w:hint="eastAsia" w:ascii="宋体" w:hAnsi="宋体" w:eastAsia="宋体" w:cs="Times New Roman"/>
          <w:kern w:val="0"/>
          <w:szCs w:val="21"/>
        </w:rPr>
        <w:t>分）：售后服务方案仅满足招标文件基本要求。</w:t>
      </w:r>
    </w:p>
    <w:p>
      <w:pPr>
        <w:spacing w:line="38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二档（</w:t>
      </w:r>
      <w:r>
        <w:rPr>
          <w:rFonts w:hint="eastAsia" w:ascii="Times New Roman" w:hAnsi="Times New Roman" w:eastAsia="宋体" w:cs="Times New Roman"/>
          <w:kern w:val="0"/>
          <w:szCs w:val="21"/>
        </w:rPr>
        <w:t>3</w:t>
      </w:r>
      <w:r>
        <w:rPr>
          <w:rFonts w:hint="eastAsia" w:ascii="宋体" w:hAnsi="宋体" w:eastAsia="宋体" w:cs="Times New Roman"/>
          <w:kern w:val="0"/>
          <w:szCs w:val="21"/>
        </w:rPr>
        <w:t>分）：售后服务方案细致、合理、可行，能提供生产厂家售后服务承诺书原件，有详细的售后服务管理制度、售后服务流程、应急预案、年度保养计划、发生故障时提供备用机或其他替代解决的具体措施、质量保障方案。</w:t>
      </w:r>
    </w:p>
    <w:p>
      <w:pPr>
        <w:spacing w:line="380" w:lineRule="exact"/>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380" w:lineRule="exact"/>
        <w:ind w:firstLine="378" w:firstLineChars="180"/>
      </w:pPr>
      <w:r>
        <w:rPr>
          <w:rFonts w:hint="eastAsia"/>
        </w:rPr>
        <w:t>（</w:t>
      </w:r>
      <w:r>
        <w:rPr>
          <w:rFonts w:hint="eastAsia" w:ascii="Times New Roman" w:hAnsi="Times New Roman"/>
        </w:rPr>
        <w:t>2</w:t>
      </w:r>
      <w:r>
        <w:rPr>
          <w:rFonts w:hint="eastAsia"/>
        </w:rPr>
        <w:t>）质保期（保修期）（满分</w:t>
      </w:r>
      <w:r>
        <w:rPr>
          <w:rFonts w:hint="eastAsia" w:ascii="Times New Roman" w:hAnsi="Times New Roman"/>
        </w:rPr>
        <w:t>2</w:t>
      </w:r>
      <w:r>
        <w:rPr>
          <w:rFonts w:hint="eastAsia"/>
        </w:rPr>
        <w:t>分）</w:t>
      </w:r>
    </w:p>
    <w:p>
      <w:pPr>
        <w:pStyle w:val="111"/>
        <w:adjustRightInd w:val="0"/>
        <w:snapToGrid w:val="0"/>
        <w:spacing w:line="380" w:lineRule="exact"/>
        <w:ind w:firstLine="378" w:firstLineChars="180"/>
        <w:rPr>
          <w:rFonts w:hint="eastAsia"/>
        </w:rPr>
      </w:pPr>
      <w:r>
        <w:rPr>
          <w:rFonts w:hint="eastAsia" w:ascii="宋体" w:hAnsi="宋体" w:eastAsia="宋体"/>
          <w:bCs w:val="0"/>
        </w:rPr>
        <w:t>在满足基本质保期（保修期）（</w:t>
      </w:r>
      <w:r>
        <w:rPr>
          <w:rFonts w:hint="eastAsia" w:ascii="Times New Roman" w:hAnsi="Times New Roman" w:eastAsia="宋体"/>
          <w:bCs w:val="0"/>
        </w:rPr>
        <w:t>3</w:t>
      </w:r>
      <w:r>
        <w:rPr>
          <w:rFonts w:hint="eastAsia" w:ascii="宋体" w:hAnsi="宋体" w:eastAsia="宋体"/>
          <w:bCs w:val="0"/>
        </w:rPr>
        <w:t>年）的基础上，免费保修期每延长</w:t>
      </w:r>
      <w:r>
        <w:rPr>
          <w:rFonts w:hint="eastAsia" w:ascii="Times New Roman" w:hAnsi="Times New Roman" w:eastAsia="宋体"/>
          <w:bCs w:val="0"/>
        </w:rPr>
        <w:t>6</w:t>
      </w:r>
      <w:r>
        <w:rPr>
          <w:rFonts w:hint="eastAsia" w:ascii="宋体" w:hAnsi="宋体" w:eastAsia="宋体"/>
          <w:bCs w:val="0"/>
        </w:rPr>
        <w:t>个月得</w:t>
      </w:r>
      <w:r>
        <w:rPr>
          <w:rFonts w:hint="eastAsia" w:ascii="Times New Roman" w:hAnsi="Times New Roman" w:eastAsia="宋体"/>
          <w:bCs w:val="0"/>
        </w:rPr>
        <w:t>0</w:t>
      </w:r>
      <w:r>
        <w:rPr>
          <w:rFonts w:hint="eastAsia" w:ascii="宋体" w:hAnsi="宋体" w:eastAsia="宋体"/>
          <w:bCs w:val="0"/>
        </w:rPr>
        <w:t>.</w:t>
      </w:r>
      <w:r>
        <w:rPr>
          <w:rFonts w:hint="eastAsia" w:ascii="Times New Roman" w:hAnsi="Times New Roman" w:eastAsia="宋体"/>
          <w:bCs w:val="0"/>
        </w:rPr>
        <w:t>5</w:t>
      </w:r>
      <w:r>
        <w:rPr>
          <w:rFonts w:hint="eastAsia" w:ascii="宋体" w:hAnsi="宋体" w:eastAsia="宋体"/>
          <w:bCs w:val="0"/>
        </w:rPr>
        <w:t>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w:t>
      </w:r>
      <w:r>
        <w:rPr>
          <w:rFonts w:hint="eastAsia" w:ascii="Times New Roman" w:hAnsi="Times New Roman" w:eastAsia="宋体"/>
          <w:bCs w:val="0"/>
        </w:rPr>
        <w:t>2</w:t>
      </w:r>
      <w:r>
        <w:rPr>
          <w:rFonts w:hint="eastAsia" w:ascii="宋体" w:hAnsi="宋体" w:eastAsia="宋体"/>
          <w:bCs w:val="0"/>
        </w:rPr>
        <w:t>分。</w:t>
      </w:r>
    </w:p>
    <w:p>
      <w:pPr>
        <w:pStyle w:val="405"/>
        <w:ind w:firstLine="420" w:firstLineChars="200"/>
        <w:rPr>
          <w:rFonts w:ascii="宋体" w:hAnsi="宋体"/>
        </w:rPr>
      </w:pPr>
      <w:r>
        <w:rPr>
          <w:rFonts w:hint="eastAsia" w:ascii="Times New Roman" w:hAnsi="Times New Roman"/>
          <w:b/>
          <w:bCs/>
        </w:rPr>
        <w:t>4</w:t>
      </w:r>
      <w:r>
        <w:rPr>
          <w:rFonts w:hint="eastAsia"/>
          <w:b/>
          <w:bCs/>
          <w:lang w:val="en-US" w:eastAsia="zh-CN"/>
        </w:rPr>
        <w:t>.</w:t>
      </w:r>
      <w:r>
        <w:rPr>
          <w:rFonts w:hint="eastAsia"/>
          <w:b/>
          <w:bCs/>
          <w:lang w:eastAsia="zh-CN"/>
        </w:rPr>
        <w:t>业绩</w:t>
      </w:r>
      <w:r>
        <w:rPr>
          <w:rFonts w:hint="eastAsia"/>
          <w:b/>
          <w:bCs/>
        </w:rPr>
        <w:t>分…………………………………………………………………………………………</w:t>
      </w:r>
      <w:r>
        <w:rPr>
          <w:rFonts w:hint="eastAsia"/>
          <w:b/>
          <w:bCs/>
          <w:lang w:val="en-US" w:eastAsia="zh-CN"/>
        </w:rPr>
        <w:t>4</w:t>
      </w:r>
      <w:r>
        <w:rPr>
          <w:rFonts w:hint="eastAsia"/>
          <w:b/>
          <w:bCs/>
        </w:rPr>
        <w:t>分</w:t>
      </w:r>
    </w:p>
    <w:p>
      <w:pPr>
        <w:pStyle w:val="111"/>
        <w:adjustRightInd w:val="0"/>
        <w:snapToGrid w:val="0"/>
        <w:spacing w:line="380" w:lineRule="exact"/>
        <w:ind w:firstLine="378" w:firstLineChars="180"/>
      </w:pPr>
      <w:r>
        <w:rPr>
          <w:rFonts w:hint="eastAsia"/>
        </w:rPr>
        <w:t>业绩（满分</w:t>
      </w:r>
      <w:r>
        <w:rPr>
          <w:rFonts w:hint="eastAsia" w:ascii="Times New Roman" w:hAnsi="Times New Roman"/>
          <w:lang w:val="en-US" w:eastAsia="zh-CN"/>
        </w:rPr>
        <w:t>4</w:t>
      </w:r>
      <w:r>
        <w:rPr>
          <w:rFonts w:hint="eastAsia"/>
        </w:rPr>
        <w:t>分）</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eastAsia="zh-CN"/>
        </w:rPr>
        <w:t>提供</w:t>
      </w:r>
      <w:r>
        <w:rPr>
          <w:rFonts w:hint="default" w:ascii="Times New Roman" w:hAnsi="Times New Roman" w:eastAsia="宋体" w:cs="Times New Roman"/>
          <w:szCs w:val="21"/>
        </w:rPr>
        <w:t>202</w:t>
      </w:r>
      <w:r>
        <w:rPr>
          <w:rFonts w:hint="eastAsia" w:cs="Times New Roman"/>
          <w:szCs w:val="21"/>
          <w:lang w:val="en-US" w:eastAsia="zh-CN"/>
        </w:rPr>
        <w:t>3</w:t>
      </w:r>
      <w:r>
        <w:rPr>
          <w:rFonts w:hint="eastAsia" w:ascii="宋体" w:hAnsi="宋体" w:eastAsia="宋体" w:cs="宋体"/>
          <w:szCs w:val="21"/>
        </w:rPr>
        <w:t>年</w:t>
      </w:r>
      <w:r>
        <w:rPr>
          <w:rFonts w:hint="default" w:ascii="Times New Roman" w:hAnsi="Times New Roman" w:eastAsia="宋体" w:cs="Times New Roman"/>
          <w:szCs w:val="21"/>
        </w:rPr>
        <w:t>1</w:t>
      </w:r>
      <w:r>
        <w:rPr>
          <w:rFonts w:hint="eastAsia" w:ascii="宋体" w:hAnsi="宋体" w:eastAsia="宋体" w:cs="宋体"/>
          <w:szCs w:val="21"/>
        </w:rPr>
        <w:t>月</w:t>
      </w:r>
      <w:r>
        <w:rPr>
          <w:rFonts w:hint="default" w:ascii="Times New Roman" w:hAnsi="Times New Roman" w:eastAsia="宋体" w:cs="Times New Roman"/>
          <w:szCs w:val="21"/>
        </w:rPr>
        <w:t>1</w:t>
      </w:r>
      <w:r>
        <w:rPr>
          <w:rFonts w:hint="eastAsia" w:ascii="宋体" w:hAnsi="宋体" w:eastAsia="宋体" w:cs="宋体"/>
          <w:szCs w:val="21"/>
        </w:rPr>
        <w:t>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w:t>
      </w:r>
      <w:r>
        <w:rPr>
          <w:rFonts w:hint="default" w:ascii="Times New Roman" w:hAnsi="Times New Roman" w:eastAsia="宋体" w:cs="Times New Roman"/>
          <w:szCs w:val="21"/>
        </w:rPr>
        <w:t>1</w:t>
      </w:r>
      <w:r>
        <w:rPr>
          <w:rFonts w:hint="eastAsia" w:ascii="宋体" w:hAnsi="宋体" w:eastAsia="宋体" w:cs="宋体"/>
          <w:szCs w:val="21"/>
        </w:rPr>
        <w:t>项得</w:t>
      </w:r>
      <w:r>
        <w:rPr>
          <w:rFonts w:hint="default" w:ascii="Times New Roman" w:hAnsi="Times New Roman" w:eastAsia="宋体" w:cs="Times New Roman"/>
          <w:szCs w:val="21"/>
        </w:rPr>
        <w:t>0.</w:t>
      </w:r>
      <w:r>
        <w:rPr>
          <w:rFonts w:hint="eastAsia" w:cs="Times New Roman"/>
          <w:szCs w:val="21"/>
          <w:lang w:val="en-US" w:eastAsia="zh-CN"/>
        </w:rPr>
        <w:t>5</w:t>
      </w:r>
      <w:r>
        <w:rPr>
          <w:rFonts w:hint="eastAsia" w:ascii="宋体" w:hAnsi="宋体" w:eastAsia="宋体" w:cs="宋体"/>
          <w:szCs w:val="21"/>
        </w:rPr>
        <w:t>分，满分</w:t>
      </w:r>
      <w:r>
        <w:rPr>
          <w:rFonts w:hint="eastAsia" w:cs="Times New Roman"/>
          <w:szCs w:val="21"/>
          <w:lang w:val="en-US" w:eastAsia="zh-CN"/>
        </w:rPr>
        <w:t>4</w:t>
      </w:r>
      <w:r>
        <w:rPr>
          <w:rFonts w:hint="eastAsia" w:ascii="宋体" w:hAnsi="宋体" w:eastAsia="宋体" w:cs="宋体"/>
          <w:szCs w:val="21"/>
        </w:rPr>
        <w:t>分。</w:t>
      </w:r>
    </w:p>
    <w:p>
      <w:pPr>
        <w:pStyle w:val="111"/>
        <w:adjustRightInd w:val="0"/>
        <w:snapToGrid w:val="0"/>
        <w:spacing w:line="400" w:lineRule="exact"/>
        <w:ind w:firstLine="588" w:firstLineChars="280"/>
        <w:rPr>
          <w:rFonts w:hint="eastAsia" w:ascii="宋体" w:hAnsi="宋体" w:eastAsia="宋体" w:cs="宋体"/>
        </w:rPr>
      </w:pPr>
      <w:r>
        <w:rPr>
          <w:rFonts w:hint="eastAsia"/>
          <w:b/>
          <w:bCs/>
        </w:rPr>
        <w:t>注：投标文件中提供有效的中标通知书/合同复印件（或扫描件）、验收报告，并逐份加盖投标人电子签章，材料须体现签订时间、买卖双方信息、产品品牌型号</w:t>
      </w:r>
      <w:r>
        <w:rPr>
          <w:rFonts w:hint="eastAsia"/>
          <w:b/>
          <w:bCs/>
          <w:lang w:eastAsia="zh-CN"/>
        </w:rPr>
        <w:t>（</w:t>
      </w:r>
      <w:r>
        <w:rPr>
          <w:rFonts w:hint="eastAsia"/>
          <w:b/>
          <w:bCs/>
        </w:rPr>
        <w:t>以上三项信息缺一不可，且均须清晰完整</w:t>
      </w:r>
      <w:r>
        <w:rPr>
          <w:rFonts w:hint="eastAsia"/>
          <w:b/>
          <w:bCs/>
          <w:lang w:eastAsia="zh-CN"/>
        </w:rPr>
        <w:t>）</w:t>
      </w:r>
      <w:r>
        <w:rPr>
          <w:rFonts w:hint="eastAsia"/>
          <w:b/>
          <w:bCs/>
        </w:rPr>
        <w:t>，否则不予以计分。</w:t>
      </w:r>
    </w:p>
    <w:p>
      <w:pPr>
        <w:pStyle w:val="405"/>
        <w:ind w:firstLine="420" w:firstLineChars="200"/>
        <w:rPr>
          <w:rFonts w:ascii="宋体" w:hAnsi="宋体"/>
        </w:rPr>
      </w:pPr>
      <w:r>
        <w:rPr>
          <w:rFonts w:hint="eastAsia" w:ascii="Times New Roman" w:hAnsi="Times New Roman"/>
          <w:b/>
          <w:bCs/>
        </w:rPr>
        <w:t>5</w:t>
      </w:r>
      <w:r>
        <w:rPr>
          <w:rFonts w:hint="eastAsia"/>
          <w:b/>
          <w:bCs/>
          <w:lang w:val="en-US" w:eastAsia="zh-CN"/>
        </w:rPr>
        <w:t>.</w:t>
      </w:r>
      <w:r>
        <w:rPr>
          <w:rFonts w:hint="eastAsia"/>
          <w:b/>
          <w:bCs/>
        </w:rPr>
        <w:t>政策功能分……………………………………………………………………………………</w:t>
      </w:r>
      <w:r>
        <w:rPr>
          <w:rFonts w:hint="eastAsia" w:ascii="Times New Roman" w:hAnsi="Times New Roman"/>
          <w:b/>
          <w:bCs/>
        </w:rPr>
        <w:t>1</w:t>
      </w:r>
      <w:r>
        <w:rPr>
          <w:rFonts w:hint="eastAsia"/>
          <w:b/>
          <w:bCs/>
        </w:rPr>
        <w:t>分</w:t>
      </w:r>
    </w:p>
    <w:p>
      <w:pPr>
        <w:pStyle w:val="111"/>
        <w:adjustRightInd w:val="0"/>
        <w:snapToGrid w:val="0"/>
        <w:spacing w:line="400" w:lineRule="exact"/>
        <w:ind w:firstLine="378" w:firstLineChars="180"/>
      </w:pPr>
      <w:r>
        <w:rPr>
          <w:rFonts w:hint="eastAsia"/>
        </w:rPr>
        <w:t>节能、环保分（满分</w:t>
      </w:r>
      <w:r>
        <w:rPr>
          <w:rFonts w:hint="eastAsia" w:ascii="Times New Roman" w:hAnsi="Times New Roman"/>
        </w:rPr>
        <w:t>1</w:t>
      </w:r>
      <w:r>
        <w:rPr>
          <w:rFonts w:hint="eastAsia"/>
        </w:rPr>
        <w:t>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w:t>
      </w:r>
      <w:r>
        <w:rPr>
          <w:rFonts w:hint="eastAsia" w:ascii="Times New Roman" w:hAnsi="Times New Roman" w:eastAsia="宋体" w:cs="宋体"/>
          <w:szCs w:val="21"/>
        </w:rPr>
        <w:t>1</w:t>
      </w:r>
      <w:r>
        <w:rPr>
          <w:rFonts w:hint="eastAsia" w:ascii="宋体" w:hAnsi="宋体" w:eastAsia="宋体" w:cs="宋体"/>
          <w:szCs w:val="21"/>
        </w:rPr>
        <w:t>）</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w:t>
      </w:r>
      <w:r>
        <w:rPr>
          <w:rFonts w:hint="eastAsia" w:ascii="Times New Roman" w:hAnsi="Times New Roman" w:eastAsia="宋体" w:cs="宋体"/>
          <w:szCs w:val="21"/>
        </w:rPr>
        <w:t>0</w:t>
      </w:r>
      <w:r>
        <w:rPr>
          <w:rFonts w:hint="eastAsia" w:ascii="宋体" w:hAnsi="宋体" w:eastAsia="宋体" w:cs="宋体"/>
          <w:szCs w:val="21"/>
        </w:rPr>
        <w:t>.</w:t>
      </w:r>
      <w:r>
        <w:rPr>
          <w:rFonts w:hint="eastAsia" w:ascii="Times New Roman" w:hAnsi="Times New Roman" w:eastAsia="宋体" w:cs="宋体"/>
          <w:szCs w:val="21"/>
        </w:rPr>
        <w:t>5</w:t>
      </w:r>
      <w:r>
        <w:rPr>
          <w:rFonts w:hint="eastAsia" w:ascii="宋体" w:hAnsi="宋体" w:eastAsia="宋体" w:cs="宋体"/>
          <w:szCs w:val="21"/>
        </w:rPr>
        <w:t>分。</w:t>
      </w:r>
    </w:p>
    <w:p>
      <w:pPr>
        <w:pStyle w:val="111"/>
        <w:adjustRightInd w:val="0"/>
        <w:snapToGrid w:val="0"/>
        <w:spacing w:line="400" w:lineRule="exact"/>
        <w:ind w:firstLine="378" w:firstLineChars="180"/>
        <w:rPr>
          <w:rFonts w:hint="eastAsia" w:cs="宋体"/>
        </w:rPr>
      </w:pPr>
      <w:r>
        <w:rPr>
          <w:rFonts w:hint="eastAsia" w:ascii="宋体" w:hAnsi="宋体" w:eastAsia="宋体" w:cs="宋体"/>
        </w:rPr>
        <w:t>（</w:t>
      </w:r>
      <w:r>
        <w:rPr>
          <w:rFonts w:hint="eastAsia" w:ascii="Times New Roman" w:hAnsi="Times New Roman" w:eastAsia="宋体" w:cs="宋体"/>
        </w:rPr>
        <w:t>2</w:t>
      </w:r>
      <w:r>
        <w:rPr>
          <w:rFonts w:hint="eastAsia" w:ascii="宋体" w:hAnsi="宋体" w:eastAsia="宋体" w:cs="宋体"/>
        </w:rPr>
        <w:t>）</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w:t>
      </w:r>
      <w:r>
        <w:rPr>
          <w:rFonts w:hint="eastAsia" w:ascii="Times New Roman" w:hAnsi="Times New Roman" w:eastAsia="宋体" w:cs="宋体"/>
        </w:rPr>
        <w:t>0</w:t>
      </w:r>
      <w:r>
        <w:rPr>
          <w:rFonts w:hint="eastAsia" w:ascii="宋体" w:hAnsi="宋体" w:eastAsia="宋体" w:cs="宋体"/>
        </w:rPr>
        <w:t>.</w:t>
      </w:r>
      <w:r>
        <w:rPr>
          <w:rFonts w:hint="eastAsia" w:ascii="Times New Roman" w:hAnsi="Times New Roman" w:eastAsia="宋体" w:cs="宋体"/>
        </w:rPr>
        <w:t>5</w:t>
      </w:r>
      <w:r>
        <w:rPr>
          <w:rFonts w:hint="eastAsia" w:ascii="宋体" w:hAnsi="宋体" w:eastAsia="宋体" w:cs="宋体"/>
        </w:rPr>
        <w:t>分。</w:t>
      </w:r>
    </w:p>
    <w:p>
      <w:pPr>
        <w:adjustRightInd w:val="0"/>
        <w:snapToGrid w:val="0"/>
        <w:spacing w:line="360" w:lineRule="exact"/>
        <w:jc w:val="left"/>
        <w:rPr>
          <w:rFonts w:hAnsi="宋体"/>
          <w:b/>
        </w:rPr>
      </w:pPr>
    </w:p>
    <w:p>
      <w:pPr>
        <w:adjustRightInd w:val="0"/>
        <w:snapToGrid w:val="0"/>
        <w:spacing w:line="360" w:lineRule="exact"/>
        <w:jc w:val="left"/>
        <w:rPr>
          <w:b/>
          <w:kern w:val="4"/>
        </w:rPr>
      </w:pPr>
      <w:r>
        <w:rPr>
          <w:rFonts w:hint="eastAsia" w:hAnsi="宋体"/>
          <w:b/>
        </w:rPr>
        <w:t>（三）总得分=</w:t>
      </w:r>
      <w:r>
        <w:rPr>
          <w:rFonts w:hint="eastAsia" w:ascii="Times New Roman" w:hAnsi="Times New Roman"/>
          <w:b/>
        </w:rPr>
        <w:t>1</w:t>
      </w:r>
      <w:r>
        <w:rPr>
          <w:rFonts w:hint="eastAsia" w:hAnsi="宋体"/>
          <w:b/>
        </w:rPr>
        <w:t xml:space="preserve">+ </w:t>
      </w:r>
      <w:r>
        <w:rPr>
          <w:rFonts w:hint="eastAsia" w:ascii="Times New Roman" w:hAnsi="Times New Roman"/>
          <w:b/>
        </w:rPr>
        <w:t>2</w:t>
      </w:r>
      <w:r>
        <w:rPr>
          <w:rFonts w:hint="eastAsia" w:hAnsi="宋体"/>
          <w:b/>
        </w:rPr>
        <w:t xml:space="preserve">+ </w:t>
      </w:r>
      <w:r>
        <w:rPr>
          <w:rFonts w:hint="eastAsia" w:ascii="Times New Roman" w:hAnsi="Times New Roman"/>
          <w:b/>
        </w:rPr>
        <w:t>3</w:t>
      </w:r>
      <w:r>
        <w:rPr>
          <w:rFonts w:hint="eastAsia" w:hAnsi="宋体"/>
          <w:b/>
        </w:rPr>
        <w:t xml:space="preserve">+ </w:t>
      </w:r>
      <w:r>
        <w:rPr>
          <w:rFonts w:hint="eastAsia" w:ascii="Times New Roman" w:hAnsi="Times New Roman"/>
          <w:b/>
        </w:rPr>
        <w:t>4</w:t>
      </w:r>
      <w:r>
        <w:rPr>
          <w:rFonts w:hint="eastAsia" w:hAnsi="宋体"/>
          <w:b/>
        </w:rPr>
        <w:t xml:space="preserve">+ </w:t>
      </w:r>
      <w:r>
        <w:rPr>
          <w:rFonts w:hint="eastAsia" w:ascii="Times New Roman" w:hAnsi="Times New Roman"/>
          <w:b/>
        </w:rPr>
        <w:t>5</w:t>
      </w:r>
      <w:r>
        <w:rPr>
          <w:rFonts w:hint="eastAsia" w:hAnsi="宋体"/>
          <w:b/>
        </w:rPr>
        <w:t>。</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pStyle w:val="29"/>
        <w:adjustRightInd w:val="0"/>
        <w:snapToGrid w:val="0"/>
        <w:spacing w:line="400" w:lineRule="exact"/>
        <w:ind w:firstLine="420" w:firstLineChars="200"/>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pStyle w:val="29"/>
        <w:pageBreakBefore/>
        <w:spacing w:line="480" w:lineRule="exact"/>
        <w:jc w:val="center"/>
        <w:rPr>
          <w:rFonts w:ascii="仿宋_GB2312" w:hAnsi="宋体" w:eastAsia="仿宋_GB2312"/>
          <w:b/>
          <w:sz w:val="32"/>
          <w:szCs w:val="32"/>
        </w:rPr>
      </w:pPr>
      <w:r>
        <w:rPr>
          <w:rFonts w:hint="eastAsia" w:ascii="仿宋_GB2312" w:hAnsi="宋体" w:eastAsia="仿宋_GB2312"/>
          <w:b/>
          <w:sz w:val="32"/>
          <w:szCs w:val="32"/>
          <w:lang w:eastAsia="zh-CN"/>
        </w:rPr>
        <w:t>评标方法及评分标准（分标</w:t>
      </w:r>
      <w:r>
        <w:rPr>
          <w:rFonts w:hint="eastAsia" w:ascii="仿宋_GB2312" w:hAnsi="宋体" w:eastAsia="仿宋_GB2312"/>
          <w:b/>
          <w:sz w:val="32"/>
          <w:szCs w:val="32"/>
          <w:lang w:val="en-US" w:eastAsia="zh-CN"/>
        </w:rPr>
        <w:t>3</w:t>
      </w:r>
      <w:r>
        <w:rPr>
          <w:rFonts w:hint="eastAsia" w:ascii="仿宋_GB2312" w:hAnsi="宋体" w:eastAsia="仿宋_GB2312"/>
          <w:b/>
          <w:sz w:val="32"/>
          <w:szCs w:val="32"/>
          <w:lang w:eastAsia="zh-CN"/>
        </w:rPr>
        <w:t>）</w:t>
      </w:r>
    </w:p>
    <w:p>
      <w:pPr>
        <w:pStyle w:val="111"/>
        <w:adjustRightInd w:val="0"/>
        <w:snapToGrid w:val="0"/>
        <w:spacing w:line="400" w:lineRule="exact"/>
        <w:ind w:firstLine="42"/>
        <w:jc w:val="center"/>
        <w:rPr>
          <w:b/>
          <w:bCs/>
        </w:rPr>
      </w:pPr>
    </w:p>
    <w:p>
      <w:pPr>
        <w:pStyle w:val="111"/>
        <w:adjustRightInd w:val="0"/>
        <w:snapToGrid w:val="0"/>
        <w:spacing w:line="360" w:lineRule="exact"/>
        <w:ind w:firstLine="42"/>
        <w:rPr>
          <w:b/>
          <w:bCs/>
        </w:rPr>
      </w:pPr>
      <w:r>
        <w:rPr>
          <w:rFonts w:hint="eastAsia"/>
          <w:b/>
          <w:bCs/>
        </w:rPr>
        <w:t>一、评标原则</w:t>
      </w:r>
    </w:p>
    <w:p>
      <w:pPr>
        <w:pStyle w:val="111"/>
        <w:adjustRightInd w:val="0"/>
        <w:snapToGrid w:val="0"/>
        <w:spacing w:line="360" w:lineRule="exact"/>
        <w:ind w:firstLine="378" w:firstLineChars="180"/>
      </w:pPr>
      <w:r>
        <w:rPr>
          <w:rFonts w:hint="eastAsia"/>
        </w:rPr>
        <w:t>（一） 评委构成：本招标采购项目的评标委员会由采购人代表和有关技术、经济等方面的专家组成，成员人数应当为七人以上单数。其中，技术、经济等方面的专家不得少于成员总数的三分之二。</w:t>
      </w:r>
    </w:p>
    <w:p>
      <w:pPr>
        <w:pStyle w:val="111"/>
        <w:pageBreakBefore w:val="0"/>
        <w:kinsoku/>
        <w:wordWrap/>
        <w:overflowPunct/>
        <w:topLinePunct w:val="0"/>
        <w:autoSpaceDE/>
        <w:autoSpaceDN/>
        <w:bidi w:val="0"/>
        <w:adjustRightInd w:val="0"/>
        <w:snapToGrid w:val="0"/>
        <w:spacing w:line="360" w:lineRule="exact"/>
        <w:ind w:firstLine="378" w:firstLineChars="180"/>
        <w:textAlignment w:val="auto"/>
        <w:rPr>
          <w:bCs/>
        </w:rPr>
      </w:pPr>
      <w:r>
        <w:rPr>
          <w:rFonts w:hint="eastAsia"/>
          <w:bCs/>
        </w:rPr>
        <w:t>（二）</w:t>
      </w:r>
      <w:r>
        <w:rPr>
          <w:rFonts w:hint="eastAsia"/>
        </w:rPr>
        <w:t xml:space="preserve"> 评标依据：</w:t>
      </w:r>
      <w:r>
        <w:rPr>
          <w:rFonts w:hint="eastAsia"/>
          <w:bCs/>
        </w:rPr>
        <w:t>评委将以招投标文件为评标依据，对投标人的内容按百分制打分。</w:t>
      </w:r>
    </w:p>
    <w:p>
      <w:pPr>
        <w:pStyle w:val="29"/>
        <w:pageBreakBefore w:val="0"/>
        <w:kinsoku/>
        <w:wordWrap/>
        <w:overflowPunct/>
        <w:topLinePunct w:val="0"/>
        <w:autoSpaceDE/>
        <w:autoSpaceDN/>
        <w:bidi w:val="0"/>
        <w:adjustRightInd w:val="0"/>
        <w:snapToGrid w:val="0"/>
        <w:spacing w:line="360" w:lineRule="exact"/>
        <w:ind w:firstLine="289" w:firstLineChars="138"/>
        <w:textAlignment w:val="auto"/>
        <w:rPr>
          <w:rFonts w:hint="eastAsia" w:hAnsi="宋体"/>
          <w:bCs/>
        </w:rPr>
      </w:pPr>
      <w:r>
        <w:rPr>
          <w:rFonts w:hint="eastAsia" w:hAnsi="宋体"/>
          <w:bCs/>
        </w:rPr>
        <w:t xml:space="preserve"> （三）</w:t>
      </w:r>
      <w:r>
        <w:rPr>
          <w:rFonts w:hint="eastAsia"/>
        </w:rPr>
        <w:t xml:space="preserve"> </w:t>
      </w:r>
      <w:r>
        <w:rPr>
          <w:rFonts w:hint="eastAsia" w:hAnsi="宋体"/>
          <w:bCs/>
        </w:rPr>
        <w:t>评标方式：以封闭方式进行。</w:t>
      </w:r>
    </w:p>
    <w:p>
      <w:pPr>
        <w:keepNext/>
        <w:keepLines/>
        <w:pageBreakBefore w:val="0"/>
        <w:widowControl/>
        <w:kinsoku/>
        <w:wordWrap/>
        <w:overflowPunct/>
        <w:topLinePunct w:val="0"/>
        <w:autoSpaceDE/>
        <w:autoSpaceDN/>
        <w:bidi w:val="0"/>
        <w:adjustRightInd/>
        <w:snapToGrid/>
        <w:spacing w:before="120" w:beforeLines="0" w:after="120" w:afterLines="0" w:line="360" w:lineRule="exact"/>
        <w:ind w:firstLine="420" w:firstLineChars="200"/>
        <w:jc w:val="left"/>
        <w:textAlignment w:val="auto"/>
        <w:outlineLvl w:val="3"/>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（四）无效投标处理原则：在评标过程中，包括在异常低价认定程序中被认定为无效的投标，其投标文件不再进入后续评审阶段，也不参与得分计算与汇总排名。</w:t>
      </w:r>
    </w:p>
    <w:p>
      <w:pPr>
        <w:pStyle w:val="29"/>
        <w:adjustRightInd w:val="0"/>
        <w:snapToGrid w:val="0"/>
        <w:spacing w:line="360" w:lineRule="exact"/>
        <w:ind w:firstLine="42" w:firstLineChars="20"/>
        <w:rPr>
          <w:rFonts w:hAnsi="宋体"/>
          <w:b/>
        </w:rPr>
      </w:pPr>
      <w:r>
        <w:rPr>
          <w:rFonts w:hint="eastAsia" w:hAnsi="宋体"/>
          <w:b/>
        </w:rPr>
        <w:t>二、评标方法</w:t>
      </w:r>
    </w:p>
    <w:p>
      <w:pPr>
        <w:pStyle w:val="111"/>
        <w:adjustRightInd w:val="0"/>
        <w:snapToGrid w:val="0"/>
        <w:spacing w:line="360" w:lineRule="exact"/>
        <w:ind w:firstLine="378" w:firstLineChars="180"/>
      </w:pPr>
      <w:r>
        <w:rPr>
          <w:rFonts w:hint="eastAsia"/>
        </w:rPr>
        <w:t>（一）对进入详评的，采用百分制综合评分法。</w:t>
      </w:r>
    </w:p>
    <w:p>
      <w:pPr>
        <w:pStyle w:val="111"/>
        <w:adjustRightInd w:val="0"/>
        <w:snapToGrid w:val="0"/>
        <w:spacing w:line="360" w:lineRule="exact"/>
        <w:ind w:firstLine="378" w:firstLineChars="180"/>
      </w:pPr>
      <w:r>
        <w:rPr>
          <w:rFonts w:hint="eastAsia"/>
        </w:rPr>
        <w:t>（二）计分办法（按四舍五入取至百分位）：</w:t>
      </w:r>
    </w:p>
    <w:p>
      <w:pPr>
        <w:pStyle w:val="405"/>
        <w:spacing w:line="360" w:lineRule="exact"/>
        <w:ind w:firstLine="420" w:firstLineChars="200"/>
        <w:rPr>
          <w:b/>
          <w:bCs/>
        </w:rPr>
      </w:pPr>
      <w:r>
        <w:rPr>
          <w:rFonts w:hint="eastAsia"/>
          <w:b/>
          <w:bCs/>
        </w:rPr>
        <w:t>1</w:t>
      </w:r>
      <w:r>
        <w:rPr>
          <w:rFonts w:hint="eastAsia"/>
          <w:b/>
          <w:bCs/>
          <w:lang w:val="en-US" w:eastAsia="zh-CN"/>
        </w:rPr>
        <w:t>.</w:t>
      </w:r>
      <w:r>
        <w:rPr>
          <w:rFonts w:hint="eastAsia"/>
          <w:b/>
          <w:bCs/>
          <w:lang w:eastAsia="zh-CN"/>
        </w:rPr>
        <w:t>价格</w:t>
      </w:r>
      <w:r>
        <w:rPr>
          <w:rFonts w:hint="eastAsia"/>
          <w:b/>
          <w:bCs/>
        </w:rPr>
        <w:t>分…………………………………………………………………………………………</w:t>
      </w:r>
      <w:r>
        <w:rPr>
          <w:rFonts w:hint="eastAsia"/>
          <w:b/>
          <w:bCs/>
          <w:lang w:val="en-US" w:eastAsia="zh"/>
        </w:rPr>
        <w:t>3</w:t>
      </w:r>
      <w:r>
        <w:rPr>
          <w:rFonts w:hint="eastAsia"/>
          <w:b/>
          <w:bCs/>
          <w:lang w:val="en-US" w:eastAsia="zh-CN"/>
        </w:rPr>
        <w:t>0</w:t>
      </w:r>
      <w:r>
        <w:rPr>
          <w:rFonts w:hint="eastAsia"/>
          <w:b/>
          <w:bCs/>
        </w:rPr>
        <w:t>分</w:t>
      </w:r>
    </w:p>
    <w:p>
      <w:pPr>
        <w:pStyle w:val="111"/>
        <w:adjustRightInd w:val="0"/>
        <w:snapToGrid w:val="0"/>
        <w:spacing w:line="400" w:lineRule="exact"/>
        <w:ind w:firstLine="378" w:firstLineChars="180"/>
      </w:pPr>
      <w:r>
        <w:rPr>
          <w:rFonts w:hint="eastAsia"/>
        </w:rPr>
        <w:t>（1）</w:t>
      </w:r>
      <w:r>
        <w:rPr>
          <w:rFonts w:hint="eastAsia" w:ascii="Times New Roman" w:hAnsi="Times New Roman"/>
          <w:bCs/>
        </w:rPr>
        <w:t>符合《政府采购促进中小企业发展管理办法》（财库</w:t>
      </w:r>
      <w:r>
        <w:rPr>
          <w:rFonts w:hint="eastAsia"/>
        </w:rPr>
        <w:t>〔</w:t>
      </w:r>
      <w:r>
        <w:rPr>
          <w:rFonts w:hint="eastAsia" w:ascii="Times New Roman" w:hAnsi="Times New Roman"/>
          <w:bCs/>
        </w:rPr>
        <w:t>2020</w:t>
      </w:r>
      <w:r>
        <w:rPr>
          <w:rFonts w:hint="eastAsia"/>
        </w:rPr>
        <w:t>〕</w:t>
      </w:r>
      <w:r>
        <w:rPr>
          <w:rFonts w:hint="eastAsia" w:ascii="Times New Roman" w:hAnsi="Times New Roman"/>
          <w:bCs/>
        </w:rPr>
        <w:t>46号）规定条件且按该办法中规定的格式提供了《中小企业声明函》的小型和微型企业参与投标，对其最后报价给予</w:t>
      </w:r>
      <w:r>
        <w:rPr>
          <w:rFonts w:hint="eastAsia" w:ascii="Times New Roman" w:hAnsi="Times New Roman"/>
          <w:bCs/>
          <w:lang w:val="en-US" w:eastAsia="zh-CN"/>
        </w:rPr>
        <w:t>1</w:t>
      </w:r>
      <w:r>
        <w:rPr>
          <w:rFonts w:hint="eastAsia" w:ascii="Times New Roman" w:hAnsi="Times New Roman"/>
          <w:bCs/>
        </w:rPr>
        <w:t>0</w:t>
      </w:r>
      <w:r>
        <w:rPr>
          <w:rFonts w:ascii="Times New Roman" w:hAnsi="Times New Roman"/>
          <w:bCs/>
        </w:rPr>
        <w:t>%</w:t>
      </w:r>
      <w:r>
        <w:rPr>
          <w:rFonts w:hint="eastAsia" w:ascii="Times New Roman" w:hAnsi="Times New Roman"/>
          <w:bCs/>
        </w:rPr>
        <w:t>的扣除，</w:t>
      </w:r>
      <w:r>
        <w:rPr>
          <w:rFonts w:hint="eastAsia"/>
        </w:rPr>
        <w:t>扣除后的价格为评标价，即评标价=投标价×（1-10%）；</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w:t>
      </w:r>
      <w:r>
        <w:rPr>
          <w:rFonts w:hint="default" w:ascii="Times New Roman" w:hAnsi="Times New Roman" w:cs="Times New Roman"/>
          <w:color w:val="auto"/>
          <w:highlight w:val="none"/>
          <w:lang w:val="en-US" w:eastAsia="zh-CN"/>
        </w:rPr>
        <w:t>2025</w:t>
      </w:r>
      <w:r>
        <w:rPr>
          <w:rFonts w:hint="eastAsia"/>
          <w:color w:val="auto"/>
          <w:highlight w:val="none"/>
          <w:lang w:val="en-US" w:eastAsia="zh-CN"/>
        </w:rPr>
        <w:t>〕</w:t>
      </w:r>
      <w:r>
        <w:rPr>
          <w:rFonts w:hint="default" w:ascii="Times New Roman" w:hAnsi="Times New Roman" w:cs="Times New Roman"/>
          <w:color w:val="auto"/>
          <w:highlight w:val="none"/>
          <w:lang w:val="en-US" w:eastAsia="zh-CN"/>
        </w:rPr>
        <w:t>34</w:t>
      </w:r>
      <w:r>
        <w:rPr>
          <w:rFonts w:hint="eastAsia"/>
          <w:color w:val="auto"/>
          <w:highlight w:val="none"/>
          <w:lang w:val="en-US" w:eastAsia="zh-CN"/>
        </w:rPr>
        <w:t>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r>
        <w:rPr>
          <w:rFonts w:hint="eastAsia"/>
        </w:rPr>
        <w:t>除上述情况外，评标价=投标价。</w:t>
      </w:r>
    </w:p>
    <w:p>
      <w:pPr>
        <w:pStyle w:val="111"/>
        <w:adjustRightInd w:val="0"/>
        <w:snapToGrid w:val="0"/>
        <w:spacing w:line="400" w:lineRule="exact"/>
        <w:ind w:firstLine="378" w:firstLineChars="180"/>
      </w:pPr>
      <w:r>
        <w:t>投标产品生产企业或服务提供企业按《关于政府采购支持监狱企业发展有关问题的通知》</w:t>
      </w:r>
      <w:r>
        <w:rPr>
          <w:rFonts w:hint="eastAsia"/>
        </w:rPr>
        <w:t>（</w:t>
      </w:r>
      <w:r>
        <w:t>财库[2014]68号</w:t>
      </w:r>
      <w:r>
        <w:rPr>
          <w:rFonts w:hint="eastAsia"/>
        </w:rPr>
        <w:t>）</w:t>
      </w:r>
      <w:r>
        <w:t>认定为监狱企业的，在政府采购活动中，监狱企业视同小型、微型企业。投标人应当提供由省级以上监狱管理局、戒毒管理局</w:t>
      </w:r>
      <w:r>
        <w:rPr>
          <w:rFonts w:hint="eastAsia"/>
        </w:rPr>
        <w:t>（</w:t>
      </w:r>
      <w:r>
        <w:t>含新疆生产建设兵团</w:t>
      </w:r>
      <w:r>
        <w:rPr>
          <w:rFonts w:hint="eastAsia"/>
        </w:rPr>
        <w:t>）</w:t>
      </w:r>
      <w:r>
        <w:t>出具的投标产品生产企业或服务提供企业属于监狱企业的证明文件，不再提供《中小企业声明函》；</w:t>
      </w:r>
    </w:p>
    <w:p>
      <w:pPr>
        <w:pStyle w:val="111"/>
        <w:adjustRightInd w:val="0"/>
        <w:snapToGrid w:val="0"/>
        <w:spacing w:line="400" w:lineRule="exact"/>
        <w:ind w:firstLine="378" w:firstLineChars="180"/>
      </w:pPr>
      <w:r>
        <w:t>投标产品生产</w:t>
      </w:r>
      <w:r>
        <w:rPr>
          <w:rFonts w:hint="eastAsia"/>
        </w:rPr>
        <w:t>单位</w:t>
      </w:r>
      <w:r>
        <w:t>或服务提供</w:t>
      </w:r>
      <w:r>
        <w:rPr>
          <w:rFonts w:hint="eastAsia"/>
        </w:rPr>
        <w:t>单位按《关于促进残疾人就业政府采购政策的通知》（财库〔2017〕141号）认定为残疾人福利性单位的，在政府采购活动中，残疾人福利性单位视同小型、微型企业。</w:t>
      </w:r>
      <w:r>
        <w:t>投标人应当提供</w:t>
      </w:r>
      <w:r>
        <w:rPr>
          <w:rFonts w:hint="eastAsia"/>
        </w:rPr>
        <w:t>该通知规定的</w:t>
      </w:r>
      <w:r>
        <w:t>投标产品生产</w:t>
      </w:r>
      <w:r>
        <w:rPr>
          <w:rFonts w:hint="eastAsia"/>
        </w:rPr>
        <w:t>单位</w:t>
      </w:r>
      <w:r>
        <w:t>或服务提供</w:t>
      </w:r>
      <w:r>
        <w:rPr>
          <w:rFonts w:hint="eastAsia"/>
        </w:rPr>
        <w:t>单位属于残疾人福利性单位的《残疾人福利性单位声明函》，</w:t>
      </w:r>
      <w:r>
        <w:t>不再提供《中小企业声明函》</w:t>
      </w:r>
      <w:r>
        <w:rPr>
          <w:rFonts w:hint="eastAsia"/>
        </w:rPr>
        <w:t>。</w:t>
      </w:r>
    </w:p>
    <w:p>
      <w:pPr>
        <w:pStyle w:val="111"/>
        <w:keepNext w:val="0"/>
        <w:keepLines w:val="0"/>
        <w:pageBreakBefore w:val="0"/>
        <w:kinsoku/>
        <w:wordWrap/>
        <w:overflowPunct/>
        <w:topLinePunct w:val="0"/>
        <w:bidi w:val="0"/>
        <w:adjustRightInd w:val="0"/>
        <w:snapToGrid w:val="0"/>
        <w:spacing w:line="380" w:lineRule="exact"/>
        <w:ind w:firstLine="378" w:firstLineChars="180"/>
        <w:textAlignment w:val="auto"/>
      </w:pPr>
      <w:r>
        <w:rPr>
          <w:rFonts w:hint="eastAsia"/>
        </w:rPr>
        <w:t>（2）</w:t>
      </w:r>
      <w:r>
        <w:rPr>
          <w:rFonts w:hint="eastAsia" w:hAnsi="宋体"/>
          <w:color w:val="auto"/>
          <w:highlight w:val="none"/>
          <w:shd w:val="clear" w:color="auto" w:fill="auto"/>
        </w:rPr>
        <w:t>以</w:t>
      </w:r>
      <w:r>
        <w:rPr>
          <w:rFonts w:hint="eastAsia"/>
          <w:color w:val="auto"/>
          <w:highlight w:val="none"/>
          <w:shd w:val="clear" w:color="auto" w:fill="auto"/>
        </w:rPr>
        <w:t>满足招标文件要求且评标价最低的投标人的评标价为评标基准价，其价格分为</w:t>
      </w:r>
      <w:r>
        <w:rPr>
          <w:rFonts w:hint="eastAsia" w:hAnsi="宋体" w:cs="宋体"/>
          <w:b w:val="0"/>
          <w:bCs/>
          <w:color w:val="auto"/>
          <w:highlight w:val="none"/>
          <w:shd w:val="clear" w:color="auto" w:fill="auto"/>
        </w:rPr>
        <w:t>3</w:t>
      </w:r>
      <w:r>
        <w:rPr>
          <w:rFonts w:hint="eastAsia" w:hAnsi="宋体" w:cs="宋体"/>
          <w:b w:val="0"/>
          <w:bCs/>
          <w:color w:val="auto"/>
          <w:highlight w:val="none"/>
          <w:shd w:val="clear" w:color="auto" w:fill="auto"/>
          <w:lang w:val="en-US" w:eastAsia="zh-CN"/>
        </w:rPr>
        <w:t>0</w:t>
      </w:r>
      <w:r>
        <w:rPr>
          <w:rFonts w:hint="eastAsia" w:hAnsi="宋体" w:cs="宋体"/>
          <w:color w:val="auto"/>
          <w:szCs w:val="24"/>
          <w:highlight w:val="none"/>
          <w:shd w:val="clear" w:color="auto" w:fill="auto"/>
        </w:rPr>
        <w:t>分</w:t>
      </w:r>
      <w:r>
        <w:rPr>
          <w:rFonts w:hint="eastAsia"/>
        </w:rPr>
        <w:t>。</w:t>
      </w:r>
    </w:p>
    <w:p>
      <w:pPr>
        <w:pStyle w:val="111"/>
        <w:adjustRightInd w:val="0"/>
        <w:snapToGrid w:val="0"/>
        <w:spacing w:line="360" w:lineRule="exact"/>
        <w:ind w:firstLine="378" w:firstLineChars="180"/>
      </w:pPr>
      <w:r>
        <w:rPr>
          <w:rFonts w:hint="eastAsia"/>
        </w:rPr>
        <w:t>（</w:t>
      </w:r>
      <w:r>
        <w:t>3</w:t>
      </w:r>
      <w:r>
        <w:rPr>
          <w:rFonts w:hint="eastAsia"/>
        </w:rPr>
        <w:t>）某投标人价格分</w:t>
      </w:r>
      <w:r>
        <w:t xml:space="preserve"> = </w:t>
      </w:r>
      <w:r>
        <w:rPr>
          <w:rFonts w:hint="eastAsia"/>
          <w:b w:val="0"/>
          <w:bCs/>
          <w:color w:val="auto"/>
          <w:highlight w:val="none"/>
          <w:shd w:val="clear" w:color="auto" w:fill="auto"/>
        </w:rPr>
        <w:t>评标基准价</w:t>
      </w:r>
      <w:r>
        <w:rPr>
          <w:rFonts w:hint="eastAsia"/>
        </w:rPr>
        <w:t>（金额）</w:t>
      </w:r>
      <w:r>
        <w:t>/</w:t>
      </w:r>
      <w:r>
        <w:rPr>
          <w:rFonts w:hint="eastAsia"/>
        </w:rPr>
        <w:t>某投标人评标价（金额）×</w:t>
      </w:r>
      <w:r>
        <w:rPr>
          <w:rFonts w:hint="eastAsia"/>
          <w:lang w:val="en-US" w:eastAsia="zh"/>
        </w:rPr>
        <w:t>3</w:t>
      </w:r>
      <w:r>
        <w:rPr>
          <w:rFonts w:hint="eastAsia"/>
          <w:lang w:val="en-US" w:eastAsia="zh-CN"/>
        </w:rPr>
        <w:t>0</w:t>
      </w:r>
      <w:r>
        <w:rPr>
          <w:rFonts w:hint="eastAsia"/>
        </w:rPr>
        <w:t>分。</w:t>
      </w:r>
    </w:p>
    <w:p>
      <w:pPr>
        <w:pStyle w:val="405"/>
        <w:ind w:firstLine="420" w:firstLineChars="200"/>
        <w:rPr>
          <w:rFonts w:hAnsi="宋体"/>
          <w:b/>
        </w:rPr>
      </w:pPr>
      <w:r>
        <w:rPr>
          <w:rFonts w:hint="eastAsia"/>
          <w:b/>
          <w:bCs/>
        </w:rPr>
        <w:t>2</w:t>
      </w:r>
      <w:r>
        <w:rPr>
          <w:rFonts w:hint="eastAsia"/>
          <w:b/>
          <w:bCs/>
          <w:lang w:val="en-US" w:eastAsia="zh-CN"/>
        </w:rPr>
        <w:t>.</w:t>
      </w:r>
      <w:r>
        <w:rPr>
          <w:rFonts w:hint="eastAsia"/>
          <w:b/>
          <w:bCs/>
        </w:rPr>
        <w:t>技术分…………………………………………………………………………………………</w:t>
      </w:r>
      <w:r>
        <w:rPr>
          <w:rFonts w:hint="eastAsia"/>
          <w:b/>
          <w:bCs/>
          <w:lang w:val="en-US" w:eastAsia="zh-CN"/>
        </w:rPr>
        <w:t>60</w:t>
      </w:r>
      <w:r>
        <w:rPr>
          <w:rFonts w:hint="eastAsia"/>
          <w:b/>
          <w:bCs/>
        </w:rPr>
        <w:t>分</w:t>
      </w:r>
    </w:p>
    <w:p>
      <w:pPr>
        <w:pStyle w:val="111"/>
        <w:adjustRightInd w:val="0"/>
        <w:snapToGrid w:val="0"/>
        <w:spacing w:line="400" w:lineRule="exact"/>
        <w:ind w:firstLine="378" w:firstLineChars="180"/>
        <w:textAlignment w:val="baseline"/>
        <w:rPr>
          <w:rFonts w:hint="eastAsia"/>
        </w:rPr>
      </w:pPr>
      <w:r>
        <w:rPr>
          <w:rFonts w:hint="eastAsia"/>
        </w:rPr>
        <w:t>（1）一般技术参数要求响应得分（满分</w:t>
      </w:r>
      <w:r>
        <w:rPr>
          <w:rFonts w:hint="eastAsia"/>
          <w:lang w:val="en-US" w:eastAsia="zh-CN"/>
        </w:rPr>
        <w:t>28.1</w:t>
      </w:r>
      <w:r>
        <w:rPr>
          <w:rFonts w:hint="eastAsia"/>
        </w:rPr>
        <w:t>分）</w:t>
      </w:r>
    </w:p>
    <w:p>
      <w:pPr>
        <w:pStyle w:val="111"/>
        <w:adjustRightInd w:val="0"/>
        <w:snapToGrid w:val="0"/>
        <w:spacing w:line="400" w:lineRule="exact"/>
        <w:ind w:firstLine="378" w:firstLineChars="180"/>
        <w:textAlignment w:val="baseline"/>
        <w:rPr>
          <w:rFonts w:hint="eastAsia" w:ascii="宋体" w:hAnsi="宋体" w:eastAsia="宋体"/>
          <w:bCs w:val="0"/>
          <w:color w:val="auto"/>
          <w:szCs w:val="21"/>
        </w:rPr>
      </w:pPr>
      <w:r>
        <w:rPr>
          <w:rFonts w:hint="eastAsia" w:ascii="宋体" w:hAnsi="宋体" w:eastAsia="宋体"/>
          <w:b w:val="0"/>
          <w:color w:val="auto"/>
          <w:szCs w:val="21"/>
        </w:rPr>
        <w:t>一般技术参数要求响应得分</w:t>
      </w:r>
      <w:r>
        <w:rPr>
          <w:rFonts w:hint="eastAsia" w:ascii="宋体" w:hAnsi="宋体" w:eastAsia="宋体"/>
          <w:bCs w:val="0"/>
          <w:color w:val="auto"/>
          <w:szCs w:val="21"/>
        </w:rPr>
        <w:t>（共计</w:t>
      </w:r>
      <w:r>
        <w:rPr>
          <w:rFonts w:hint="eastAsia"/>
          <w:bCs w:val="0"/>
          <w:color w:val="auto"/>
          <w:szCs w:val="21"/>
          <w:lang w:val="en-US" w:eastAsia="zh-CN"/>
        </w:rPr>
        <w:t>281</w:t>
      </w:r>
      <w:r>
        <w:rPr>
          <w:rFonts w:hint="eastAsia" w:ascii="宋体" w:hAnsi="宋体" w:eastAsia="宋体"/>
          <w:bCs w:val="0"/>
          <w:color w:val="auto"/>
          <w:szCs w:val="21"/>
        </w:rPr>
        <w:t>项），“</w:t>
      </w:r>
      <w:r>
        <w:rPr>
          <w:rFonts w:hint="eastAsia" w:ascii="宋体" w:hAnsi="宋体" w:eastAsia="宋体"/>
          <w:bCs w:val="0"/>
          <w:color w:val="auto"/>
          <w:szCs w:val="21"/>
          <w:lang w:eastAsia="zh-CN"/>
        </w:rPr>
        <w:t>医用直线加速器</w:t>
      </w:r>
      <w:r>
        <w:rPr>
          <w:rFonts w:hint="eastAsia" w:ascii="宋体" w:hAnsi="宋体" w:eastAsia="宋体"/>
          <w:bCs w:val="0"/>
          <w:color w:val="auto"/>
          <w:szCs w:val="21"/>
        </w:rPr>
        <w:t xml:space="preserve"> ”“主机基本要求 ”“X射线束特性 ”“治疗模式”“机械运动系统”“电动多叶准直器（MLC）系统 ”“治疗床”“四维影像引导系统或IGRT影像系统”“EPID系统”“硬件要求”“</w:t>
      </w:r>
      <w:r>
        <w:rPr>
          <w:rFonts w:hint="eastAsia" w:ascii="宋体" w:hAnsi="宋体" w:eastAsia="宋体"/>
          <w:bCs w:val="0"/>
          <w:color w:val="auto"/>
          <w:szCs w:val="21"/>
          <w:lang w:val="en-US" w:eastAsia="zh-CN"/>
        </w:rPr>
        <w:t>软件要求</w:t>
      </w:r>
      <w:r>
        <w:rPr>
          <w:rFonts w:hint="eastAsia" w:ascii="宋体" w:hAnsi="宋体" w:eastAsia="宋体"/>
          <w:bCs w:val="0"/>
          <w:color w:val="auto"/>
          <w:szCs w:val="21"/>
        </w:rPr>
        <w:t>”“旋转容积调强功能”“放射治疗计划系统”“放疗专用网络系统”等为技术参数要求的名称描述，不计入一般技术参数要求数量。</w:t>
      </w:r>
    </w:p>
    <w:p>
      <w:pPr>
        <w:pStyle w:val="111"/>
        <w:adjustRightInd w:val="0"/>
        <w:snapToGrid w:val="0"/>
        <w:spacing w:line="400" w:lineRule="exact"/>
        <w:ind w:firstLine="378" w:firstLineChars="180"/>
        <w:rPr>
          <w:color w:val="auto"/>
        </w:rPr>
      </w:pPr>
      <w:r>
        <w:rPr>
          <w:rFonts w:hint="eastAsia" w:ascii="宋体" w:hAnsi="宋体" w:eastAsia="宋体"/>
          <w:bCs w:val="0"/>
          <w:color w:val="auto"/>
          <w:szCs w:val="21"/>
        </w:rPr>
        <w:t>一般技术参数满足</w:t>
      </w:r>
      <w:r>
        <w:rPr>
          <w:rFonts w:hint="eastAsia"/>
          <w:bCs w:val="0"/>
          <w:color w:val="auto"/>
          <w:szCs w:val="21"/>
          <w:lang w:eastAsia="zh-CN"/>
        </w:rPr>
        <w:t>采购需求</w:t>
      </w:r>
      <w:r>
        <w:rPr>
          <w:rFonts w:hint="eastAsia" w:ascii="宋体" w:hAnsi="宋体" w:eastAsia="宋体"/>
          <w:bCs w:val="0"/>
          <w:color w:val="auto"/>
          <w:szCs w:val="21"/>
        </w:rPr>
        <w:t>的，每项</w:t>
      </w:r>
      <w:r>
        <w:rPr>
          <w:rFonts w:hint="eastAsia"/>
          <w:bCs w:val="0"/>
          <w:color w:val="auto"/>
          <w:szCs w:val="21"/>
          <w:lang w:eastAsia="zh-CN"/>
        </w:rPr>
        <w:t>得</w:t>
      </w:r>
      <w:r>
        <w:rPr>
          <w:rFonts w:hint="eastAsia" w:ascii="宋体" w:hAnsi="宋体" w:eastAsia="宋体"/>
          <w:bCs w:val="0"/>
          <w:color w:val="auto"/>
          <w:szCs w:val="21"/>
        </w:rPr>
        <w:t>0.</w:t>
      </w:r>
      <w:r>
        <w:rPr>
          <w:rFonts w:hint="eastAsia"/>
          <w:bCs w:val="0"/>
          <w:color w:val="auto"/>
          <w:szCs w:val="21"/>
          <w:lang w:val="en-US" w:eastAsia="zh-CN"/>
        </w:rPr>
        <w:t>10</w:t>
      </w:r>
      <w:r>
        <w:rPr>
          <w:rFonts w:hint="eastAsia" w:ascii="宋体" w:hAnsi="宋体" w:eastAsia="宋体"/>
          <w:bCs w:val="0"/>
          <w:color w:val="auto"/>
          <w:szCs w:val="21"/>
        </w:rPr>
        <w:t>分。</w:t>
      </w:r>
    </w:p>
    <w:p>
      <w:pPr>
        <w:pStyle w:val="111"/>
        <w:adjustRightInd w:val="0"/>
        <w:snapToGrid w:val="0"/>
        <w:spacing w:line="400" w:lineRule="exact"/>
        <w:ind w:firstLine="378" w:firstLineChars="180"/>
      </w:pPr>
      <w:r>
        <w:rPr>
          <w:rFonts w:hint="eastAsia"/>
        </w:rPr>
        <w:t>注：一般技术参数要求是指技术参数要求中未标注“▲”、“★”的技术参数。</w:t>
      </w:r>
    </w:p>
    <w:p>
      <w:pPr>
        <w:pStyle w:val="111"/>
        <w:adjustRightInd w:val="0"/>
        <w:snapToGrid w:val="0"/>
        <w:spacing w:line="400" w:lineRule="exact"/>
        <w:ind w:firstLine="378" w:firstLineChars="180"/>
      </w:pPr>
      <w:r>
        <w:rPr>
          <w:rFonts w:hint="eastAsia"/>
        </w:rPr>
        <w:t>（2）重要</w:t>
      </w:r>
      <w:r>
        <w:rPr>
          <w:rFonts w:hint="eastAsia"/>
          <w:lang w:eastAsia="zh-CN"/>
        </w:rPr>
        <w:t>技术</w:t>
      </w:r>
      <w:r>
        <w:rPr>
          <w:rFonts w:hint="eastAsia"/>
        </w:rPr>
        <w:t>参数要求响应得分（满分</w:t>
      </w:r>
      <w:r>
        <w:rPr>
          <w:rFonts w:hint="eastAsia"/>
          <w:lang w:val="en-US" w:eastAsia="zh-CN"/>
        </w:rPr>
        <w:t>20.9</w:t>
      </w:r>
      <w:r>
        <w:rPr>
          <w:rFonts w:hint="eastAsia"/>
        </w:rPr>
        <w:t>分）</w:t>
      </w:r>
    </w:p>
    <w:p>
      <w:pPr>
        <w:pStyle w:val="111"/>
        <w:adjustRightInd w:val="0"/>
        <w:snapToGrid w:val="0"/>
        <w:spacing w:line="400" w:lineRule="exact"/>
        <w:ind w:firstLine="378" w:firstLineChars="180"/>
      </w:pPr>
      <w:r>
        <w:rPr>
          <w:rFonts w:hint="eastAsia"/>
        </w:rPr>
        <w:t>重要技术参数要求响应得分（共计</w:t>
      </w:r>
      <w:r>
        <w:rPr>
          <w:rFonts w:hint="eastAsia"/>
          <w:lang w:val="en-US" w:eastAsia="zh-CN"/>
        </w:rPr>
        <w:t>10</w:t>
      </w:r>
      <w:r>
        <w:rPr>
          <w:rFonts w:hint="eastAsia"/>
        </w:rPr>
        <w:t>项）；</w:t>
      </w:r>
    </w:p>
    <w:p>
      <w:pPr>
        <w:pStyle w:val="111"/>
        <w:adjustRightInd w:val="0"/>
        <w:snapToGrid w:val="0"/>
        <w:spacing w:line="400" w:lineRule="exact"/>
        <w:ind w:firstLine="378" w:firstLineChars="180"/>
      </w:pPr>
      <w:r>
        <w:rPr>
          <w:rFonts w:hint="eastAsia"/>
        </w:rPr>
        <w:t>重要技术参数满足要求的，每项</w:t>
      </w:r>
      <w:r>
        <w:rPr>
          <w:rFonts w:hint="eastAsia"/>
          <w:lang w:eastAsia="zh-CN"/>
        </w:rPr>
        <w:t>得</w:t>
      </w:r>
      <w:r>
        <w:rPr>
          <w:rFonts w:hint="eastAsia"/>
          <w:lang w:val="en-US" w:eastAsia="zh-CN"/>
        </w:rPr>
        <w:t>2.09</w:t>
      </w:r>
      <w:r>
        <w:rPr>
          <w:rFonts w:hint="eastAsia"/>
        </w:rPr>
        <w:t>分。</w:t>
      </w:r>
    </w:p>
    <w:p>
      <w:pPr>
        <w:pStyle w:val="111"/>
        <w:adjustRightInd w:val="0"/>
        <w:snapToGrid w:val="0"/>
        <w:spacing w:line="400" w:lineRule="exact"/>
        <w:ind w:firstLine="378" w:firstLineChars="180"/>
      </w:pPr>
      <w:r>
        <w:rPr>
          <w:rFonts w:hint="eastAsia"/>
        </w:rPr>
        <w:t>注：重要技术参数是指技术参数中标注“★”的技术参数。</w:t>
      </w:r>
    </w:p>
    <w:p>
      <w:pPr>
        <w:pStyle w:val="111"/>
        <w:adjustRightInd w:val="0"/>
        <w:snapToGrid w:val="0"/>
        <w:spacing w:line="400" w:lineRule="exact"/>
        <w:ind w:firstLine="378" w:firstLineChars="180"/>
      </w:pPr>
      <w:r>
        <w:rPr>
          <w:rFonts w:hint="eastAsia"/>
        </w:rPr>
        <w:t>（</w:t>
      </w:r>
      <w:r>
        <w:rPr>
          <w:rFonts w:hint="eastAsia"/>
          <w:lang w:val="en-US" w:eastAsia="zh"/>
        </w:rPr>
        <w:t>3</w:t>
      </w:r>
      <w:r>
        <w:rPr>
          <w:rFonts w:hint="eastAsia"/>
        </w:rPr>
        <w:t>）技术及项目实施方案分（满分4分）</w:t>
      </w:r>
    </w:p>
    <w:p>
      <w:pPr>
        <w:pStyle w:val="111"/>
        <w:snapToGrid w:val="0"/>
        <w:spacing w:line="400" w:lineRule="exact"/>
        <w:ind w:firstLine="378" w:firstLineChars="180"/>
        <w:rPr>
          <w:rFonts w:hint="default" w:ascii="宋体" w:hAnsi="宋体" w:eastAsia="宋体"/>
          <w:bCs w:val="0"/>
          <w:szCs w:val="21"/>
        </w:rPr>
      </w:pPr>
      <w:r>
        <w:rPr>
          <w:rFonts w:hint="default" w:ascii="宋体" w:hAnsi="宋体" w:eastAsia="宋体"/>
          <w:bCs w:val="0"/>
          <w:szCs w:val="21"/>
        </w:rPr>
        <w:t>根据投标文件中投标人技术及项目实施方案内容独立评分。</w:t>
      </w:r>
    </w:p>
    <w:p>
      <w:pPr>
        <w:pStyle w:val="111"/>
        <w:adjustRightInd w:val="0"/>
        <w:snapToGrid w:val="0"/>
        <w:spacing w:line="40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一档（</w:t>
      </w:r>
      <w:r>
        <w:rPr>
          <w:rFonts w:hint="default" w:ascii="宋体" w:hAnsi="宋体" w:eastAsia="宋体"/>
          <w:bCs w:val="0"/>
          <w:szCs w:val="21"/>
        </w:rPr>
        <w:t>1</w:t>
      </w:r>
      <w:r>
        <w:rPr>
          <w:rFonts w:hint="eastAsia" w:ascii="宋体" w:hAnsi="宋体" w:eastAsia="宋体"/>
          <w:bCs w:val="0"/>
          <w:szCs w:val="21"/>
        </w:rPr>
        <w:t>分）：管理措施、具体实施流程、进度安排、质量保证措施等方案</w:t>
      </w:r>
      <w:r>
        <w:rPr>
          <w:rFonts w:hint="default" w:ascii="宋体" w:hAnsi="宋体" w:eastAsia="宋体"/>
          <w:bCs w:val="0"/>
          <w:szCs w:val="21"/>
        </w:rPr>
        <w:t>内容齐全，符合基础条件</w:t>
      </w:r>
      <w:r>
        <w:rPr>
          <w:rFonts w:hint="eastAsia" w:ascii="宋体" w:hAnsi="宋体" w:eastAsia="宋体"/>
          <w:bCs w:val="0"/>
          <w:szCs w:val="21"/>
        </w:rPr>
        <w:t>的。</w:t>
      </w:r>
    </w:p>
    <w:p>
      <w:pPr>
        <w:pStyle w:val="111"/>
        <w:adjustRightInd w:val="0"/>
        <w:snapToGrid w:val="0"/>
        <w:spacing w:line="40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二档（</w:t>
      </w:r>
      <w:r>
        <w:rPr>
          <w:rFonts w:hint="default" w:ascii="宋体" w:hAnsi="宋体" w:eastAsia="宋体"/>
          <w:bCs w:val="0"/>
          <w:szCs w:val="21"/>
        </w:rPr>
        <w:t>2</w:t>
      </w:r>
      <w:r>
        <w:rPr>
          <w:rFonts w:hint="eastAsia" w:ascii="宋体" w:hAnsi="宋体" w:eastAsia="宋体"/>
          <w:bCs w:val="0"/>
          <w:szCs w:val="21"/>
        </w:rPr>
        <w:t>分）：管理措施、具体实施流程、进度安排、质量保证措施等方案内容齐全，</w:t>
      </w:r>
      <w:r>
        <w:rPr>
          <w:rFonts w:hint="default" w:ascii="宋体" w:hAnsi="宋体" w:eastAsia="宋体"/>
          <w:bCs w:val="0"/>
          <w:szCs w:val="21"/>
        </w:rPr>
        <w:t>方案有可行性，</w:t>
      </w:r>
      <w:r>
        <w:rPr>
          <w:rFonts w:hint="eastAsia" w:ascii="宋体" w:hAnsi="宋体" w:eastAsia="宋体"/>
          <w:bCs w:val="0"/>
          <w:szCs w:val="21"/>
        </w:rPr>
        <w:t>无明显错误。</w:t>
      </w:r>
    </w:p>
    <w:p>
      <w:pPr>
        <w:pStyle w:val="111"/>
        <w:adjustRightInd w:val="0"/>
        <w:snapToGrid w:val="0"/>
        <w:spacing w:line="400" w:lineRule="exact"/>
        <w:ind w:firstLine="378" w:firstLineChars="180"/>
        <w:textAlignment w:val="baseline"/>
        <w:rPr>
          <w:rFonts w:hint="eastAsia" w:ascii="宋体" w:hAnsi="宋体" w:eastAsia="宋体"/>
          <w:bCs w:val="0"/>
          <w:szCs w:val="21"/>
        </w:rPr>
      </w:pPr>
      <w:r>
        <w:rPr>
          <w:rFonts w:hint="eastAsia" w:ascii="宋体" w:hAnsi="宋体" w:eastAsia="宋体"/>
          <w:bCs w:val="0"/>
          <w:szCs w:val="21"/>
        </w:rPr>
        <w:t>三档（</w:t>
      </w:r>
      <w:r>
        <w:rPr>
          <w:rFonts w:hint="default" w:ascii="宋体" w:hAnsi="宋体" w:eastAsia="宋体"/>
          <w:bCs w:val="0"/>
          <w:szCs w:val="21"/>
        </w:rPr>
        <w:t>4</w:t>
      </w:r>
      <w:r>
        <w:rPr>
          <w:rFonts w:hint="eastAsia" w:ascii="宋体" w:hAnsi="宋体" w:eastAsia="宋体"/>
          <w:bCs w:val="0"/>
          <w:szCs w:val="21"/>
        </w:rPr>
        <w:t>分）：管理措施、具体实施流程、进度安排、质量保证措施等方案内容齐全，方案有可行性</w:t>
      </w:r>
      <w:r>
        <w:rPr>
          <w:rFonts w:hint="default" w:ascii="宋体" w:hAnsi="宋体" w:eastAsia="宋体"/>
          <w:bCs w:val="0"/>
          <w:szCs w:val="21"/>
        </w:rPr>
        <w:t>，</w:t>
      </w:r>
      <w:r>
        <w:rPr>
          <w:rFonts w:hint="eastAsia" w:ascii="宋体" w:hAnsi="宋体" w:eastAsia="宋体"/>
          <w:bCs w:val="0"/>
          <w:szCs w:val="21"/>
        </w:rPr>
        <w:t>无明显错误，有利于采购项目实施的内容或合理性建议的。</w:t>
      </w:r>
    </w:p>
    <w:p>
      <w:pPr>
        <w:pStyle w:val="111"/>
        <w:adjustRightInd w:val="0"/>
        <w:snapToGrid w:val="0"/>
        <w:spacing w:line="400" w:lineRule="exact"/>
        <w:ind w:firstLine="378" w:firstLineChars="180"/>
        <w:rPr>
          <w:rFonts w:hint="default"/>
          <w:b/>
          <w:bCs/>
        </w:rPr>
      </w:pPr>
      <w:r>
        <w:rPr>
          <w:rFonts w:ascii="宋体" w:hAnsi="宋体" w:eastAsia="宋体" w:cs="Times New Roman"/>
          <w:b/>
          <w:bCs/>
        </w:rPr>
        <w:t>无技术及项目实施方案内容</w:t>
      </w:r>
      <w:r>
        <w:rPr>
          <w:rFonts w:hint="default" w:ascii="宋体" w:hAnsi="宋体" w:eastAsia="宋体" w:cs="Times New Roman"/>
          <w:b/>
          <w:bCs/>
        </w:rPr>
        <w:t>或不齐全</w:t>
      </w:r>
      <w:r>
        <w:rPr>
          <w:rFonts w:ascii="宋体" w:hAnsi="宋体" w:eastAsia="宋体" w:cs="Times New Roman"/>
          <w:b/>
          <w:bCs/>
        </w:rPr>
        <w:t>的不得分。</w:t>
      </w:r>
    </w:p>
    <w:p>
      <w:pPr>
        <w:pStyle w:val="111"/>
        <w:snapToGrid w:val="0"/>
        <w:spacing w:line="400" w:lineRule="exact"/>
        <w:ind w:firstLine="378" w:firstLineChars="180"/>
        <w:rPr>
          <w:rFonts w:hint="eastAsia"/>
        </w:rPr>
      </w:pPr>
      <w:r>
        <w:rPr>
          <w:rFonts w:hint="eastAsia"/>
        </w:rPr>
        <w:t>（</w:t>
      </w:r>
      <w:r>
        <w:rPr>
          <w:rFonts w:hint="eastAsia"/>
          <w:lang w:val="en-US" w:eastAsia="zh"/>
        </w:rPr>
        <w:t>4</w:t>
      </w:r>
      <w:r>
        <w:rPr>
          <w:rFonts w:hint="eastAsia"/>
        </w:rPr>
        <w:t>）技术人员分（满分4分）</w:t>
      </w:r>
    </w:p>
    <w:p>
      <w:pPr>
        <w:pStyle w:val="111"/>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根据投标文件中投标人技术人员方案内容独立评分。   </w:t>
      </w:r>
    </w:p>
    <w:p>
      <w:pPr>
        <w:pStyle w:val="111"/>
        <w:snapToGrid w:val="0"/>
        <w:spacing w:line="400" w:lineRule="exact"/>
        <w:ind w:firstLine="378" w:firstLineChars="180"/>
        <w:rPr>
          <w:rFonts w:hint="eastAsia" w:ascii="宋体" w:hAnsi="宋体" w:eastAsia="宋体" w:cs="Times New Roman"/>
          <w:szCs w:val="21"/>
        </w:rPr>
      </w:pPr>
      <w:r>
        <w:rPr>
          <w:rFonts w:hint="eastAsia" w:ascii="宋体" w:hAnsi="宋体" w:eastAsia="宋体" w:cs="Times New Roman"/>
          <w:szCs w:val="21"/>
        </w:rPr>
        <w:t xml:space="preserve">一档（1分）：技术人员投入计划，技术人员在安装调试过程提供技术支持和协助计划，拟派技术人员的经验介绍等方案内容齐全，符合基础条件的。 </w:t>
      </w:r>
    </w:p>
    <w:p>
      <w:pPr>
        <w:pStyle w:val="111"/>
        <w:keepNext w:val="0"/>
        <w:keepLines w:val="0"/>
        <w:pageBreakBefore w:val="0"/>
        <w:widowControl/>
        <w:kinsoku/>
        <w:wordWrap/>
        <w:overflowPunct/>
        <w:topLinePunct w:val="0"/>
        <w:autoSpaceDE/>
        <w:autoSpaceDN/>
        <w:bidi w:val="0"/>
        <w:adjustRightInd/>
        <w:snapToGrid w:val="0"/>
        <w:spacing w:line="40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二档（2分）：技术人员投入计划，有技术人员在安装调试过程提供技术支持和协助计划，拟派技术人员的经验介绍等方案内容齐全，有可行性，</w:t>
      </w:r>
      <w:r>
        <w:rPr>
          <w:rFonts w:hint="eastAsia" w:ascii="宋体" w:hAnsi="宋体" w:eastAsia="宋体"/>
          <w:bCs w:val="0"/>
          <w:szCs w:val="21"/>
        </w:rPr>
        <w:t>无明显错误的</w:t>
      </w:r>
      <w:r>
        <w:rPr>
          <w:rFonts w:hint="eastAsia" w:ascii="宋体" w:hAnsi="宋体" w:eastAsia="宋体" w:cs="Times New Roman"/>
          <w:szCs w:val="21"/>
        </w:rPr>
        <w:t xml:space="preserve">。 </w:t>
      </w:r>
    </w:p>
    <w:p>
      <w:pPr>
        <w:pStyle w:val="111"/>
        <w:keepNext w:val="0"/>
        <w:keepLines w:val="0"/>
        <w:pageBreakBefore w:val="0"/>
        <w:widowControl/>
        <w:kinsoku/>
        <w:wordWrap/>
        <w:overflowPunct/>
        <w:topLinePunct w:val="0"/>
        <w:autoSpaceDE/>
        <w:autoSpaceDN/>
        <w:bidi w:val="0"/>
        <w:adjustRightInd/>
        <w:snapToGrid w:val="0"/>
        <w:spacing w:line="400" w:lineRule="exact"/>
        <w:ind w:firstLine="378" w:firstLineChars="180"/>
        <w:textAlignment w:val="auto"/>
        <w:rPr>
          <w:rFonts w:hint="eastAsia" w:ascii="宋体" w:hAnsi="宋体" w:eastAsia="宋体" w:cs="Times New Roman"/>
          <w:szCs w:val="21"/>
        </w:rPr>
      </w:pPr>
      <w:r>
        <w:rPr>
          <w:rFonts w:hint="eastAsia" w:ascii="宋体" w:hAnsi="宋体" w:eastAsia="宋体" w:cs="Times New Roman"/>
          <w:szCs w:val="21"/>
        </w:rPr>
        <w:t>三档（4分）：技术人员投入计划，有技术人员在安装调试过程提供技术支持和协助计划，拟派技术人员的经验介绍等方案内容齐全，方案有具体措施，有可行性</w:t>
      </w:r>
      <w:r>
        <w:rPr>
          <w:rFonts w:hint="eastAsia" w:ascii="宋体" w:hAnsi="宋体" w:eastAsia="宋体"/>
          <w:bCs w:val="0"/>
          <w:szCs w:val="21"/>
        </w:rPr>
        <w:t>，无明显错误，有利于采购项目实施的内容或合理性建议的</w:t>
      </w:r>
      <w:r>
        <w:rPr>
          <w:rFonts w:hint="eastAsia" w:ascii="宋体" w:hAnsi="宋体" w:eastAsia="宋体" w:cs="Times New Roman"/>
          <w:szCs w:val="21"/>
        </w:rPr>
        <w:t>。</w:t>
      </w:r>
    </w:p>
    <w:p>
      <w:pPr>
        <w:pStyle w:val="111"/>
        <w:adjustRightInd w:val="0"/>
        <w:snapToGrid w:val="0"/>
        <w:spacing w:line="400" w:lineRule="exact"/>
        <w:ind w:firstLine="378" w:firstLineChars="180"/>
        <w:rPr>
          <w:rFonts w:hint="eastAsia"/>
        </w:rPr>
      </w:pPr>
      <w:r>
        <w:rPr>
          <w:rFonts w:hint="default" w:ascii="宋体" w:hAnsi="宋体" w:eastAsia="宋体" w:cs="Times New Roman"/>
          <w:b/>
          <w:bCs/>
        </w:rPr>
        <w:t>无技术人员方案或不齐全的不得分。</w:t>
      </w:r>
    </w:p>
    <w:p>
      <w:pPr>
        <w:pStyle w:val="111"/>
        <w:adjustRightInd w:val="0"/>
        <w:snapToGrid w:val="0"/>
        <w:ind w:firstLine="378" w:firstLineChars="180"/>
      </w:pPr>
      <w:r>
        <w:rPr>
          <w:rFonts w:hint="eastAsia"/>
        </w:rPr>
        <w:t>（</w:t>
      </w:r>
      <w:r>
        <w:rPr>
          <w:rFonts w:hint="eastAsia"/>
          <w:lang w:val="en-US" w:eastAsia="zh"/>
        </w:rPr>
        <w:t>5</w:t>
      </w:r>
      <w:r>
        <w:rPr>
          <w:rFonts w:hint="eastAsia"/>
        </w:rPr>
        <w:t>）培训计划分（满分3分）</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 xml:space="preserve">根据投标文件中投标人培训方案内容独立评分。  </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一档（1分）：培训方案有简单的培训计划安排，能满足基本要求。</w:t>
      </w:r>
    </w:p>
    <w:p>
      <w:pPr>
        <w:spacing w:line="400" w:lineRule="exact"/>
        <w:ind w:firstLine="420" w:firstLineChars="200"/>
        <w:rPr>
          <w:rFonts w:hint="eastAsia" w:ascii="宋体" w:hAnsi="宋体" w:eastAsia="宋体"/>
          <w:bCs w:val="0"/>
          <w:kern w:val="0"/>
          <w:szCs w:val="21"/>
        </w:rPr>
      </w:pPr>
      <w:r>
        <w:rPr>
          <w:rFonts w:hint="eastAsia" w:ascii="宋体" w:hAnsi="宋体" w:eastAsia="宋体"/>
          <w:bCs w:val="0"/>
          <w:kern w:val="0"/>
          <w:szCs w:val="21"/>
        </w:rPr>
        <w:t>二档（3分）：培训方案应全面、详细，方案内容至少包含：拟派培训人员的安排及介绍、培训时间、规模人数、设备功能理论、简单故障排除等内容。</w:t>
      </w:r>
    </w:p>
    <w:p>
      <w:pPr>
        <w:pStyle w:val="111"/>
        <w:adjustRightInd w:val="0"/>
        <w:snapToGrid w:val="0"/>
        <w:spacing w:line="400" w:lineRule="exact"/>
        <w:ind w:firstLine="378" w:firstLineChars="180"/>
        <w:rPr>
          <w:rFonts w:hint="eastAsia"/>
        </w:rPr>
      </w:pPr>
      <w:r>
        <w:rPr>
          <w:rFonts w:hint="default" w:ascii="宋体" w:hAnsi="宋体" w:eastAsia="宋体" w:cs="Times New Roman"/>
          <w:b/>
          <w:bCs/>
        </w:rPr>
        <w:t>未提供或有明显错误的不得分。</w:t>
      </w:r>
    </w:p>
    <w:p>
      <w:pPr>
        <w:pStyle w:val="405"/>
        <w:ind w:firstLine="420" w:firstLineChars="200"/>
        <w:rPr>
          <w:rFonts w:ascii="宋体" w:hAnsi="宋体"/>
        </w:rPr>
      </w:pPr>
      <w:r>
        <w:rPr>
          <w:rFonts w:hint="eastAsia"/>
          <w:b/>
          <w:bCs/>
        </w:rPr>
        <w:t>3</w:t>
      </w:r>
      <w:r>
        <w:rPr>
          <w:rFonts w:hint="eastAsia"/>
          <w:b/>
          <w:bCs/>
          <w:lang w:val="en-US" w:eastAsia="zh-CN"/>
        </w:rPr>
        <w:t>.</w:t>
      </w:r>
      <w:r>
        <w:rPr>
          <w:rFonts w:hint="eastAsia"/>
          <w:b/>
          <w:bCs/>
        </w:rPr>
        <w:t>售后服务分……………………………………………………………………………………5分</w:t>
      </w:r>
    </w:p>
    <w:p>
      <w:pPr>
        <w:pStyle w:val="111"/>
        <w:adjustRightInd w:val="0"/>
        <w:snapToGrid w:val="0"/>
        <w:ind w:firstLine="378" w:firstLineChars="180"/>
      </w:pPr>
      <w:r>
        <w:rPr>
          <w:rFonts w:hint="eastAsia"/>
        </w:rPr>
        <w:t>（1）售后服务承诺分（满分3分）</w:t>
      </w:r>
    </w:p>
    <w:p>
      <w:pPr>
        <w:spacing w:line="40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一档（1分）：售后服务方案仅满足招标文件基本要求。</w:t>
      </w:r>
    </w:p>
    <w:p>
      <w:pPr>
        <w:spacing w:line="400" w:lineRule="exact"/>
        <w:ind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二档（3分）：售后服务方案细致、合理、可行，能提供生产厂家售后服务承诺书原件，有详细的售后服务管理制度、售后服务流程、应急预案、年度保养计划、发生故障时提供备用机或其他替代解决的具体措施、质量保障方案。</w:t>
      </w:r>
    </w:p>
    <w:p>
      <w:pPr>
        <w:ind w:firstLine="420" w:firstLineChars="200"/>
        <w:rPr>
          <w:rFonts w:hint="eastAsia" w:ascii="宋体" w:hAnsi="宋体"/>
          <w:kern w:val="0"/>
          <w:szCs w:val="21"/>
        </w:rPr>
      </w:pPr>
      <w:r>
        <w:rPr>
          <w:rFonts w:hint="eastAsia" w:ascii="宋体" w:hAnsi="宋体" w:eastAsia="宋体" w:cs="Times New Roman"/>
          <w:b/>
          <w:bCs/>
          <w:kern w:val="0"/>
          <w:szCs w:val="21"/>
        </w:rPr>
        <w:t>未提供或有明显错误的不得分。</w:t>
      </w:r>
    </w:p>
    <w:p>
      <w:pPr>
        <w:pStyle w:val="111"/>
        <w:adjustRightInd w:val="0"/>
        <w:snapToGrid w:val="0"/>
        <w:spacing w:line="400" w:lineRule="exact"/>
        <w:ind w:firstLine="378" w:firstLineChars="180"/>
      </w:pPr>
      <w:r>
        <w:rPr>
          <w:rFonts w:hint="eastAsia"/>
        </w:rPr>
        <w:t>（2）质保期（保修期）（满分2分）</w:t>
      </w:r>
    </w:p>
    <w:p>
      <w:pPr>
        <w:pStyle w:val="111"/>
        <w:adjustRightInd w:val="0"/>
        <w:snapToGrid w:val="0"/>
        <w:spacing w:line="400" w:lineRule="exact"/>
        <w:ind w:firstLine="378" w:firstLineChars="180"/>
        <w:rPr>
          <w:rFonts w:hint="eastAsia"/>
        </w:rPr>
      </w:pPr>
      <w:r>
        <w:rPr>
          <w:rFonts w:hint="eastAsia" w:ascii="宋体" w:hAnsi="宋体" w:eastAsia="宋体"/>
          <w:bCs w:val="0"/>
        </w:rPr>
        <w:t>在满足基本质保期（保修期）（3年）的基础上，免费保修期每延长6个月得0.5分（以</w:t>
      </w:r>
      <w:r>
        <w:rPr>
          <w:rFonts w:hint="eastAsia"/>
          <w:bCs w:val="0"/>
          <w:lang w:eastAsia="zh-CN"/>
        </w:rPr>
        <w:t>核心</w:t>
      </w:r>
      <w:r>
        <w:rPr>
          <w:rFonts w:hint="eastAsia" w:ascii="宋体" w:hAnsi="宋体" w:eastAsia="宋体"/>
          <w:bCs w:val="0"/>
        </w:rPr>
        <w:t>产品生产厂家承诺为准，投标文件中提供厂家证明文件复印件加盖投标单位公章），满分2分。</w:t>
      </w:r>
    </w:p>
    <w:p>
      <w:pPr>
        <w:pStyle w:val="405"/>
        <w:ind w:firstLine="420" w:firstLineChars="200"/>
        <w:rPr>
          <w:rFonts w:ascii="宋体" w:hAnsi="宋体"/>
        </w:rPr>
      </w:pPr>
      <w:r>
        <w:rPr>
          <w:rFonts w:hint="eastAsia"/>
          <w:b/>
          <w:bCs/>
        </w:rPr>
        <w:t>4</w:t>
      </w:r>
      <w:r>
        <w:rPr>
          <w:rFonts w:hint="eastAsia"/>
          <w:b/>
          <w:bCs/>
          <w:lang w:val="en-US" w:eastAsia="zh-CN"/>
        </w:rPr>
        <w:t>.</w:t>
      </w:r>
      <w:r>
        <w:rPr>
          <w:rFonts w:hint="eastAsia"/>
          <w:b/>
          <w:bCs/>
          <w:lang w:eastAsia="zh-CN"/>
        </w:rPr>
        <w:t>业绩</w:t>
      </w:r>
      <w:r>
        <w:rPr>
          <w:rFonts w:hint="eastAsia"/>
          <w:b/>
          <w:bCs/>
        </w:rPr>
        <w:t>分…………………………………………………………………………………………</w:t>
      </w:r>
      <w:r>
        <w:rPr>
          <w:rFonts w:hint="eastAsia"/>
          <w:b/>
          <w:bCs/>
          <w:lang w:val="en-US" w:eastAsia="zh-CN"/>
        </w:rPr>
        <w:t>4</w:t>
      </w:r>
      <w:r>
        <w:rPr>
          <w:rFonts w:hint="eastAsia"/>
          <w:b/>
          <w:bCs/>
        </w:rPr>
        <w:t>分</w:t>
      </w:r>
    </w:p>
    <w:p>
      <w:pPr>
        <w:pStyle w:val="111"/>
        <w:adjustRightInd w:val="0"/>
        <w:snapToGrid w:val="0"/>
        <w:spacing w:line="400" w:lineRule="exact"/>
        <w:ind w:firstLine="378" w:firstLineChars="180"/>
      </w:pPr>
      <w:r>
        <w:rPr>
          <w:rFonts w:hint="eastAsia"/>
        </w:rPr>
        <w:t>业绩（满分</w:t>
      </w:r>
      <w:r>
        <w:rPr>
          <w:rFonts w:hint="eastAsia"/>
          <w:lang w:val="en-US" w:eastAsia="zh-CN"/>
        </w:rPr>
        <w:t>4</w:t>
      </w:r>
      <w:r>
        <w:rPr>
          <w:rFonts w:hint="eastAsia"/>
        </w:rPr>
        <w:t>分）</w:t>
      </w:r>
    </w:p>
    <w:p>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宋体" w:hAnsi="宋体" w:eastAsia="宋体" w:cs="宋体"/>
          <w:szCs w:val="21"/>
        </w:rPr>
      </w:pPr>
      <w:r>
        <w:rPr>
          <w:rFonts w:hint="eastAsia" w:ascii="宋体" w:hAnsi="宋体" w:cs="宋体"/>
          <w:szCs w:val="21"/>
          <w:lang w:eastAsia="zh-CN"/>
        </w:rPr>
        <w:t>提供</w:t>
      </w:r>
      <w:r>
        <w:rPr>
          <w:rFonts w:hint="default" w:ascii="Times New Roman" w:hAnsi="Times New Roman" w:eastAsia="宋体" w:cs="Times New Roman"/>
          <w:szCs w:val="21"/>
        </w:rPr>
        <w:t>202</w:t>
      </w:r>
      <w:r>
        <w:rPr>
          <w:rFonts w:hint="eastAsia" w:cs="Times New Roman"/>
          <w:szCs w:val="21"/>
          <w:lang w:val="en-US" w:eastAsia="zh-CN"/>
        </w:rPr>
        <w:t>3</w:t>
      </w:r>
      <w:r>
        <w:rPr>
          <w:rFonts w:hint="eastAsia" w:ascii="宋体" w:hAnsi="宋体" w:eastAsia="宋体" w:cs="宋体"/>
          <w:szCs w:val="21"/>
        </w:rPr>
        <w:t>年</w:t>
      </w:r>
      <w:r>
        <w:rPr>
          <w:rFonts w:hint="default" w:ascii="Times New Roman" w:hAnsi="Times New Roman" w:eastAsia="宋体" w:cs="Times New Roman"/>
          <w:szCs w:val="21"/>
        </w:rPr>
        <w:t>1</w:t>
      </w:r>
      <w:r>
        <w:rPr>
          <w:rFonts w:hint="eastAsia" w:ascii="宋体" w:hAnsi="宋体" w:eastAsia="宋体" w:cs="宋体"/>
          <w:szCs w:val="21"/>
        </w:rPr>
        <w:t>月</w:t>
      </w:r>
      <w:r>
        <w:rPr>
          <w:rFonts w:hint="default" w:ascii="Times New Roman" w:hAnsi="Times New Roman" w:eastAsia="宋体" w:cs="Times New Roman"/>
          <w:szCs w:val="21"/>
        </w:rPr>
        <w:t>1</w:t>
      </w:r>
      <w:r>
        <w:rPr>
          <w:rFonts w:hint="eastAsia" w:ascii="宋体" w:hAnsi="宋体" w:eastAsia="宋体" w:cs="宋体"/>
          <w:szCs w:val="21"/>
        </w:rPr>
        <w:t>日至今与</w:t>
      </w:r>
      <w:r>
        <w:rPr>
          <w:rFonts w:hint="eastAsia" w:ascii="宋体" w:hAnsi="宋体" w:cs="宋体"/>
          <w:szCs w:val="21"/>
          <w:lang w:eastAsia="zh-CN"/>
        </w:rPr>
        <w:t>所投</w:t>
      </w:r>
      <w:r>
        <w:rPr>
          <w:rFonts w:hint="eastAsia" w:ascii="宋体" w:hAnsi="宋体" w:eastAsia="宋体" w:cs="宋体"/>
          <w:szCs w:val="21"/>
        </w:rPr>
        <w:t>产品同</w:t>
      </w:r>
      <w:r>
        <w:rPr>
          <w:rFonts w:hint="eastAsia" w:ascii="宋体" w:hAnsi="宋体" w:cs="宋体"/>
          <w:szCs w:val="21"/>
          <w:lang w:eastAsia="zh-CN"/>
        </w:rPr>
        <w:t>品牌同类型</w:t>
      </w:r>
      <w:r>
        <w:rPr>
          <w:rFonts w:hint="eastAsia" w:ascii="宋体" w:hAnsi="宋体" w:eastAsia="宋体" w:cs="宋体"/>
          <w:szCs w:val="21"/>
        </w:rPr>
        <w:t>设备的业绩</w:t>
      </w:r>
      <w:r>
        <w:rPr>
          <w:rFonts w:hint="eastAsia" w:ascii="宋体" w:hAnsi="宋体" w:cs="宋体"/>
          <w:szCs w:val="21"/>
          <w:lang w:eastAsia="zh-CN"/>
        </w:rPr>
        <w:t>（</w:t>
      </w:r>
      <w:r>
        <w:rPr>
          <w:rFonts w:hint="eastAsia" w:ascii="宋体" w:hAnsi="宋体" w:eastAsia="宋体" w:cs="宋体"/>
          <w:color w:val="000000"/>
          <w:sz w:val="21"/>
          <w:szCs w:val="21"/>
          <w:highlight w:val="none"/>
        </w:rPr>
        <w:t>业绩乙方可为生产厂家、代理商或经销商，甲方须为产品实际使用用户</w:t>
      </w:r>
      <w:r>
        <w:rPr>
          <w:rFonts w:hint="eastAsia" w:ascii="宋体" w:hAnsi="宋体" w:cs="宋体"/>
          <w:szCs w:val="21"/>
          <w:lang w:eastAsia="zh-CN"/>
        </w:rPr>
        <w:t>）</w:t>
      </w:r>
      <w:r>
        <w:rPr>
          <w:rFonts w:hint="eastAsia" w:ascii="宋体" w:hAnsi="宋体" w:eastAsia="宋体" w:cs="宋体"/>
          <w:szCs w:val="21"/>
        </w:rPr>
        <w:t>，每有</w:t>
      </w:r>
      <w:r>
        <w:rPr>
          <w:rFonts w:hint="default" w:ascii="Times New Roman" w:hAnsi="Times New Roman" w:eastAsia="宋体" w:cs="Times New Roman"/>
          <w:szCs w:val="21"/>
        </w:rPr>
        <w:t>1</w:t>
      </w:r>
      <w:r>
        <w:rPr>
          <w:rFonts w:hint="eastAsia" w:ascii="宋体" w:hAnsi="宋体" w:eastAsia="宋体" w:cs="宋体"/>
          <w:szCs w:val="21"/>
        </w:rPr>
        <w:t>项得</w:t>
      </w:r>
      <w:r>
        <w:rPr>
          <w:rFonts w:hint="default" w:ascii="Times New Roman" w:hAnsi="Times New Roman" w:eastAsia="宋体" w:cs="Times New Roman"/>
          <w:szCs w:val="21"/>
        </w:rPr>
        <w:t>0.</w:t>
      </w:r>
      <w:r>
        <w:rPr>
          <w:rFonts w:hint="eastAsia" w:cs="Times New Roman"/>
          <w:szCs w:val="21"/>
          <w:lang w:val="en-US" w:eastAsia="zh-CN"/>
        </w:rPr>
        <w:t>5</w:t>
      </w:r>
      <w:r>
        <w:rPr>
          <w:rFonts w:hint="eastAsia" w:ascii="宋体" w:hAnsi="宋体" w:eastAsia="宋体" w:cs="宋体"/>
          <w:szCs w:val="21"/>
        </w:rPr>
        <w:t>分，满分</w:t>
      </w:r>
      <w:r>
        <w:rPr>
          <w:rFonts w:hint="eastAsia" w:cs="Times New Roman"/>
          <w:szCs w:val="21"/>
          <w:lang w:val="en-US" w:eastAsia="zh-CN"/>
        </w:rPr>
        <w:t>4</w:t>
      </w:r>
      <w:r>
        <w:rPr>
          <w:rFonts w:hint="eastAsia" w:ascii="宋体" w:hAnsi="宋体" w:eastAsia="宋体" w:cs="宋体"/>
          <w:szCs w:val="21"/>
        </w:rPr>
        <w:t>分。</w:t>
      </w:r>
    </w:p>
    <w:p>
      <w:pPr>
        <w:pStyle w:val="111"/>
        <w:adjustRightInd w:val="0"/>
        <w:snapToGrid w:val="0"/>
        <w:spacing w:line="400" w:lineRule="exact"/>
        <w:ind w:firstLine="588" w:firstLineChars="280"/>
        <w:rPr>
          <w:rFonts w:hint="eastAsia" w:ascii="宋体" w:hAnsi="宋体" w:eastAsia="宋体" w:cs="宋体"/>
        </w:rPr>
      </w:pPr>
      <w:r>
        <w:rPr>
          <w:rFonts w:hint="eastAsia"/>
          <w:b/>
          <w:bCs/>
        </w:rPr>
        <w:t>注：投标文件中提供有效的中标通知书/合同复印件（或扫描件）、验收报告，并逐份加盖投标人电子签章，材料须体现签订时间、买卖双方信息、产品品牌型号</w:t>
      </w:r>
      <w:r>
        <w:rPr>
          <w:rFonts w:hint="eastAsia"/>
          <w:b/>
          <w:bCs/>
          <w:lang w:eastAsia="zh-CN"/>
        </w:rPr>
        <w:t>（</w:t>
      </w:r>
      <w:r>
        <w:rPr>
          <w:rFonts w:hint="eastAsia"/>
          <w:b/>
          <w:bCs/>
        </w:rPr>
        <w:t>以上三项信息缺一不可，且均须清晰完整</w:t>
      </w:r>
      <w:r>
        <w:rPr>
          <w:rFonts w:hint="eastAsia"/>
          <w:b/>
          <w:bCs/>
          <w:lang w:eastAsia="zh-CN"/>
        </w:rPr>
        <w:t>）</w:t>
      </w:r>
      <w:r>
        <w:rPr>
          <w:rFonts w:hint="eastAsia"/>
          <w:b/>
          <w:bCs/>
        </w:rPr>
        <w:t>，否则不予以计分。</w:t>
      </w:r>
    </w:p>
    <w:p>
      <w:pPr>
        <w:pStyle w:val="405"/>
        <w:ind w:firstLine="420" w:firstLineChars="200"/>
        <w:rPr>
          <w:rFonts w:ascii="宋体" w:hAnsi="宋体"/>
        </w:rPr>
      </w:pPr>
      <w:r>
        <w:rPr>
          <w:rFonts w:hint="eastAsia"/>
          <w:b/>
          <w:bCs/>
        </w:rPr>
        <w:t>5</w:t>
      </w:r>
      <w:r>
        <w:rPr>
          <w:rFonts w:hint="eastAsia"/>
          <w:b/>
          <w:bCs/>
          <w:lang w:val="en-US" w:eastAsia="zh-CN"/>
        </w:rPr>
        <w:t>.</w:t>
      </w:r>
      <w:r>
        <w:rPr>
          <w:rFonts w:hint="eastAsia"/>
          <w:b/>
          <w:bCs/>
        </w:rPr>
        <w:t>政策功能分……………………………………………………………………………………1分</w:t>
      </w:r>
    </w:p>
    <w:p>
      <w:pPr>
        <w:pStyle w:val="111"/>
        <w:adjustRightInd w:val="0"/>
        <w:snapToGrid w:val="0"/>
        <w:spacing w:line="400" w:lineRule="exact"/>
        <w:ind w:firstLine="378" w:firstLineChars="180"/>
      </w:pPr>
      <w:r>
        <w:rPr>
          <w:rFonts w:hint="eastAsia"/>
        </w:rPr>
        <w:t>节能、环保分（满分1分）</w:t>
      </w:r>
    </w:p>
    <w:p>
      <w:pPr>
        <w:widowControl/>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（1）</w:t>
      </w:r>
      <w:r>
        <w:rPr>
          <w:rFonts w:hint="eastAsia" w:ascii="宋体" w:hAnsi="宋体" w:cs="宋体"/>
          <w:szCs w:val="21"/>
          <w:lang w:eastAsia="zh-CN"/>
        </w:rPr>
        <w:t>所投核心产品</w:t>
      </w:r>
      <w:r>
        <w:rPr>
          <w:rFonts w:hint="eastAsia" w:ascii="宋体" w:hAnsi="宋体" w:eastAsia="宋体" w:cs="宋体"/>
          <w:szCs w:val="21"/>
        </w:rPr>
        <w:t>属于财政部《节能产品政府采购品目清单》内优先采购的产品[投标文件中提供有效的认证证书复印件（或扫描件）及品目清单（标注出投标产品在品目清单中所属的品目），并加盖投标人电子签章]，得0.5分。</w:t>
      </w:r>
    </w:p>
    <w:p>
      <w:pPr>
        <w:pStyle w:val="111"/>
        <w:adjustRightInd w:val="0"/>
        <w:snapToGrid w:val="0"/>
        <w:spacing w:line="400" w:lineRule="exact"/>
        <w:ind w:firstLine="378" w:firstLineChars="180"/>
        <w:rPr>
          <w:rFonts w:hint="eastAsia" w:cs="宋体"/>
        </w:rPr>
      </w:pPr>
      <w:r>
        <w:rPr>
          <w:rFonts w:hint="eastAsia" w:ascii="宋体" w:hAnsi="宋体" w:eastAsia="宋体" w:cs="宋体"/>
        </w:rPr>
        <w:t>（2）</w:t>
      </w:r>
      <w:r>
        <w:rPr>
          <w:rFonts w:hint="eastAsia" w:ascii="宋体" w:hAnsi="宋体" w:cs="宋体"/>
          <w:szCs w:val="21"/>
          <w:lang w:eastAsia="zh-CN"/>
        </w:rPr>
        <w:t>所投核心产品</w:t>
      </w:r>
      <w:r>
        <w:rPr>
          <w:rFonts w:hint="eastAsia" w:ascii="宋体" w:hAnsi="宋体" w:eastAsia="宋体" w:cs="宋体"/>
        </w:rPr>
        <w:t>属于财政部《环境标志产品政府采购品目清单》内的产品[投标文件中提供有效的认证证书复印件（或扫描件）及品目清单（标注出投标产品在品目清单中所属的品目），并加盖投标人电子签章]，得0.5分。</w:t>
      </w:r>
    </w:p>
    <w:p>
      <w:pPr>
        <w:adjustRightInd w:val="0"/>
        <w:snapToGrid w:val="0"/>
        <w:spacing w:line="360" w:lineRule="exact"/>
        <w:jc w:val="left"/>
        <w:rPr>
          <w:rFonts w:hAnsi="宋体"/>
          <w:b/>
        </w:rPr>
      </w:pPr>
    </w:p>
    <w:p>
      <w:pPr>
        <w:adjustRightInd w:val="0"/>
        <w:snapToGrid w:val="0"/>
        <w:spacing w:line="360" w:lineRule="exact"/>
        <w:jc w:val="left"/>
        <w:rPr>
          <w:b/>
          <w:kern w:val="4"/>
        </w:rPr>
      </w:pPr>
      <w:r>
        <w:rPr>
          <w:rFonts w:hint="eastAsia" w:hAnsi="宋体"/>
          <w:b/>
        </w:rPr>
        <w:t>（三）总得分=1+ 2+ 3+ 4+ 5。</w:t>
      </w:r>
    </w:p>
    <w:p>
      <w:pPr>
        <w:pStyle w:val="29"/>
        <w:adjustRightInd w:val="0"/>
        <w:snapToGrid w:val="0"/>
        <w:spacing w:line="360" w:lineRule="exact"/>
        <w:rPr>
          <w:rFonts w:hAnsi="宋体"/>
          <w:b/>
        </w:rPr>
      </w:pPr>
      <w:r>
        <w:rPr>
          <w:rFonts w:hint="eastAsia" w:hAnsi="宋体"/>
          <w:b/>
        </w:rPr>
        <w:t xml:space="preserve">   </w:t>
      </w:r>
    </w:p>
    <w:p>
      <w:pPr>
        <w:pStyle w:val="29"/>
        <w:adjustRightInd w:val="0"/>
        <w:snapToGrid w:val="0"/>
        <w:spacing w:line="360" w:lineRule="exact"/>
        <w:rPr>
          <w:rFonts w:hAnsi="宋体"/>
          <w:b/>
        </w:rPr>
      </w:pPr>
      <w:r>
        <w:rPr>
          <w:rFonts w:hint="eastAsia" w:hAnsi="宋体"/>
          <w:b/>
        </w:rPr>
        <w:t xml:space="preserve">  三、中标候选人推荐原则</w:t>
      </w:r>
    </w:p>
    <w:p>
      <w:pPr>
        <w:pStyle w:val="2"/>
        <w:keepNext w:val="0"/>
        <w:keepLines w:val="0"/>
        <w:pageBreakBefore w:val="0"/>
        <w:kinsoku/>
        <w:wordWrap/>
        <w:overflowPunct/>
        <w:topLinePunct w:val="0"/>
        <w:bidi w:val="0"/>
        <w:spacing w:line="380" w:lineRule="exact"/>
        <w:ind w:firstLine="420" w:firstLineChars="200"/>
        <w:textAlignment w:val="auto"/>
        <w:rPr>
          <w:rFonts w:hint="eastAsia" w:hAnsi="宋体" w:cs="Courier New"/>
          <w:color w:val="auto"/>
          <w:kern w:val="2"/>
          <w:sz w:val="21"/>
          <w:szCs w:val="21"/>
        </w:rPr>
      </w:pPr>
      <w:r>
        <w:rPr>
          <w:rFonts w:hint="eastAsia" w:hAnsi="宋体" w:cs="Courier New"/>
          <w:color w:val="auto"/>
          <w:kern w:val="2"/>
          <w:sz w:val="21"/>
          <w:szCs w:val="21"/>
        </w:rPr>
        <w:t>（一）评标委员会将根据得分由高到低排列次序（</w:t>
      </w:r>
      <w:r>
        <w:rPr>
          <w:rFonts w:hint="eastAsia" w:hAnsi="宋体" w:cs="Courier New"/>
          <w:b w:val="0"/>
          <w:color w:val="auto"/>
          <w:kern w:val="2"/>
          <w:sz w:val="21"/>
          <w:szCs w:val="21"/>
        </w:rPr>
        <w:t>得分相同时，以</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由低到高顺序排列；得分相同且</w:t>
      </w:r>
      <w:r>
        <w:rPr>
          <w:rFonts w:hint="eastAsia" w:hAnsi="宋体" w:cs="Courier New"/>
          <w:b w:val="0"/>
          <w:color w:val="auto"/>
          <w:kern w:val="2"/>
          <w:sz w:val="21"/>
          <w:szCs w:val="21"/>
          <w:lang w:eastAsia="zh-CN"/>
        </w:rPr>
        <w:t>评标价</w:t>
      </w:r>
      <w:r>
        <w:rPr>
          <w:rFonts w:hint="eastAsia" w:hAnsi="宋体" w:cs="Courier New"/>
          <w:b w:val="0"/>
          <w:color w:val="auto"/>
          <w:kern w:val="2"/>
          <w:sz w:val="21"/>
          <w:szCs w:val="21"/>
        </w:rPr>
        <w:t>相同的，按技术优劣顺序排列</w:t>
      </w:r>
      <w:r>
        <w:rPr>
          <w:rFonts w:hint="eastAsia" w:hAnsi="宋体" w:cs="Courier New"/>
          <w:color w:val="auto"/>
          <w:kern w:val="2"/>
          <w:sz w:val="21"/>
          <w:szCs w:val="21"/>
        </w:rPr>
        <w:t>）并推荐中标候选人3名。采购人应当确定评</w:t>
      </w:r>
      <w:r>
        <w:rPr>
          <w:rFonts w:hint="eastAsia" w:hAnsi="宋体" w:cs="Courier New"/>
          <w:color w:val="auto"/>
          <w:kern w:val="2"/>
          <w:sz w:val="21"/>
          <w:szCs w:val="21"/>
          <w:lang w:eastAsia="zh-CN"/>
        </w:rPr>
        <w:t>标</w:t>
      </w:r>
      <w:r>
        <w:rPr>
          <w:rFonts w:hint="eastAsia" w:hAnsi="宋体" w:cs="Courier New"/>
          <w:color w:val="auto"/>
          <w:kern w:val="2"/>
          <w:sz w:val="21"/>
          <w:szCs w:val="21"/>
        </w:rPr>
        <w:t>委员会推荐排名第一的中标候选人为中标人。</w:t>
      </w:r>
    </w:p>
    <w:p>
      <w:pPr>
        <w:autoSpaceDE w:val="0"/>
        <w:autoSpaceDN w:val="0"/>
        <w:adjustRightInd w:val="0"/>
        <w:snapToGrid w:val="0"/>
        <w:spacing w:line="400" w:lineRule="exact"/>
        <w:ind w:firstLine="420" w:firstLineChars="200"/>
        <w:jc w:val="left"/>
        <w:rPr>
          <w:bCs/>
        </w:rPr>
      </w:pPr>
      <w:r>
        <w:rPr>
          <w:rFonts w:hint="eastAsia" w:ascii="宋体" w:hAnsi="宋体"/>
          <w:bCs/>
          <w:color w:val="auto"/>
          <w:szCs w:val="21"/>
        </w:rPr>
        <w:t>（</w:t>
      </w:r>
      <w:r>
        <w:rPr>
          <w:rFonts w:hint="eastAsia" w:ascii="宋体" w:hAnsi="宋体"/>
          <w:bCs/>
          <w:color w:val="auto"/>
          <w:szCs w:val="21"/>
          <w:lang w:eastAsia="zh-CN"/>
        </w:rPr>
        <w:t>二</w:t>
      </w:r>
      <w:r>
        <w:rPr>
          <w:rFonts w:hint="eastAsia" w:ascii="宋体" w:hAnsi="宋体"/>
          <w:bCs/>
          <w:color w:val="auto"/>
          <w:szCs w:val="21"/>
        </w:rPr>
        <w:t>）</w:t>
      </w:r>
      <w:r>
        <w:rPr>
          <w:rFonts w:hint="eastAsia" w:hAnsi="宋体"/>
          <w:lang w:eastAsia="zh"/>
        </w:rPr>
        <w:t>排名第一的中标候选人放弃中标或在规定限期内拒不签订合同或因不可抗力提出不能履行合同</w:t>
      </w:r>
      <w:r>
        <w:rPr>
          <w:rFonts w:hint="eastAsia" w:hAnsi="宋体"/>
        </w:rPr>
        <w:t>，采购人可以确定排名第二的中标候选人为中标人。排名第二的中标候选人因前款规定的同样原因不能签订合同的，采购人可以确定排名第三的中标候选人为中标人，其余以此类推。</w:t>
      </w: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2"/>
        <w:rPr>
          <w:rFonts w:ascii="仿宋_GB2312" w:hAnsi="宋体" w:eastAsia="仿宋_GB2312"/>
          <w:b/>
          <w:color w:val="auto"/>
          <w:sz w:val="44"/>
          <w:szCs w:val="44"/>
        </w:rPr>
      </w:pPr>
    </w:p>
    <w:p>
      <w:pPr>
        <w:pStyle w:val="3"/>
        <w:jc w:val="center"/>
      </w:pPr>
      <w:bookmarkStart w:id="56" w:name="_Toc1413232859"/>
      <w:r>
        <w:rPr>
          <w:rFonts w:hint="eastAsia"/>
        </w:rPr>
        <w:t>第五章  政府采购合同主要条款</w:t>
      </w:r>
      <w:bookmarkEnd w:id="56"/>
    </w:p>
    <w:p>
      <w:pPr>
        <w:pStyle w:val="29"/>
        <w:jc w:val="center"/>
        <w:rPr>
          <w:rFonts w:ascii="黑体" w:hAnsi="宋体" w:eastAsia="黑体"/>
          <w:b/>
          <w:sz w:val="44"/>
          <w:szCs w:val="44"/>
        </w:rPr>
      </w:pPr>
    </w:p>
    <w:p>
      <w:pPr>
        <w:pStyle w:val="459"/>
        <w:rPr>
          <w:rFonts w:ascii="黑体" w:hAnsi="宋体" w:eastAsia="黑体"/>
          <w:b/>
          <w:sz w:val="44"/>
          <w:szCs w:val="44"/>
        </w:rPr>
      </w:pPr>
    </w:p>
    <w:p>
      <w:pPr>
        <w:rPr>
          <w:rFonts w:ascii="黑体" w:hAnsi="宋体" w:eastAsia="黑体"/>
          <w:b/>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rPr>
          <w:rFonts w:ascii="黑体" w:hAnsi="宋体" w:eastAsia="黑体"/>
          <w:b/>
          <w:color w:val="auto"/>
          <w:sz w:val="44"/>
          <w:szCs w:val="44"/>
        </w:rPr>
      </w:pPr>
      <w:r>
        <w:rPr>
          <w:rFonts w:ascii="黑体" w:hAnsi="宋体" w:eastAsia="黑体"/>
          <w:b/>
          <w:color w:val="auto"/>
          <w:sz w:val="44"/>
          <w:szCs w:val="44"/>
        </w:rPr>
        <w:br w:type="page"/>
      </w:r>
    </w:p>
    <w:p>
      <w:pPr>
        <w:pStyle w:val="2"/>
        <w:rPr>
          <w:rFonts w:ascii="黑体" w:hAnsi="宋体" w:eastAsia="黑体"/>
          <w:b/>
          <w:color w:val="auto"/>
          <w:sz w:val="44"/>
          <w:szCs w:val="44"/>
        </w:rPr>
      </w:pPr>
    </w:p>
    <w:p>
      <w:pPr>
        <w:pStyle w:val="2"/>
        <w:rPr>
          <w:rFonts w:ascii="黑体" w:hAnsi="宋体" w:eastAsia="黑体"/>
          <w:b/>
          <w:color w:val="auto"/>
          <w:sz w:val="44"/>
          <w:szCs w:val="44"/>
        </w:rPr>
      </w:pPr>
    </w:p>
    <w:p>
      <w:pPr>
        <w:pStyle w:val="29"/>
        <w:jc w:val="center"/>
        <w:rPr>
          <w:rFonts w:hAnsi="宋体"/>
          <w:b/>
          <w:sz w:val="52"/>
          <w:szCs w:val="52"/>
        </w:rPr>
      </w:pPr>
      <w:r>
        <w:rPr>
          <w:rFonts w:hint="eastAsia" w:hAnsi="宋体"/>
          <w:b/>
          <w:sz w:val="52"/>
          <w:szCs w:val="52"/>
        </w:rPr>
        <w:t>广西壮族自治区政府采购合同</w:t>
      </w:r>
    </w:p>
    <w:p/>
    <w:p>
      <w:pPr>
        <w:pStyle w:val="29"/>
        <w:rPr>
          <w:rFonts w:hAnsi="宋体"/>
        </w:rPr>
      </w:pPr>
    </w:p>
    <w:p>
      <w:pPr>
        <w:spacing w:line="480" w:lineRule="auto"/>
        <w:rPr>
          <w:rFonts w:hAnsi="Courier New"/>
          <w:b/>
          <w:bCs/>
          <w:sz w:val="32"/>
          <w:szCs w:val="32"/>
          <w:lang w:val="en"/>
        </w:rPr>
      </w:pPr>
      <w:r>
        <w:rPr>
          <w:rFonts w:hint="eastAsia" w:hAnsi="宋体"/>
          <w:b/>
          <w:bCs/>
          <w:sz w:val="32"/>
          <w:szCs w:val="32"/>
        </w:rPr>
        <w:t xml:space="preserve"> </w:t>
      </w:r>
      <w:r>
        <w:rPr>
          <w:rFonts w:hAnsi="宋体"/>
          <w:b/>
          <w:bCs/>
          <w:sz w:val="32"/>
          <w:szCs w:val="32"/>
        </w:rPr>
        <w:t>合同名称：</w:t>
      </w:r>
      <w:r>
        <w:rPr>
          <w:rFonts w:hAnsi="宋体"/>
          <w:b/>
          <w:bCs/>
          <w:sz w:val="32"/>
          <w:szCs w:val="32"/>
          <w:u w:val="single"/>
        </w:rPr>
        <w:t xml:space="preserve"> </w:t>
      </w:r>
      <w:r>
        <w:rPr>
          <w:rFonts w:hint="default" w:hAnsi="宋体" w:cs="Times New Roman"/>
          <w:b/>
          <w:bCs/>
          <w:sz w:val="32"/>
          <w:szCs w:val="32"/>
          <w:u w:val="single"/>
          <w:lang w:val="en"/>
        </w:rPr>
        <w:t>2025年广西大型医用设备(</w:t>
      </w:r>
      <w:r>
        <w:rPr>
          <w:rFonts w:hint="eastAsia" w:hAnsi="宋体" w:cs="Times New Roman"/>
          <w:b/>
          <w:bCs/>
          <w:sz w:val="32"/>
          <w:szCs w:val="32"/>
          <w:u w:val="single"/>
          <w:lang w:val="en" w:eastAsia="zh"/>
        </w:rPr>
        <w:t>医用直线加速器</w:t>
      </w:r>
      <w:r>
        <w:rPr>
          <w:rFonts w:hint="default" w:hAnsi="宋体" w:cs="Times New Roman"/>
          <w:b/>
          <w:bCs/>
          <w:sz w:val="32"/>
          <w:szCs w:val="32"/>
          <w:u w:val="single"/>
          <w:lang w:val="en"/>
        </w:rPr>
        <w:t>)集中采购</w:t>
      </w:r>
    </w:p>
    <w:p>
      <w:pPr>
        <w:spacing w:line="480" w:lineRule="auto"/>
        <w:rPr>
          <w:rFonts w:hAnsi="Courier New"/>
          <w:b/>
          <w:bCs/>
          <w:sz w:val="32"/>
          <w:szCs w:val="32"/>
        </w:rPr>
      </w:pPr>
    </w:p>
    <w:p>
      <w:pPr>
        <w:spacing w:line="480" w:lineRule="auto"/>
        <w:rPr>
          <w:rFonts w:hAnsi="Courier New"/>
          <w:b/>
          <w:bCs/>
          <w:sz w:val="32"/>
          <w:szCs w:val="32"/>
          <w:u w:val="single"/>
        </w:rPr>
      </w:pPr>
      <w:r>
        <w:rPr>
          <w:rFonts w:hint="eastAsia" w:hAnsi="Courier New"/>
          <w:b/>
          <w:bCs/>
          <w:sz w:val="32"/>
          <w:szCs w:val="32"/>
        </w:rPr>
        <w:t xml:space="preserve"> </w:t>
      </w:r>
      <w:r>
        <w:rPr>
          <w:rFonts w:hAnsi="Courier New"/>
          <w:b/>
          <w:bCs/>
          <w:sz w:val="32"/>
          <w:szCs w:val="32"/>
        </w:rPr>
        <w:t xml:space="preserve">合同编号： </w:t>
      </w:r>
      <w:r>
        <w:rPr>
          <w:rFonts w:hAnsi="Courier New"/>
          <w:b/>
          <w:bCs/>
          <w:sz w:val="32"/>
          <w:szCs w:val="32"/>
          <w:u w:val="single"/>
        </w:rPr>
        <w:t xml:space="preserve">                           </w:t>
      </w:r>
    </w:p>
    <w:p>
      <w:pPr>
        <w:spacing w:after="156" w:afterLines="50"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采购单位（甲方）：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住   所：</w:t>
      </w:r>
      <w:r>
        <w:rPr>
          <w:rFonts w:hAnsi="Courier New"/>
          <w:b/>
          <w:bCs/>
          <w:sz w:val="32"/>
          <w:szCs w:val="32"/>
          <w:u w:val="single"/>
        </w:rPr>
        <w:t xml:space="preserve"> </w:t>
      </w:r>
      <w:r>
        <w:rPr>
          <w:rFonts w:hint="eastAsia" w:hAnsi="Courier New"/>
          <w:b/>
          <w:bCs/>
          <w:sz w:val="32"/>
          <w:szCs w:val="32"/>
          <w:u w:val="single"/>
        </w:rPr>
        <w:t xml:space="preserve">                 </w:t>
      </w:r>
      <w:r>
        <w:rPr>
          <w:rFonts w:hAnsi="Courier New"/>
          <w:b/>
          <w:bCs/>
          <w:sz w:val="32"/>
          <w:szCs w:val="32"/>
          <w:u w:val="single"/>
          <w:lang w:val="en"/>
        </w:rPr>
        <w:t xml:space="preserve">  </w:t>
      </w:r>
      <w:r>
        <w:rPr>
          <w:rFonts w:hAnsi="Courier New"/>
          <w:b/>
          <w:bCs/>
          <w:sz w:val="32"/>
          <w:szCs w:val="32"/>
          <w:lang w:val="en"/>
        </w:rPr>
        <w:t xml:space="preserve">   </w:t>
      </w:r>
      <w:r>
        <w:rPr>
          <w:rFonts w:hAnsi="Courier New"/>
          <w:b/>
          <w:bCs/>
          <w:sz w:val="32"/>
          <w:szCs w:val="32"/>
        </w:rPr>
        <w:t xml:space="preserve">    </w:t>
      </w:r>
    </w:p>
    <w:p>
      <w:pPr>
        <w:spacing w:after="156" w:afterLines="50" w:line="480" w:lineRule="auto"/>
        <w:rPr>
          <w:rFonts w:hAnsi="Courier New"/>
          <w:b/>
          <w:bCs/>
          <w:sz w:val="32"/>
          <w:szCs w:val="32"/>
        </w:rPr>
      </w:pPr>
    </w:p>
    <w:p>
      <w:pPr>
        <w:spacing w:after="156" w:afterLines="50"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供 应 商（乙方）：</w:t>
      </w:r>
      <w:r>
        <w:rPr>
          <w:rFonts w:hAnsi="Courier New"/>
          <w:b/>
          <w:bCs/>
          <w:sz w:val="32"/>
          <w:szCs w:val="32"/>
          <w:u w:val="single"/>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住   所：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Courier New"/>
          <w:b/>
          <w:bCs/>
          <w:sz w:val="32"/>
          <w:szCs w:val="32"/>
        </w:rPr>
      </w:pPr>
      <w:r>
        <w:rPr>
          <w:rFonts w:hint="eastAsia" w:hAnsi="Courier New"/>
          <w:b/>
          <w:bCs/>
          <w:sz w:val="32"/>
          <w:szCs w:val="32"/>
        </w:rPr>
        <w:t xml:space="preserve"> </w:t>
      </w:r>
      <w:r>
        <w:rPr>
          <w:rFonts w:hAnsi="Courier New"/>
          <w:b/>
          <w:bCs/>
          <w:sz w:val="32"/>
          <w:szCs w:val="32"/>
        </w:rPr>
        <w:t xml:space="preserve">签订合同地点： </w:t>
      </w:r>
      <w:r>
        <w:rPr>
          <w:rFonts w:hAnsi="Courier New"/>
          <w:b/>
          <w:bCs/>
          <w:sz w:val="32"/>
          <w:szCs w:val="32"/>
          <w:u w:val="single"/>
        </w:rPr>
        <w:t xml:space="preserve">                   </w:t>
      </w:r>
      <w:r>
        <w:rPr>
          <w:rFonts w:hAnsi="Courier New"/>
          <w:b/>
          <w:bCs/>
          <w:sz w:val="32"/>
          <w:szCs w:val="32"/>
        </w:rPr>
        <w:t xml:space="preserve">      </w:t>
      </w:r>
    </w:p>
    <w:p>
      <w:pPr>
        <w:spacing w:line="480" w:lineRule="auto"/>
        <w:rPr>
          <w:rFonts w:hAnsi="Courier New"/>
          <w:b/>
          <w:bCs/>
          <w:sz w:val="32"/>
          <w:szCs w:val="32"/>
        </w:rPr>
      </w:pPr>
    </w:p>
    <w:p>
      <w:pPr>
        <w:spacing w:line="480" w:lineRule="auto"/>
        <w:rPr>
          <w:rFonts w:hAnsi="宋体"/>
        </w:rPr>
      </w:pPr>
      <w:r>
        <w:rPr>
          <w:rFonts w:hint="eastAsia" w:hAnsi="Courier New"/>
          <w:b/>
          <w:bCs/>
          <w:sz w:val="32"/>
          <w:szCs w:val="32"/>
        </w:rPr>
        <w:t xml:space="preserve"> </w:t>
      </w:r>
      <w:r>
        <w:rPr>
          <w:rFonts w:hAnsi="Courier New"/>
          <w:b/>
          <w:bCs/>
          <w:sz w:val="32"/>
          <w:szCs w:val="32"/>
        </w:rPr>
        <w:t>签订合同时间：</w:t>
      </w:r>
      <w:r>
        <w:rPr>
          <w:rFonts w:hAnsi="Courier New"/>
          <w:b/>
          <w:bCs/>
          <w:sz w:val="32"/>
          <w:szCs w:val="32"/>
          <w:u w:val="single"/>
        </w:rPr>
        <w:t xml:space="preserve">                 </w:t>
      </w:r>
      <w:r>
        <w:rPr>
          <w:rFonts w:hAnsi="Courier New"/>
          <w:b/>
          <w:bCs/>
          <w:sz w:val="32"/>
          <w:szCs w:val="32"/>
        </w:rPr>
        <w:t xml:space="preserve">      </w:t>
      </w:r>
    </w:p>
    <w:p>
      <w:pPr>
        <w:pStyle w:val="29"/>
        <w:jc w:val="center"/>
        <w:rPr>
          <w:rFonts w:hAnsi="宋体"/>
        </w:rPr>
      </w:pPr>
    </w:p>
    <w:p>
      <w:pPr>
        <w:pStyle w:val="29"/>
        <w:jc w:val="center"/>
        <w:rPr>
          <w:rFonts w:hAnsi="宋体"/>
        </w:rPr>
      </w:pPr>
    </w:p>
    <w:p>
      <w:pPr>
        <w:pStyle w:val="29"/>
        <w:spacing w:line="420" w:lineRule="exact"/>
        <w:jc w:val="center"/>
        <w:rPr>
          <w:rFonts w:hAnsi="宋体"/>
        </w:rPr>
      </w:pPr>
      <w:r>
        <w:rPr>
          <w:rFonts w:hint="eastAsia" w:hAnsi="宋体"/>
        </w:rPr>
        <w:t>合同使用说明：根据《中华人民共和国政府采购法》、《</w:t>
      </w:r>
      <w:r>
        <w:rPr>
          <w:rStyle w:val="62"/>
          <w:rFonts w:hint="eastAsia" w:hAnsi="宋体"/>
          <w:color w:val="auto"/>
        </w:rPr>
        <w:t>中华人民共和国民法典</w:t>
      </w:r>
      <w:r>
        <w:rPr>
          <w:rFonts w:hint="eastAsia" w:hAnsi="宋体"/>
        </w:rPr>
        <w:t>》等法律、法规规定，</w:t>
      </w:r>
    </w:p>
    <w:p>
      <w:pPr>
        <w:pStyle w:val="29"/>
        <w:snapToGrid w:val="0"/>
        <w:spacing w:before="120" w:after="120"/>
        <w:jc w:val="center"/>
        <w:outlineLvl w:val="0"/>
      </w:pPr>
      <w:bookmarkStart w:id="57" w:name="_Toc68166507"/>
      <w:r>
        <w:rPr>
          <w:rFonts w:hint="eastAsia" w:hAnsi="宋体"/>
        </w:rPr>
        <w:t xml:space="preserve">        按照招标文件规定条款和中标供应商投标文件及其承诺，甲乙双方签订本合同。</w:t>
      </w:r>
      <w:bookmarkEnd w:id="57"/>
    </w:p>
    <w:p>
      <w:pPr>
        <w:spacing w:line="300" w:lineRule="auto"/>
        <w:ind w:left="420" w:hanging="420"/>
        <w:jc w:val="center"/>
        <w:rPr>
          <w:rStyle w:val="191"/>
          <w:rFonts w:ascii="黑体" w:eastAsia="黑体"/>
          <w:b/>
          <w:bCs/>
          <w:color w:val="auto"/>
          <w:sz w:val="44"/>
          <w:szCs w:val="44"/>
          <w:u w:val="none"/>
        </w:rPr>
      </w:pPr>
      <w:r>
        <w:rPr>
          <w:rStyle w:val="191"/>
          <w:rFonts w:hint="eastAsia" w:ascii="黑体" w:hAnsi="黑体"/>
          <w:b/>
          <w:color w:val="auto"/>
          <w:sz w:val="44"/>
          <w:szCs w:val="44"/>
          <w:u w:val="none"/>
        </w:rPr>
        <w:t>采购</w:t>
      </w:r>
      <w:r>
        <w:rPr>
          <w:rStyle w:val="191"/>
          <w:rFonts w:hint="eastAsia" w:ascii="黑体" w:hAnsi="黑体"/>
          <w:b/>
          <w:bCs/>
          <w:color w:val="auto"/>
          <w:sz w:val="44"/>
          <w:szCs w:val="44"/>
          <w:u w:val="none"/>
        </w:rPr>
        <w:t>合同文本</w:t>
      </w:r>
    </w:p>
    <w:p>
      <w:pPr>
        <w:snapToGrid w:val="0"/>
        <w:spacing w:line="360" w:lineRule="exact"/>
        <w:jc w:val="center"/>
        <w:rPr>
          <w:rStyle w:val="191"/>
          <w:rFonts w:ascii="宋体"/>
          <w:b/>
          <w:bCs/>
          <w:color w:val="auto"/>
          <w:szCs w:val="21"/>
          <w:u w:val="none"/>
        </w:rPr>
      </w:pPr>
      <w:r>
        <w:rPr>
          <w:rStyle w:val="191"/>
          <w:rFonts w:hint="eastAsia" w:ascii="宋体" w:hAnsi="宋体"/>
          <w:b/>
          <w:bCs/>
          <w:color w:val="auto"/>
          <w:u w:val="none"/>
        </w:rPr>
        <w:t>广西壮族自治区政府采购合同</w:t>
      </w:r>
    </w:p>
    <w:p>
      <w:pPr>
        <w:snapToGrid w:val="0"/>
        <w:spacing w:line="360" w:lineRule="exact"/>
        <w:jc w:val="center"/>
        <w:rPr>
          <w:rStyle w:val="191"/>
          <w:rFonts w:ascii="宋体"/>
          <w:b/>
          <w:bCs/>
          <w:color w:val="auto"/>
          <w:u w:val="none"/>
        </w:rPr>
      </w:pPr>
      <w:r>
        <w:rPr>
          <w:rStyle w:val="191"/>
          <w:rFonts w:hint="eastAsia" w:ascii="宋体"/>
          <w:b/>
          <w:bCs/>
          <w:color w:val="auto"/>
          <w:u w:val="none"/>
        </w:rPr>
        <w:t xml:space="preserve">  </w:t>
      </w:r>
    </w:p>
    <w:p>
      <w:pPr>
        <w:snapToGrid w:val="0"/>
        <w:spacing w:line="360" w:lineRule="exact"/>
        <w:ind w:right="480" w:firstLine="5985" w:firstLineChars="2850"/>
        <w:rPr>
          <w:rStyle w:val="191"/>
          <w:rFonts w:ascii="宋体"/>
          <w:bCs/>
          <w:color w:val="auto"/>
          <w:u w:val="none"/>
        </w:rPr>
      </w:pPr>
      <w:r>
        <w:rPr>
          <w:rStyle w:val="191"/>
          <w:rFonts w:hint="eastAsia" w:ascii="宋体" w:hAnsi="宋体"/>
          <w:bCs/>
          <w:color w:val="auto"/>
          <w:u w:val="none"/>
        </w:rPr>
        <w:t>合同编号：</w:t>
      </w:r>
    </w:p>
    <w:p>
      <w:pPr>
        <w:snapToGrid w:val="0"/>
        <w:spacing w:line="360" w:lineRule="exact"/>
        <w:rPr>
          <w:rStyle w:val="191"/>
          <w:rFonts w:ascii="宋体"/>
          <w:color w:val="auto"/>
          <w:u w:val="none"/>
        </w:rPr>
      </w:pP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采购单位（甲方）：</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供</w:t>
      </w:r>
      <w:r>
        <w:rPr>
          <w:rStyle w:val="191"/>
          <w:rFonts w:hint="eastAsia" w:ascii="宋体"/>
          <w:color w:val="auto"/>
          <w:u w:val="none"/>
        </w:rPr>
        <w:t xml:space="preserve"> </w:t>
      </w:r>
      <w:r>
        <w:rPr>
          <w:rStyle w:val="191"/>
          <w:rFonts w:hint="eastAsia" w:ascii="宋体" w:hAnsi="宋体"/>
          <w:color w:val="auto"/>
          <w:u w:val="none"/>
        </w:rPr>
        <w:t>应</w:t>
      </w:r>
      <w:r>
        <w:rPr>
          <w:rStyle w:val="191"/>
          <w:rFonts w:hint="eastAsia" w:ascii="宋体"/>
          <w:color w:val="auto"/>
          <w:u w:val="none"/>
        </w:rPr>
        <w:t xml:space="preserve"> </w:t>
      </w:r>
      <w:r>
        <w:rPr>
          <w:rStyle w:val="191"/>
          <w:rFonts w:hint="eastAsia" w:ascii="宋体" w:hAnsi="宋体"/>
          <w:color w:val="auto"/>
          <w:u w:val="none"/>
        </w:rPr>
        <w:t>商（乙方）</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项目名称编号</w:t>
      </w:r>
      <w:r>
        <w:rPr>
          <w:rStyle w:val="191"/>
          <w:rFonts w:hint="eastAsia" w:ascii="宋体"/>
          <w:color w:val="auto"/>
        </w:rPr>
        <w:t xml:space="preserve">                        </w:t>
      </w:r>
      <w:r>
        <w:rPr>
          <w:rStyle w:val="191"/>
          <w:rFonts w:hint="eastAsia" w:ascii="宋体"/>
          <w:color w:val="auto"/>
          <w:u w:val="none"/>
        </w:rPr>
        <w:t xml:space="preserve">    </w:t>
      </w:r>
    </w:p>
    <w:p>
      <w:pPr>
        <w:snapToGrid w:val="0"/>
        <w:spacing w:line="360" w:lineRule="exact"/>
        <w:rPr>
          <w:rStyle w:val="191"/>
          <w:rFonts w:ascii="宋体"/>
          <w:color w:val="auto"/>
          <w:u w:val="none"/>
        </w:rPr>
      </w:pPr>
      <w:r>
        <w:rPr>
          <w:rStyle w:val="191"/>
          <w:rFonts w:hint="eastAsia" w:ascii="宋体" w:hAnsi="宋体"/>
          <w:color w:val="auto"/>
          <w:u w:val="none"/>
        </w:rPr>
        <w:t>签</w:t>
      </w:r>
      <w:r>
        <w:rPr>
          <w:rStyle w:val="191"/>
          <w:rFonts w:hint="eastAsia" w:ascii="宋体"/>
          <w:color w:val="auto"/>
          <w:u w:val="none"/>
        </w:rPr>
        <w:t xml:space="preserve">  </w:t>
      </w:r>
      <w:r>
        <w:rPr>
          <w:rStyle w:val="191"/>
          <w:rFonts w:hint="eastAsia" w:ascii="宋体" w:hAnsi="宋体"/>
          <w:color w:val="auto"/>
          <w:u w:val="none"/>
        </w:rPr>
        <w:t>订</w:t>
      </w:r>
      <w:r>
        <w:rPr>
          <w:rStyle w:val="191"/>
          <w:rFonts w:hint="eastAsia" w:ascii="宋体"/>
          <w:color w:val="auto"/>
          <w:u w:val="none"/>
        </w:rPr>
        <w:t xml:space="preserve">  </w:t>
      </w:r>
      <w:r>
        <w:rPr>
          <w:rStyle w:val="191"/>
          <w:rFonts w:hint="eastAsia" w:ascii="宋体" w:hAnsi="宋体"/>
          <w:color w:val="auto"/>
          <w:u w:val="none"/>
        </w:rPr>
        <w:t>地</w:t>
      </w:r>
      <w:r>
        <w:rPr>
          <w:rStyle w:val="191"/>
          <w:rFonts w:hint="eastAsia" w:ascii="宋体"/>
          <w:color w:val="auto"/>
          <w:u w:val="none"/>
        </w:rPr>
        <w:t xml:space="preserve">  </w:t>
      </w:r>
      <w:r>
        <w:rPr>
          <w:rStyle w:val="191"/>
          <w:rFonts w:hint="eastAsia" w:ascii="宋体" w:hAnsi="宋体"/>
          <w:color w:val="auto"/>
          <w:u w:val="none"/>
        </w:rPr>
        <w:t>点</w:t>
      </w:r>
      <w:r>
        <w:rPr>
          <w:rStyle w:val="191"/>
          <w:rFonts w:hint="eastAsia" w:ascii="宋体"/>
          <w:color w:val="auto"/>
          <w:u w:val="none"/>
        </w:rPr>
        <w:t xml:space="preserve"> </w:t>
      </w:r>
      <w:r>
        <w:rPr>
          <w:rStyle w:val="191"/>
          <w:rFonts w:hint="eastAsia" w:ascii="宋体"/>
          <w:color w:val="auto"/>
        </w:rPr>
        <w:t xml:space="preserve">                    </w:t>
      </w:r>
      <w:r>
        <w:rPr>
          <w:rStyle w:val="191"/>
          <w:rFonts w:hint="eastAsia" w:ascii="宋体"/>
          <w:color w:val="auto"/>
          <w:u w:val="none"/>
        </w:rPr>
        <w:t xml:space="preserve">                  </w:t>
      </w:r>
      <w:r>
        <w:rPr>
          <w:rStyle w:val="191"/>
          <w:rFonts w:hint="eastAsia" w:ascii="宋体" w:hAnsi="宋体"/>
          <w:color w:val="auto"/>
          <w:u w:val="none"/>
        </w:rPr>
        <w:t xml:space="preserve"> 签 订 时 间</w:t>
      </w:r>
      <w:r>
        <w:rPr>
          <w:rStyle w:val="191"/>
          <w:rFonts w:hint="eastAsia" w:ascii="宋体" w:hAnsi="宋体"/>
          <w:color w:val="auto"/>
        </w:rPr>
        <w:t xml:space="preserve"> </w:t>
      </w:r>
      <w:r>
        <w:rPr>
          <w:rStyle w:val="191"/>
          <w:rFonts w:hint="eastAsia" w:ascii="宋体"/>
          <w:color w:val="auto"/>
        </w:rPr>
        <w:t xml:space="preserve">                        </w:t>
      </w:r>
      <w:r>
        <w:rPr>
          <w:rStyle w:val="191"/>
          <w:rFonts w:hint="eastAsia" w:ascii="宋体"/>
          <w:color w:val="auto"/>
          <w:u w:val="none"/>
        </w:rPr>
        <w:t xml:space="preserve">    </w:t>
      </w:r>
    </w:p>
    <w:p>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Style w:val="191"/>
          <w:rFonts w:ascii="宋体" w:hAnsi="Courier New"/>
          <w:color w:val="auto"/>
          <w:u w:val="none"/>
        </w:rPr>
      </w:pPr>
      <w:r>
        <w:rPr>
          <w:rStyle w:val="191"/>
          <w:rFonts w:hint="eastAsia" w:ascii="宋体"/>
          <w:color w:val="auto"/>
          <w:u w:val="none"/>
        </w:rPr>
        <w:t xml:space="preserve"> </w:t>
      </w:r>
      <w:r>
        <w:rPr>
          <w:rStyle w:val="191"/>
          <w:rFonts w:hint="eastAsia" w:ascii="宋体" w:hAnsi="宋体"/>
          <w:color w:val="auto"/>
          <w:u w:val="none"/>
        </w:rPr>
        <w:t>根据《中华人民共和国政府采购法》《</w:t>
      </w:r>
      <w:r>
        <w:rPr>
          <w:rStyle w:val="636"/>
          <w:rFonts w:hAnsi="宋体"/>
          <w:color w:val="auto"/>
          <w:szCs w:val="21"/>
        </w:rPr>
        <w:t>中华人民共和国民法典</w:t>
      </w:r>
      <w:r>
        <w:rPr>
          <w:rStyle w:val="191"/>
          <w:rFonts w:hint="eastAsia" w:ascii="宋体" w:hAnsi="宋体"/>
          <w:color w:val="auto"/>
          <w:u w:val="none"/>
        </w:rPr>
        <w:t>》</w:t>
      </w:r>
      <w:r>
        <w:rPr>
          <w:rStyle w:val="191"/>
          <w:rFonts w:hint="eastAsia" w:hAnsi="宋体"/>
          <w:color w:val="auto"/>
          <w:u w:val="none"/>
        </w:rPr>
        <w:t>《</w:t>
      </w:r>
      <w:r>
        <w:rPr>
          <w:rStyle w:val="191"/>
          <w:rFonts w:hint="eastAsia" w:ascii="宋体" w:hAnsi="宋体"/>
          <w:color w:val="auto"/>
          <w:u w:val="none"/>
        </w:rPr>
        <w:t>中华人民共和国政府采购法</w:t>
      </w:r>
      <w:r>
        <w:rPr>
          <w:rStyle w:val="191"/>
          <w:rFonts w:hint="eastAsia" w:hAnsi="宋体"/>
          <w:color w:val="auto"/>
          <w:u w:val="none"/>
        </w:rPr>
        <w:t>实施条例》</w:t>
      </w:r>
      <w:r>
        <w:rPr>
          <w:rStyle w:val="191"/>
          <w:rFonts w:hint="eastAsia" w:ascii="宋体" w:hAnsi="宋体"/>
          <w:color w:val="auto"/>
          <w:u w:val="none"/>
        </w:rPr>
        <w:t>等法律法规规定，按照招标文件规定条款和中标供应商投标文件及其承诺，甲乙双方签订本合同。</w:t>
      </w:r>
    </w:p>
    <w:p>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Style w:val="191"/>
          <w:rFonts w:ascii="宋体"/>
          <w:b/>
          <w:color w:val="auto"/>
          <w:u w:val="none"/>
        </w:rPr>
      </w:pPr>
      <w:r>
        <w:rPr>
          <w:rStyle w:val="191"/>
          <w:rFonts w:hint="eastAsia" w:ascii="宋体" w:hAnsi="宋体"/>
          <w:b/>
          <w:color w:val="auto"/>
          <w:u w:val="none"/>
        </w:rPr>
        <w:t>第一条 合同标的</w:t>
      </w:r>
    </w:p>
    <w:p>
      <w:pPr>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Style w:val="191"/>
          <w:rFonts w:ascii="宋体"/>
          <w:color w:val="auto"/>
          <w:u w:val="none"/>
        </w:rPr>
      </w:pPr>
      <w:r>
        <w:rPr>
          <w:rStyle w:val="191"/>
          <w:rFonts w:hint="eastAsia" w:ascii="宋体"/>
          <w:color w:val="auto"/>
          <w:u w:val="none"/>
        </w:rPr>
        <w:t>1、供货一览表</w:t>
      </w:r>
    </w:p>
    <w:tbl>
      <w:tblPr>
        <w:tblStyle w:val="55"/>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20"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序号</w:t>
            </w: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产品</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名称</w:t>
            </w: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商标</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品牌</w:t>
            </w: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规格</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型号</w:t>
            </w: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生产</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厂家</w:t>
            </w: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数  量</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单位</w:t>
            </w: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单  价</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rPr>
                <w:rStyle w:val="191"/>
                <w:rFonts w:ascii="宋体"/>
                <w:color w:val="auto"/>
                <w:szCs w:val="21"/>
                <w:u w:val="none"/>
              </w:rPr>
            </w:pPr>
            <w:r>
              <w:rPr>
                <w:rStyle w:val="191"/>
                <w:rFonts w:hint="eastAsia" w:ascii="宋体"/>
                <w:color w:val="auto"/>
                <w:u w:val="none"/>
              </w:rPr>
              <w:t>金  额</w:t>
            </w:r>
          </w:p>
          <w:p>
            <w:pPr>
              <w:snapToGrid w:val="0"/>
              <w:spacing w:line="360" w:lineRule="exact"/>
              <w:jc w:val="center"/>
              <w:textAlignment w:val="baseline"/>
              <w:rPr>
                <w:rStyle w:val="191"/>
                <w:rFonts w:ascii="宋体"/>
                <w:color w:val="auto"/>
                <w:szCs w:val="21"/>
                <w:u w:val="none"/>
              </w:rPr>
            </w:pPr>
            <w:r>
              <w:rPr>
                <w:rStyle w:val="191"/>
                <w:rFonts w:hint="eastAsia" w:ascii="宋体"/>
                <w:color w:val="auto"/>
                <w:u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97" w:hRule="atLeast"/>
          <w:jc w:val="center"/>
        </w:trPr>
        <w:tc>
          <w:tcPr>
            <w:tcW w:w="496"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30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1"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4"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193"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672"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08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c>
          <w:tcPr>
            <w:tcW w:w="1440" w:type="dxa"/>
            <w:tcBorders>
              <w:top w:val="single" w:color="000000" w:sz="4" w:space="0"/>
              <w:left w:val="nil"/>
              <w:bottom w:val="single" w:color="000000" w:sz="4" w:space="0"/>
              <w:right w:val="single" w:color="000000" w:sz="4" w:space="0"/>
            </w:tcBorders>
            <w:vAlign w:val="center"/>
          </w:tcPr>
          <w:p>
            <w:pPr>
              <w:snapToGrid w:val="0"/>
              <w:spacing w:line="360" w:lineRule="exact"/>
              <w:jc w:val="center"/>
              <w:textAlignment w:val="baseline"/>
              <w:rPr>
                <w:rStyle w:val="191"/>
                <w:rFonts w:hint="eastAsia" w:ascii="宋体"/>
                <w:color w:val="auto"/>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9" w:hRule="atLeast"/>
          <w:jc w:val="center"/>
        </w:trPr>
        <w:tc>
          <w:tcPr>
            <w:tcW w:w="9540" w:type="dxa"/>
            <w:gridSpan w:val="9"/>
            <w:tcBorders>
              <w:top w:val="single" w:color="000000" w:sz="4" w:space="0"/>
              <w:left w:val="single" w:color="000000" w:sz="4" w:space="0"/>
              <w:bottom w:val="single" w:color="000000" w:sz="4" w:space="0"/>
              <w:right w:val="single" w:color="000000" w:sz="4" w:space="0"/>
            </w:tcBorders>
            <w:vAlign w:val="center"/>
          </w:tcPr>
          <w:p>
            <w:pPr>
              <w:snapToGrid w:val="0"/>
              <w:spacing w:line="360" w:lineRule="exact"/>
              <w:jc w:val="left"/>
              <w:textAlignment w:val="baseline"/>
              <w:rPr>
                <w:rStyle w:val="191"/>
                <w:rFonts w:ascii="宋体"/>
                <w:color w:val="auto"/>
                <w:u w:val="none"/>
              </w:rPr>
            </w:pPr>
            <w:r>
              <w:rPr>
                <w:rStyle w:val="191"/>
                <w:rFonts w:hint="eastAsia" w:ascii="宋体"/>
                <w:color w:val="auto"/>
                <w:u w:val="none"/>
              </w:rPr>
              <w:t xml:space="preserve">人民币合计金额（大写）                          （小写）  </w:t>
            </w:r>
          </w:p>
        </w:tc>
      </w:tr>
    </w:tbl>
    <w:p>
      <w:pPr>
        <w:keepNext w:val="0"/>
        <w:keepLines w:val="0"/>
        <w:pageBreakBefore w:val="0"/>
        <w:widowControl w:val="0"/>
        <w:kinsoku/>
        <w:wordWrap/>
        <w:overflowPunct/>
        <w:topLinePunct w:val="0"/>
        <w:autoSpaceDE/>
        <w:autoSpaceDN/>
        <w:bidi w:val="0"/>
        <w:adjustRightInd/>
        <w:snapToGrid w:val="0"/>
        <w:spacing w:line="430" w:lineRule="exact"/>
        <w:ind w:right="56" w:firstLine="420" w:firstLineChars="200"/>
        <w:textAlignment w:val="auto"/>
        <w:rPr>
          <w:rFonts w:ascii="宋体"/>
          <w:szCs w:val="21"/>
        </w:rPr>
      </w:pPr>
      <w:r>
        <w:rPr>
          <w:rFonts w:hint="eastAsia" w:ascii="宋体"/>
          <w:szCs w:val="21"/>
        </w:rPr>
        <w:t>2.合同合计金额包括货物价款，标准附件、备品配件、专用工具、包装、运输、装卸、保险、税金、货物到就位以及安装、调试、检验、技术培训及技术资料、软件费、保修等全部费用。如招投标文件对其另有规定的，从其规定。</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第二条　质量保证</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1.乙方所提供的货物型号、技术规格、技术参数等质量必须与招投标文件和承诺相一致。乙方提供的节能和环保产品必须是列入政府采购清单的产品。</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2.乙方所提供的货物必须是全新、未使用的原装产品，且在正常安装、使用和保养条件下，其使用寿命期内各项指标均达到质量要求。</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第三条　权利保证</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乙方应保证所提供货物在使用时不会侵犯任何第三方的专利权、商标权、工业设计权或其他权利。</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乙方应按招标文件规定的时间向甲方提供使用货物的有关技术资料。</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乙方保证所交付的货物的所有权完全属于乙方且无任何抵押、质押、查封等产权瑕疵。</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第四条　包装和运输</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1.乙方提供的货物均应按招投标文件要求的包装材料、包装标准、包装方式进行包装，每一包装单元内应附详细的装箱单和质量合格证。</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2.货物的运输方式：</w:t>
      </w:r>
      <w:r>
        <w:rPr>
          <w:rFonts w:hint="eastAsia" w:ascii="宋体"/>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3.乙方负责货物运输，货物运输合理损耗及计算方法：</w:t>
      </w:r>
      <w:r>
        <w:rPr>
          <w:rFonts w:hint="eastAsia" w:ascii="宋体"/>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第五条　交付和验收</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1.交付使用时间、地点。</w:t>
      </w:r>
    </w:p>
    <w:p>
      <w:pPr>
        <w:keepNext w:val="0"/>
        <w:keepLines w:val="0"/>
        <w:pageBreakBefore w:val="0"/>
        <w:widowControl w:val="0"/>
        <w:kinsoku/>
        <w:wordWrap/>
        <w:overflowPunct/>
        <w:topLinePunct w:val="0"/>
        <w:autoSpaceDE/>
        <w:autoSpaceDN/>
        <w:bidi w:val="0"/>
        <w:adjustRightInd/>
        <w:spacing w:line="430" w:lineRule="exact"/>
        <w:ind w:firstLine="522" w:firstLineChars="249"/>
        <w:textAlignment w:val="auto"/>
        <w:rPr>
          <w:rFonts w:ascii="宋体"/>
          <w:b/>
          <w:szCs w:val="21"/>
        </w:rPr>
      </w:pPr>
      <w:r>
        <w:rPr>
          <w:rFonts w:hint="eastAsia" w:ascii="宋体"/>
          <w:b/>
          <w:szCs w:val="21"/>
        </w:rPr>
        <w:t>交付使用时间：按乙方投标文件中所承诺的时间；交付使用地点：采购人指定地点。</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2.乙方提供不符合招投标文件和本合同规定的货物，甲方有权拒绝接受。</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3.乙方应将所提供货物的装箱清单、用户手册、原厂保修卡、随机资料、工具和备品、备件等交付给甲方，如有缺失应及时补齐，否则视为逾期交货。</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4.甲方应当在到货（安装、调试完）后十个工作日内进行验收。验收合格后由甲乙双方签署货物验收单并加盖采购单位公章，甲乙双方各执一份。</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 xml:space="preserve">5.甲方对验收有异议的，在验收后五个工作日内以书面形式向乙方提出，乙方应自收到甲方书面异议后 </w:t>
      </w:r>
      <w:r>
        <w:rPr>
          <w:rFonts w:hint="eastAsia" w:ascii="宋体"/>
          <w:szCs w:val="21"/>
          <w:u w:val="single"/>
        </w:rPr>
        <w:t xml:space="preserve">五 </w:t>
      </w:r>
      <w:r>
        <w:rPr>
          <w:rFonts w:hint="eastAsia" w:ascii="宋体"/>
          <w:szCs w:val="21"/>
        </w:rPr>
        <w:t>日内及时予以解决。</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第六条　安装和培训</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1.甲方应提供必要安装条件（如场地、电源、水源等）。</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2.乙方负责甲方有关人员的培训。培训时间、地点：</w:t>
      </w:r>
      <w:r>
        <w:rPr>
          <w:rFonts w:hint="eastAsia"/>
          <w:b/>
          <w:szCs w:val="21"/>
          <w:u w:val="single"/>
        </w:rPr>
        <w:t>按交付使用时间、地点培训</w:t>
      </w:r>
      <w:r>
        <w:rPr>
          <w:rFonts w:hint="eastAsia" w:ascii="宋体"/>
          <w:szCs w:val="21"/>
        </w:rPr>
        <w:t>。</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第七条  售后服务、保修期</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1.乙方应按照国家有关法律法规和“三包”规定以及招投标文件和本合同所附的《服务承诺》，为甲方提供售后服务。</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2.货物保修期：</w:t>
      </w:r>
      <w:r>
        <w:rPr>
          <w:rFonts w:hint="eastAsia"/>
          <w:b/>
          <w:szCs w:val="21"/>
          <w:u w:val="single"/>
        </w:rPr>
        <w:t>分项有要求的按分项要求，分项无要求的按国家标准实行</w:t>
      </w:r>
      <w:r>
        <w:rPr>
          <w:b/>
          <w:szCs w:val="21"/>
          <w:u w:val="single"/>
        </w:rPr>
        <w:t>“</w:t>
      </w:r>
      <w:r>
        <w:rPr>
          <w:rFonts w:hint="eastAsia"/>
          <w:b/>
          <w:szCs w:val="21"/>
          <w:u w:val="single"/>
        </w:rPr>
        <w:t>三包</w:t>
      </w:r>
      <w:r>
        <w:rPr>
          <w:b/>
          <w:szCs w:val="21"/>
          <w:u w:val="single"/>
        </w:rPr>
        <w:t>”</w:t>
      </w:r>
      <w:r>
        <w:rPr>
          <w:rFonts w:hint="eastAsia" w:ascii="宋体"/>
          <w:szCs w:val="21"/>
        </w:rPr>
        <w:t>。</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3.乙方提供的服务承诺和售后服务及保修期责任等其他具体约定事项。（见合同附件）</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第八条　付款方式和保证金</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bCs/>
        </w:rPr>
        <w:t>1.</w:t>
      </w:r>
      <w:r>
        <w:rPr>
          <w:rFonts w:hint="eastAsia"/>
        </w:rPr>
        <w:t>当采购数量与实际使用数量不一致时，乙方应根据实际使用量供货，合同的最终结算金额按实际使用量乘以成交单价进行计算。</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2.资金性质：</w:t>
      </w:r>
      <w:r>
        <w:rPr>
          <w:rFonts w:hint="eastAsia" w:ascii="宋体"/>
          <w:b/>
          <w:szCs w:val="21"/>
          <w:u w:val="single"/>
        </w:rPr>
        <w:t>财政性资金</w:t>
      </w:r>
      <w:r>
        <w:rPr>
          <w:rFonts w:hint="eastAsia" w:ascii="宋体"/>
          <w:b/>
          <w:szCs w:val="21"/>
        </w:rPr>
        <w:t>。</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b/>
          <w:szCs w:val="21"/>
        </w:rPr>
      </w:pPr>
      <w:r>
        <w:rPr>
          <w:rFonts w:hint="eastAsia" w:ascii="宋体" w:hAnsi="Courier New" w:cs="Courier New"/>
          <w:b/>
          <w:szCs w:val="21"/>
        </w:rPr>
        <w:t>3.付款方式：</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default" w:ascii="宋体" w:hAnsi="Courier New"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1：</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分期付款，分</w:t>
      </w:r>
      <w:r>
        <w:rPr>
          <w:rFonts w:hint="eastAsia" w:ascii="宋体" w:hAnsi="宋体" w:cs="宋体"/>
          <w:color w:val="auto"/>
          <w:sz w:val="21"/>
          <w:szCs w:val="21"/>
          <w:lang w:val="en-US" w:eastAsia="zh-CN"/>
        </w:rPr>
        <w:t>两</w:t>
      </w:r>
      <w:r>
        <w:rPr>
          <w:rFonts w:hint="eastAsia" w:ascii="宋体" w:hAnsi="宋体" w:cs="宋体"/>
          <w:color w:val="auto"/>
          <w:sz w:val="21"/>
          <w:szCs w:val="21"/>
        </w:rPr>
        <w:t>期支付。</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1.第一期：预付款为合同金额的</w:t>
      </w:r>
      <w:r>
        <w:rPr>
          <w:rFonts w:hint="eastAsia" w:ascii="宋体" w:hAnsi="宋体" w:cs="宋体"/>
          <w:color w:val="auto"/>
          <w:sz w:val="21"/>
          <w:szCs w:val="21"/>
          <w:lang w:val="en-US" w:eastAsia="zh-CN"/>
        </w:rPr>
        <w:t>5</w:t>
      </w:r>
      <w:r>
        <w:rPr>
          <w:rFonts w:hint="eastAsia" w:ascii="宋体" w:hAnsi="宋体" w:cs="宋体"/>
          <w:color w:val="auto"/>
          <w:sz w:val="21"/>
          <w:szCs w:val="21"/>
        </w:rPr>
        <w:t>0%；签订合同后，采购人收到中标供应商开具合法有效的合同款</w:t>
      </w:r>
      <w:r>
        <w:rPr>
          <w:rFonts w:hint="eastAsia" w:ascii="宋体" w:hAnsi="宋体" w:cs="宋体"/>
          <w:color w:val="auto"/>
          <w:sz w:val="21"/>
          <w:szCs w:val="21"/>
          <w:lang w:val="en-US" w:eastAsia="zh-CN"/>
        </w:rPr>
        <w:t>5</w:t>
      </w:r>
      <w:r>
        <w:rPr>
          <w:rFonts w:hint="eastAsia" w:ascii="宋体" w:hAnsi="宋体" w:cs="宋体"/>
          <w:color w:val="auto"/>
          <w:sz w:val="21"/>
          <w:szCs w:val="21"/>
        </w:rPr>
        <w:t>0%等额发票后，10个工作日内，向中标供应商支付预付款；</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宋体" w:cs="宋体"/>
          <w:color w:val="auto"/>
          <w:sz w:val="21"/>
          <w:szCs w:val="21"/>
        </w:rPr>
      </w:pPr>
      <w:r>
        <w:rPr>
          <w:rFonts w:hint="eastAsia" w:ascii="宋体" w:hAnsi="宋体" w:cs="宋体"/>
          <w:color w:val="auto"/>
          <w:sz w:val="21"/>
          <w:szCs w:val="21"/>
        </w:rPr>
        <w:t>2.第二期：所有货物交货安装调试完毕并验收合格，双方签署验收报告后，采购人收到中标供应商开具合法有效的合同款</w:t>
      </w:r>
      <w:r>
        <w:rPr>
          <w:rFonts w:hint="eastAsia" w:ascii="宋体" w:hAnsi="宋体" w:cs="宋体"/>
          <w:color w:val="auto"/>
          <w:sz w:val="21"/>
          <w:szCs w:val="21"/>
          <w:lang w:val="en-US" w:eastAsia="zh-CN"/>
        </w:rPr>
        <w:t>50</w:t>
      </w:r>
      <w:r>
        <w:rPr>
          <w:rFonts w:hint="eastAsia" w:ascii="宋体" w:hAnsi="宋体" w:cs="宋体"/>
          <w:color w:val="auto"/>
          <w:sz w:val="21"/>
          <w:szCs w:val="21"/>
        </w:rPr>
        <w:t>%等额发票后，10个工作日内，支付至合同款的</w:t>
      </w:r>
      <w:r>
        <w:rPr>
          <w:rFonts w:hint="eastAsia" w:ascii="宋体" w:hAnsi="宋体" w:cs="宋体"/>
          <w:color w:val="auto"/>
          <w:sz w:val="21"/>
          <w:szCs w:val="21"/>
          <w:lang w:val="en-US" w:eastAsia="zh-CN"/>
        </w:rPr>
        <w:t>100</w:t>
      </w:r>
      <w:r>
        <w:rPr>
          <w:rFonts w:hint="eastAsia" w:ascii="宋体" w:hAnsi="宋体" w:cs="宋体"/>
          <w:color w:val="auto"/>
          <w:sz w:val="21"/>
          <w:szCs w:val="21"/>
        </w:rPr>
        <w:t>%。</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宋体" w:cs="宋体"/>
          <w:color w:val="auto"/>
          <w:sz w:val="21"/>
          <w:szCs w:val="21"/>
          <w:highlight w:val="yellow"/>
        </w:rPr>
      </w:pPr>
      <w:r>
        <w:rPr>
          <w:rFonts w:hint="eastAsia" w:ascii="宋体" w:hAnsi="宋体" w:cs="宋体"/>
          <w:color w:val="auto"/>
          <w:sz w:val="21"/>
          <w:szCs w:val="21"/>
          <w:lang w:val="en-US" w:eastAsia="zh-CN"/>
        </w:rPr>
        <w:t>3</w:t>
      </w:r>
      <w:r>
        <w:rPr>
          <w:rFonts w:hint="eastAsia" w:ascii="宋体" w:hAnsi="宋体" w:cs="宋体"/>
          <w:color w:val="auto"/>
          <w:sz w:val="21"/>
          <w:szCs w:val="21"/>
        </w:rPr>
        <w:t>.中标供应商未开具合法有效的等额发票的，采购人有权不支付合同款。</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default" w:ascii="宋体" w:hAnsi="Courier New" w:eastAsia="宋体"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2：</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分期付款，分</w:t>
      </w:r>
      <w:r>
        <w:rPr>
          <w:rFonts w:hint="eastAsia" w:ascii="宋体" w:hAnsi="Courier New" w:cs="Courier New"/>
          <w:sz w:val="21"/>
          <w:szCs w:val="21"/>
          <w:lang w:val="en-US" w:eastAsia="zh-CN"/>
        </w:rPr>
        <w:t>两</w:t>
      </w:r>
      <w:r>
        <w:rPr>
          <w:rFonts w:hint="eastAsia" w:ascii="宋体" w:hAnsi="Courier New" w:cs="Courier New"/>
          <w:sz w:val="21"/>
          <w:szCs w:val="21"/>
        </w:rPr>
        <w:t>期支付。</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1.第一期：预付款为合同金额的30%；签订合同后，采购人收到中标供应商开具合法有效的合同款30%等额发票后，10个工作日内，向中标供应商支付预付款；</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2.第二期：所有货物交货安装调试完毕并验收合格，双方签署验收报告后，采购人收到中标供应商开具合法有效的合同款</w:t>
      </w:r>
      <w:r>
        <w:rPr>
          <w:rFonts w:hint="eastAsia" w:ascii="宋体" w:hAnsi="Courier New" w:cs="Courier New"/>
          <w:sz w:val="21"/>
          <w:szCs w:val="21"/>
          <w:lang w:val="en-US" w:eastAsia="zh-CN"/>
        </w:rPr>
        <w:t>70</w:t>
      </w:r>
      <w:r>
        <w:rPr>
          <w:rFonts w:hint="eastAsia" w:ascii="宋体" w:hAnsi="Courier New" w:cs="Courier New"/>
          <w:sz w:val="21"/>
          <w:szCs w:val="21"/>
        </w:rPr>
        <w:t>%等额发票后，10个工作日内，支付至合同款的</w:t>
      </w:r>
      <w:r>
        <w:rPr>
          <w:rFonts w:hint="eastAsia" w:ascii="宋体" w:hAnsi="Courier New" w:cs="Courier New"/>
          <w:sz w:val="21"/>
          <w:szCs w:val="21"/>
          <w:lang w:val="en-US" w:eastAsia="zh-CN"/>
        </w:rPr>
        <w:t>100</w:t>
      </w:r>
      <w:r>
        <w:rPr>
          <w:rFonts w:hint="eastAsia" w:ascii="宋体" w:hAnsi="Courier New" w:cs="Courier New"/>
          <w:sz w:val="21"/>
          <w:szCs w:val="21"/>
        </w:rPr>
        <w:t>%。</w:t>
      </w:r>
    </w:p>
    <w:p>
      <w:pPr>
        <w:keepNext w:val="0"/>
        <w:keepLines w:val="0"/>
        <w:pageBreakBefore w:val="0"/>
        <w:widowControl w:val="0"/>
        <w:kinsoku/>
        <w:wordWrap/>
        <w:overflowPunct/>
        <w:topLinePunct w:val="0"/>
        <w:autoSpaceDE/>
        <w:autoSpaceDN/>
        <w:bidi w:val="0"/>
        <w:adjustRightInd/>
        <w:snapToGrid w:val="0"/>
        <w:spacing w:line="430" w:lineRule="exact"/>
        <w:ind w:left="0" w:leftChars="0" w:firstLine="420" w:firstLineChars="200"/>
        <w:jc w:val="left"/>
        <w:textAlignment w:val="auto"/>
        <w:rPr>
          <w:rFonts w:hint="eastAsia" w:ascii="宋体" w:hAnsi="Times New Roman"/>
          <w:sz w:val="21"/>
          <w:szCs w:val="21"/>
        </w:rPr>
      </w:pPr>
      <w:r>
        <w:rPr>
          <w:rFonts w:hint="eastAsia" w:ascii="宋体" w:hAnsi="Courier New" w:cs="Courier New"/>
          <w:sz w:val="21"/>
          <w:szCs w:val="21"/>
          <w:lang w:val="en-US" w:eastAsia="zh-CN"/>
        </w:rPr>
        <w:t>3</w:t>
      </w:r>
      <w:r>
        <w:rPr>
          <w:rFonts w:hint="eastAsia" w:ascii="宋体" w:hAnsi="Courier New" w:cs="Courier New"/>
          <w:sz w:val="21"/>
          <w:szCs w:val="21"/>
        </w:rPr>
        <w:t>.中标供应商未开具合法有效的等额发票的，采购人有权不支付合同款。</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default" w:ascii="宋体" w:hAnsi="Courier New" w:eastAsia="宋体" w:cs="Courier New"/>
          <w:b/>
          <w:szCs w:val="21"/>
          <w:lang w:val="en-US" w:eastAsia="zh-CN"/>
        </w:rPr>
      </w:pPr>
      <w:r>
        <w:rPr>
          <w:rFonts w:hint="eastAsia" w:ascii="宋体" w:hAnsi="Courier New" w:cs="Courier New"/>
          <w:b/>
          <w:szCs w:val="21"/>
          <w:lang w:eastAsia="zh-CN"/>
        </w:rPr>
        <w:t>分标</w:t>
      </w:r>
      <w:r>
        <w:rPr>
          <w:rFonts w:hint="eastAsia" w:ascii="宋体" w:hAnsi="Courier New" w:cs="Courier New"/>
          <w:b/>
          <w:szCs w:val="21"/>
          <w:lang w:val="en-US" w:eastAsia="zh-CN"/>
        </w:rPr>
        <w:t>3：</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分期付款，分</w:t>
      </w:r>
      <w:r>
        <w:rPr>
          <w:rFonts w:hint="eastAsia" w:ascii="宋体" w:hAnsi="Courier New" w:cs="Courier New"/>
          <w:sz w:val="21"/>
          <w:szCs w:val="21"/>
          <w:lang w:val="en-US" w:eastAsia="zh-CN"/>
        </w:rPr>
        <w:t>两</w:t>
      </w:r>
      <w:r>
        <w:rPr>
          <w:rFonts w:hint="eastAsia" w:ascii="宋体" w:hAnsi="Courier New" w:cs="Courier New"/>
          <w:sz w:val="21"/>
          <w:szCs w:val="21"/>
        </w:rPr>
        <w:t>期支付。</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1.第一期：预付款为合同金额的30%；签订合同后，采购人收到中标供应商开具合法有效的合同款30%等额发票后，10个工作日内，向中标供应商支付预付款；</w:t>
      </w:r>
    </w:p>
    <w:p>
      <w:pPr>
        <w:keepNext w:val="0"/>
        <w:keepLines w:val="0"/>
        <w:pageBreakBefore w:val="0"/>
        <w:widowControl w:val="0"/>
        <w:kinsoku/>
        <w:wordWrap/>
        <w:overflowPunct/>
        <w:topLinePunct w:val="0"/>
        <w:autoSpaceDE/>
        <w:autoSpaceDN/>
        <w:bidi w:val="0"/>
        <w:adjustRightInd/>
        <w:spacing w:line="430" w:lineRule="exact"/>
        <w:ind w:firstLine="420" w:firstLineChars="200"/>
        <w:textAlignment w:val="auto"/>
        <w:rPr>
          <w:rFonts w:hint="eastAsia" w:ascii="宋体" w:hAnsi="Courier New" w:cs="Courier New"/>
          <w:sz w:val="21"/>
          <w:szCs w:val="21"/>
        </w:rPr>
      </w:pPr>
      <w:r>
        <w:rPr>
          <w:rFonts w:hint="eastAsia" w:ascii="宋体" w:hAnsi="Courier New" w:cs="Courier New"/>
          <w:sz w:val="21"/>
          <w:szCs w:val="21"/>
        </w:rPr>
        <w:t>2.第二期：所有货物交货安装调试完毕并验收合格，双方签署验收报告后，采购人收到中标供应商开具合法有效的合同款</w:t>
      </w:r>
      <w:r>
        <w:rPr>
          <w:rFonts w:hint="eastAsia" w:ascii="宋体" w:hAnsi="Courier New" w:cs="Courier New"/>
          <w:sz w:val="21"/>
          <w:szCs w:val="21"/>
          <w:lang w:val="en-US" w:eastAsia="zh-CN"/>
        </w:rPr>
        <w:t>70</w:t>
      </w:r>
      <w:r>
        <w:rPr>
          <w:rFonts w:hint="eastAsia" w:ascii="宋体" w:hAnsi="Courier New" w:cs="Courier New"/>
          <w:sz w:val="21"/>
          <w:szCs w:val="21"/>
        </w:rPr>
        <w:t>%等额发票后，10个工作日内，支付至合同款的</w:t>
      </w:r>
      <w:r>
        <w:rPr>
          <w:rFonts w:hint="eastAsia" w:ascii="宋体" w:hAnsi="Courier New" w:cs="Courier New"/>
          <w:sz w:val="21"/>
          <w:szCs w:val="21"/>
          <w:lang w:val="en-US" w:eastAsia="zh-CN"/>
        </w:rPr>
        <w:t>100</w:t>
      </w:r>
      <w:r>
        <w:rPr>
          <w:rFonts w:hint="eastAsia" w:ascii="宋体" w:hAnsi="Courier New" w:cs="Courier New"/>
          <w:sz w:val="21"/>
          <w:szCs w:val="21"/>
        </w:rPr>
        <w:t>%。</w:t>
      </w:r>
    </w:p>
    <w:p>
      <w:pPr>
        <w:keepNext w:val="0"/>
        <w:keepLines w:val="0"/>
        <w:pageBreakBefore w:val="0"/>
        <w:widowControl w:val="0"/>
        <w:kinsoku/>
        <w:wordWrap/>
        <w:overflowPunct/>
        <w:topLinePunct w:val="0"/>
        <w:autoSpaceDE/>
        <w:autoSpaceDN/>
        <w:bidi w:val="0"/>
        <w:adjustRightInd/>
        <w:snapToGrid w:val="0"/>
        <w:spacing w:line="430" w:lineRule="exact"/>
        <w:ind w:left="0" w:leftChars="0" w:firstLine="420" w:firstLineChars="200"/>
        <w:jc w:val="left"/>
        <w:textAlignment w:val="auto"/>
        <w:rPr>
          <w:rFonts w:hint="eastAsia" w:ascii="宋体" w:hAnsi="Times New Roman"/>
          <w:sz w:val="21"/>
          <w:szCs w:val="21"/>
        </w:rPr>
      </w:pPr>
      <w:r>
        <w:rPr>
          <w:rFonts w:hint="eastAsia" w:ascii="宋体" w:hAnsi="Courier New" w:cs="Courier New"/>
          <w:sz w:val="21"/>
          <w:szCs w:val="21"/>
          <w:lang w:val="en-US" w:eastAsia="zh-CN"/>
        </w:rPr>
        <w:t>3</w:t>
      </w:r>
      <w:r>
        <w:rPr>
          <w:rFonts w:hint="eastAsia" w:ascii="宋体" w:hAnsi="Courier New" w:cs="Courier New"/>
          <w:sz w:val="21"/>
          <w:szCs w:val="21"/>
        </w:rPr>
        <w:t>.中标供应商未开具合法有效的等额发票的，采购人有权不支付合同款。</w:t>
      </w:r>
    </w:p>
    <w:p>
      <w:pPr>
        <w:keepNext w:val="0"/>
        <w:keepLines w:val="0"/>
        <w:pageBreakBefore w:val="0"/>
        <w:widowControl w:val="0"/>
        <w:kinsoku/>
        <w:wordWrap/>
        <w:overflowPunct/>
        <w:topLinePunct w:val="0"/>
        <w:autoSpaceDE/>
        <w:autoSpaceDN/>
        <w:bidi w:val="0"/>
        <w:adjustRightInd/>
        <w:snapToGrid w:val="0"/>
        <w:spacing w:line="430" w:lineRule="exact"/>
        <w:ind w:left="-60" w:leftChars="-29" w:firstLine="514" w:firstLineChars="245"/>
        <w:jc w:val="left"/>
        <w:textAlignment w:val="auto"/>
        <w:rPr>
          <w:rFonts w:ascii="宋体"/>
          <w:b/>
          <w:szCs w:val="21"/>
        </w:rPr>
      </w:pPr>
      <w:r>
        <w:rPr>
          <w:rFonts w:hint="eastAsia" w:ascii="宋体"/>
          <w:b/>
          <w:szCs w:val="21"/>
        </w:rPr>
        <w:t>第九条　履约保证金：履约保证金金额：按中标金额的5%（如中标供应商为中小微企业，按中标金额的2%）</w:t>
      </w:r>
      <w:r>
        <w:rPr>
          <w:rFonts w:hint="eastAsia" w:ascii="宋体"/>
          <w:b/>
          <w:szCs w:val="21"/>
          <w:lang w:eastAsia="zh-CN"/>
        </w:rPr>
        <w:t>，</w:t>
      </w:r>
      <w:r>
        <w:rPr>
          <w:rFonts w:hint="eastAsia" w:ascii="宋体"/>
          <w:b/>
          <w:szCs w:val="21"/>
          <w:lang w:val="en-US" w:eastAsia="zh-CN"/>
        </w:rPr>
        <w:t>如中标</w:t>
      </w:r>
      <w:r>
        <w:rPr>
          <w:rFonts w:hint="eastAsia" w:ascii="宋体"/>
          <w:b/>
          <w:szCs w:val="21"/>
        </w:rPr>
        <w:t>供应商以保函形式提交的履约保证金</w:t>
      </w:r>
      <w:r>
        <w:rPr>
          <w:rFonts w:hint="eastAsia" w:ascii="宋体"/>
          <w:b/>
          <w:szCs w:val="21"/>
          <w:lang w:eastAsia="zh-CN"/>
        </w:rPr>
        <w:t>，</w:t>
      </w:r>
      <w:r>
        <w:rPr>
          <w:rFonts w:hint="eastAsia" w:ascii="宋体"/>
          <w:b/>
          <w:szCs w:val="21"/>
        </w:rPr>
        <w:t>采购人不得拒收</w:t>
      </w:r>
      <w:r>
        <w:rPr>
          <w:rFonts w:hint="eastAsia" w:ascii="宋体"/>
          <w:b/>
          <w:szCs w:val="21"/>
          <w:lang w:eastAsia="zh-CN"/>
        </w:rPr>
        <w:t>。</w:t>
      </w:r>
    </w:p>
    <w:p>
      <w:pPr>
        <w:keepNext w:val="0"/>
        <w:keepLines w:val="0"/>
        <w:pageBreakBefore w:val="0"/>
        <w:widowControl w:val="0"/>
        <w:kinsoku/>
        <w:wordWrap/>
        <w:overflowPunct/>
        <w:topLinePunct w:val="0"/>
        <w:autoSpaceDE/>
        <w:autoSpaceDN/>
        <w:bidi w:val="0"/>
        <w:adjustRightInd/>
        <w:snapToGrid w:val="0"/>
        <w:spacing w:line="430" w:lineRule="exact"/>
        <w:ind w:left="-60" w:leftChars="-29" w:firstLine="514" w:firstLineChars="245"/>
        <w:jc w:val="left"/>
        <w:textAlignment w:val="auto"/>
        <w:rPr>
          <w:rFonts w:ascii="宋体" w:hAnsi="宋体"/>
          <w:szCs w:val="21"/>
          <w:u w:val="single"/>
        </w:rPr>
      </w:pPr>
      <w:r>
        <w:rPr>
          <w:rFonts w:hint="eastAsia" w:ascii="宋体"/>
          <w:b/>
          <w:szCs w:val="21"/>
        </w:rPr>
        <w:t>备注：在签订合同之前，中标供应商需把履约保证金足额交到采购人指定账户。未提交履约保证金的，不予签订本合同。履约保证金自项目验收合格后，待中标供应商履行完质保义务且无违约情况下，由中标供应商提出书面申请后，在5个工作日内采购人无息退还。</w:t>
      </w:r>
      <w:r>
        <w:rPr>
          <w:rFonts w:hint="eastAsia" w:ascii="宋体" w:hAnsi="宋体" w:cs="宋体"/>
          <w:b/>
          <w:bCs/>
          <w:color w:val="000000" w:themeColor="text1"/>
          <w:sz w:val="21"/>
          <w:szCs w:val="21"/>
          <w14:textFill>
            <w14:solidFill>
              <w14:schemeClr w14:val="tx1"/>
            </w14:solidFill>
          </w14:textFill>
        </w:rPr>
        <w:t>中标供应商在履行合同过程中，未能按照合同约定履行质量保证义务的（不可抗力除外），若因此给采购人造成损失的，应向采购人进行等额赔偿。</w:t>
      </w:r>
      <w:r>
        <w:rPr>
          <w:rFonts w:hint="eastAsia" w:ascii="宋体"/>
          <w:b/>
          <w:szCs w:val="21"/>
        </w:rPr>
        <w:t>采购人有权从履约保证金中先行扣除按本合同约定中标供应商应付款项，不足部分由中标供应商另行支付，采购人直接从履约保证金中扣除按本合同约定中标供应商应付款项的，中标供应商应于接到采购人补足履约保证金通知之日起3个工作日内补足。</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hAnsi="Courier New" w:cs="Courier New"/>
          <w:szCs w:val="21"/>
        </w:rPr>
      </w:pPr>
      <w:r>
        <w:rPr>
          <w:rFonts w:hint="eastAsia" w:ascii="宋体" w:hAnsi="Courier New" w:cs="Courier New"/>
          <w:b/>
          <w:szCs w:val="21"/>
        </w:rPr>
        <w:t>第十条 税费</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hAnsi="Courier New" w:cs="Courier New"/>
          <w:szCs w:val="21"/>
        </w:rPr>
      </w:pPr>
      <w:r>
        <w:rPr>
          <w:rFonts w:hint="eastAsia" w:ascii="宋体" w:hAnsi="Courier New" w:cs="Courier New"/>
          <w:szCs w:val="21"/>
        </w:rPr>
        <w:t>本合同执行中相关的一切税费均由乙方负担。</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第十一条  质量保证及售后服务</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 乙方应按招标文件规定的货物性能、技术要求、质量标准向甲方提供未经使用的全新产品。</w:t>
      </w:r>
      <w:r>
        <w:rPr>
          <w:rFonts w:hint="eastAsia" w:ascii="宋体"/>
        </w:rPr>
        <w:t>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r>
        <w:rPr>
          <w:rFonts w:hint="eastAsia" w:ascii="宋体"/>
          <w:szCs w:val="21"/>
        </w:rPr>
        <w:t>：</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315" w:firstLineChars="150"/>
        <w:textAlignment w:val="auto"/>
      </w:pPr>
      <w:r>
        <w:rPr>
          <w:rFonts w:hint="eastAsia"/>
        </w:rPr>
        <w:t xml:space="preserve"> ⑴更换：由乙方承担所发生的全部费用。</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textAlignment w:val="auto"/>
      </w:pPr>
      <w:r>
        <w:rPr>
          <w:rFonts w:hint="eastAsia"/>
        </w:rPr>
        <w:t>⑵贬值处理：由甲乙双方合议定价。</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rPr>
        <w:t>⑶退货处理：乙方应退还甲方支付的合同款，同时应承担该货物的直接费用（运输、保险、检验、货款利息及银行手续费等）。</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2. 如在使用过程中发生质量问题，乙方在接到甲方通知后在</w:t>
      </w:r>
      <w:r>
        <w:rPr>
          <w:rFonts w:hint="eastAsia"/>
          <w:u w:val="single"/>
        </w:rPr>
        <w:t xml:space="preserve">    </w:t>
      </w:r>
      <w:r>
        <w:rPr>
          <w:rFonts w:hint="eastAsia"/>
        </w:rPr>
        <w:t>小时内到达甲方现场。</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3. 在质保期内，乙方应对货物出现的质量及安全问题负责处理解决并承担一切费用。</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4.上述的货物免费保修期为</w:t>
      </w:r>
      <w:r>
        <w:rPr>
          <w:rFonts w:hint="eastAsia"/>
          <w:u w:val="single"/>
        </w:rPr>
        <w:t xml:space="preserve">     </w:t>
      </w:r>
      <w:r>
        <w:rPr>
          <w:rFonts w:hint="eastAsia"/>
        </w:rPr>
        <w:t>年，因人为因素出现的故障不在免费保修范围内。超过保修期的机器设备，终生维修，维修时只收部件成本费。</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11" w:firstLineChars="196"/>
        <w:textAlignment w:val="auto"/>
        <w:rPr>
          <w:b/>
        </w:rPr>
      </w:pPr>
      <w:r>
        <w:rPr>
          <w:rFonts w:hint="eastAsia"/>
          <w:b/>
        </w:rPr>
        <w:t>第十二条  调试和验收</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1. 甲方对乙方提交的货物依据招标文件上的技术规格要求和国家有关质量标准进行现场初步验收，外观、说明书符合招标文件技术要求的，给予签收，初步验收不合格的不予签收。货到后，</w:t>
      </w:r>
      <w:r>
        <w:rPr>
          <w:rFonts w:hint="eastAsia"/>
          <w:bCs/>
        </w:rPr>
        <w:t>甲方应当在到货（安装、调试完）后十个工作日内进行初步验收</w:t>
      </w:r>
      <w:r>
        <w:rPr>
          <w:rFonts w:hint="eastAsia"/>
        </w:rPr>
        <w:t>。</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2. 乙方交货前应对产品作出全面检查和对验收文件进行整理，并列出清单，作为甲方收货验收和使用的技术条件依据，检验的结果应随货物交甲方。</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3. 甲方对乙方提供的货物在使用前进行调试时，乙方需负责安装并培训甲方的使用操作人员，并协助甲方一起调试，直到符合技术要求，甲方才做最终验收。</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hAnsi="宋体"/>
        </w:rPr>
        <w:t>4. 对技术复杂的货物，甲方应请国家认可的专业检测机构参与初步验收及最终验收，并由其出具质量检测报告，检测相关费用由</w:t>
      </w:r>
      <w:r>
        <w:rPr>
          <w:rFonts w:hint="eastAsia" w:hAnsi="宋体"/>
          <w:u w:val="single"/>
        </w:rPr>
        <w:t xml:space="preserve">   </w:t>
      </w:r>
      <w:r>
        <w:rPr>
          <w:rFonts w:hint="eastAsia" w:hAnsi="宋体"/>
        </w:rPr>
        <w:t>方承担。</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lang w:val="en-US" w:eastAsia="zh"/>
        </w:rPr>
        <w:t>5</w:t>
      </w:r>
      <w:r>
        <w:rPr>
          <w:rFonts w:hint="eastAsia"/>
        </w:rPr>
        <w:t>. 验收时乙方必须在现场，验收完毕后作出验收结果报告；验收费用由乙方负责。</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11" w:firstLineChars="196"/>
        <w:textAlignment w:val="auto"/>
        <w:rPr>
          <w:b/>
        </w:rPr>
      </w:pPr>
      <w:r>
        <w:rPr>
          <w:rFonts w:hint="eastAsia"/>
          <w:b/>
        </w:rPr>
        <w:t>第十三条 货物包装、发运及运输</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rPr>
        <w:t>1. 乙方应在货物发运前对其进行满足运输距离、防潮、防震、防锈和防破损装卸等要求包装，以保证货物安全运达甲方指定地点。</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rPr>
        <w:t>2. 使用说明书、质量检验证明书、随配附件和工具以及清单一并附于货物内。</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rPr>
        <w:t>3. 乙方在货物发运手续办理完毕后二十四小时内或货到甲方四十八小时前通知甲方，以准备接货。</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textAlignment w:val="auto"/>
      </w:pPr>
      <w:r>
        <w:rPr>
          <w:rFonts w:hint="eastAsia"/>
        </w:rPr>
        <w:t>4. 货物在交付甲方前发生的风险均由乙方负责。</w:t>
      </w:r>
    </w:p>
    <w:p>
      <w:pPr>
        <w:pStyle w:val="29"/>
        <w:keepNext w:val="0"/>
        <w:keepLines w:val="0"/>
        <w:pageBreakBefore w:val="0"/>
        <w:widowControl w:val="0"/>
        <w:kinsoku/>
        <w:wordWrap/>
        <w:overflowPunct/>
        <w:topLinePunct w:val="0"/>
        <w:autoSpaceDE/>
        <w:autoSpaceDN/>
        <w:bidi w:val="0"/>
        <w:adjustRightInd/>
        <w:snapToGrid w:val="0"/>
        <w:spacing w:line="430" w:lineRule="exact"/>
        <w:ind w:left="420" w:leftChars="200" w:right="26"/>
        <w:textAlignment w:val="auto"/>
        <w:rPr>
          <w:spacing w:val="-8"/>
        </w:rPr>
      </w:pPr>
      <w:r>
        <w:rPr>
          <w:rFonts w:hint="eastAsia"/>
        </w:rPr>
        <w:t>5. 货</w:t>
      </w:r>
      <w:r>
        <w:rPr>
          <w:rFonts w:hint="eastAsia"/>
          <w:spacing w:val="-8"/>
        </w:rPr>
        <w:t>物在规定的交付期限内由乙方送达甲方指定的地点视为交付，乙方同时需通知甲方货物已送达。</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第十四条　违约责任</w:t>
      </w:r>
    </w:p>
    <w:p>
      <w:pPr>
        <w:keepNext w:val="0"/>
        <w:keepLines w:val="0"/>
        <w:pageBreakBefore w:val="0"/>
        <w:widowControl w:val="0"/>
        <w:kinsoku/>
        <w:wordWrap/>
        <w:overflowPunct/>
        <w:topLinePunct w:val="0"/>
        <w:autoSpaceDE/>
        <w:autoSpaceDN/>
        <w:bidi w:val="0"/>
        <w:adjustRightInd/>
        <w:snapToGrid w:val="0"/>
        <w:spacing w:line="430" w:lineRule="exact"/>
        <w:ind w:firstLine="525" w:firstLineChars="250"/>
        <w:textAlignment w:val="auto"/>
        <w:rPr>
          <w:rFonts w:ascii="宋体"/>
          <w:szCs w:val="21"/>
        </w:rPr>
      </w:pPr>
      <w:r>
        <w:rPr>
          <w:rFonts w:hint="eastAsia" w:ascii="宋体"/>
          <w:szCs w:val="21"/>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keepNext w:val="0"/>
        <w:keepLines w:val="0"/>
        <w:pageBreakBefore w:val="0"/>
        <w:widowControl w:val="0"/>
        <w:kinsoku/>
        <w:wordWrap/>
        <w:overflowPunct/>
        <w:topLinePunct w:val="0"/>
        <w:autoSpaceDE/>
        <w:autoSpaceDN/>
        <w:bidi w:val="0"/>
        <w:adjustRightInd/>
        <w:snapToGrid w:val="0"/>
        <w:spacing w:line="430" w:lineRule="exact"/>
        <w:ind w:firstLine="472" w:firstLineChars="225"/>
        <w:textAlignment w:val="auto"/>
        <w:rPr>
          <w:rFonts w:ascii="宋体"/>
          <w:szCs w:val="21"/>
        </w:rPr>
      </w:pPr>
      <w:r>
        <w:rPr>
          <w:rFonts w:hint="eastAsia" w:ascii="宋体"/>
          <w:szCs w:val="21"/>
        </w:rPr>
        <w:t>2．乙方提供的货物如侵犯了第三方合法权益而引发的任何纠纷或诉讼，均由乙方负责交涉并承担全部责任。</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3．因包装、运输引起的货物损坏，按质量不合格处罚。</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4．乙方未能在交货期内交货，逾期不超过60日（含本数）的，以每逾期1日向甲方偿付未交付货物总价万分之五的标准计算违约金，但违约金累计不得超过违约货款额5%；超过60天对方有权解除合同，违约方承担因此给对方造成经济损失；甲方无正当理由拒收货物，经乙方书面催告后20个工作日内仍拒收货物的，每逾期1日，甲方向乙方偿付拒收货物价格的万分之五的违约金，违约金合计不超过合同总价5％。</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5．乙方未按本合同和投标文件中规定的服务承诺提供售后服务的，乙方应按本合同合计金额</w:t>
      </w:r>
      <w:r>
        <w:rPr>
          <w:rFonts w:hint="eastAsia" w:ascii="宋体"/>
          <w:szCs w:val="21"/>
          <w:u w:val="single"/>
        </w:rPr>
        <w:t xml:space="preserve"> 5%</w:t>
      </w:r>
      <w:r>
        <w:rPr>
          <w:rFonts w:hint="eastAsia" w:ascii="宋体"/>
          <w:szCs w:val="21"/>
        </w:rPr>
        <w:t>向甲方支付违约金。</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6．乙方提供的货物在质量保证期内，因设计、工艺或材料的缺陷和其他质量原因造成的问题，由乙方负责。</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7．其它违约行为按违约货款额5%收取违约金并赔偿经济损失。</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11" w:firstLineChars="196"/>
        <w:textAlignment w:val="auto"/>
        <w:rPr>
          <w:b/>
        </w:rPr>
      </w:pPr>
      <w:r>
        <w:rPr>
          <w:rFonts w:hint="eastAsia"/>
          <w:b/>
        </w:rPr>
        <w:t>第十五条  不可抗力事件处理</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rPr>
        <w:t>1. 在合同</w:t>
      </w:r>
      <w:r>
        <w:rPr>
          <w:rFonts w:hint="eastAsia" w:ascii="宋体"/>
          <w:szCs w:val="21"/>
        </w:rPr>
        <w:t>有效期内，任何一方因不可抗力事件导致不能履行合同，则合同履行期可延长，其延长期与不可抗力影响期相同。</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ascii="宋体"/>
          <w:szCs w:val="21"/>
        </w:rPr>
        <w:t>2. 不可抗</w:t>
      </w:r>
      <w:r>
        <w:rPr>
          <w:rFonts w:hint="eastAsia"/>
        </w:rPr>
        <w:t>力事件发生后，应立即通知对方，并寄送有关权威机构出具的证明。</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pPr>
      <w:r>
        <w:rPr>
          <w:rFonts w:hint="eastAsia"/>
        </w:rPr>
        <w:t>3. 不可抗力事件延续一百二十天以上，双方应通过友好协商，确定是否继续履行合同。</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第十六条  合同争议解决</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1．因货物质量问题发生争议的，应邀请国家认可的质量检测机构对货物质量进行鉴定。货物符合标准的，鉴定费由甲方承担；货物不符合标准的，鉴定费由乙方承担。</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2．因履行本合同引起的或与本合同有关的争议，甲乙双方应首先通过友好协商解决，如果协商不能解决，可以向仲裁机构申请仲裁也可以向人民法院起诉的，仲裁协议无效。但一方向仲裁机构申请仲裁，另一方未在仲裁法第二十条第二款规定期间内提出异议的除外。</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3．诉讼期间，本合同继续履行。</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11" w:firstLineChars="196"/>
        <w:textAlignment w:val="auto"/>
        <w:rPr>
          <w:b/>
        </w:rPr>
      </w:pPr>
      <w:r>
        <w:rPr>
          <w:rFonts w:hint="eastAsia"/>
          <w:b/>
        </w:rPr>
        <w:t>第十七条  诉讼</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pPr>
      <w:r>
        <w:rPr>
          <w:rFonts w:hint="eastAsia"/>
        </w:rPr>
        <w:t xml:space="preserve">    双方在执行合</w:t>
      </w:r>
      <w:r>
        <w:rPr>
          <w:rFonts w:hint="eastAsia" w:hAnsi="Times New Roman" w:cs="Times New Roman"/>
        </w:rPr>
        <w:t>同中所发生的一切争议，应通过协商解决。如果协商不能解决，可以向仲裁机构申请仲裁也可以向人民法院起诉的，仲裁协议无效。但一方向仲裁机构申请仲裁，另一方未在仲裁法第二十条第二款规定期间内</w:t>
      </w:r>
      <w:r>
        <w:rPr>
          <w:rFonts w:hint="eastAsia"/>
        </w:rPr>
        <w:t>提出异议的除外。</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rPr>
          <w:b/>
        </w:rPr>
      </w:pPr>
      <w:r>
        <w:rPr>
          <w:rFonts w:hint="eastAsia"/>
          <w:b/>
        </w:rPr>
        <w:t xml:space="preserve">    第十八条  合同生效及其他</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pPr>
      <w:r>
        <w:rPr>
          <w:rFonts w:hint="eastAsia"/>
          <w:b/>
        </w:rPr>
        <w:t xml:space="preserve">   </w:t>
      </w:r>
      <w:r>
        <w:rPr>
          <w:rFonts w:hint="eastAsia"/>
        </w:rPr>
        <w:t xml:space="preserve"> 1．合同经双方法定代表人或授权代表签字并加盖单位公章后生效。</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pPr>
      <w:r>
        <w:rPr>
          <w:rFonts w:hint="eastAsia"/>
        </w:rPr>
        <w:t xml:space="preserve">    2．合同执行中涉及采购资金和采购内容修改或补充的，须经财政部门审批，并签订书面补充协议报财政部门备案，方可作为主合同不可分割的一部分。</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pPr>
      <w:r>
        <w:rPr>
          <w:rFonts w:hint="eastAsia"/>
        </w:rPr>
        <w:t xml:space="preserve">    3．本合同未尽事宜，遵照《中华人民共和国民法典》有关条文执行。</w:t>
      </w:r>
    </w:p>
    <w:p>
      <w:pPr>
        <w:pStyle w:val="29"/>
        <w:keepNext w:val="0"/>
        <w:keepLines w:val="0"/>
        <w:pageBreakBefore w:val="0"/>
        <w:widowControl w:val="0"/>
        <w:kinsoku/>
        <w:wordWrap/>
        <w:overflowPunct/>
        <w:topLinePunct w:val="0"/>
        <w:autoSpaceDE/>
        <w:autoSpaceDN/>
        <w:bidi w:val="0"/>
        <w:adjustRightInd/>
        <w:snapToGrid w:val="0"/>
        <w:spacing w:line="430" w:lineRule="exact"/>
        <w:textAlignment w:val="auto"/>
        <w:rPr>
          <w:b/>
        </w:rPr>
      </w:pPr>
      <w:r>
        <w:rPr>
          <w:rFonts w:hint="eastAsia" w:hAnsi="宋体"/>
        </w:rPr>
        <w:t xml:space="preserve">    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第十九条　合同的变更、终止与转让</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1．除《中华人民共和国政府采购法》第五十条规定的情形外，本合同一经签订，甲乙双方不得变更、中止或终止。</w:t>
      </w:r>
    </w:p>
    <w:p>
      <w:pPr>
        <w:pStyle w:val="29"/>
        <w:keepNext w:val="0"/>
        <w:keepLines w:val="0"/>
        <w:pageBreakBefore w:val="0"/>
        <w:widowControl w:val="0"/>
        <w:kinsoku/>
        <w:wordWrap/>
        <w:overflowPunct/>
        <w:topLinePunct w:val="0"/>
        <w:autoSpaceDE/>
        <w:autoSpaceDN/>
        <w:bidi w:val="0"/>
        <w:adjustRightInd/>
        <w:snapToGrid w:val="0"/>
        <w:spacing w:line="430" w:lineRule="exact"/>
        <w:ind w:firstLine="411" w:firstLineChars="196"/>
        <w:textAlignment w:val="auto"/>
        <w:rPr>
          <w:b/>
        </w:rPr>
      </w:pPr>
      <w:r>
        <w:rPr>
          <w:rFonts w:hint="eastAsia"/>
        </w:rPr>
        <w:t>2．乙方不得转让（无进口资格的供应商委托进口货物除外）其应履行的合同义务。</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b/>
          <w:szCs w:val="21"/>
        </w:rPr>
      </w:pPr>
      <w:r>
        <w:rPr>
          <w:rFonts w:hint="eastAsia" w:ascii="宋体"/>
          <w:b/>
          <w:szCs w:val="21"/>
        </w:rPr>
        <w:t>第二十条　签订本合同依据</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1．政府采购招标文件；</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2．乙方提供的投标文件；</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szCs w:val="21"/>
        </w:rPr>
        <w:t>3．投标承诺书；</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u w:val="single"/>
        </w:rPr>
      </w:pPr>
      <w:r>
        <w:rPr>
          <w:rFonts w:hint="eastAsia" w:ascii="宋体"/>
          <w:szCs w:val="21"/>
        </w:rPr>
        <w:t>4．中标通知书。</w:t>
      </w:r>
    </w:p>
    <w:p>
      <w:pPr>
        <w:keepNext w:val="0"/>
        <w:keepLines w:val="0"/>
        <w:pageBreakBefore w:val="0"/>
        <w:widowControl w:val="0"/>
        <w:kinsoku/>
        <w:wordWrap/>
        <w:overflowPunct/>
        <w:topLinePunct w:val="0"/>
        <w:autoSpaceDE/>
        <w:autoSpaceDN/>
        <w:bidi w:val="0"/>
        <w:adjustRightInd/>
        <w:snapToGrid w:val="0"/>
        <w:spacing w:line="430" w:lineRule="exact"/>
        <w:ind w:firstLine="420" w:firstLineChars="200"/>
        <w:textAlignment w:val="auto"/>
        <w:rPr>
          <w:rFonts w:ascii="宋体"/>
          <w:szCs w:val="21"/>
        </w:rPr>
      </w:pPr>
      <w:r>
        <w:rPr>
          <w:rFonts w:hint="eastAsia" w:ascii="宋体"/>
          <w:b/>
          <w:szCs w:val="21"/>
        </w:rPr>
        <w:t>第二十一条　</w:t>
      </w:r>
      <w:r>
        <w:rPr>
          <w:rFonts w:hint="eastAsia" w:ascii="宋体"/>
          <w:szCs w:val="21"/>
        </w:rPr>
        <w:t>本合同一式六份，具有同等法律效力。广西壮族自治区财政厅政府采购监督管理处、代理机构各一份，甲方三份，乙方一份。自签订之日起两个工作日内，采购人应当将合同通过广西政府采购云平台上传完成合同网上公示。</w:t>
      </w:r>
    </w:p>
    <w:tbl>
      <w:tblPr>
        <w:tblStyle w:val="5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甲方（章）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945" w:firstLineChars="450"/>
              <w:jc w:val="right"/>
              <w:rPr>
                <w:rFonts w:ascii="宋体"/>
                <w:szCs w:val="21"/>
              </w:rPr>
            </w:pPr>
            <w:r>
              <w:rPr>
                <w:rFonts w:hint="eastAsia" w:ascii="宋体"/>
                <w:szCs w:val="21"/>
              </w:rPr>
              <w:t>年   月   日</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 xml:space="preserve">乙方（章）             </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jc w:val="right"/>
              <w:rPr>
                <w:rFonts w:ascii="宋体"/>
                <w:szCs w:val="21"/>
              </w:rPr>
            </w:pPr>
            <w:r>
              <w:rPr>
                <w:rFonts w:hint="eastAsia" w:ascii="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451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c>
          <w:tcPr>
            <w:tcW w:w="4772"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ascii="宋体"/>
                <w:szCs w:val="21"/>
              </w:rPr>
            </w:pPr>
            <w:r>
              <w:rPr>
                <w:rFonts w:hint="eastAsia" w:asci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8"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ascii="宋体"/>
                <w:szCs w:val="21"/>
              </w:rPr>
            </w:pPr>
            <w:r>
              <w:rPr>
                <w:rFonts w:hint="eastAsia" w:ascii="宋体"/>
                <w:szCs w:val="21"/>
              </w:rPr>
              <w:t>经办人：</w:t>
            </w:r>
          </w:p>
          <w:p>
            <w:pPr>
              <w:snapToGrid w:val="0"/>
              <w:spacing w:line="360" w:lineRule="exact"/>
              <w:rPr>
                <w:rFonts w:ascii="宋体"/>
                <w:szCs w:val="21"/>
              </w:rPr>
            </w:pPr>
          </w:p>
          <w:p>
            <w:pPr>
              <w:snapToGrid w:val="0"/>
              <w:spacing w:line="360" w:lineRule="exact"/>
              <w:rPr>
                <w:rFonts w:ascii="宋体"/>
                <w:szCs w:val="21"/>
              </w:rPr>
            </w:pPr>
          </w:p>
          <w:p>
            <w:pPr>
              <w:snapToGrid w:val="0"/>
              <w:spacing w:line="360" w:lineRule="exact"/>
              <w:ind w:firstLine="630" w:firstLineChars="300"/>
              <w:jc w:val="right"/>
              <w:rPr>
                <w:rFonts w:ascii="宋体"/>
                <w:szCs w:val="21"/>
              </w:rPr>
            </w:pPr>
            <w:r>
              <w:rPr>
                <w:rFonts w:hint="eastAsia" w:ascii="宋体"/>
                <w:szCs w:val="21"/>
              </w:rPr>
              <w:t>年    月    日</w:t>
            </w:r>
          </w:p>
        </w:tc>
      </w:tr>
    </w:tbl>
    <w:p>
      <w:pPr>
        <w:snapToGrid w:val="0"/>
        <w:spacing w:line="360" w:lineRule="exact"/>
        <w:jc w:val="center"/>
        <w:rPr>
          <w:rFonts w:ascii="宋体"/>
          <w:b/>
          <w:sz w:val="28"/>
          <w:szCs w:val="28"/>
        </w:rPr>
      </w:pPr>
    </w:p>
    <w:p>
      <w:pPr>
        <w:snapToGrid w:val="0"/>
        <w:spacing w:line="360" w:lineRule="exact"/>
        <w:jc w:val="center"/>
        <w:rPr>
          <w:rFonts w:ascii="宋体"/>
          <w:b/>
          <w:sz w:val="28"/>
          <w:szCs w:val="28"/>
        </w:rPr>
      </w:pPr>
    </w:p>
    <w:p>
      <w:pPr>
        <w:snapToGrid w:val="0"/>
        <w:spacing w:line="360" w:lineRule="exact"/>
        <w:jc w:val="center"/>
        <w:rPr>
          <w:rFonts w:hint="eastAsia" w:ascii="宋体"/>
          <w:b/>
          <w:sz w:val="28"/>
          <w:szCs w:val="28"/>
        </w:rPr>
      </w:pPr>
    </w:p>
    <w:p>
      <w:pPr>
        <w:snapToGrid w:val="0"/>
        <w:spacing w:line="360" w:lineRule="exact"/>
        <w:jc w:val="center"/>
        <w:rPr>
          <w:rFonts w:ascii="宋体"/>
          <w:b/>
          <w:sz w:val="28"/>
          <w:szCs w:val="28"/>
        </w:rPr>
      </w:pPr>
      <w:r>
        <w:rPr>
          <w:rFonts w:hint="eastAsia" w:ascii="宋体"/>
          <w:b/>
          <w:sz w:val="28"/>
          <w:szCs w:val="28"/>
        </w:rPr>
        <w:t>合 同 附 件</w:t>
      </w:r>
    </w:p>
    <w:p>
      <w:pPr>
        <w:snapToGrid w:val="0"/>
        <w:spacing w:line="360" w:lineRule="exact"/>
        <w:jc w:val="center"/>
        <w:rPr>
          <w:rFonts w:ascii="宋体"/>
          <w:b/>
          <w:szCs w:val="21"/>
        </w:rPr>
      </w:pPr>
    </w:p>
    <w:tbl>
      <w:tblPr>
        <w:tblStyle w:val="55"/>
        <w:tblW w:w="0" w:type="auto"/>
        <w:tblInd w:w="0" w:type="dxa"/>
        <w:tblLayout w:type="fixed"/>
        <w:tblCellMar>
          <w:top w:w="0" w:type="dxa"/>
          <w:left w:w="108" w:type="dxa"/>
          <w:bottom w:w="0" w:type="dxa"/>
          <w:right w:w="108" w:type="dxa"/>
        </w:tblCellMar>
      </w:tblPr>
      <w:tblGrid>
        <w:gridCol w:w="4788"/>
        <w:gridCol w:w="4680"/>
      </w:tblGrid>
      <w:tr>
        <w:tblPrEx>
          <w:tblCellMar>
            <w:top w:w="0" w:type="dxa"/>
            <w:left w:w="108" w:type="dxa"/>
            <w:bottom w:w="0" w:type="dxa"/>
            <w:right w:w="108" w:type="dxa"/>
          </w:tblCellMar>
        </w:tblPrEx>
        <w:trPr>
          <w:trHeight w:val="2260"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1、供应商承诺具体事项：</w:t>
            </w:r>
          </w:p>
        </w:tc>
      </w:tr>
      <w:tr>
        <w:tblPrEx>
          <w:tblCellMar>
            <w:top w:w="0" w:type="dxa"/>
            <w:left w:w="108" w:type="dxa"/>
            <w:bottom w:w="0" w:type="dxa"/>
            <w:right w:w="108" w:type="dxa"/>
          </w:tblCellMar>
        </w:tblPrEx>
        <w:trPr>
          <w:trHeight w:val="2145"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2、售后服务具体事项：</w:t>
            </w:r>
          </w:p>
        </w:tc>
      </w:tr>
      <w:tr>
        <w:tblPrEx>
          <w:tblCellMar>
            <w:top w:w="0" w:type="dxa"/>
            <w:left w:w="108" w:type="dxa"/>
            <w:bottom w:w="0" w:type="dxa"/>
            <w:right w:w="108" w:type="dxa"/>
          </w:tblCellMar>
        </w:tblPrEx>
        <w:trPr>
          <w:trHeight w:val="2267"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3、保修期责任：</w:t>
            </w:r>
          </w:p>
        </w:tc>
      </w:tr>
      <w:tr>
        <w:tblPrEx>
          <w:tblCellMar>
            <w:top w:w="0" w:type="dxa"/>
            <w:left w:w="108" w:type="dxa"/>
            <w:bottom w:w="0" w:type="dxa"/>
            <w:right w:w="108" w:type="dxa"/>
          </w:tblCellMar>
        </w:tblPrEx>
        <w:trPr>
          <w:trHeight w:val="2062" w:hRule="atLeast"/>
        </w:trPr>
        <w:tc>
          <w:tcPr>
            <w:tcW w:w="9468" w:type="dxa"/>
            <w:gridSpan w:val="2"/>
            <w:tcBorders>
              <w:top w:val="single" w:color="auto" w:sz="4" w:space="0"/>
              <w:left w:val="single" w:color="auto" w:sz="4" w:space="0"/>
              <w:bottom w:val="nil"/>
              <w:right w:val="single" w:color="auto" w:sz="4" w:space="0"/>
            </w:tcBorders>
          </w:tcPr>
          <w:p>
            <w:pPr>
              <w:snapToGrid w:val="0"/>
              <w:spacing w:line="360" w:lineRule="exact"/>
              <w:rPr>
                <w:rFonts w:ascii="宋体"/>
                <w:b/>
                <w:szCs w:val="21"/>
              </w:rPr>
            </w:pPr>
            <w:r>
              <w:rPr>
                <w:rFonts w:hint="eastAsia" w:ascii="宋体"/>
                <w:b/>
                <w:szCs w:val="21"/>
              </w:rPr>
              <w:t>4、其他具体事项：</w:t>
            </w:r>
          </w:p>
        </w:tc>
      </w:tr>
      <w:tr>
        <w:tblPrEx>
          <w:tblCellMar>
            <w:top w:w="0" w:type="dxa"/>
            <w:left w:w="108" w:type="dxa"/>
            <w:bottom w:w="0" w:type="dxa"/>
            <w:right w:w="108" w:type="dxa"/>
          </w:tblCellMar>
        </w:tblPrEx>
        <w:trPr>
          <w:trHeight w:val="3267" w:hRule="atLeast"/>
        </w:trPr>
        <w:tc>
          <w:tcPr>
            <w:tcW w:w="47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甲方（章）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b/>
                <w:szCs w:val="21"/>
              </w:rPr>
            </w:pPr>
            <w:r>
              <w:rPr>
                <w:rFonts w:hint="eastAsia" w:ascii="宋体"/>
                <w:b/>
                <w:szCs w:val="21"/>
              </w:rPr>
              <w:t>乙方（章）</w:t>
            </w: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p>
          <w:p>
            <w:pPr>
              <w:snapToGrid w:val="0"/>
              <w:spacing w:line="360" w:lineRule="exact"/>
              <w:ind w:firstLine="420" w:firstLineChars="200"/>
              <w:rPr>
                <w:rFonts w:ascii="宋体"/>
                <w:b/>
                <w:szCs w:val="21"/>
              </w:rPr>
            </w:pPr>
            <w:r>
              <w:rPr>
                <w:rFonts w:hint="eastAsia" w:ascii="宋体"/>
                <w:b/>
                <w:szCs w:val="21"/>
              </w:rPr>
              <w:t xml:space="preserve">                       年   月   日</w:t>
            </w:r>
          </w:p>
        </w:tc>
      </w:tr>
    </w:tbl>
    <w:p>
      <w:pPr>
        <w:pageBreakBefore/>
        <w:spacing w:line="300" w:lineRule="atLeast"/>
        <w:ind w:firstLine="680"/>
        <w:jc w:val="center"/>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29"/>
        <w:snapToGrid w:val="0"/>
        <w:spacing w:before="120" w:after="120"/>
        <w:jc w:val="center"/>
        <w:outlineLvl w:val="0"/>
        <w:rPr>
          <w:rFonts w:ascii="黑体" w:hAnsi="宋体" w:eastAsia="黑体"/>
          <w:b/>
          <w:sz w:val="44"/>
          <w:szCs w:val="44"/>
        </w:rPr>
      </w:pPr>
    </w:p>
    <w:p>
      <w:pPr>
        <w:pStyle w:val="6"/>
      </w:pPr>
    </w:p>
    <w:p>
      <w:pPr>
        <w:pStyle w:val="29"/>
        <w:snapToGrid w:val="0"/>
        <w:spacing w:before="120" w:after="120"/>
        <w:jc w:val="center"/>
        <w:outlineLvl w:val="0"/>
        <w:rPr>
          <w:rFonts w:ascii="黑体" w:hAnsi="宋体" w:eastAsia="黑体"/>
          <w:b/>
          <w:sz w:val="44"/>
          <w:szCs w:val="44"/>
        </w:rPr>
      </w:pPr>
    </w:p>
    <w:p>
      <w:pPr>
        <w:pStyle w:val="3"/>
        <w:jc w:val="center"/>
      </w:pPr>
      <w:bookmarkStart w:id="58" w:name="_Toc68166508"/>
      <w:r>
        <w:rPr>
          <w:rFonts w:hint="eastAsia"/>
        </w:rPr>
        <w:t>第六章　投标文件格式</w:t>
      </w:r>
      <w:bookmarkEnd w:id="58"/>
    </w:p>
    <w:p>
      <w:pPr>
        <w:snapToGrid w:val="0"/>
        <w:spacing w:before="50" w:after="50"/>
        <w:outlineLvl w:val="1"/>
        <w:rPr>
          <w:rFonts w:ascii="仿宋_GB2312" w:hAnsi="宋体" w:eastAsia="仿宋_GB2312"/>
          <w:sz w:val="32"/>
          <w:szCs w:val="20"/>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bCs/>
          <w:szCs w:val="21"/>
        </w:rPr>
      </w:pPr>
    </w:p>
    <w:p>
      <w:pPr>
        <w:snapToGrid w:val="0"/>
        <w:spacing w:before="156" w:beforeLines="50" w:after="50" w:line="360" w:lineRule="exact"/>
        <w:jc w:val="center"/>
        <w:outlineLvl w:val="1"/>
        <w:rPr>
          <w:rFonts w:ascii="宋体" w:hAnsi="宋体"/>
          <w:b/>
          <w:sz w:val="32"/>
          <w:szCs w:val="32"/>
        </w:rPr>
      </w:pPr>
    </w:p>
    <w:p>
      <w:pPr>
        <w:pageBreakBefore/>
        <w:jc w:val="center"/>
        <w:rPr>
          <w:b/>
          <w:sz w:val="28"/>
          <w:szCs w:val="28"/>
        </w:rPr>
      </w:pPr>
      <w:r>
        <w:rPr>
          <w:rFonts w:hint="eastAsia"/>
          <w:b/>
          <w:sz w:val="28"/>
          <w:szCs w:val="28"/>
        </w:rPr>
        <w:t>投标文件格式</w:t>
      </w:r>
    </w:p>
    <w:p>
      <w:pPr>
        <w:jc w:val="center"/>
        <w:rPr>
          <w:b/>
        </w:rPr>
      </w:pPr>
      <w:r>
        <w:rPr>
          <w:rFonts w:hint="eastAsia"/>
          <w:b/>
        </w:rPr>
        <w:t>一、投标文件封面格式</w:t>
      </w:r>
    </w:p>
    <w:p>
      <w:pPr>
        <w:snapToGrid w:val="0"/>
        <w:spacing w:before="156" w:beforeLines="50" w:after="50" w:line="360" w:lineRule="exact"/>
        <w:rPr>
          <w:rFonts w:ascii="宋体" w:hAnsi="宋体"/>
          <w:bCs/>
          <w:sz w:val="24"/>
        </w:rPr>
      </w:pPr>
      <w:r>
        <w:rPr>
          <w:rFonts w:hint="eastAsia" w:ascii="宋体" w:hAnsi="宋体"/>
          <w:sz w:val="24"/>
        </w:rPr>
        <w:t xml:space="preserve">                                                    </w:t>
      </w:r>
    </w:p>
    <w:p>
      <w:pPr>
        <w:snapToGrid w:val="0"/>
        <w:spacing w:before="156" w:beforeLines="50" w:after="50" w:line="360" w:lineRule="exact"/>
        <w:jc w:val="center"/>
        <w:rPr>
          <w:rFonts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ascii="宋体" w:hAnsi="宋体"/>
          <w:bCs/>
          <w:sz w:val="24"/>
        </w:rPr>
      </w:pP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ascii="宋体" w:hAnsi="宋体"/>
          <w:bCs/>
          <w:szCs w:val="21"/>
        </w:rPr>
      </w:pPr>
      <w:r>
        <w:rPr>
          <w:rFonts w:hint="eastAsia" w:ascii="宋体" w:hAnsi="宋体"/>
          <w:bCs/>
          <w:szCs w:val="21"/>
        </w:rPr>
        <w:t>投标人地址：</w:t>
      </w:r>
    </w:p>
    <w:p>
      <w:pPr>
        <w:ind w:right="1556" w:rightChars="741"/>
        <w:jc w:val="right"/>
      </w:pPr>
      <w:r>
        <w:rPr>
          <w:rFonts w:hint="eastAsia"/>
        </w:rPr>
        <w:t>年  月  日</w:t>
      </w:r>
    </w:p>
    <w:p>
      <w:pPr>
        <w:snapToGrid w:val="0"/>
        <w:spacing w:before="156" w:beforeLines="50" w:after="50" w:line="400" w:lineRule="exact"/>
        <w:jc w:val="center"/>
        <w:outlineLvl w:val="1"/>
        <w:rPr>
          <w:rFonts w:ascii="宋体" w:hAnsi="宋体"/>
          <w:b/>
          <w:bCs/>
          <w:szCs w:val="21"/>
        </w:rPr>
      </w:pPr>
    </w:p>
    <w:p>
      <w:pPr>
        <w:spacing w:line="400" w:lineRule="exact"/>
        <w:ind w:firstLine="420" w:firstLineChars="200"/>
        <w:rPr>
          <w:b/>
        </w:rPr>
      </w:pPr>
      <w:r>
        <w:rPr>
          <w:rFonts w:hint="eastAsia"/>
          <w:b/>
        </w:rPr>
        <w:t>注：投标文件由资格文件、商务文件及资信、技术文件、投标报价文件四部份组成。</w:t>
      </w: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snapToGrid w:val="0"/>
        <w:spacing w:before="156" w:beforeLines="50" w:after="50" w:line="360" w:lineRule="exact"/>
        <w:jc w:val="center"/>
        <w:outlineLvl w:val="0"/>
        <w:rPr>
          <w:rFonts w:ascii="宋体" w:hAnsi="宋体"/>
          <w:bCs/>
          <w:sz w:val="24"/>
        </w:rPr>
      </w:pPr>
    </w:p>
    <w:p>
      <w:pPr>
        <w:pageBreakBefore/>
        <w:jc w:val="center"/>
        <w:rPr>
          <w:b/>
          <w:sz w:val="28"/>
          <w:szCs w:val="28"/>
        </w:rPr>
      </w:pPr>
      <w:r>
        <w:rPr>
          <w:rFonts w:hint="eastAsia"/>
          <w:b/>
          <w:sz w:val="28"/>
          <w:szCs w:val="28"/>
        </w:rPr>
        <w:t>二、投标文件目录</w:t>
      </w:r>
    </w:p>
    <w:p>
      <w:pPr>
        <w:snapToGrid w:val="0"/>
        <w:spacing w:before="156" w:beforeLines="50" w:after="50" w:line="360" w:lineRule="exact"/>
        <w:jc w:val="center"/>
        <w:outlineLvl w:val="0"/>
        <w:rPr>
          <w:rFonts w:ascii="黑体" w:hAnsi="宋体" w:eastAsia="黑体"/>
          <w:bCs/>
          <w:sz w:val="32"/>
          <w:szCs w:val="32"/>
        </w:rPr>
      </w:pP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1.资格文件：</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adjustRightInd w:val="0"/>
        <w:snapToGrid w:val="0"/>
        <w:spacing w:line="440" w:lineRule="exact"/>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adjustRightInd w:val="0"/>
        <w:snapToGrid w:val="0"/>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adjustRightInd w:val="0"/>
        <w:snapToGrid w:val="0"/>
        <w:spacing w:line="44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4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4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adjustRightInd w:val="0"/>
        <w:snapToGrid w:val="0"/>
        <w:spacing w:line="44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2.</w:t>
      </w:r>
      <w:r>
        <w:rPr>
          <w:rFonts w:hint="eastAsia" w:ascii="宋体" w:hAnsi="宋体"/>
          <w:b/>
          <w:color w:val="auto"/>
          <w:szCs w:val="21"/>
          <w:highlight w:val="none"/>
          <w:shd w:val="clear" w:color="auto" w:fill="auto"/>
        </w:rPr>
        <w:t>商务文件及资信</w:t>
      </w:r>
      <w:r>
        <w:rPr>
          <w:rFonts w:hint="eastAsia" w:ascii="宋体" w:hAnsi="宋体"/>
          <w:b/>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投标保证金的相关证明扫描件或其他电子文件</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（2）</w:t>
      </w:r>
      <w:r>
        <w:rPr>
          <w:rFonts w:hint="eastAsia" w:ascii="宋体" w:hAnsi="宋体"/>
          <w:szCs w:val="21"/>
        </w:rPr>
        <w:t>投标声明书 （格式见第六章）</w:t>
      </w:r>
      <w:r>
        <w:rPr>
          <w:rFonts w:hint="eastAsia" w:ascii="宋体" w:hAnsi="宋体"/>
          <w:b/>
          <w:szCs w:val="21"/>
        </w:rPr>
        <w:t>（必须提供）</w:t>
      </w:r>
      <w:r>
        <w:rPr>
          <w:rFonts w:hint="eastAsia" w:ascii="宋体" w:hAnsi="宋体"/>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b/>
          <w:szCs w:val="21"/>
        </w:rPr>
        <w:t>（3）</w:t>
      </w:r>
      <w:r>
        <w:rPr>
          <w:rFonts w:hint="eastAsia" w:ascii="宋体" w:hAnsi="宋体"/>
          <w:szCs w:val="21"/>
        </w:rPr>
        <w:t>法定代表人授权委托书和委托代理人身份证扫描件（格式见第六章）</w:t>
      </w:r>
      <w:r>
        <w:rPr>
          <w:rFonts w:hint="eastAsia" w:ascii="宋体" w:hAnsi="宋体"/>
          <w:b/>
          <w:szCs w:val="21"/>
        </w:rPr>
        <w:t>（必须提供）</w:t>
      </w:r>
      <w:r>
        <w:rPr>
          <w:rFonts w:hint="eastAsia" w:ascii="宋体" w:hAnsi="宋体"/>
          <w:szCs w:val="21"/>
        </w:rPr>
        <w:t>；当法定代表人参加投标时，</w:t>
      </w:r>
      <w:r>
        <w:rPr>
          <w:rFonts w:hint="eastAsia" w:ascii="宋体" w:hAnsi="宋体" w:cs="宋体"/>
          <w:kern w:val="0"/>
          <w:szCs w:val="21"/>
        </w:rPr>
        <w:t>仅需提供法定代表人的身份证扫描件</w:t>
      </w:r>
      <w:r>
        <w:rPr>
          <w:rFonts w:hint="eastAsia" w:ascii="宋体" w:hAnsi="宋体"/>
          <w:szCs w:val="21"/>
        </w:rPr>
        <w:t>；</w:t>
      </w:r>
    </w:p>
    <w:p>
      <w:pPr>
        <w:adjustRightInd w:val="0"/>
        <w:snapToGrid w:val="0"/>
        <w:spacing w:line="440" w:lineRule="exact"/>
        <w:ind w:firstLine="411" w:firstLineChars="196"/>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adjustRightInd w:val="0"/>
        <w:snapToGrid w:val="0"/>
        <w:spacing w:line="440" w:lineRule="exact"/>
        <w:rPr>
          <w:rFonts w:ascii="宋体" w:hAnsi="宋体"/>
          <w:szCs w:val="21"/>
        </w:rPr>
      </w:pPr>
      <w:r>
        <w:rPr>
          <w:rFonts w:hint="eastAsia" w:ascii="宋体" w:hAnsi="宋体"/>
          <w:b/>
          <w:szCs w:val="21"/>
        </w:rPr>
        <w:t xml:space="preserve">    （5）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扫描件或其他电子文件，原件备查，格式自拟）（必须提供）；</w:t>
      </w:r>
      <w:r>
        <w:rPr>
          <w:rFonts w:hint="eastAsia" w:ascii="宋体" w:hAnsi="宋体"/>
          <w:szCs w:val="21"/>
        </w:rPr>
        <w:t>无缴费记录的，应提供由投标人所在地社保部门出具的《依法缴纳或依法免缴社保费证明》（格式自拟，扫描件或其他电子文件）。</w:t>
      </w:r>
    </w:p>
    <w:p>
      <w:pPr>
        <w:adjustRightInd w:val="0"/>
        <w:snapToGrid w:val="0"/>
        <w:spacing w:line="44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adjustRightInd w:val="0"/>
        <w:snapToGrid w:val="0"/>
        <w:spacing w:line="440" w:lineRule="exact"/>
        <w:ind w:firstLine="411" w:firstLineChars="196"/>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adjustRightInd w:val="0"/>
        <w:snapToGrid w:val="0"/>
        <w:spacing w:line="440" w:lineRule="exact"/>
        <w:ind w:firstLine="411" w:firstLineChars="196"/>
        <w:jc w:val="left"/>
        <w:rPr>
          <w:rFonts w:ascii="宋体" w:hAnsi="宋体"/>
          <w:szCs w:val="21"/>
        </w:rPr>
      </w:pPr>
      <w:r>
        <w:rPr>
          <w:rFonts w:hint="eastAsia" w:ascii="宋体" w:hAnsi="宋体" w:cs="宋体"/>
          <w:b/>
          <w:bCs/>
          <w:kern w:val="0"/>
          <w:szCs w:val="21"/>
        </w:rPr>
        <w:t>（8）</w:t>
      </w:r>
      <w:r>
        <w:rPr>
          <w:rFonts w:hint="eastAsia" w:ascii="宋体" w:hAnsi="宋体"/>
          <w:szCs w:val="21"/>
        </w:rPr>
        <w:t>商务响应表（格式见第六章）</w:t>
      </w:r>
      <w:r>
        <w:rPr>
          <w:rFonts w:hint="eastAsia" w:ascii="宋体" w:hAnsi="宋体"/>
          <w:b/>
          <w:szCs w:val="21"/>
        </w:rPr>
        <w:t>（必须提供）；</w:t>
      </w:r>
    </w:p>
    <w:p>
      <w:pPr>
        <w:adjustRightInd w:val="0"/>
        <w:snapToGrid w:val="0"/>
        <w:spacing w:line="440" w:lineRule="exact"/>
        <w:ind w:firstLine="411" w:firstLineChars="196"/>
        <w:jc w:val="left"/>
        <w:rPr>
          <w:rFonts w:ascii="宋体" w:hAnsi="宋体"/>
          <w:b/>
          <w:szCs w:val="21"/>
        </w:rPr>
      </w:pPr>
      <w:r>
        <w:rPr>
          <w:rFonts w:hint="eastAsia" w:ascii="宋体" w:hAnsi="宋体"/>
        </w:rPr>
        <w:t>▲</w:t>
      </w:r>
      <w:r>
        <w:rPr>
          <w:rFonts w:hint="eastAsia" w:ascii="宋体" w:hAnsi="宋体"/>
          <w:b/>
          <w:bCs/>
          <w:szCs w:val="21"/>
        </w:rPr>
        <w:t>（9）</w:t>
      </w:r>
      <w:r>
        <w:rPr>
          <w:rFonts w:hint="eastAsia" w:ascii="宋体" w:hAnsi="宋体"/>
          <w:b/>
          <w:szCs w:val="21"/>
        </w:rPr>
        <w:t>招标项目采购需求中要求必须提供的材料等；</w:t>
      </w:r>
    </w:p>
    <w:p>
      <w:pPr>
        <w:adjustRightInd w:val="0"/>
        <w:snapToGrid w:val="0"/>
        <w:spacing w:line="440" w:lineRule="exact"/>
        <w:ind w:firstLine="411" w:firstLineChars="196"/>
        <w:jc w:val="left"/>
        <w:rPr>
          <w:rFonts w:ascii="宋体" w:hAnsi="宋体"/>
          <w:b w:val="0"/>
          <w:bCs/>
          <w:szCs w:val="21"/>
        </w:rPr>
      </w:pPr>
      <w:r>
        <w:rPr>
          <w:rFonts w:hint="eastAsia" w:ascii="宋体" w:hAnsi="宋体"/>
          <w:b w:val="0"/>
          <w:bCs/>
          <w:szCs w:val="21"/>
        </w:rPr>
        <w:t>（10）</w:t>
      </w:r>
      <w:r>
        <w:rPr>
          <w:rFonts w:hint="eastAsia" w:ascii="宋体" w:hAnsi="宋体"/>
          <w:szCs w:val="21"/>
        </w:rPr>
        <w:t>具备法律、行政法规规定的其他条件的证明材料（</w:t>
      </w:r>
      <w:r>
        <w:rPr>
          <w:rFonts w:hint="eastAsia" w:ascii="宋体" w:hAnsi="宋体"/>
          <w:b/>
          <w:szCs w:val="21"/>
        </w:rPr>
        <w:t>如有规定，则必须提供）。</w:t>
      </w:r>
    </w:p>
    <w:p>
      <w:pPr>
        <w:adjustRightInd w:val="0"/>
        <w:snapToGrid w:val="0"/>
        <w:spacing w:line="440" w:lineRule="exact"/>
        <w:ind w:firstLine="411" w:firstLineChars="196"/>
        <w:jc w:val="left"/>
        <w:rPr>
          <w:rFonts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w:t>
      </w:r>
      <w:r>
        <w:rPr>
          <w:rFonts w:hint="eastAsia" w:hAnsi="宋体"/>
        </w:rPr>
        <w:t>扫描件</w:t>
      </w:r>
      <w:r>
        <w:rPr>
          <w:rFonts w:hint="eastAsia" w:ascii="宋体" w:hAnsi="宋体"/>
          <w:szCs w:val="21"/>
        </w:rPr>
        <w:t>）；</w:t>
      </w:r>
    </w:p>
    <w:p>
      <w:pPr>
        <w:adjustRightInd w:val="0"/>
        <w:snapToGrid w:val="0"/>
        <w:spacing w:line="440" w:lineRule="exact"/>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40" w:lineRule="exact"/>
        <w:ind w:firstLine="411" w:firstLineChars="196"/>
        <w:jc w:val="left"/>
        <w:rPr>
          <w:rFonts w:hint="eastAsia" w:hAnsi="宋体"/>
          <w:color w:val="auto"/>
          <w:szCs w:val="21"/>
          <w:highlight w:val="none"/>
          <w:shd w:val="clear" w:color="auto" w:fill="auto"/>
          <w:lang w:eastAsia="zh-CN"/>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）投标人质量管理和质量保证体系等方面的认证证书；</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）投标人认为可以证明其能力或业绩的其他材料；</w:t>
      </w:r>
    </w:p>
    <w:p>
      <w:pPr>
        <w:adjustRightInd w:val="0"/>
        <w:snapToGrid w:val="0"/>
        <w:spacing w:line="440" w:lineRule="exact"/>
        <w:ind w:firstLine="411" w:firstLineChars="196"/>
        <w:jc w:val="left"/>
        <w:rPr>
          <w:rFonts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p>
    <w:p>
      <w:pPr>
        <w:adjustRightInd w:val="0"/>
        <w:snapToGrid w:val="0"/>
        <w:spacing w:line="44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hAnsi="宋体" w:cs="Times New Roman"/>
          <w:color w:val="auto"/>
          <w:kern w:val="2"/>
          <w:sz w:val="21"/>
          <w:szCs w:val="21"/>
        </w:rPr>
        <w:t>（1</w:t>
      </w:r>
      <w:r>
        <w:rPr>
          <w:rFonts w:hint="eastAsia" w:hAnsi="宋体" w:cs="Times New Roman"/>
          <w:color w:val="auto"/>
          <w:kern w:val="2"/>
          <w:sz w:val="21"/>
          <w:szCs w:val="21"/>
          <w:lang w:val="en-US" w:eastAsia="zh-CN"/>
        </w:rPr>
        <w:t>8</w:t>
      </w:r>
      <w:r>
        <w:rPr>
          <w:rFonts w:hint="eastAsia" w:hAnsi="宋体" w:cs="Times New Roman"/>
          <w:color w:val="auto"/>
          <w:kern w:val="2"/>
          <w:sz w:val="21"/>
          <w:szCs w:val="21"/>
        </w:rPr>
        <w:t>）</w:t>
      </w:r>
      <w:r>
        <w:rPr>
          <w:rFonts w:hint="eastAsia" w:ascii="宋体" w:hAnsi="宋体"/>
          <w:szCs w:val="21"/>
        </w:rPr>
        <w:t>中小企业声明函（格式见第六章，如有请提供）</w:t>
      </w:r>
      <w:r>
        <w:rPr>
          <w:rFonts w:hint="eastAsia" w:ascii="宋体" w:hAnsi="宋体"/>
          <w:szCs w:val="21"/>
          <w:lang w:eastAsia="zh-CN"/>
        </w:rPr>
        <w:t>；</w:t>
      </w:r>
    </w:p>
    <w:p>
      <w:pPr>
        <w:pStyle w:val="2"/>
        <w:spacing w:line="440" w:lineRule="exact"/>
        <w:ind w:firstLine="420" w:firstLineChars="200"/>
        <w:rPr>
          <w:rFonts w:hint="eastAsia" w:hAnsi="宋体" w:eastAsia="宋体" w:cs="Times New Roman"/>
          <w:color w:val="auto"/>
          <w:kern w:val="2"/>
          <w:sz w:val="21"/>
          <w:szCs w:val="21"/>
          <w:lang w:eastAsia="zh-CN"/>
        </w:rPr>
      </w:pPr>
      <w:r>
        <w:rPr>
          <w:rFonts w:hint="eastAsia" w:hAnsi="宋体" w:cs="Times New Roman"/>
          <w:color w:val="auto"/>
          <w:kern w:val="2"/>
          <w:sz w:val="21"/>
          <w:szCs w:val="21"/>
          <w:lang w:eastAsia="zh-CN"/>
        </w:rPr>
        <w:t>（</w:t>
      </w:r>
      <w:r>
        <w:rPr>
          <w:rFonts w:hint="eastAsia" w:hAnsi="宋体" w:cs="Times New Roman"/>
          <w:color w:val="auto"/>
          <w:kern w:val="2"/>
          <w:sz w:val="21"/>
          <w:szCs w:val="21"/>
          <w:lang w:val="en-US" w:eastAsia="zh-CN"/>
        </w:rPr>
        <w:t>19</w:t>
      </w:r>
      <w:r>
        <w:rPr>
          <w:rFonts w:hint="eastAsia" w:hAnsi="宋体" w:cs="Times New Roman"/>
          <w:color w:val="auto"/>
          <w:kern w:val="2"/>
          <w:sz w:val="21"/>
          <w:szCs w:val="21"/>
          <w:lang w:eastAsia="zh-CN"/>
        </w:rPr>
        <w:t>）</w:t>
      </w:r>
      <w:r>
        <w:rPr>
          <w:rFonts w:hint="eastAsia" w:hAnsi="宋体" w:cs="Times New Roman"/>
          <w:color w:val="auto"/>
          <w:kern w:val="2"/>
          <w:sz w:val="21"/>
          <w:szCs w:val="21"/>
        </w:rPr>
        <w:t>关于符合本国产品标准的声明函（格式见第六章，如有请提供）</w:t>
      </w:r>
      <w:r>
        <w:rPr>
          <w:rFonts w:hint="eastAsia" w:hAnsi="宋体" w:cs="Times New Roman"/>
          <w:color w:val="auto"/>
          <w:kern w:val="2"/>
          <w:sz w:val="21"/>
          <w:szCs w:val="21"/>
          <w:lang w:eastAsia="zh-CN"/>
        </w:rPr>
        <w:t>。</w:t>
      </w:r>
    </w:p>
    <w:p>
      <w:pPr>
        <w:adjustRightInd w:val="0"/>
        <w:snapToGrid w:val="0"/>
        <w:spacing w:line="400" w:lineRule="exact"/>
        <w:ind w:firstLine="411" w:firstLineChars="196"/>
        <w:jc w:val="left"/>
        <w:rPr>
          <w:rFonts w:ascii="宋体" w:hAnsi="宋体"/>
          <w:b/>
          <w:bCs/>
          <w:szCs w:val="21"/>
        </w:rPr>
      </w:pPr>
      <w:r>
        <w:rPr>
          <w:rFonts w:hint="eastAsia" w:ascii="宋体" w:hAnsi="宋体"/>
          <w:b/>
          <w:bCs/>
          <w:szCs w:val="21"/>
          <w:lang w:val="en-US" w:eastAsia="zh-CN"/>
        </w:rPr>
        <w:t>3.</w:t>
      </w:r>
      <w:r>
        <w:rPr>
          <w:rFonts w:hint="eastAsia" w:ascii="宋体" w:hAnsi="宋体"/>
          <w:b/>
          <w:bCs/>
          <w:szCs w:val="21"/>
        </w:rPr>
        <w:t>技术文件</w:t>
      </w:r>
    </w:p>
    <w:p>
      <w:pPr>
        <w:snapToGrid w:val="0"/>
        <w:spacing w:line="360" w:lineRule="exact"/>
        <w:ind w:firstLine="420" w:firstLineChars="200"/>
        <w:jc w:val="left"/>
        <w:rPr>
          <w:rFonts w:ascii="宋体" w:hAnsi="宋体"/>
          <w:szCs w:val="21"/>
        </w:rPr>
      </w:pPr>
      <w:r>
        <w:rPr>
          <w:rFonts w:hint="eastAsia" w:ascii="宋体" w:hAnsi="宋体"/>
          <w:szCs w:val="21"/>
        </w:rPr>
        <w:t>（1）对本项目系统总体要求的理解；</w:t>
      </w:r>
    </w:p>
    <w:p>
      <w:pPr>
        <w:snapToGrid w:val="0"/>
        <w:spacing w:line="360" w:lineRule="exact"/>
        <w:ind w:firstLine="420" w:firstLineChars="200"/>
        <w:jc w:val="left"/>
        <w:rPr>
          <w:rFonts w:ascii="宋体" w:hAnsi="宋体"/>
          <w:szCs w:val="21"/>
        </w:rPr>
      </w:pPr>
      <w:r>
        <w:rPr>
          <w:rFonts w:hint="eastAsia" w:ascii="宋体" w:hAnsi="宋体"/>
          <w:szCs w:val="21"/>
        </w:rPr>
        <w:t>（2）技术响应表（</w:t>
      </w:r>
      <w:r>
        <w:rPr>
          <w:rFonts w:hint="eastAsia" w:ascii="宋体" w:hAnsi="宋体"/>
          <w:b/>
          <w:szCs w:val="21"/>
          <w:u w:val="single"/>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（3）设备配置清单（格式见第六章，</w:t>
      </w:r>
      <w:r>
        <w:rPr>
          <w:rFonts w:hint="eastAsia" w:ascii="宋体" w:hAnsi="宋体"/>
          <w:b/>
          <w:bCs/>
          <w:szCs w:val="21"/>
        </w:rPr>
        <w:t>必须提供</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（4）</w:t>
      </w:r>
      <w:r>
        <w:rPr>
          <w:rFonts w:hint="eastAsia"/>
          <w:b w:val="0"/>
          <w:bCs/>
          <w:color w:val="auto"/>
          <w:highlight w:val="none"/>
          <w:shd w:val="clear" w:color="auto" w:fill="auto"/>
        </w:rPr>
        <w:t>售后服务承诺书</w:t>
      </w:r>
      <w:r>
        <w:rPr>
          <w:rFonts w:hint="eastAsia"/>
          <w:color w:val="auto"/>
          <w:highlight w:val="none"/>
          <w:shd w:val="clear" w:color="auto" w:fill="auto"/>
        </w:rPr>
        <w:t>（应据项目实际要求描述如：</w:t>
      </w:r>
      <w:r>
        <w:rPr>
          <w:rFonts w:hint="eastAsia" w:ascii="宋体" w:hAnsi="宋体"/>
          <w:color w:val="auto"/>
          <w:szCs w:val="21"/>
          <w:highlight w:val="none"/>
          <w:shd w:val="clear" w:color="auto" w:fill="auto"/>
        </w:rPr>
        <w:t>投标人建议的安装、调试、验收方法或方案；技术服务、技术培训、售后服务的内容和措施等），</w:t>
      </w:r>
      <w:r>
        <w:rPr>
          <w:rFonts w:hint="eastAsia" w:ascii="宋体" w:hAnsi="宋体"/>
          <w:b/>
          <w:color w:val="auto"/>
          <w:szCs w:val="21"/>
          <w:highlight w:val="none"/>
          <w:shd w:val="clear" w:color="auto" w:fill="auto"/>
        </w:rPr>
        <w:t>(</w:t>
      </w:r>
      <w:r>
        <w:rPr>
          <w:rFonts w:hint="eastAsia" w:ascii="宋体" w:hAnsi="宋体"/>
          <w:b/>
          <w:color w:val="auto"/>
          <w:szCs w:val="21"/>
          <w:highlight w:val="none"/>
          <w:u w:val="single"/>
          <w:shd w:val="clear" w:color="auto" w:fill="auto"/>
        </w:rPr>
        <w:t>格式自拟,必须提供</w:t>
      </w:r>
      <w:r>
        <w:rPr>
          <w:rFonts w:hint="eastAsia" w:ascii="宋体" w:hAnsi="宋体"/>
          <w:b/>
          <w:color w:val="auto"/>
          <w:szCs w:val="21"/>
          <w:highlight w:val="none"/>
          <w:shd w:val="clear" w:color="auto" w:fill="auto"/>
        </w:rPr>
        <w:t>)</w:t>
      </w:r>
      <w:r>
        <w:rPr>
          <w:rFonts w:hint="eastAsia" w:ascii="宋体" w:hAnsi="宋体"/>
          <w:szCs w:val="21"/>
        </w:rPr>
        <w:t>；</w:t>
      </w:r>
    </w:p>
    <w:p>
      <w:pPr>
        <w:snapToGrid w:val="0"/>
        <w:spacing w:line="360" w:lineRule="exact"/>
        <w:ind w:firstLine="420" w:firstLineChars="200"/>
        <w:jc w:val="left"/>
        <w:rPr>
          <w:rFonts w:ascii="宋体" w:hAnsi="宋体"/>
          <w:szCs w:val="21"/>
        </w:rPr>
      </w:pPr>
      <w:r>
        <w:rPr>
          <w:rFonts w:hint="eastAsia" w:ascii="宋体" w:hAnsi="宋体"/>
          <w:szCs w:val="21"/>
        </w:rPr>
        <w:t xml:space="preserve">（5）投标人项目实施人员一览表； </w:t>
      </w:r>
    </w:p>
    <w:p>
      <w:pPr>
        <w:snapToGrid w:val="0"/>
        <w:spacing w:line="360" w:lineRule="exact"/>
        <w:ind w:firstLine="420" w:firstLineChars="200"/>
        <w:jc w:val="left"/>
        <w:rPr>
          <w:rFonts w:ascii="宋体" w:hAnsi="宋体"/>
          <w:szCs w:val="21"/>
        </w:rPr>
      </w:pPr>
      <w:r>
        <w:rPr>
          <w:rFonts w:hint="eastAsia" w:ascii="宋体" w:hAnsi="宋体"/>
          <w:szCs w:val="21"/>
        </w:rPr>
        <w:t>（6）优惠条件：投标人承诺给予招标人的各种优惠条件，包括备品备件、专用耗材、售后服务等方面的优惠；</w:t>
      </w:r>
    </w:p>
    <w:p>
      <w:pPr>
        <w:snapToGrid w:val="0"/>
        <w:spacing w:line="360" w:lineRule="exact"/>
        <w:ind w:firstLine="420" w:firstLineChars="200"/>
        <w:jc w:val="left"/>
        <w:rPr>
          <w:rFonts w:ascii="宋体" w:hAnsi="宋体"/>
          <w:szCs w:val="21"/>
        </w:rPr>
      </w:pPr>
      <w:r>
        <w:rPr>
          <w:rFonts w:hint="eastAsia" w:ascii="宋体" w:hAnsi="宋体"/>
          <w:szCs w:val="21"/>
        </w:rPr>
        <w:t>（7）投标人对本项目的合理化建议和改进措施；</w:t>
      </w:r>
    </w:p>
    <w:p>
      <w:pPr>
        <w:snapToGrid w:val="0"/>
        <w:spacing w:line="360" w:lineRule="exact"/>
        <w:ind w:firstLine="420" w:firstLineChars="200"/>
        <w:jc w:val="left"/>
        <w:rPr>
          <w:rFonts w:ascii="宋体" w:hAnsi="宋体"/>
          <w:szCs w:val="21"/>
        </w:rPr>
      </w:pPr>
      <w:r>
        <w:rPr>
          <w:rFonts w:hint="eastAsia" w:ascii="宋体" w:hAnsi="宋体"/>
          <w:szCs w:val="21"/>
        </w:rPr>
        <w:t>（8）投标人需要说明的其他文件和说明（格式略）；</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w:t>
      </w:r>
    </w:p>
    <w:p>
      <w:pPr>
        <w:adjustRightInd w:val="0"/>
        <w:snapToGrid w:val="0"/>
        <w:spacing w:line="440" w:lineRule="exact"/>
        <w:ind w:firstLine="411" w:firstLineChars="196"/>
        <w:jc w:val="left"/>
        <w:rPr>
          <w:rFonts w:ascii="宋体" w:hAnsi="宋体"/>
          <w:b/>
          <w:szCs w:val="21"/>
        </w:rPr>
      </w:pPr>
      <w:r>
        <w:rPr>
          <w:rFonts w:hint="eastAsia" w:ascii="宋体" w:hAnsi="宋体"/>
          <w:b/>
          <w:szCs w:val="21"/>
          <w:lang w:val="en-US" w:eastAsia="zh-CN"/>
        </w:rPr>
        <w:t>4</w:t>
      </w:r>
      <w:r>
        <w:rPr>
          <w:rFonts w:hint="eastAsia" w:ascii="宋体" w:hAnsi="宋体"/>
          <w:b/>
          <w:szCs w:val="21"/>
        </w:rPr>
        <w:t>.报价文件：</w:t>
      </w:r>
    </w:p>
    <w:p>
      <w:pPr>
        <w:snapToGrid w:val="0"/>
        <w:spacing w:line="360" w:lineRule="exact"/>
        <w:ind w:firstLine="420" w:firstLineChars="200"/>
        <w:jc w:val="left"/>
        <w:rPr>
          <w:rFonts w:ascii="宋体" w:hAnsi="宋体"/>
          <w:szCs w:val="21"/>
        </w:rPr>
      </w:pPr>
      <w:r>
        <w:rPr>
          <w:rFonts w:hint="eastAsia" w:ascii="宋体" w:hAnsi="宋体"/>
          <w:szCs w:val="21"/>
        </w:rPr>
        <w:t xml:space="preserve">（1）投标函（格式见第六章，必须提供）； </w:t>
      </w:r>
    </w:p>
    <w:p>
      <w:pPr>
        <w:snapToGrid w:val="0"/>
        <w:spacing w:line="360" w:lineRule="exact"/>
        <w:ind w:firstLine="420" w:firstLineChars="200"/>
        <w:jc w:val="left"/>
        <w:rPr>
          <w:rFonts w:ascii="宋体" w:hAnsi="宋体"/>
          <w:szCs w:val="21"/>
        </w:rPr>
      </w:pPr>
      <w:r>
        <w:rPr>
          <w:rFonts w:hint="eastAsia" w:ascii="宋体" w:hAnsi="宋体"/>
          <w:szCs w:val="21"/>
        </w:rPr>
        <w:t>（2）投标报价明细表（格式见第六章，必须提供）；</w:t>
      </w:r>
    </w:p>
    <w:p>
      <w:pPr>
        <w:snapToGrid w:val="0"/>
        <w:spacing w:line="360" w:lineRule="exact"/>
        <w:ind w:firstLine="420" w:firstLineChars="200"/>
        <w:jc w:val="left"/>
        <w:rPr>
          <w:rFonts w:ascii="宋体" w:hAnsi="宋体"/>
          <w:szCs w:val="21"/>
        </w:rPr>
      </w:pPr>
      <w:r>
        <w:rPr>
          <w:rFonts w:hint="eastAsia" w:ascii="宋体" w:hAnsi="宋体"/>
          <w:szCs w:val="21"/>
        </w:rPr>
        <w:t>（3）投标人针对报价需要说明的其他文件和说明（格式自拟）；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（4）开标一览表（格式见第六章，必须提供）。</w:t>
      </w:r>
    </w:p>
    <w:p>
      <w:pPr>
        <w:snapToGrid w:val="0"/>
        <w:spacing w:line="360" w:lineRule="exact"/>
        <w:ind w:firstLine="420" w:firstLineChars="200"/>
        <w:jc w:val="left"/>
        <w:rPr>
          <w:rFonts w:ascii="宋体" w:hAnsi="宋体"/>
          <w:szCs w:val="21"/>
        </w:rPr>
      </w:pPr>
      <w:r>
        <w:rPr>
          <w:rFonts w:hint="eastAsia" w:ascii="宋体" w:hAnsi="宋体"/>
          <w:szCs w:val="21"/>
        </w:rPr>
        <w:t>▲</w:t>
      </w:r>
      <w:r>
        <w:rPr>
          <w:rFonts w:hint="eastAsia" w:ascii="宋体" w:hAnsi="宋体"/>
          <w:b/>
          <w:bCs/>
          <w:szCs w:val="21"/>
        </w:rPr>
        <w:t>注：法定代表人授权委托书、投标声明书、投标函、开标一览表必须按招标文件格式要求签署和加盖单位公章。</w:t>
      </w:r>
    </w:p>
    <w:p>
      <w:pPr>
        <w:snapToGrid w:val="0"/>
        <w:spacing w:before="50" w:after="156" w:afterLines="50" w:line="360" w:lineRule="exact"/>
        <w:jc w:val="left"/>
        <w:outlineLvl w:val="0"/>
        <w:rPr>
          <w:rFonts w:ascii="宋体" w:hAnsi="宋体"/>
          <w:b/>
          <w:sz w:val="24"/>
        </w:rPr>
      </w:pPr>
    </w:p>
    <w:p>
      <w:pPr>
        <w:pageBreakBefore/>
        <w:jc w:val="center"/>
        <w:rPr>
          <w:b/>
          <w:sz w:val="28"/>
          <w:szCs w:val="28"/>
        </w:rPr>
      </w:pPr>
      <w:r>
        <w:rPr>
          <w:rFonts w:hint="eastAsia"/>
          <w:b/>
          <w:sz w:val="28"/>
          <w:szCs w:val="28"/>
        </w:rPr>
        <w:t>三、投标文件格式</w:t>
      </w:r>
    </w:p>
    <w:p>
      <w:pPr>
        <w:rPr>
          <w:b/>
        </w:rPr>
      </w:pPr>
      <w:r>
        <w:rPr>
          <w:rFonts w:hint="eastAsia"/>
          <w:b/>
        </w:rPr>
        <w:t>一）资格文件部分（格式）</w:t>
      </w:r>
    </w:p>
    <w:p>
      <w:pPr>
        <w:snapToGrid w:val="0"/>
        <w:spacing w:line="360" w:lineRule="exact"/>
        <w:ind w:firstLine="411" w:firstLineChars="196"/>
        <w:jc w:val="left"/>
        <w:rPr>
          <w:rFonts w:ascii="宋体" w:hAnsi="宋体"/>
          <w:szCs w:val="21"/>
        </w:rPr>
      </w:pPr>
      <w:r>
        <w:rPr>
          <w:rFonts w:hint="eastAsia" w:ascii="宋体" w:hAnsi="宋体"/>
          <w:b/>
          <w:szCs w:val="21"/>
        </w:rPr>
        <w:t>（1）</w:t>
      </w:r>
      <w:r>
        <w:rPr>
          <w:rFonts w:hint="eastAsia" w:ascii="宋体" w:hAnsi="宋体"/>
          <w:szCs w:val="21"/>
        </w:rPr>
        <w:t>有效的营业执照等证明文件；</w:t>
      </w:r>
    </w:p>
    <w:p>
      <w:pPr>
        <w:pStyle w:val="29"/>
        <w:ind w:firstLine="525" w:firstLineChars="250"/>
        <w:rPr>
          <w:rFonts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9"/>
        <w:spacing w:line="440" w:lineRule="exact"/>
        <w:ind w:firstLine="525" w:firstLineChars="250"/>
        <w:rPr>
          <w:rFonts w:hAnsi="宋体"/>
          <w:b/>
        </w:rPr>
      </w:pPr>
      <w:r>
        <w:rPr>
          <w:rFonts w:hint="eastAsia" w:hAnsi="宋体"/>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ascii="宋体" w:hAnsi="宋体"/>
          <w:b/>
          <w:szCs w:val="21"/>
        </w:rPr>
      </w:pPr>
      <w:r>
        <w:rPr>
          <w:rFonts w:hint="eastAsia" w:ascii="宋体" w:hAnsi="宋体"/>
          <w:b/>
          <w:szCs w:val="21"/>
        </w:rPr>
        <w:t>（2）</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b/>
          <w:szCs w:val="21"/>
        </w:rPr>
        <w:t>和信用记录查询方法；</w:t>
      </w:r>
    </w:p>
    <w:p>
      <w:pPr>
        <w:snapToGrid w:val="0"/>
        <w:spacing w:line="360" w:lineRule="exact"/>
        <w:ind w:firstLine="411" w:firstLineChars="196"/>
        <w:jc w:val="left"/>
        <w:rPr>
          <w:rFonts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参加政府采购活动前三年内在经营活动中没有</w:t>
      </w:r>
      <w:r>
        <w:rPr>
          <w:rFonts w:hint="eastAsia" w:ascii="宋体" w:hAnsi="宋体" w:cs="宋体"/>
          <w:b/>
          <w:kern w:val="0"/>
          <w:szCs w:val="21"/>
        </w:rPr>
        <w:t>重大违法记录的书面声明</w:t>
      </w:r>
      <w:r>
        <w:rPr>
          <w:rFonts w:hint="eastAsia" w:ascii="宋体" w:hAnsi="宋体"/>
          <w:szCs w:val="21"/>
        </w:rPr>
        <w:t>（格式自拟，必须提供）；</w:t>
      </w:r>
    </w:p>
    <w:p>
      <w:pPr>
        <w:snapToGrid w:val="0"/>
        <w:spacing w:line="360" w:lineRule="exact"/>
        <w:ind w:firstLine="411" w:firstLineChars="196"/>
        <w:jc w:val="left"/>
        <w:rPr>
          <w:rFonts w:ascii="宋体" w:hAnsi="宋体"/>
          <w:szCs w:val="21"/>
        </w:rPr>
      </w:pPr>
      <w:r>
        <w:rPr>
          <w:rFonts w:hint="eastAsia" w:ascii="宋体" w:hAnsi="宋体"/>
          <w:szCs w:val="21"/>
        </w:rPr>
        <w:t>②供应商可在“信用中国”网站（www.creditchina.gov.cn）、中国政府采购网（www.ccgp.gov.cn）查询相关供应商主体信用记录。</w:t>
      </w:r>
    </w:p>
    <w:p>
      <w:pPr>
        <w:snapToGrid w:val="0"/>
        <w:spacing w:line="360" w:lineRule="exact"/>
        <w:ind w:firstLine="411" w:firstLineChars="196"/>
        <w:jc w:val="left"/>
        <w:rPr>
          <w:rFonts w:ascii="宋体" w:hAnsi="宋体"/>
          <w:szCs w:val="21"/>
        </w:rPr>
      </w:pPr>
      <w:r>
        <w:rPr>
          <w:rFonts w:hint="eastAsia" w:ascii="宋体" w:hAnsi="宋体"/>
          <w:szCs w:val="21"/>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ascii="宋体" w:hAnsi="宋体"/>
          <w:szCs w:val="21"/>
        </w:rPr>
      </w:pPr>
      <w:r>
        <w:rPr>
          <w:rFonts w:hint="eastAsia" w:ascii="宋体" w:hAnsi="宋体"/>
          <w:szCs w:val="21"/>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Ansi="宋体"/>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snapToGrid w:val="0"/>
        <w:spacing w:before="50" w:after="156" w:afterLines="50" w:line="360" w:lineRule="exact"/>
        <w:jc w:val="left"/>
        <w:outlineLvl w:val="0"/>
        <w:rPr>
          <w:rFonts w:ascii="宋体" w:hAnsi="宋体"/>
          <w:b/>
          <w:szCs w:val="21"/>
        </w:rPr>
      </w:pPr>
    </w:p>
    <w:p>
      <w:pPr>
        <w:pageBreakBefore/>
        <w:snapToGrid w:val="0"/>
        <w:spacing w:before="50" w:after="156" w:afterLines="50" w:line="360" w:lineRule="exact"/>
        <w:jc w:val="left"/>
        <w:outlineLvl w:val="0"/>
        <w:rPr>
          <w:rFonts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ascii="宋体" w:hAnsi="宋体"/>
          <w:szCs w:val="21"/>
        </w:rPr>
      </w:pPr>
    </w:p>
    <w:p>
      <w:pPr>
        <w:pStyle w:val="29"/>
        <w:tabs>
          <w:tab w:val="left" w:pos="5580"/>
        </w:tabs>
        <w:spacing w:line="360" w:lineRule="auto"/>
        <w:ind w:left="1079" w:leftChars="257" w:hanging="540"/>
        <w:rPr>
          <w:rFonts w:ascii="仿宋_GB2312" w:hAnsi="宋体" w:eastAsia="仿宋_GB2312"/>
          <w:sz w:val="24"/>
        </w:rPr>
      </w:pPr>
    </w:p>
    <w:p>
      <w:pPr>
        <w:snapToGrid w:val="0"/>
        <w:spacing w:before="156" w:beforeLines="50" w:line="340" w:lineRule="exact"/>
        <w:ind w:firstLine="3509" w:firstLineChars="1671"/>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法定代表人（或机构负责人）或委托代理人</w:t>
      </w:r>
      <w:r>
        <w:rPr>
          <w:rFonts w:hint="eastAsia" w:ascii="宋体" w:hAnsi="宋体"/>
          <w:color w:val="auto"/>
          <w:sz w:val="24"/>
          <w:highlight w:val="none"/>
          <w:shd w:val="clear" w:color="auto" w:fill="auto"/>
        </w:rPr>
        <w:t>签名（或签章）</w:t>
      </w:r>
      <w:r>
        <w:rPr>
          <w:rFonts w:hint="eastAsia" w:ascii="宋体" w:hAnsi="宋体"/>
          <w:color w:val="auto"/>
          <w:szCs w:val="21"/>
          <w:highlight w:val="none"/>
          <w:shd w:val="clear" w:color="auto" w:fill="auto"/>
        </w:rPr>
        <w:t xml:space="preserve">：             </w:t>
      </w:r>
    </w:p>
    <w:p>
      <w:pPr>
        <w:snapToGrid w:val="0"/>
        <w:spacing w:before="156" w:beforeLines="50" w:after="50" w:line="340" w:lineRule="exact"/>
        <w:ind w:firstLine="3570" w:firstLineChars="170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 xml:space="preserve">投标人公章：                                    </w:t>
      </w:r>
    </w:p>
    <w:p>
      <w:pPr>
        <w:pStyle w:val="29"/>
        <w:tabs>
          <w:tab w:val="left" w:pos="5580"/>
        </w:tabs>
        <w:spacing w:line="360" w:lineRule="auto"/>
        <w:ind w:left="1079" w:leftChars="257" w:hanging="540"/>
        <w:rPr>
          <w:rFonts w:hint="eastAsia" w:ascii="仿宋_GB2312" w:hAnsi="宋体" w:eastAsia="仿宋_GB2312"/>
          <w:b/>
          <w:color w:val="auto"/>
          <w:sz w:val="24"/>
          <w:highlight w:val="none"/>
          <w:shd w:val="clear" w:color="auto" w:fill="auto"/>
        </w:rPr>
      </w:pPr>
      <w:r>
        <w:rPr>
          <w:rFonts w:hint="eastAsia" w:hAnsi="宋体"/>
          <w:color w:val="auto"/>
          <w:highlight w:val="none"/>
          <w:shd w:val="clear" w:color="auto" w:fill="auto"/>
        </w:rPr>
        <w:t xml:space="preserve">                                          年    月    日</w:t>
      </w:r>
    </w:p>
    <w:p>
      <w:pPr>
        <w:pStyle w:val="6"/>
        <w:rPr>
          <w:rFonts w:ascii="仿宋_GB2312" w:hAnsi="宋体" w:eastAsia="仿宋_GB2312"/>
          <w:sz w:val="24"/>
        </w:rPr>
      </w:pPr>
    </w:p>
    <w:p>
      <w:pPr>
        <w:pStyle w:val="2"/>
        <w:rPr>
          <w:rFonts w:ascii="仿宋_GB2312" w:hAnsi="宋体" w:eastAsia="仿宋_GB2312"/>
          <w:sz w:val="24"/>
        </w:rPr>
      </w:pPr>
    </w:p>
    <w:p>
      <w:pPr>
        <w:pStyle w:val="2"/>
        <w:rPr>
          <w:rFonts w:ascii="仿宋_GB2312" w:hAnsi="宋体" w:eastAsia="仿宋_GB2312"/>
          <w:sz w:val="24"/>
        </w:rPr>
      </w:pPr>
    </w:p>
    <w:p>
      <w:pPr>
        <w:snapToGrid w:val="0"/>
        <w:spacing w:line="360" w:lineRule="exact"/>
        <w:ind w:firstLine="567" w:firstLineChars="270"/>
        <w:jc w:val="left"/>
        <w:rPr>
          <w:rFonts w:ascii="宋体" w:hAnsi="宋体" w:cs="宋体"/>
          <w:kern w:val="0"/>
          <w:szCs w:val="21"/>
        </w:rPr>
      </w:pPr>
      <w:r>
        <w:rPr>
          <w:rFonts w:hint="eastAsia" w:ascii="宋体" w:hAnsi="宋体" w:cs="宋体"/>
          <w:kern w:val="0"/>
          <w:szCs w:val="21"/>
        </w:rPr>
        <w:t>说明：1.投标人应按照相关法规规定如实作出声明。</w:t>
      </w:r>
    </w:p>
    <w:p>
      <w:pPr>
        <w:snapToGrid w:val="0"/>
        <w:spacing w:line="360" w:lineRule="exact"/>
        <w:ind w:firstLine="1134" w:firstLineChars="540"/>
        <w:jc w:val="left"/>
        <w:rPr>
          <w:rFonts w:ascii="宋体" w:hAnsi="宋体" w:cs="宋体"/>
          <w:kern w:val="0"/>
          <w:szCs w:val="21"/>
        </w:rPr>
      </w:pP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ascii="宋体" w:hAnsi="宋体" w:cs="宋体"/>
          <w:kern w:val="0"/>
          <w:szCs w:val="21"/>
        </w:rPr>
      </w:pPr>
    </w:p>
    <w:p>
      <w:pPr>
        <w:snapToGrid w:val="0"/>
        <w:spacing w:before="50" w:after="156" w:afterLines="50" w:line="360" w:lineRule="exact"/>
        <w:jc w:val="left"/>
        <w:outlineLvl w:val="0"/>
        <w:rPr>
          <w:rFonts w:ascii="宋体" w:hAnsi="宋体"/>
          <w:b/>
          <w:szCs w:val="21"/>
        </w:rPr>
      </w:pPr>
    </w:p>
    <w:p>
      <w:pPr>
        <w:pageBreakBefore/>
        <w:rPr>
          <w:b/>
        </w:rPr>
      </w:pPr>
      <w:r>
        <w:rPr>
          <w:rFonts w:hint="eastAsia"/>
          <w:b/>
        </w:rPr>
        <w:t>二）</w:t>
      </w:r>
      <w:r>
        <w:rPr>
          <w:rFonts w:hint="eastAsia" w:ascii="宋体" w:hAnsi="宋体"/>
          <w:b/>
          <w:bCs/>
          <w:color w:val="auto"/>
          <w:szCs w:val="21"/>
          <w:highlight w:val="none"/>
          <w:shd w:val="clear" w:color="auto" w:fill="auto"/>
        </w:rPr>
        <w:t>商务文件及资信部分（格式）</w:t>
      </w:r>
    </w:p>
    <w:p>
      <w:pPr>
        <w:snapToGrid w:val="0"/>
        <w:spacing w:before="50" w:after="156" w:afterLines="50" w:line="360" w:lineRule="exact"/>
        <w:ind w:firstLine="203" w:firstLineChars="97"/>
        <w:jc w:val="left"/>
        <w:rPr>
          <w:rFonts w:ascii="宋体" w:hAnsi="宋体"/>
          <w:b/>
          <w:szCs w:val="21"/>
        </w:rPr>
      </w:pPr>
      <w:r>
        <w:rPr>
          <w:rFonts w:hint="eastAsia" w:ascii="宋体" w:hAnsi="宋体"/>
          <w:b/>
          <w:bCs/>
          <w:szCs w:val="21"/>
        </w:rPr>
        <w:t>（1）</w:t>
      </w:r>
      <w:r>
        <w:rPr>
          <w:rFonts w:hint="eastAsia" w:ascii="宋体" w:hAnsi="宋体"/>
          <w:szCs w:val="21"/>
        </w:rPr>
        <w:t>投标保证金的相关证明扫描件或其他电子文件</w:t>
      </w: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ascii="宋体" w:hAnsi="宋体"/>
          <w:b/>
          <w:sz w:val="30"/>
          <w:szCs w:val="30"/>
        </w:rPr>
      </w:pPr>
      <w:r>
        <w:rPr>
          <w:rFonts w:hint="eastAsia" w:ascii="宋体" w:hAnsi="宋体"/>
          <w:b/>
          <w:sz w:val="30"/>
          <w:szCs w:val="30"/>
        </w:rPr>
        <w:t>投标声明书</w:t>
      </w:r>
    </w:p>
    <w:p>
      <w:pPr>
        <w:snapToGrid w:val="0"/>
        <w:spacing w:before="156" w:beforeLines="50" w:after="50" w:line="340" w:lineRule="exact"/>
        <w:rPr>
          <w:rFonts w:ascii="宋体" w:hAnsi="宋体"/>
          <w:szCs w:val="21"/>
        </w:rPr>
      </w:pPr>
      <w:r>
        <w:rPr>
          <w:rFonts w:hint="eastAsia" w:ascii="宋体" w:hAnsi="宋体"/>
          <w:szCs w:val="21"/>
        </w:rPr>
        <w:t>致：_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______</w:t>
      </w:r>
      <w:r>
        <w:rPr>
          <w:rFonts w:hint="eastAsia" w:ascii="宋体" w:hAnsi="宋体"/>
          <w:szCs w:val="21"/>
          <w:u w:val="single"/>
        </w:rPr>
        <w:t>_     _</w:t>
      </w:r>
      <w:r>
        <w:rPr>
          <w:rFonts w:hint="eastAsia" w:ascii="宋体" w:hAnsi="宋体"/>
          <w:szCs w:val="21"/>
        </w:rPr>
        <w:t>_（投标人名称）系中华人民共和国合法企业，经营地址</w:t>
      </w:r>
      <w:r>
        <w:rPr>
          <w:rFonts w:hint="eastAsia" w:ascii="宋体" w:hAnsi="宋体"/>
          <w:szCs w:val="21"/>
          <w:u w:val="single"/>
        </w:rPr>
        <w:t xml:space="preserve">                               </w:t>
      </w:r>
      <w:r>
        <w:rPr>
          <w:rFonts w:hint="eastAsia" w:ascii="宋体" w:hAnsi="宋体"/>
          <w:szCs w:val="21"/>
        </w:rPr>
        <w:t>。</w:t>
      </w:r>
    </w:p>
    <w:p>
      <w:pPr>
        <w:snapToGrid w:val="0"/>
        <w:spacing w:before="156" w:beforeLines="50" w:after="50" w:line="340" w:lineRule="exact"/>
        <w:ind w:firstLine="645"/>
        <w:rPr>
          <w:rFonts w:ascii="宋体" w:hAnsi="宋体"/>
          <w:szCs w:val="21"/>
        </w:rPr>
      </w:pPr>
      <w:r>
        <w:rPr>
          <w:rFonts w:hint="eastAsia" w:ascii="宋体" w:hAnsi="宋体"/>
          <w:szCs w:val="21"/>
        </w:rPr>
        <w:t>我___</w:t>
      </w:r>
      <w:r>
        <w:rPr>
          <w:rFonts w:hint="eastAsia" w:ascii="宋体" w:hAnsi="宋体"/>
          <w:szCs w:val="21"/>
          <w:u w:val="single"/>
        </w:rPr>
        <w:t xml:space="preserve">    _</w:t>
      </w:r>
      <w:r>
        <w:rPr>
          <w:rFonts w:hint="eastAsia" w:ascii="宋体" w:hAnsi="宋体"/>
          <w:szCs w:val="21"/>
        </w:rPr>
        <w:t>_（姓名）系______</w:t>
      </w:r>
      <w:r>
        <w:rPr>
          <w:rFonts w:hint="eastAsia" w:ascii="宋体" w:hAnsi="宋体"/>
          <w:szCs w:val="21"/>
          <w:u w:val="single"/>
        </w:rPr>
        <w:t>_     _</w:t>
      </w:r>
      <w:r>
        <w:rPr>
          <w:rFonts w:hint="eastAsia" w:ascii="宋体" w:hAnsi="宋体"/>
          <w:szCs w:val="21"/>
        </w:rPr>
        <w:t>_（投标人名称）的法定代表人，我方愿意参加贵方组织的_____</w:t>
      </w:r>
      <w:r>
        <w:rPr>
          <w:rFonts w:hint="eastAsia" w:ascii="宋体" w:hAnsi="宋体"/>
          <w:szCs w:val="21"/>
          <w:u w:val="single"/>
        </w:rPr>
        <w:t>_              _     _</w:t>
      </w:r>
      <w:r>
        <w:rPr>
          <w:rFonts w:hint="eastAsia" w:ascii="宋体" w:hAnsi="宋体"/>
          <w:szCs w:val="21"/>
        </w:rPr>
        <w:t>_项目的投标，为便于贵方公正、择优的确定中标人及其投标产品和服务，我方就本次投标有关事项郑重声明如下：</w:t>
      </w:r>
    </w:p>
    <w:p>
      <w:pPr>
        <w:snapToGrid w:val="0"/>
        <w:spacing w:line="340" w:lineRule="exact"/>
        <w:ind w:firstLine="420" w:firstLineChars="200"/>
        <w:rPr>
          <w:rFonts w:ascii="宋体" w:hAnsi="宋体"/>
          <w:szCs w:val="21"/>
        </w:rPr>
      </w:pPr>
      <w:r>
        <w:rPr>
          <w:rFonts w:hint="eastAsia" w:ascii="宋体" w:hAnsi="宋体"/>
          <w:szCs w:val="21"/>
        </w:rPr>
        <w:t>1.我方向贵方提交的所有投标文件、资料都是准确的和真实的。</w:t>
      </w:r>
    </w:p>
    <w:p>
      <w:pPr>
        <w:snapToGrid w:val="0"/>
        <w:spacing w:before="156" w:beforeLines="50" w:line="340" w:lineRule="exact"/>
        <w:ind w:firstLine="420" w:firstLineChars="20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ascii="宋体" w:hAnsi="宋体"/>
          <w:szCs w:val="21"/>
        </w:rPr>
      </w:pPr>
      <w:r>
        <w:rPr>
          <w:rFonts w:hint="eastAsia" w:ascii="宋体" w:hAnsi="宋体"/>
          <w:szCs w:val="21"/>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ascii="宋体" w:hAnsi="宋体"/>
          <w:szCs w:val="21"/>
          <w:u w:val="single"/>
        </w:rPr>
      </w:pP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u w:val="single"/>
        </w:rPr>
        <w:t>　　　　　　　　　　　　　　　　　　　　　　　　　　　</w:t>
      </w:r>
    </w:p>
    <w:p>
      <w:pPr>
        <w:pStyle w:val="22"/>
        <w:snapToGrid w:val="0"/>
        <w:spacing w:line="340" w:lineRule="exact"/>
        <w:ind w:left="630" w:leftChars="200" w:hanging="210" w:hangingChars="100"/>
        <w:rPr>
          <w:rFonts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snapToGrid w:val="0"/>
        <w:spacing w:before="156" w:beforeLines="50" w:line="340" w:lineRule="exact"/>
        <w:ind w:firstLine="420" w:firstLineChars="200"/>
        <w:rPr>
          <w:rFonts w:ascii="宋体" w:hAnsi="宋体"/>
          <w:szCs w:val="21"/>
          <w:u w:val="single"/>
        </w:rPr>
      </w:pPr>
      <w:r>
        <w:rPr>
          <w:rFonts w:hint="eastAsia" w:ascii="宋体" w:hAnsi="宋体"/>
          <w:b/>
          <w:szCs w:val="21"/>
          <w:u w:val="single"/>
        </w:rPr>
        <w:t>　　　　　　</w:t>
      </w:r>
      <w:r>
        <w:rPr>
          <w:rFonts w:hint="eastAsia" w:ascii="宋体" w:hAnsi="宋体"/>
          <w:szCs w:val="21"/>
          <w:u w:val="single"/>
        </w:rPr>
        <w:t>　　　　　　　　　　　　　　　　　　　　　</w:t>
      </w:r>
    </w:p>
    <w:p>
      <w:pPr>
        <w:snapToGrid w:val="0"/>
        <w:spacing w:before="156" w:beforeLines="50" w:line="340" w:lineRule="exact"/>
        <w:ind w:firstLine="420" w:firstLineChars="200"/>
        <w:rPr>
          <w:rFonts w:ascii="宋体" w:hAnsi="宋体"/>
          <w:szCs w:val="21"/>
        </w:rPr>
      </w:pPr>
      <w:r>
        <w:rPr>
          <w:rFonts w:hint="eastAsia" w:ascii="宋体" w:hAnsi="宋体"/>
          <w:szCs w:val="21"/>
        </w:rPr>
        <w:t>5.以上事项如有虚假或隐瞒，我方愿意承担一切后果。</w:t>
      </w:r>
    </w:p>
    <w:p>
      <w:pPr>
        <w:snapToGrid w:val="0"/>
        <w:spacing w:before="156" w:beforeLines="50" w:line="340" w:lineRule="exact"/>
        <w:ind w:firstLine="3509" w:firstLineChars="1671"/>
        <w:rPr>
          <w:rFonts w:ascii="宋体" w:hAnsi="宋体"/>
          <w:szCs w:val="21"/>
          <w:u w:val="single"/>
        </w:rPr>
      </w:pPr>
      <w:r>
        <w:rPr>
          <w:rFonts w:hint="eastAsia" w:ascii="宋体" w:hAnsi="宋体"/>
          <w:szCs w:val="21"/>
        </w:rPr>
        <w:t>法定代表人</w:t>
      </w:r>
      <w:r>
        <w:rPr>
          <w:rFonts w:hint="eastAsia" w:ascii="宋体" w:hAnsi="宋体"/>
        </w:rPr>
        <w:t>或委托代理人</w:t>
      </w:r>
      <w:r>
        <w:rPr>
          <w:rFonts w:hint="eastAsia" w:ascii="宋体" w:hAnsi="宋体"/>
          <w:szCs w:val="21"/>
        </w:rPr>
        <w:t>签字：</w:t>
      </w:r>
      <w:r>
        <w:rPr>
          <w:rFonts w:hint="eastAsia" w:ascii="宋体" w:hAnsi="宋体"/>
          <w:szCs w:val="21"/>
          <w:u w:val="single"/>
        </w:rPr>
        <w:t xml:space="preserve">             </w:t>
      </w:r>
    </w:p>
    <w:p>
      <w:pPr>
        <w:snapToGrid w:val="0"/>
        <w:spacing w:before="156" w:beforeLines="50" w:after="50" w:line="340" w:lineRule="exact"/>
        <w:ind w:firstLine="3570" w:firstLineChars="1700"/>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snapToGrid w:val="0"/>
        <w:spacing w:before="156" w:beforeLines="50" w:after="50" w:line="340" w:lineRule="exact"/>
        <w:ind w:firstLine="210" w:firstLineChars="100"/>
        <w:rPr>
          <w:rFonts w:ascii="宋体" w:hAnsi="宋体"/>
          <w:szCs w:val="21"/>
        </w:rPr>
      </w:pPr>
      <w:r>
        <w:rPr>
          <w:rFonts w:hint="eastAsia" w:ascii="宋体" w:hAnsi="宋体"/>
          <w:szCs w:val="21"/>
        </w:rPr>
        <w:t xml:space="preserve">                                          年    月    日</w:t>
      </w:r>
    </w:p>
    <w:p>
      <w:pPr>
        <w:widowControl/>
        <w:spacing w:before="100" w:beforeAutospacing="1" w:after="100" w:afterAutospacing="1" w:line="432" w:lineRule="auto"/>
        <w:jc w:val="left"/>
        <w:rPr>
          <w:rFonts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ascii="宋体" w:hAnsi="宋体"/>
          <w:b/>
          <w:szCs w:val="21"/>
        </w:rPr>
      </w:pPr>
    </w:p>
    <w:p>
      <w:pPr>
        <w:widowControl/>
        <w:spacing w:before="100" w:beforeAutospacing="1" w:after="100" w:afterAutospacing="1" w:line="432" w:lineRule="auto"/>
        <w:jc w:val="left"/>
        <w:rPr>
          <w:rFonts w:ascii="宋体" w:hAnsi="宋体"/>
          <w:b/>
          <w:szCs w:val="21"/>
        </w:rPr>
      </w:pPr>
    </w:p>
    <w:p>
      <w:pPr>
        <w:snapToGrid w:val="0"/>
        <w:spacing w:before="50" w:after="156" w:afterLines="50" w:line="340" w:lineRule="exact"/>
        <w:jc w:val="left"/>
        <w:rPr>
          <w:rFonts w:ascii="宋体" w:hAnsi="宋体"/>
          <w:b/>
          <w:szCs w:val="21"/>
        </w:rPr>
      </w:pPr>
    </w:p>
    <w:p>
      <w:pPr>
        <w:pageBreakBefore/>
        <w:snapToGrid w:val="0"/>
        <w:spacing w:before="50" w:after="156" w:afterLines="50" w:line="340" w:lineRule="exact"/>
        <w:jc w:val="left"/>
        <w:rPr>
          <w:rFonts w:ascii="宋体" w:hAnsi="宋体"/>
          <w:b/>
          <w:szCs w:val="21"/>
        </w:rPr>
      </w:pPr>
      <w:r>
        <w:rPr>
          <w:rFonts w:hint="eastAsia" w:ascii="宋体" w:hAnsi="宋体"/>
          <w:b/>
          <w:szCs w:val="21"/>
        </w:rPr>
        <w:t>（3）法定代表人授权委托书格式：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ascii="宋体" w:hAnsi="宋体"/>
          <w:b/>
          <w:sz w:val="30"/>
          <w:szCs w:val="30"/>
        </w:rPr>
      </w:pPr>
      <w:r>
        <w:rPr>
          <w:rFonts w:hint="eastAsia" w:ascii="宋体" w:hAnsi="宋体"/>
          <w:b/>
          <w:sz w:val="30"/>
          <w:szCs w:val="30"/>
        </w:rPr>
        <w:t>法定代表人授权委托书</w:t>
      </w:r>
    </w:p>
    <w:p>
      <w:pPr>
        <w:snapToGrid w:val="0"/>
        <w:spacing w:before="156" w:beforeLines="50" w:after="50" w:line="340" w:lineRule="exact"/>
        <w:rPr>
          <w:rFonts w:ascii="宋体" w:hAnsi="宋体"/>
          <w:b/>
          <w:bCs/>
          <w:szCs w:val="21"/>
        </w:rPr>
      </w:pPr>
      <w:r>
        <w:rPr>
          <w:rFonts w:hint="eastAsia" w:ascii="宋体" w:hAnsi="宋体"/>
          <w:bCs/>
          <w:szCs w:val="21"/>
        </w:rPr>
        <w:t>致：</w:t>
      </w:r>
      <w:r>
        <w:rPr>
          <w:rFonts w:hint="eastAsia" w:ascii="宋体" w:hAnsi="宋体"/>
          <w:szCs w:val="21"/>
        </w:rPr>
        <w:t>_</w:t>
      </w:r>
      <w:r>
        <w:rPr>
          <w:rFonts w:hint="eastAsia" w:ascii="宋体" w:hAnsi="宋体"/>
          <w:u w:val="single"/>
        </w:rPr>
        <w:t>广西壮族自治区公共资源交易中心</w:t>
      </w:r>
      <w:r>
        <w:rPr>
          <w:rFonts w:hint="eastAsia" w:ascii="宋体" w:hAnsi="宋体"/>
          <w:szCs w:val="21"/>
        </w:rPr>
        <w:t>：</w:t>
      </w:r>
    </w:p>
    <w:p>
      <w:pPr>
        <w:snapToGrid w:val="0"/>
        <w:spacing w:before="156" w:beforeLines="50" w:after="50" w:line="340" w:lineRule="exact"/>
        <w:ind w:firstLine="630" w:firstLineChars="300"/>
        <w:rPr>
          <w:rFonts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法定代表人签字</w:t>
      </w:r>
      <w:r>
        <w:rPr>
          <w:rFonts w:hint="eastAsia" w:ascii="宋体" w:hAnsi="宋体"/>
          <w:szCs w:val="21"/>
          <w:lang w:eastAsia="zh-CN"/>
        </w:rPr>
        <w:t>（或签章）</w:t>
      </w:r>
      <w:r>
        <w:rPr>
          <w:rFonts w:hint="eastAsia" w:ascii="宋体" w:hAnsi="宋体"/>
          <w:szCs w:val="21"/>
        </w:rPr>
        <w:t>：</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5"/>
        <w:tblW w:w="0" w:type="auto"/>
        <w:tblInd w:w="0" w:type="dxa"/>
        <w:tblLayout w:type="fixed"/>
        <w:tblCellMar>
          <w:top w:w="0" w:type="dxa"/>
          <w:left w:w="108" w:type="dxa"/>
          <w:bottom w:w="0" w:type="dxa"/>
          <w:right w:w="108" w:type="dxa"/>
        </w:tblCellMar>
      </w:tblPr>
      <w:tblGrid>
        <w:gridCol w:w="5480"/>
      </w:tblGrid>
      <w:tr>
        <w:tblPrEx>
          <w:tblCellMar>
            <w:top w:w="0" w:type="dxa"/>
            <w:left w:w="108" w:type="dxa"/>
            <w:bottom w:w="0" w:type="dxa"/>
            <w:right w:w="108" w:type="dxa"/>
          </w:tblCellMar>
        </w:tblPrEx>
        <w:trPr>
          <w:trHeight w:val="2467" w:hRule="atLeast"/>
        </w:trPr>
        <w:tc>
          <w:tcPr>
            <w:tcW w:w="5600" w:type="dxa"/>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ascii="宋体" w:hAnsi="宋体"/>
          <w:szCs w:val="21"/>
        </w:rPr>
      </w:pPr>
      <w:r>
        <w:rPr>
          <w:rFonts w:hint="eastAsia" w:ascii="宋体" w:hAnsi="宋体"/>
          <w:szCs w:val="21"/>
        </w:rPr>
        <w:t xml:space="preserve">                                        年    月    日</w:t>
      </w:r>
    </w:p>
    <w:p>
      <w:pPr>
        <w:snapToGrid w:val="0"/>
        <w:spacing w:line="360" w:lineRule="exact"/>
        <w:jc w:val="left"/>
        <w:rPr>
          <w:rFonts w:ascii="宋体" w:hAnsi="宋体"/>
          <w:b/>
          <w:szCs w:val="21"/>
        </w:rPr>
      </w:pPr>
    </w:p>
    <w:p>
      <w:pPr>
        <w:snapToGrid w:val="0"/>
        <w:spacing w:before="50" w:after="156" w:afterLines="50" w:line="360" w:lineRule="exact"/>
        <w:ind w:firstLine="203" w:firstLineChars="97"/>
        <w:jc w:val="left"/>
        <w:rPr>
          <w:rFonts w:ascii="宋体" w:hAnsi="宋体"/>
          <w:b/>
          <w:szCs w:val="21"/>
        </w:rPr>
      </w:pPr>
      <w:r>
        <w:rPr>
          <w:rFonts w:hint="eastAsia" w:ascii="宋体" w:hAnsi="宋体"/>
          <w:b/>
          <w:szCs w:val="21"/>
        </w:rPr>
        <w:t>（4）投标截止之日前半年内投标人连续三个月</w:t>
      </w:r>
      <w:r>
        <w:rPr>
          <w:rFonts w:hint="eastAsia" w:ascii="宋体" w:hAnsi="宋体"/>
          <w:szCs w:val="21"/>
        </w:rPr>
        <w:t>依法纳税的依法缴纳税费或依法免缴税费的证明</w:t>
      </w:r>
      <w:r>
        <w:rPr>
          <w:rFonts w:hint="eastAsia" w:ascii="宋体" w:hAnsi="宋体"/>
          <w:b/>
          <w:szCs w:val="21"/>
        </w:rPr>
        <w:t>（扫描件或其他电子文件，格式自拟）（必须提供）；</w:t>
      </w:r>
      <w:r>
        <w:rPr>
          <w:rFonts w:hint="eastAsia" w:ascii="宋体" w:hAnsi="宋体"/>
          <w:szCs w:val="21"/>
        </w:rPr>
        <w:t>无纳税记录的，应提供由投标人所在地主管国税或地税部门出具的《依法纳税或依法免税证明》（格式自拟，扫描件或其他电子文件）</w:t>
      </w:r>
      <w:r>
        <w:rPr>
          <w:rFonts w:hint="eastAsia" w:ascii="宋体" w:hAnsi="宋体"/>
          <w:b/>
          <w:szCs w:val="21"/>
        </w:rPr>
        <w:t>。</w:t>
      </w:r>
    </w:p>
    <w:p>
      <w:pPr>
        <w:snapToGrid w:val="0"/>
        <w:spacing w:before="50" w:after="156" w:afterLines="50" w:line="360" w:lineRule="exact"/>
        <w:ind w:firstLine="203" w:firstLineChars="97"/>
        <w:jc w:val="left"/>
        <w:rPr>
          <w:rFonts w:ascii="宋体" w:hAnsi="宋体"/>
          <w:szCs w:val="21"/>
        </w:rPr>
      </w:pPr>
      <w:r>
        <w:rPr>
          <w:rFonts w:hint="eastAsia" w:ascii="宋体" w:hAnsi="宋体"/>
          <w:b/>
          <w:szCs w:val="21"/>
        </w:rPr>
        <w:t>（5）</w:t>
      </w:r>
      <w:r>
        <w:rPr>
          <w:rFonts w:hint="eastAsia" w:ascii="宋体" w:hAnsi="宋体"/>
          <w:szCs w:val="21"/>
        </w:rPr>
        <w:t>投标截止之日前半年内投标人连续三个月的依法缴纳社保费的缴费凭证（</w:t>
      </w:r>
      <w:r>
        <w:rPr>
          <w:rFonts w:hint="eastAsia" w:ascii="宋体" w:hAnsi="宋体"/>
          <w:b/>
          <w:szCs w:val="21"/>
        </w:rPr>
        <w:t>扫描件或其他电子文件，格式自拟）（必须提供）；</w:t>
      </w:r>
      <w:r>
        <w:rPr>
          <w:rFonts w:hint="eastAsia" w:ascii="宋体" w:hAnsi="宋体"/>
          <w:szCs w:val="21"/>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ascii="宋体" w:hAnsi="宋体"/>
          <w:b/>
          <w:szCs w:val="21"/>
        </w:rPr>
      </w:pPr>
      <w:r>
        <w:rPr>
          <w:rFonts w:hint="eastAsia" w:ascii="宋体" w:hAnsi="宋体"/>
          <w:b/>
          <w:szCs w:val="21"/>
        </w:rPr>
        <w:t xml:space="preserve">  （6）</w:t>
      </w:r>
      <w:r>
        <w:rPr>
          <w:rFonts w:hint="eastAsia" w:ascii="宋体" w:hAnsi="宋体"/>
          <w:szCs w:val="21"/>
        </w:rPr>
        <w:t>财务状况报告</w:t>
      </w:r>
      <w:r>
        <w:rPr>
          <w:rFonts w:hint="eastAsia" w:ascii="宋体" w:hAnsi="宋体"/>
          <w:b/>
          <w:szCs w:val="21"/>
        </w:rPr>
        <w:t>；（必须提供）</w:t>
      </w:r>
    </w:p>
    <w:p>
      <w:pPr>
        <w:snapToGrid w:val="0"/>
        <w:spacing w:before="50" w:after="156" w:afterLines="50" w:line="360" w:lineRule="exact"/>
        <w:ind w:firstLine="203" w:firstLineChars="97"/>
        <w:jc w:val="left"/>
        <w:rPr>
          <w:rFonts w:ascii="宋体" w:hAnsi="宋体" w:cs="宋体"/>
          <w:b/>
          <w:kern w:val="0"/>
          <w:szCs w:val="21"/>
        </w:rPr>
      </w:pPr>
      <w:r>
        <w:rPr>
          <w:rFonts w:hint="eastAsia" w:ascii="宋体" w:hAnsi="宋体" w:cs="宋体"/>
          <w:b/>
          <w:kern w:val="0"/>
          <w:szCs w:val="21"/>
        </w:rPr>
        <w:t>（7）</w:t>
      </w:r>
      <w:r>
        <w:rPr>
          <w:rFonts w:hint="eastAsia" w:ascii="宋体" w:hAnsi="宋体"/>
          <w:szCs w:val="21"/>
        </w:rPr>
        <w:t>具备履行合同所必需的设备和专业技术能力的证明材料</w:t>
      </w:r>
      <w:r>
        <w:rPr>
          <w:rFonts w:hint="eastAsia" w:ascii="宋体" w:hAnsi="宋体"/>
          <w:b/>
          <w:szCs w:val="21"/>
        </w:rPr>
        <w:t>（格式自拟，必须提供）</w:t>
      </w:r>
      <w:r>
        <w:rPr>
          <w:rFonts w:hint="eastAsia" w:ascii="宋体" w:hAnsi="宋体" w:cs="宋体"/>
          <w:b/>
          <w:kern w:val="0"/>
          <w:szCs w:val="21"/>
        </w:rPr>
        <w:t>；</w:t>
      </w:r>
    </w:p>
    <w:p>
      <w:pPr>
        <w:snapToGrid w:val="0"/>
        <w:spacing w:before="50" w:after="156" w:afterLines="50" w:line="360" w:lineRule="exact"/>
        <w:ind w:firstLine="203" w:firstLineChars="97"/>
        <w:jc w:val="left"/>
        <w:rPr>
          <w:rFonts w:ascii="宋体" w:hAnsi="宋体"/>
          <w:b/>
          <w:szCs w:val="21"/>
        </w:rPr>
      </w:pPr>
      <w:r>
        <w:rPr>
          <w:rFonts w:ascii="宋体" w:hAnsi="宋体"/>
          <w:b/>
          <w:szCs w:val="21"/>
        </w:rPr>
        <w:br w:type="page"/>
      </w:r>
      <w:r>
        <w:rPr>
          <w:rFonts w:hint="eastAsia" w:ascii="宋体" w:hAnsi="宋体"/>
          <w:b/>
          <w:szCs w:val="21"/>
        </w:rPr>
        <w:t>（</w:t>
      </w:r>
      <w:r>
        <w:rPr>
          <w:rFonts w:hint="eastAsia" w:ascii="宋体" w:hAnsi="宋体"/>
          <w:b/>
          <w:szCs w:val="21"/>
          <w:lang w:val="en-US" w:eastAsia="zh-CN"/>
        </w:rPr>
        <w:t>8</w:t>
      </w:r>
      <w:r>
        <w:rPr>
          <w:rFonts w:hint="eastAsia" w:ascii="宋体" w:hAnsi="宋体"/>
          <w:b/>
          <w:szCs w:val="21"/>
        </w:rPr>
        <w:t>）商务响应表格式：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105" w:hanging="105" w:hangingChars="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ascii="宋体" w:hAnsi="宋体"/>
                <w:szCs w:val="21"/>
              </w:rPr>
            </w:pPr>
          </w:p>
        </w:tc>
      </w:tr>
    </w:tbl>
    <w:p>
      <w:pPr>
        <w:snapToGrid w:val="0"/>
        <w:spacing w:before="50" w:after="50" w:line="360" w:lineRule="exact"/>
        <w:ind w:firstLine="210" w:firstLineChars="100"/>
        <w:rPr>
          <w:rFonts w:ascii="宋体" w:hAnsi="宋体"/>
          <w:spacing w:val="20"/>
          <w:szCs w:val="21"/>
          <w:u w:val="single"/>
        </w:rPr>
      </w:pP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ascii="宋体" w:hAnsi="宋体"/>
          <w:b/>
          <w:szCs w:val="21"/>
        </w:rPr>
      </w:pPr>
    </w:p>
    <w:p>
      <w:pPr>
        <w:snapToGrid w:val="0"/>
        <w:spacing w:line="360" w:lineRule="exact"/>
        <w:ind w:left="840" w:hanging="840" w:hangingChars="400"/>
        <w:jc w:val="left"/>
        <w:rPr>
          <w:rFonts w:ascii="宋体" w:hAnsi="宋体"/>
          <w:b/>
          <w:szCs w:val="21"/>
        </w:rPr>
      </w:pPr>
      <w:r>
        <w:rPr>
          <w:rFonts w:hint="eastAsia" w:ascii="宋体" w:hAnsi="宋体"/>
        </w:rPr>
        <w:t>▲</w:t>
      </w:r>
      <w:r>
        <w:rPr>
          <w:rFonts w:hint="eastAsia" w:ascii="宋体" w:hAnsi="宋体"/>
          <w:b/>
          <w:szCs w:val="21"/>
        </w:rPr>
        <w:t>（</w:t>
      </w:r>
      <w:r>
        <w:rPr>
          <w:rFonts w:hint="eastAsia" w:ascii="宋体" w:hAnsi="宋体"/>
          <w:b/>
          <w:szCs w:val="21"/>
          <w:lang w:val="en-US" w:eastAsia="zh-CN"/>
        </w:rPr>
        <w:t>9</w:t>
      </w:r>
      <w:r>
        <w:rPr>
          <w:rFonts w:hint="eastAsia" w:ascii="宋体" w:hAnsi="宋体"/>
          <w:b/>
          <w:szCs w:val="21"/>
        </w:rPr>
        <w:t>）招标项目采购需求中要求必须提供的材料等；</w:t>
      </w:r>
      <w:r>
        <w:rPr>
          <w:rFonts w:hint="eastAsia" w:ascii="宋体" w:hAnsi="宋体"/>
          <w:szCs w:val="21"/>
        </w:rPr>
        <w:t>（招标项目采购需求中要求必须提供的材料，据实提供）</w:t>
      </w:r>
    </w:p>
    <w:p>
      <w:pPr>
        <w:snapToGrid w:val="0"/>
        <w:spacing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0</w:t>
      </w:r>
      <w:r>
        <w:rPr>
          <w:rFonts w:hint="eastAsia" w:ascii="宋体" w:hAnsi="宋体"/>
          <w:b/>
          <w:szCs w:val="21"/>
        </w:rPr>
        <w:t>）</w:t>
      </w:r>
      <w:r>
        <w:rPr>
          <w:rFonts w:hint="eastAsia" w:ascii="宋体" w:hAnsi="宋体"/>
          <w:szCs w:val="21"/>
        </w:rPr>
        <w:t>具备法律、行政法规规定的其他条件的证明材料</w:t>
      </w:r>
      <w:r>
        <w:rPr>
          <w:rFonts w:hint="eastAsia" w:ascii="宋体" w:hAnsi="宋体"/>
          <w:b/>
          <w:szCs w:val="21"/>
        </w:rPr>
        <w:t>；</w:t>
      </w:r>
      <w:r>
        <w:rPr>
          <w:rFonts w:hint="eastAsia" w:ascii="宋体" w:hAnsi="宋体"/>
          <w:szCs w:val="21"/>
        </w:rPr>
        <w:t>（格式自拟）</w:t>
      </w:r>
    </w:p>
    <w:p>
      <w:pPr>
        <w:snapToGrid w:val="0"/>
        <w:spacing w:before="50" w:after="156" w:afterLines="50" w:line="360" w:lineRule="exact"/>
        <w:ind w:firstLine="205" w:firstLineChars="98"/>
        <w:jc w:val="left"/>
        <w:rPr>
          <w:rFonts w:ascii="宋体" w:hAnsi="宋体"/>
          <w:b/>
          <w:szCs w:val="21"/>
        </w:rPr>
      </w:pPr>
      <w:r>
        <w:rPr>
          <w:rFonts w:hint="eastAsia" w:ascii="宋体" w:hAnsi="宋体"/>
          <w:b/>
          <w:szCs w:val="21"/>
        </w:rPr>
        <w:t>（1</w:t>
      </w:r>
      <w:r>
        <w:rPr>
          <w:rFonts w:hint="eastAsia" w:ascii="宋体" w:hAnsi="宋体"/>
          <w:b/>
          <w:szCs w:val="21"/>
          <w:lang w:val="en-US" w:eastAsia="zh-CN"/>
        </w:rPr>
        <w:t>1</w:t>
      </w:r>
      <w:r>
        <w:rPr>
          <w:rFonts w:hint="eastAsia" w:ascii="宋体" w:hAnsi="宋体"/>
          <w:b/>
          <w:szCs w:val="21"/>
        </w:rPr>
        <w:t>）</w:t>
      </w:r>
      <w:r>
        <w:rPr>
          <w:rFonts w:hint="eastAsia" w:ascii="宋体" w:hAnsi="宋体"/>
          <w:szCs w:val="21"/>
        </w:rPr>
        <w:t>投标人的类似成功案例的业绩证明文件：</w:t>
      </w:r>
    </w:p>
    <w:p>
      <w:pPr>
        <w:pStyle w:val="40"/>
        <w:snapToGrid w:val="0"/>
        <w:spacing w:line="360" w:lineRule="exact"/>
        <w:ind w:left="96" w:leftChars="46" w:firstLine="420" w:firstLineChars="200"/>
        <w:rPr>
          <w:rFonts w:ascii="宋体" w:hAnsi="宋体"/>
          <w:sz w:val="21"/>
          <w:szCs w:val="21"/>
        </w:rPr>
      </w:pPr>
      <w:r>
        <w:rPr>
          <w:rFonts w:hint="eastAsia" w:ascii="宋体" w:hAnsi="宋体"/>
          <w:sz w:val="21"/>
          <w:szCs w:val="21"/>
        </w:rPr>
        <w:t>投标人同类项目实施情况一览表格式：（投标人同类项目合同扫描件、用户验收报告、用户评价意见格式自拟）</w:t>
      </w:r>
    </w:p>
    <w:tbl>
      <w:tblPr>
        <w:tblStyle w:val="55"/>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ascii="宋体" w:hAnsi="宋体"/>
                <w:szCs w:val="21"/>
              </w:rPr>
            </w:pPr>
          </w:p>
        </w:tc>
      </w:tr>
    </w:tbl>
    <w:p>
      <w:pPr>
        <w:pStyle w:val="15"/>
        <w:snapToGrid w:val="0"/>
        <w:spacing w:line="360" w:lineRule="exact"/>
        <w:rPr>
          <w:rFonts w:ascii="宋体" w:hAnsi="宋体" w:eastAsia="宋体"/>
          <w:sz w:val="21"/>
          <w:szCs w:val="21"/>
          <w:u w:val="single"/>
        </w:rPr>
      </w:pPr>
      <w:r>
        <w:rPr>
          <w:rFonts w:hint="eastAsia" w:ascii="宋体" w:hAnsi="宋体" w:eastAsia="宋体"/>
          <w:sz w:val="21"/>
          <w:szCs w:val="21"/>
        </w:rPr>
        <w:t>法定代表人或委托代理人签字：</w:t>
      </w:r>
      <w:r>
        <w:rPr>
          <w:rFonts w:hint="eastAsia" w:ascii="宋体" w:hAnsi="宋体" w:eastAsia="宋体"/>
          <w:sz w:val="21"/>
          <w:szCs w:val="21"/>
          <w:u w:val="single"/>
        </w:rPr>
        <w:t>　　　　　</w:t>
      </w:r>
    </w:p>
    <w:p>
      <w:pPr>
        <w:snapToGrid w:val="0"/>
        <w:spacing w:before="50" w:line="360" w:lineRule="exact"/>
        <w:jc w:val="left"/>
        <w:rPr>
          <w:rFonts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numPr>
          <w:ilvl w:val="0"/>
          <w:numId w:val="6"/>
        </w:numPr>
        <w:snapToGrid w:val="0"/>
        <w:spacing w:before="50" w:line="360" w:lineRule="exact"/>
        <w:ind w:firstLine="281" w:firstLineChars="134"/>
        <w:jc w:val="left"/>
        <w:rPr>
          <w:rFonts w:hint="eastAsia" w:ascii="宋体" w:hAnsi="宋体"/>
          <w:b w:val="0"/>
          <w:bCs/>
          <w:szCs w:val="21"/>
        </w:rPr>
      </w:pPr>
      <w:r>
        <w:rPr>
          <w:rFonts w:hint="eastAsia" w:ascii="宋体" w:hAnsi="宋体"/>
          <w:b w:val="0"/>
          <w:bCs/>
          <w:szCs w:val="21"/>
        </w:rPr>
        <w:t>其他特殊资质证书（如本地化服务能力等）；（按要求提供）</w:t>
      </w:r>
    </w:p>
    <w:p>
      <w:pPr>
        <w:numPr>
          <w:ilvl w:val="0"/>
          <w:numId w:val="6"/>
        </w:numPr>
        <w:snapToGrid w:val="0"/>
        <w:spacing w:before="50" w:line="360" w:lineRule="exact"/>
        <w:ind w:firstLine="281" w:firstLineChars="134"/>
        <w:jc w:val="left"/>
        <w:rPr>
          <w:rFonts w:hint="eastAsia" w:hAnsi="宋体"/>
          <w:color w:val="auto"/>
          <w:szCs w:val="21"/>
          <w:highlight w:val="none"/>
          <w:shd w:val="clear" w:color="auto" w:fill="auto"/>
          <w:lang w:eastAsia="zh-CN"/>
        </w:rPr>
      </w:pPr>
      <w:r>
        <w:rPr>
          <w:rFonts w:hint="eastAsia" w:hAnsi="宋体"/>
          <w:color w:val="auto"/>
          <w:szCs w:val="21"/>
          <w:highlight w:val="none"/>
          <w:shd w:val="clear" w:color="auto" w:fill="auto"/>
        </w:rPr>
        <w:t>节能环保产品或政府强制采购节能产品清单证书</w:t>
      </w:r>
      <w:r>
        <w:rPr>
          <w:rFonts w:hint="eastAsia" w:hAnsi="宋体"/>
          <w:color w:val="auto"/>
          <w:szCs w:val="21"/>
          <w:highlight w:val="none"/>
          <w:shd w:val="clear" w:color="auto" w:fill="auto"/>
          <w:lang w:eastAsia="zh-CN"/>
        </w:rPr>
        <w:t>；</w:t>
      </w:r>
    </w:p>
    <w:p>
      <w:pPr>
        <w:snapToGrid w:val="0"/>
        <w:spacing w:line="360" w:lineRule="exact"/>
        <w:ind w:firstLine="281" w:firstLineChars="134"/>
        <w:jc w:val="left"/>
        <w:rPr>
          <w:rFonts w:ascii="宋体" w:hAnsi="宋体"/>
          <w:szCs w:val="21"/>
        </w:rPr>
      </w:pPr>
      <w:r>
        <w:rPr>
          <w:rFonts w:hint="eastAsia" w:ascii="宋体" w:hAnsi="宋体"/>
          <w:b w:val="0"/>
          <w:bCs/>
          <w:szCs w:val="21"/>
        </w:rPr>
        <w:t>（14）</w:t>
      </w:r>
      <w:r>
        <w:rPr>
          <w:rFonts w:hint="eastAsia" w:ascii="宋体" w:hAnsi="宋体"/>
          <w:szCs w:val="21"/>
        </w:rPr>
        <w:t>投标人质量管理和质量保证体系等方面的认证证书；（按要求提供）</w:t>
      </w:r>
    </w:p>
    <w:p>
      <w:pPr>
        <w:snapToGrid w:val="0"/>
        <w:spacing w:line="360" w:lineRule="exact"/>
        <w:ind w:firstLine="281" w:firstLineChars="134"/>
        <w:jc w:val="left"/>
        <w:rPr>
          <w:rFonts w:ascii="宋体" w:hAnsi="宋体"/>
          <w:szCs w:val="21"/>
        </w:rPr>
      </w:pPr>
      <w:r>
        <w:rPr>
          <w:rFonts w:hint="eastAsia" w:ascii="宋体" w:hAnsi="宋体"/>
          <w:szCs w:val="21"/>
        </w:rPr>
        <w:t>（15）投标人认为可以证明其能力或业绩的其他材料；格式自拟</w:t>
      </w:r>
    </w:p>
    <w:p>
      <w:pPr>
        <w:snapToGrid w:val="0"/>
        <w:spacing w:line="360" w:lineRule="exact"/>
        <w:ind w:firstLine="281" w:firstLineChars="134"/>
        <w:jc w:val="left"/>
        <w:rPr>
          <w:rFonts w:hint="eastAsia" w:ascii="宋体" w:hAnsi="宋体"/>
          <w:szCs w:val="21"/>
        </w:rPr>
      </w:pPr>
      <w:r>
        <w:rPr>
          <w:rFonts w:hint="eastAsia" w:ascii="宋体" w:hAnsi="宋体"/>
          <w:szCs w:val="21"/>
        </w:rPr>
        <w:t>（16）</w:t>
      </w:r>
      <w:r>
        <w:rPr>
          <w:rFonts w:hint="eastAsia" w:hAnsi="宋体"/>
          <w:color w:val="auto"/>
          <w:szCs w:val="21"/>
          <w:highlight w:val="none"/>
          <w:shd w:val="clear" w:color="auto" w:fill="auto"/>
        </w:rPr>
        <w:t>投标人关于产品生产时间、升级或者更新淘汰计划、配件供应以及本单位债务纠纷、违法违规记录等方面的情况（内容见投标声明书）</w:t>
      </w:r>
      <w:r>
        <w:rPr>
          <w:rFonts w:hint="eastAsia" w:ascii="宋体" w:hAnsi="宋体"/>
          <w:szCs w:val="21"/>
        </w:rPr>
        <w:t>；</w:t>
      </w:r>
    </w:p>
    <w:p>
      <w:pPr>
        <w:snapToGrid w:val="0"/>
        <w:spacing w:line="360" w:lineRule="exact"/>
        <w:ind w:firstLine="281" w:firstLineChars="134"/>
        <w:jc w:val="left"/>
        <w:rPr>
          <w:rFonts w:ascii="宋体" w:hAnsi="宋体"/>
          <w:szCs w:val="21"/>
        </w:rPr>
      </w:pPr>
      <w:r>
        <w:rPr>
          <w:rFonts w:hint="eastAsia" w:ascii="宋体" w:hAnsi="宋体"/>
          <w:szCs w:val="21"/>
        </w:rPr>
        <w:t>（17）投标人情况介绍。（主要服务能力、规模、经营业绩等，格式自拟）；</w:t>
      </w:r>
    </w:p>
    <w:p>
      <w:pPr>
        <w:snapToGrid w:val="0"/>
        <w:spacing w:line="360" w:lineRule="exact"/>
        <w:ind w:firstLine="411" w:firstLineChars="196"/>
        <w:jc w:val="left"/>
        <w:rPr>
          <w:rFonts w:ascii="宋体" w:hAnsi="宋体"/>
          <w:szCs w:val="21"/>
        </w:rPr>
      </w:pPr>
      <w:r>
        <w:rPr>
          <w:rFonts w:hint="eastAsia" w:ascii="宋体" w:hAnsi="宋体"/>
          <w:szCs w:val="21"/>
        </w:rPr>
        <w:t>（18）中小企业声明函：</w:t>
      </w:r>
    </w:p>
    <w:p>
      <w:pPr>
        <w:pStyle w:val="138"/>
        <w:spacing w:after="0"/>
      </w:pPr>
      <w:r>
        <w:t>中小企业声明函</w:t>
      </w:r>
    </w:p>
    <w:p>
      <w:pPr>
        <w:pStyle w:val="138"/>
        <w:spacing w:after="0"/>
      </w:pPr>
    </w:p>
    <w:p>
      <w:pPr>
        <w:pStyle w:val="126"/>
        <w:spacing w:line="506" w:lineRule="exact"/>
        <w:ind w:firstLine="640"/>
        <w:jc w:val="both"/>
        <w:rPr>
          <w:sz w:val="21"/>
          <w:szCs w:val="21"/>
        </w:rPr>
      </w:pPr>
      <w:r>
        <w:rPr>
          <w:sz w:val="21"/>
          <w:szCs w:val="21"/>
        </w:rPr>
        <w:t>本公司（联合体）郑重声明，根据《政府采购促进中小企业发展管理办法》（财库〔2020〕46号）的规定，本公司 （联合体）参加</w:t>
      </w:r>
      <w:r>
        <w:rPr>
          <w:sz w:val="21"/>
          <w:szCs w:val="21"/>
          <w:u w:val="single"/>
        </w:rPr>
        <w:t>（单位名称）</w:t>
      </w:r>
      <w:r>
        <w:rPr>
          <w:sz w:val="21"/>
          <w:szCs w:val="21"/>
        </w:rPr>
        <w:t>的</w:t>
      </w:r>
      <w:r>
        <w:rPr>
          <w:sz w:val="21"/>
          <w:szCs w:val="21"/>
          <w:u w:val="single"/>
        </w:rPr>
        <w:t>（项目名称）</w:t>
      </w:r>
      <w:r>
        <w:rPr>
          <w:rFonts w:hint="eastAsia"/>
          <w:sz w:val="21"/>
          <w:szCs w:val="21"/>
          <w:lang w:eastAsia="zh-CN"/>
        </w:rPr>
        <w:t>采</w:t>
      </w:r>
      <w:r>
        <w:rPr>
          <w:sz w:val="21"/>
          <w:szCs w:val="21"/>
        </w:rPr>
        <w:t>购活动</w:t>
      </w:r>
      <w:r>
        <w:rPr>
          <w:rFonts w:hint="eastAsia"/>
          <w:sz w:val="21"/>
          <w:szCs w:val="21"/>
        </w:rPr>
        <w:t>，</w:t>
      </w:r>
      <w:r>
        <w:rPr>
          <w:sz w:val="21"/>
          <w:szCs w:val="21"/>
        </w:rPr>
        <w:t>提供的货物全部由符合政策要求的中小企业制造。相关企业（含联合体中的中小企业、签订分包意向协议的中小企业）的具体情况如下</w:t>
      </w:r>
      <w:bookmarkStart w:id="59" w:name="bookmark1"/>
      <w:bookmarkEnd w:id="59"/>
      <w:r>
        <w:rPr>
          <w:rFonts w:hint="eastAsia"/>
          <w:sz w:val="21"/>
          <w:szCs w:val="21"/>
        </w:rPr>
        <w:t>：</w:t>
      </w:r>
    </w:p>
    <w:p>
      <w:pPr>
        <w:pStyle w:val="126"/>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rPr>
        <w:t>人，营业收入为万元，资产总额为万元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2.</w:t>
      </w:r>
      <w:r>
        <w:rPr>
          <w:sz w:val="21"/>
          <w:szCs w:val="21"/>
          <w:u w:val="single"/>
        </w:rPr>
        <w:t>（标的名称）</w:t>
      </w:r>
      <w:r>
        <w:rPr>
          <w:rFonts w:hint="eastAsia"/>
          <w:sz w:val="21"/>
          <w:szCs w:val="21"/>
        </w:rPr>
        <w:t>，</w:t>
      </w:r>
      <w:r>
        <w:rPr>
          <w:sz w:val="21"/>
          <w:szCs w:val="21"/>
        </w:rPr>
        <w:t>属于</w:t>
      </w:r>
      <w:r>
        <w:rPr>
          <w:sz w:val="21"/>
          <w:szCs w:val="21"/>
          <w:u w:val="single"/>
        </w:rPr>
        <w:t>（</w:t>
      </w:r>
      <w:r>
        <w:rPr>
          <w:rFonts w:hint="eastAsia"/>
          <w:sz w:val="21"/>
          <w:szCs w:val="21"/>
          <w:u w:val="single"/>
          <w:lang w:eastAsia="zh-CN"/>
        </w:rPr>
        <w:t>采</w:t>
      </w:r>
      <w:r>
        <w:rPr>
          <w:sz w:val="21"/>
          <w:szCs w:val="21"/>
          <w:u w:val="single"/>
        </w:rPr>
        <w:t>购文件中明确的所属行业）行业</w:t>
      </w:r>
      <w:r>
        <w:rPr>
          <w:rFonts w:hint="eastAsia"/>
          <w:sz w:val="21"/>
          <w:szCs w:val="21"/>
        </w:rPr>
        <w:t>；</w:t>
      </w:r>
      <w:r>
        <w:rPr>
          <w:sz w:val="21"/>
          <w:szCs w:val="21"/>
        </w:rPr>
        <w:t>制造商为</w:t>
      </w:r>
      <w:r>
        <w:rPr>
          <w:sz w:val="21"/>
          <w:szCs w:val="21"/>
          <w:u w:val="single"/>
        </w:rPr>
        <w:t>（企业名称）</w:t>
      </w:r>
      <w:r>
        <w:rPr>
          <w:sz w:val="21"/>
          <w:szCs w:val="21"/>
        </w:rPr>
        <w:t>、从业人员</w:t>
      </w:r>
      <w:r>
        <w:rPr>
          <w:sz w:val="21"/>
          <w:szCs w:val="21"/>
          <w:u w:val="single"/>
        </w:rPr>
        <w:tab/>
      </w:r>
      <w:r>
        <w:rPr>
          <w:sz w:val="21"/>
          <w:szCs w:val="21"/>
        </w:rPr>
        <w:t>人，营业收入为万元，资产总额为万元，属于</w:t>
      </w:r>
      <w:r>
        <w:rPr>
          <w:sz w:val="21"/>
          <w:szCs w:val="21"/>
          <w:u w:val="single"/>
        </w:rPr>
        <w:t>（中型企业、小型 企业、微型企业）</w:t>
      </w:r>
      <w:r>
        <w:rPr>
          <w:rFonts w:hint="eastAsia"/>
          <w:sz w:val="21"/>
          <w:szCs w:val="21"/>
        </w:rPr>
        <w:t>；</w:t>
      </w:r>
    </w:p>
    <w:p>
      <w:pPr>
        <w:pStyle w:val="126"/>
        <w:spacing w:line="506" w:lineRule="exact"/>
        <w:ind w:firstLine="640"/>
        <w:jc w:val="both"/>
        <w:rPr>
          <w:sz w:val="21"/>
          <w:szCs w:val="21"/>
        </w:rPr>
      </w:pPr>
      <w:r>
        <w:rPr>
          <w:rFonts w:hint="eastAsia"/>
          <w:sz w:val="21"/>
          <w:szCs w:val="21"/>
        </w:rPr>
        <w:t>......</w:t>
      </w:r>
    </w:p>
    <w:p>
      <w:pPr>
        <w:pStyle w:val="126"/>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6"/>
        <w:spacing w:after="40" w:line="499" w:lineRule="exact"/>
        <w:ind w:firstLine="640"/>
        <w:jc w:val="both"/>
        <w:rPr>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6"/>
        <w:spacing w:after="40" w:line="499" w:lineRule="exact"/>
        <w:ind w:firstLine="640"/>
        <w:jc w:val="both"/>
        <w:rPr>
          <w:sz w:val="21"/>
          <w:szCs w:val="21"/>
        </w:rPr>
      </w:pPr>
    </w:p>
    <w:p>
      <w:pPr>
        <w:pStyle w:val="126"/>
        <w:spacing w:line="506" w:lineRule="exact"/>
        <w:ind w:firstLine="3368" w:firstLineChars="1604"/>
        <w:jc w:val="both"/>
        <w:rPr>
          <w:sz w:val="21"/>
          <w:szCs w:val="21"/>
        </w:rPr>
      </w:pPr>
      <w:r>
        <w:rPr>
          <w:sz w:val="21"/>
          <w:szCs w:val="21"/>
        </w:rPr>
        <w:t>企业名称（盖章）：</w:t>
      </w:r>
    </w:p>
    <w:p>
      <w:pPr>
        <w:pStyle w:val="126"/>
        <w:spacing w:line="506" w:lineRule="exact"/>
        <w:ind w:firstLine="640"/>
        <w:jc w:val="both"/>
        <w:rPr>
          <w:sz w:val="21"/>
          <w:szCs w:val="21"/>
        </w:rPr>
      </w:pPr>
      <w:r>
        <w:rPr>
          <w:rFonts w:hint="eastAsia"/>
          <w:sz w:val="21"/>
          <w:szCs w:val="21"/>
        </w:rPr>
        <w:t xml:space="preserve">                          日期：</w:t>
      </w:r>
    </w:p>
    <w:p>
      <w:pPr>
        <w:pStyle w:val="138"/>
        <w:spacing w:after="0"/>
        <w:rPr>
          <w:sz w:val="21"/>
          <w:szCs w:val="21"/>
        </w:rPr>
      </w:pPr>
    </w:p>
    <w:p>
      <w:pPr>
        <w:pStyle w:val="138"/>
        <w:spacing w:after="0"/>
      </w:pPr>
    </w:p>
    <w:p>
      <w:pPr>
        <w:pStyle w:val="138"/>
        <w:adjustRightInd w:val="0"/>
        <w:snapToGrid w:val="0"/>
        <w:spacing w:after="0" w:line="360" w:lineRule="exact"/>
        <w:jc w:val="left"/>
        <w:rPr>
          <w:sz w:val="21"/>
          <w:szCs w:val="21"/>
        </w:rPr>
      </w:pPr>
      <w:r>
        <w:rPr>
          <w:sz w:val="21"/>
          <w:szCs w:val="21"/>
        </w:rPr>
        <w:t>备注：</w:t>
      </w:r>
    </w:p>
    <w:p>
      <w:pPr>
        <w:pStyle w:val="138"/>
        <w:adjustRightInd w:val="0"/>
        <w:snapToGrid w:val="0"/>
        <w:spacing w:after="0" w:line="360" w:lineRule="exact"/>
        <w:jc w:val="left"/>
        <w:rPr>
          <w:sz w:val="21"/>
          <w:szCs w:val="21"/>
        </w:rPr>
      </w:pPr>
      <w:r>
        <w:rPr>
          <w:rFonts w:hint="eastAsia"/>
          <w:sz w:val="21"/>
          <w:szCs w:val="21"/>
        </w:rPr>
        <w:t>1.</w:t>
      </w:r>
      <w:r>
        <w:rPr>
          <w:sz w:val="21"/>
          <w:szCs w:val="21"/>
        </w:rPr>
        <w:t>从业人员、营业收入、资产总额填报上一年度数据，无上一年度数据的新成立企业可不填报。</w:t>
      </w:r>
    </w:p>
    <w:p>
      <w:pPr>
        <w:pStyle w:val="138"/>
        <w:adjustRightInd w:val="0"/>
        <w:snapToGrid w:val="0"/>
        <w:spacing w:after="0" w:line="360" w:lineRule="exact"/>
        <w:jc w:val="left"/>
        <w:rPr>
          <w:sz w:val="21"/>
          <w:szCs w:val="21"/>
        </w:rPr>
      </w:pPr>
      <w:r>
        <w:rPr>
          <w:rFonts w:hint="eastAsia"/>
          <w:sz w:val="21"/>
          <w:szCs w:val="21"/>
        </w:rPr>
        <w:t>2.采购文件中明确的所属行业名称是根据《关于印发中小企业划型标准规定的通知》（工信部联企业〔20</w:t>
      </w:r>
      <w:r>
        <w:rPr>
          <w:rFonts w:hint="eastAsia"/>
          <w:sz w:val="21"/>
          <w:szCs w:val="21"/>
          <w:lang w:val="en-US" w:eastAsia="zh-CN"/>
        </w:rPr>
        <w:t>11</w:t>
      </w:r>
      <w:r>
        <w:rPr>
          <w:rFonts w:hint="eastAsia"/>
          <w:sz w:val="21"/>
          <w:szCs w:val="21"/>
        </w:rPr>
        <w:t>〕300号）规定确定。</w:t>
      </w:r>
    </w:p>
    <w:p>
      <w:pPr>
        <w:pStyle w:val="138"/>
        <w:spacing w:after="0"/>
        <w:rPr>
          <w:sz w:val="21"/>
          <w:szCs w:val="21"/>
        </w:rPr>
      </w:pPr>
    </w:p>
    <w:p>
      <w:pPr>
        <w:snapToGrid w:val="0"/>
        <w:spacing w:before="50" w:after="156" w:line="360" w:lineRule="exact"/>
        <w:ind w:firstLine="1134" w:firstLineChars="540"/>
        <w:jc w:val="left"/>
        <w:rPr>
          <w:rStyle w:val="191"/>
          <w:rFonts w:ascii="宋体" w:hAnsi="宋体"/>
          <w:color w:val="auto"/>
          <w:kern w:val="0"/>
        </w:rPr>
      </w:pPr>
    </w:p>
    <w:p>
      <w:pPr>
        <w:pageBreakBefore/>
        <w:rPr>
          <w:rFonts w:hint="eastAsia"/>
          <w:b/>
        </w:rPr>
        <w:sectPr>
          <w:pgSz w:w="11906" w:h="16838"/>
          <w:pgMar w:top="1134" w:right="1134" w:bottom="1134" w:left="1134" w:header="851" w:footer="992" w:gutter="0"/>
          <w:pgNumType w:fmt="decimal"/>
          <w:cols w:space="720" w:num="1"/>
          <w:titlePg/>
          <w:docGrid w:type="linesAndChars" w:linePitch="312" w:charSpace="0"/>
        </w:sectPr>
      </w:pPr>
    </w:p>
    <w:p>
      <w:pPr>
        <w:snapToGrid w:val="0"/>
        <w:spacing w:line="360" w:lineRule="exact"/>
        <w:ind w:firstLine="411" w:firstLineChars="196"/>
        <w:jc w:val="left"/>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9</w:t>
      </w:r>
      <w:r>
        <w:rPr>
          <w:rFonts w:hint="eastAsia" w:ascii="宋体" w:hAnsi="宋体"/>
          <w:color w:val="auto"/>
          <w:szCs w:val="21"/>
        </w:rPr>
        <w:t>）关于符合本国产品标准的声明函：</w:t>
      </w:r>
    </w:p>
    <w:p>
      <w:pPr>
        <w:pStyle w:val="138"/>
        <w:spacing w:after="0"/>
        <w:jc w:val="left"/>
        <w:rPr>
          <w:color w:val="auto"/>
          <w:sz w:val="21"/>
          <w:szCs w:val="21"/>
        </w:rPr>
      </w:pPr>
    </w:p>
    <w:p>
      <w:pPr>
        <w:pStyle w:val="138"/>
        <w:spacing w:after="0"/>
        <w:rPr>
          <w:color w:val="auto"/>
          <w:sz w:val="34"/>
          <w:szCs w:val="34"/>
        </w:rPr>
      </w:pPr>
      <w:r>
        <w:rPr>
          <w:rFonts w:hint="default"/>
          <w:color w:val="auto"/>
          <w:sz w:val="34"/>
          <w:szCs w:val="34"/>
        </w:rPr>
        <w:t>关于符合本国产品标准的声明函</w:t>
      </w:r>
    </w:p>
    <w:p>
      <w:pPr>
        <w:pStyle w:val="138"/>
        <w:spacing w:after="0"/>
        <w:rPr>
          <w:rFonts w:hint="eastAsia"/>
          <w:color w:val="auto"/>
          <w:sz w:val="21"/>
          <w:szCs w:val="21"/>
        </w:rPr>
      </w:pPr>
      <w:r>
        <w:rPr>
          <w:rFonts w:hint="eastAsia"/>
          <w:color w:val="auto"/>
          <w:sz w:val="21"/>
          <w:szCs w:val="21"/>
        </w:rPr>
        <w:t> </w:t>
      </w:r>
    </w:p>
    <w:p>
      <w:pPr>
        <w:pStyle w:val="138"/>
        <w:spacing w:after="0"/>
        <w:rPr>
          <w:rFonts w:hint="eastAsia"/>
          <w:color w:val="auto"/>
          <w:sz w:val="21"/>
          <w:szCs w:val="21"/>
        </w:rPr>
      </w:pP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本公司（单位）郑重声明，根据《国务院办公厅关于在政府采购中实施本国产品标准及相关政策的通知》（国办发〔2025〕34号）的规定，本公司（单位）提供的以下产品属于本国产品。具体情况如下：</w:t>
      </w:r>
    </w:p>
    <w:p>
      <w:pPr>
        <w:pStyle w:val="126"/>
        <w:spacing w:line="506" w:lineRule="exact"/>
        <w:ind w:firstLine="420" w:firstLineChars="200"/>
        <w:jc w:val="both"/>
        <w:rPr>
          <w:rFonts w:hint="eastAsia"/>
          <w:color w:val="auto"/>
          <w:sz w:val="21"/>
          <w:szCs w:val="21"/>
        </w:rPr>
      </w:pPr>
      <w:r>
        <w:rPr>
          <w:rFonts w:hint="eastAsia"/>
          <w:color w:val="auto"/>
          <w:sz w:val="21"/>
          <w:szCs w:val="21"/>
        </w:rPr>
        <w:t>1.</w:t>
      </w:r>
      <w:r>
        <w:rPr>
          <w:rFonts w:hint="eastAsia"/>
          <w:color w:val="auto"/>
          <w:sz w:val="21"/>
          <w:szCs w:val="21"/>
          <w:u w:val="single"/>
        </w:rPr>
        <w:t>（产品名称1）</w:t>
      </w:r>
      <w:r>
        <w:rPr>
          <w:rFonts w:hint="eastAsia"/>
          <w:color w:val="auto"/>
          <w:sz w:val="21"/>
          <w:szCs w:val="21"/>
        </w:rPr>
        <w:t>1，生产厂为</w:t>
      </w:r>
      <w:r>
        <w:rPr>
          <w:rFonts w:hint="eastAsia"/>
          <w:color w:val="auto"/>
          <w:sz w:val="21"/>
          <w:szCs w:val="21"/>
          <w:u w:val="single"/>
        </w:rPr>
        <w:t>（厂名）</w:t>
      </w:r>
      <w:r>
        <w:rPr>
          <w:rFonts w:hint="eastAsia"/>
          <w:color w:val="auto"/>
          <w:sz w:val="21"/>
          <w:szCs w:val="21"/>
        </w:rPr>
        <w:t>2，厂址为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（产品名称1）</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3。</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（关键组件）</w:t>
      </w:r>
      <w:r>
        <w:rPr>
          <w:rFonts w:hint="eastAsia"/>
          <w:color w:val="auto"/>
          <w:sz w:val="21"/>
          <w:szCs w:val="21"/>
        </w:rPr>
        <w:t>4在中国境内生产。</w:t>
      </w:r>
      <w:r>
        <w:rPr>
          <w:rFonts w:hint="eastAsia"/>
          <w:color w:val="auto"/>
          <w:sz w:val="21"/>
          <w:szCs w:val="21"/>
          <w:u w:val="single"/>
        </w:rPr>
        <w:t>（产品名称1）</w:t>
      </w:r>
      <w:r>
        <w:rPr>
          <w:rFonts w:hint="eastAsia"/>
          <w:color w:val="auto"/>
          <w:sz w:val="21"/>
          <w:szCs w:val="21"/>
        </w:rPr>
        <w:t>的</w:t>
      </w:r>
      <w:r>
        <w:rPr>
          <w:rFonts w:hint="eastAsia"/>
          <w:color w:val="auto"/>
          <w:sz w:val="21"/>
          <w:szCs w:val="21"/>
          <w:u w:val="single"/>
        </w:rPr>
        <w:t>（关键工序）</w:t>
      </w:r>
      <w:r>
        <w:rPr>
          <w:rFonts w:hint="eastAsia"/>
          <w:color w:val="auto"/>
          <w:sz w:val="21"/>
          <w:szCs w:val="21"/>
        </w:rPr>
        <w:t>5在中国境内完成。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2.</w:t>
      </w:r>
      <w:r>
        <w:rPr>
          <w:rFonts w:hint="eastAsia"/>
          <w:color w:val="auto"/>
          <w:sz w:val="21"/>
          <w:szCs w:val="21"/>
          <w:u w:val="single"/>
        </w:rPr>
        <w:t>（产品名称2）</w:t>
      </w:r>
      <w:r>
        <w:rPr>
          <w:rFonts w:hint="eastAsia"/>
          <w:color w:val="auto"/>
          <w:sz w:val="21"/>
          <w:szCs w:val="21"/>
        </w:rPr>
        <w:t>，生产厂为</w:t>
      </w:r>
      <w:r>
        <w:rPr>
          <w:rFonts w:hint="eastAsia"/>
          <w:color w:val="auto"/>
          <w:sz w:val="21"/>
          <w:szCs w:val="21"/>
          <w:u w:val="single"/>
        </w:rPr>
        <w:t>（厂名）</w:t>
      </w:r>
      <w:r>
        <w:rPr>
          <w:rFonts w:hint="eastAsia"/>
          <w:color w:val="auto"/>
          <w:sz w:val="21"/>
          <w:szCs w:val="21"/>
        </w:rPr>
        <w:t>，厂址为</w:t>
      </w:r>
      <w:r>
        <w:rPr>
          <w:rFonts w:hint="eastAsia"/>
          <w:color w:val="auto"/>
          <w:sz w:val="21"/>
          <w:szCs w:val="21"/>
          <w:u w:val="single"/>
        </w:rPr>
        <w:t>（生产厂址）</w:t>
      </w:r>
      <w:r>
        <w:rPr>
          <w:rFonts w:hint="eastAsia"/>
          <w:color w:val="auto"/>
          <w:sz w:val="21"/>
          <w:szCs w:val="21"/>
        </w:rPr>
        <w:t>。</w:t>
      </w:r>
      <w:r>
        <w:rPr>
          <w:rFonts w:hint="eastAsia"/>
          <w:color w:val="auto"/>
          <w:sz w:val="21"/>
          <w:szCs w:val="21"/>
          <w:u w:val="single"/>
        </w:rPr>
        <w:t>（产品名称2）</w:t>
      </w:r>
      <w:r>
        <w:rPr>
          <w:rFonts w:hint="eastAsia"/>
          <w:color w:val="auto"/>
          <w:sz w:val="21"/>
          <w:szCs w:val="21"/>
        </w:rPr>
        <w:t>的中国境内生产的组件成本占比≥</w:t>
      </w:r>
      <w:r>
        <w:rPr>
          <w:rFonts w:hint="eastAsia"/>
          <w:color w:val="auto"/>
          <w:sz w:val="21"/>
          <w:szCs w:val="21"/>
          <w:u w:val="single"/>
        </w:rPr>
        <w:t>（规定比例）</w:t>
      </w:r>
      <w:r>
        <w:rPr>
          <w:rFonts w:hint="eastAsia"/>
          <w:color w:val="auto"/>
          <w:sz w:val="21"/>
          <w:szCs w:val="21"/>
        </w:rPr>
        <w:t>。</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（关键组件）</w:t>
      </w:r>
      <w:r>
        <w:rPr>
          <w:rFonts w:hint="eastAsia"/>
          <w:color w:val="auto"/>
          <w:sz w:val="21"/>
          <w:szCs w:val="21"/>
        </w:rPr>
        <w:t>在中国境内生产。</w:t>
      </w:r>
      <w:r>
        <w:rPr>
          <w:rFonts w:hint="eastAsia"/>
          <w:color w:val="auto"/>
          <w:sz w:val="21"/>
          <w:szCs w:val="21"/>
          <w:u w:val="single"/>
        </w:rPr>
        <w:t>（产品名称2）</w:t>
      </w:r>
      <w:r>
        <w:rPr>
          <w:rFonts w:hint="eastAsia"/>
          <w:color w:val="auto"/>
          <w:sz w:val="21"/>
          <w:szCs w:val="21"/>
        </w:rPr>
        <w:t>的</w:t>
      </w:r>
      <w:r>
        <w:rPr>
          <w:rFonts w:hint="eastAsia"/>
          <w:color w:val="auto"/>
          <w:sz w:val="21"/>
          <w:szCs w:val="21"/>
          <w:u w:val="single"/>
        </w:rPr>
        <w:t>（关键工序）</w:t>
      </w:r>
      <w:r>
        <w:rPr>
          <w:rFonts w:hint="eastAsia"/>
          <w:color w:val="auto"/>
          <w:sz w:val="21"/>
          <w:szCs w:val="21"/>
        </w:rPr>
        <w:t>在中国境内完成。</w:t>
      </w:r>
    </w:p>
    <w:p>
      <w:pPr>
        <w:pStyle w:val="126"/>
        <w:spacing w:line="506" w:lineRule="exact"/>
        <w:ind w:firstLine="420" w:firstLineChars="200"/>
        <w:jc w:val="both"/>
        <w:rPr>
          <w:rFonts w:hint="eastAsia"/>
          <w:color w:val="auto"/>
          <w:sz w:val="21"/>
          <w:szCs w:val="21"/>
        </w:rPr>
      </w:pPr>
      <w:r>
        <w:rPr>
          <w:rFonts w:hint="eastAsia"/>
          <w:color w:val="auto"/>
          <w:sz w:val="21"/>
          <w:szCs w:val="21"/>
        </w:rPr>
        <w:t>……</w:t>
      </w:r>
    </w:p>
    <w:p>
      <w:pPr>
        <w:pStyle w:val="126"/>
        <w:spacing w:line="506" w:lineRule="exact"/>
        <w:ind w:firstLine="420" w:firstLineChars="200"/>
        <w:jc w:val="both"/>
        <w:rPr>
          <w:rFonts w:hint="eastAsia"/>
          <w:color w:val="auto"/>
          <w:sz w:val="21"/>
          <w:szCs w:val="21"/>
        </w:rPr>
      </w:pPr>
      <w:r>
        <w:rPr>
          <w:rFonts w:hint="eastAsia"/>
          <w:color w:val="auto"/>
          <w:sz w:val="21"/>
          <w:szCs w:val="21"/>
        </w:rPr>
        <w:t>本公司（单位）对上述声明内容的真实性负责。如有虚假，愿承担相应法律责任。</w:t>
      </w:r>
    </w:p>
    <w:p>
      <w:pPr>
        <w:pStyle w:val="126"/>
        <w:spacing w:line="506" w:lineRule="exact"/>
        <w:ind w:firstLine="420" w:firstLineChars="200"/>
        <w:jc w:val="both"/>
        <w:rPr>
          <w:rFonts w:hint="eastAsia"/>
          <w:color w:val="auto"/>
          <w:sz w:val="21"/>
          <w:szCs w:val="21"/>
        </w:rPr>
      </w:pPr>
      <w:r>
        <w:rPr>
          <w:rFonts w:hint="eastAsia"/>
          <w:color w:val="auto"/>
          <w:sz w:val="21"/>
          <w:szCs w:val="21"/>
        </w:rPr>
        <w:t> </w:t>
      </w:r>
    </w:p>
    <w:p>
      <w:pPr>
        <w:pStyle w:val="126"/>
        <w:spacing w:line="506" w:lineRule="exact"/>
        <w:ind w:firstLine="420" w:firstLineChars="200"/>
        <w:jc w:val="both"/>
        <w:rPr>
          <w:rFonts w:hint="eastAsia"/>
          <w:color w:val="auto"/>
          <w:sz w:val="21"/>
          <w:szCs w:val="21"/>
        </w:rPr>
      </w:pP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公司（单位）名称（盖章）：　        </w:t>
      </w:r>
    </w:p>
    <w:p>
      <w:pPr>
        <w:pStyle w:val="138"/>
        <w:spacing w:after="0"/>
        <w:jc w:val="center"/>
        <w:rPr>
          <w:rFonts w:hint="eastAsia"/>
          <w:color w:val="auto"/>
          <w:sz w:val="21"/>
          <w:szCs w:val="21"/>
        </w:rPr>
      </w:pPr>
      <w:r>
        <w:rPr>
          <w:rFonts w:hint="eastAsia"/>
          <w:color w:val="auto"/>
          <w:sz w:val="21"/>
          <w:szCs w:val="21"/>
          <w:lang w:val="en-US" w:eastAsia="zh-CN"/>
        </w:rPr>
        <w:t xml:space="preserve">                 </w:t>
      </w:r>
      <w:r>
        <w:rPr>
          <w:rFonts w:hint="eastAsia"/>
          <w:color w:val="auto"/>
          <w:sz w:val="21"/>
          <w:szCs w:val="21"/>
        </w:rPr>
        <w:t>日期：　     年　  月　  日         </w:t>
      </w:r>
    </w:p>
    <w:p>
      <w:pPr>
        <w:pStyle w:val="138"/>
        <w:spacing w:after="0"/>
        <w:rPr>
          <w:rFonts w:hint="eastAsia"/>
          <w:color w:val="auto"/>
          <w:sz w:val="21"/>
          <w:szCs w:val="21"/>
        </w:rPr>
      </w:pPr>
    </w:p>
    <w:p>
      <w:pPr>
        <w:pStyle w:val="138"/>
        <w:spacing w:after="0"/>
        <w:rPr>
          <w:rFonts w:hint="eastAsia"/>
          <w:color w:val="auto"/>
          <w:sz w:val="21"/>
          <w:szCs w:val="21"/>
        </w:rPr>
      </w:pPr>
    </w:p>
    <w:p>
      <w:pPr>
        <w:pStyle w:val="138"/>
        <w:spacing w:after="0"/>
        <w:rPr>
          <w:rFonts w:hint="eastAsia"/>
          <w:color w:val="auto"/>
          <w:sz w:val="21"/>
          <w:szCs w:val="21"/>
        </w:rPr>
      </w:pPr>
    </w:p>
    <w:p>
      <w:pPr>
        <w:pStyle w:val="138"/>
        <w:adjustRightInd w:val="0"/>
        <w:snapToGrid w:val="0"/>
        <w:spacing w:after="0" w:line="360" w:lineRule="exact"/>
        <w:jc w:val="left"/>
        <w:rPr>
          <w:color w:val="auto"/>
          <w:sz w:val="21"/>
          <w:szCs w:val="21"/>
        </w:rPr>
      </w:pPr>
      <w:r>
        <w:rPr>
          <w:color w:val="auto"/>
          <w:sz w:val="21"/>
          <w:szCs w:val="21"/>
        </w:rPr>
        <w:t>备注：</w:t>
      </w:r>
    </w:p>
    <w:p>
      <w:pPr>
        <w:pStyle w:val="138"/>
        <w:spacing w:after="0" w:line="400" w:lineRule="exact"/>
        <w:jc w:val="left"/>
        <w:rPr>
          <w:rFonts w:hint="eastAsia"/>
          <w:color w:val="auto"/>
          <w:sz w:val="21"/>
          <w:szCs w:val="21"/>
        </w:rPr>
      </w:pPr>
      <w:r>
        <w:rPr>
          <w:rFonts w:hint="eastAsia"/>
          <w:color w:val="auto"/>
          <w:sz w:val="21"/>
          <w:szCs w:val="21"/>
        </w:rPr>
        <w:t>1.产品如有型号，请在“产品名称”栏一并填写。</w:t>
      </w:r>
    </w:p>
    <w:p>
      <w:pPr>
        <w:pStyle w:val="138"/>
        <w:spacing w:after="0" w:line="400" w:lineRule="exact"/>
        <w:jc w:val="left"/>
        <w:rPr>
          <w:rFonts w:hint="eastAsia"/>
          <w:color w:val="auto"/>
          <w:sz w:val="21"/>
          <w:szCs w:val="21"/>
        </w:rPr>
      </w:pPr>
      <w:r>
        <w:rPr>
          <w:rFonts w:hint="eastAsia"/>
          <w:color w:val="auto"/>
          <w:sz w:val="21"/>
          <w:szCs w:val="21"/>
        </w:rPr>
        <w:t>2.生产厂名与厂址应与生产厂营业执照载明的相关信息保持一致。</w:t>
      </w:r>
    </w:p>
    <w:p>
      <w:pPr>
        <w:pStyle w:val="138"/>
        <w:spacing w:after="0" w:line="400" w:lineRule="exact"/>
        <w:jc w:val="left"/>
        <w:rPr>
          <w:rFonts w:hint="eastAsia"/>
          <w:color w:val="auto"/>
          <w:sz w:val="21"/>
          <w:szCs w:val="21"/>
        </w:rPr>
      </w:pPr>
      <w:r>
        <w:rPr>
          <w:rFonts w:hint="eastAsia"/>
          <w:color w:val="auto"/>
          <w:sz w:val="21"/>
          <w:szCs w:val="21"/>
        </w:rPr>
        <w:t>3.该产品的中国境内生产的组件成本占比相关要求实施前，“规定比例”栏可不填，下同。</w:t>
      </w:r>
    </w:p>
    <w:p>
      <w:pPr>
        <w:pStyle w:val="138"/>
        <w:spacing w:after="0" w:line="400" w:lineRule="exact"/>
        <w:jc w:val="left"/>
        <w:rPr>
          <w:rFonts w:hint="eastAsia"/>
          <w:color w:val="auto"/>
          <w:sz w:val="21"/>
          <w:szCs w:val="21"/>
        </w:rPr>
      </w:pPr>
      <w:r>
        <w:rPr>
          <w:rFonts w:hint="eastAsia"/>
          <w:color w:val="auto"/>
          <w:sz w:val="21"/>
          <w:szCs w:val="21"/>
        </w:rPr>
        <w:t>4.该产品的关键组件要求实施前，“关键组件”栏可不填，下同。</w:t>
      </w:r>
    </w:p>
    <w:p>
      <w:pPr>
        <w:pStyle w:val="138"/>
        <w:spacing w:after="0" w:line="400" w:lineRule="exact"/>
        <w:jc w:val="left"/>
        <w:rPr>
          <w:rFonts w:hint="eastAsia"/>
          <w:color w:val="auto"/>
          <w:sz w:val="21"/>
          <w:szCs w:val="21"/>
        </w:rPr>
        <w:sectPr>
          <w:pgSz w:w="11906" w:h="16838"/>
          <w:pgMar w:top="1134" w:right="1134" w:bottom="1134" w:left="1134" w:header="851" w:footer="992" w:gutter="0"/>
          <w:pgNumType w:fmt="decimal"/>
          <w:cols w:space="720" w:num="1"/>
          <w:titlePg/>
          <w:docGrid w:type="linesAndChars" w:linePitch="312" w:charSpace="0"/>
        </w:sectPr>
      </w:pPr>
      <w:r>
        <w:rPr>
          <w:rFonts w:hint="eastAsia"/>
          <w:color w:val="auto"/>
          <w:sz w:val="21"/>
          <w:szCs w:val="21"/>
        </w:rPr>
        <w:t>5.该产品的关键工序要求实施前，“关键工序”栏可不填，下同</w:t>
      </w:r>
    </w:p>
    <w:p>
      <w:pPr>
        <w:pageBreakBefore/>
        <w:rPr>
          <w:b/>
        </w:rPr>
      </w:pPr>
      <w:r>
        <w:rPr>
          <w:rFonts w:hint="eastAsia"/>
          <w:b/>
          <w:lang w:eastAsia="zh-CN"/>
        </w:rPr>
        <w:t>三</w:t>
      </w:r>
      <w:r>
        <w:rPr>
          <w:rFonts w:hint="eastAsia"/>
          <w:b/>
        </w:rPr>
        <w:t>）技术文件部分（格式）：</w:t>
      </w:r>
    </w:p>
    <w:p>
      <w:pPr>
        <w:snapToGrid w:val="0"/>
        <w:spacing w:before="50" w:after="156" w:afterLines="50" w:line="360" w:lineRule="exact"/>
        <w:jc w:val="left"/>
        <w:rPr>
          <w:rFonts w:ascii="宋体" w:hAnsi="宋体"/>
          <w:szCs w:val="21"/>
        </w:rPr>
      </w:pPr>
      <w:r>
        <w:rPr>
          <w:rFonts w:hint="eastAsia" w:ascii="宋体" w:hAnsi="宋体"/>
          <w:b/>
          <w:szCs w:val="21"/>
        </w:rPr>
        <w:t>（1）</w:t>
      </w:r>
      <w:r>
        <w:rPr>
          <w:rFonts w:hint="eastAsia" w:ascii="宋体" w:hAnsi="宋体"/>
          <w:szCs w:val="21"/>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jc w:val="left"/>
        <w:rPr>
          <w:rFonts w:ascii="宋体" w:hAnsi="宋体"/>
          <w:szCs w:val="21"/>
        </w:rPr>
      </w:pPr>
      <w:r>
        <w:rPr>
          <w:rFonts w:hint="eastAsia" w:ascii="宋体" w:hAnsi="宋体"/>
          <w:b/>
          <w:szCs w:val="21"/>
        </w:rPr>
        <w:t>（2）</w:t>
      </w:r>
      <w:r>
        <w:rPr>
          <w:rFonts w:hint="eastAsia" w:ascii="宋体" w:hAnsi="宋体"/>
          <w:szCs w:val="21"/>
        </w:rPr>
        <w:t>技术响应表格式：</w:t>
      </w:r>
    </w:p>
    <w:p>
      <w:pPr>
        <w:snapToGrid w:val="0"/>
        <w:spacing w:before="50" w:after="156" w:afterLines="50" w:line="360" w:lineRule="exact"/>
        <w:jc w:val="left"/>
        <w:rPr>
          <w:rFonts w:ascii="宋体" w:hAnsi="宋体"/>
          <w:b/>
          <w:szCs w:val="21"/>
        </w:rPr>
      </w:pPr>
      <w:r>
        <w:rPr>
          <w:rFonts w:hint="eastAsia"/>
          <w:u w:val="single"/>
        </w:rPr>
        <w:t xml:space="preserve">  </w:t>
      </w:r>
      <w:r>
        <w:rPr>
          <w:rFonts w:hint="eastAsia"/>
        </w:rPr>
        <w:t>分标</w:t>
      </w:r>
      <w:r>
        <w:rPr>
          <w:rFonts w:hint="eastAsia" w:ascii="宋体" w:hAnsi="宋体"/>
          <w:b/>
          <w:szCs w:val="21"/>
        </w:rPr>
        <w:t xml:space="preserve"> </w:t>
      </w:r>
    </w:p>
    <w:tbl>
      <w:tblPr>
        <w:tblStyle w:val="5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hAnsi="宋体"/>
              </w:rPr>
            </w:pPr>
            <w:r>
              <w:rPr>
                <w:rFonts w:hint="eastAsia" w:hAnsi="宋体"/>
              </w:rPr>
              <w:t>项号</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400" w:lineRule="exact"/>
              <w:jc w:val="center"/>
              <w:rPr>
                <w:rFonts w:ascii="Times New Roman" w:hAnsi="Times New Roman"/>
              </w:rPr>
            </w:pPr>
            <w:r>
              <w:rPr>
                <w:rFonts w:hint="eastAsia" w:ascii="Times New Roman" w:hAnsi="Times New Roman"/>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vAlign w:val="center"/>
          </w:tcPr>
          <w:p>
            <w:pPr>
              <w:pStyle w:val="29"/>
              <w:spacing w:line="600" w:lineRule="exact"/>
              <w:ind w:left="5250"/>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3600"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c>
          <w:tcPr>
            <w:tcW w:w="1573" w:type="dxa"/>
            <w:tcBorders>
              <w:top w:val="single" w:color="auto" w:sz="4" w:space="0"/>
              <w:left w:val="single" w:color="auto" w:sz="4" w:space="0"/>
              <w:bottom w:val="single" w:color="auto" w:sz="4" w:space="0"/>
              <w:right w:val="single" w:color="auto" w:sz="4" w:space="0"/>
            </w:tcBorders>
          </w:tcPr>
          <w:p>
            <w:pPr>
              <w:pStyle w:val="29"/>
              <w:spacing w:line="600" w:lineRule="exact"/>
              <w:ind w:left="5250"/>
              <w:rPr>
                <w:rFonts w:ascii="Times New Roman" w:hAnsi="Times New Roman"/>
              </w:rPr>
            </w:pPr>
          </w:p>
        </w:tc>
      </w:tr>
    </w:tbl>
    <w:p>
      <w:pPr>
        <w:pStyle w:val="20"/>
        <w:spacing w:line="360" w:lineRule="exact"/>
        <w:rPr>
          <w:rFonts w:ascii="宋体" w:hAnsi="宋体"/>
          <w:sz w:val="21"/>
          <w:szCs w:val="21"/>
        </w:rPr>
      </w:pPr>
      <w:r>
        <w:rPr>
          <w:rFonts w:hint="eastAsia" w:ascii="宋体" w:hAnsi="宋体"/>
          <w:sz w:val="21"/>
          <w:szCs w:val="21"/>
        </w:rPr>
        <w:t>注：投标人应根据投标设备的性能指标、对照招标文件要求在技术响应表中详细列明招标要求及投标设备技术规格的响应情况，并填写“</w:t>
      </w:r>
      <w:r>
        <w:rPr>
          <w:rFonts w:hint="eastAsia"/>
        </w:rPr>
        <w:t>偏离说明”。</w:t>
      </w:r>
      <w:r>
        <w:rPr>
          <w:rFonts w:hint="eastAsia" w:ascii="宋体" w:hAnsi="宋体"/>
          <w:sz w:val="21"/>
          <w:szCs w:val="21"/>
        </w:rPr>
        <w:t>“偏离</w:t>
      </w:r>
      <w:r>
        <w:rPr>
          <w:rFonts w:hint="eastAsia"/>
        </w:rPr>
        <w:t>说明</w:t>
      </w:r>
      <w:r>
        <w:rPr>
          <w:rFonts w:hint="eastAsia" w:ascii="宋体" w:hAnsi="宋体"/>
          <w:sz w:val="21"/>
          <w:szCs w:val="21"/>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pStyle w:val="29"/>
        <w:jc w:val="center"/>
      </w:pPr>
    </w:p>
    <w:p>
      <w:pPr>
        <w:snapToGrid w:val="0"/>
        <w:spacing w:before="50" w:after="156" w:afterLines="50" w:line="360" w:lineRule="exact"/>
        <w:jc w:val="left"/>
        <w:rPr>
          <w:rFonts w:ascii="宋体" w:hAnsi="宋体"/>
          <w:szCs w:val="21"/>
        </w:rPr>
      </w:pPr>
      <w:r>
        <w:rPr>
          <w:rFonts w:hint="eastAsia" w:ascii="宋体" w:hAnsi="宋体"/>
          <w:b/>
          <w:szCs w:val="21"/>
        </w:rPr>
        <w:t>（3）</w:t>
      </w:r>
      <w:r>
        <w:rPr>
          <w:rFonts w:hint="eastAsia" w:ascii="宋体" w:hAnsi="宋体"/>
          <w:szCs w:val="21"/>
        </w:rPr>
        <w:t>设备配置清单格式：</w:t>
      </w:r>
    </w:p>
    <w:p>
      <w:pPr>
        <w:pStyle w:val="21"/>
        <w:rPr>
          <w:sz w:val="21"/>
          <w:szCs w:val="21"/>
        </w:rPr>
      </w:pPr>
      <w:r>
        <w:rPr>
          <w:rFonts w:hint="eastAsia"/>
          <w:sz w:val="21"/>
          <w:szCs w:val="21"/>
          <w:u w:val="single"/>
        </w:rPr>
        <w:t xml:space="preserve">  </w:t>
      </w:r>
      <w:r>
        <w:rPr>
          <w:rFonts w:hint="eastAsia"/>
          <w:sz w:val="21"/>
          <w:szCs w:val="21"/>
        </w:rPr>
        <w:t>分标</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1"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pacing w:val="20"/>
          <w:szCs w:val="21"/>
          <w:u w:val="single"/>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r>
        <w:rPr>
          <w:rFonts w:hint="eastAsia" w:ascii="宋体" w:hAnsi="宋体"/>
          <w:szCs w:val="21"/>
        </w:rPr>
        <w:t>非招标文件必须要求时可附：①原厂出厂配置表及原厂中文使用说明书（格式自拟）</w:t>
      </w:r>
    </w:p>
    <w:p>
      <w:pPr>
        <w:snapToGrid w:val="0"/>
        <w:spacing w:before="50" w:after="156" w:afterLines="50" w:line="360" w:lineRule="exact"/>
        <w:ind w:firstLine="2730" w:firstLineChars="1300"/>
        <w:jc w:val="left"/>
        <w:rPr>
          <w:rFonts w:ascii="宋体" w:hAnsi="宋体"/>
          <w:szCs w:val="21"/>
        </w:rPr>
      </w:pPr>
      <w:r>
        <w:rPr>
          <w:rFonts w:hint="eastAsia" w:ascii="宋体" w:hAnsi="宋体"/>
          <w:szCs w:val="21"/>
        </w:rPr>
        <w:t>②产品出厂标准、质量检测报告及精度检测报告或数据（格式自拟）</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（4）</w:t>
      </w:r>
      <w:r>
        <w:rPr>
          <w:rFonts w:hint="eastAsia" w:ascii="宋体" w:hAnsi="宋体"/>
          <w:szCs w:val="21"/>
        </w:rPr>
        <w:t>售后服务承诺书</w:t>
      </w:r>
      <w:r>
        <w:rPr>
          <w:rFonts w:hint="eastAsia"/>
        </w:rPr>
        <w:t>（应据项目实际要求描述如：</w:t>
      </w:r>
      <w:r>
        <w:rPr>
          <w:rFonts w:hint="eastAsia" w:ascii="宋体" w:hAnsi="宋体"/>
          <w:szCs w:val="21"/>
        </w:rPr>
        <w:t>投标人建议的安装、调试、验收方法或方案；技术服务、技术培训、售后服务的内容和措施等）（</w:t>
      </w:r>
      <w:r>
        <w:rPr>
          <w:rFonts w:hint="eastAsia" w:ascii="宋体" w:hAnsi="宋体"/>
          <w:b/>
          <w:szCs w:val="21"/>
        </w:rPr>
        <w:t>格式自拟，必须提供）</w:t>
      </w:r>
      <w:r>
        <w:rPr>
          <w:rFonts w:hint="eastAsia" w:ascii="宋体" w:hAnsi="宋体"/>
          <w:szCs w:val="21"/>
        </w:rPr>
        <w:t>；</w:t>
      </w:r>
    </w:p>
    <w:p>
      <w:pPr>
        <w:snapToGrid w:val="0"/>
        <w:spacing w:before="50" w:after="156" w:afterLines="50" w:line="360" w:lineRule="exact"/>
        <w:ind w:left="517" w:hanging="514" w:hangingChars="245"/>
        <w:jc w:val="left"/>
        <w:rPr>
          <w:rFonts w:ascii="宋体" w:hAnsi="宋体"/>
          <w:szCs w:val="21"/>
        </w:rPr>
      </w:pPr>
      <w:r>
        <w:rPr>
          <w:rFonts w:hint="eastAsia" w:ascii="宋体" w:hAnsi="宋体"/>
          <w:b/>
          <w:szCs w:val="21"/>
        </w:rPr>
        <w:t>（5）</w:t>
      </w:r>
      <w:r>
        <w:rPr>
          <w:rFonts w:hint="eastAsia" w:ascii="宋体" w:hAnsi="宋体"/>
          <w:szCs w:val="21"/>
        </w:rPr>
        <w:t>投标人拥有主要装备和检测设施的情况和现状（格式自拟）及项目实施人员一览表</w:t>
      </w:r>
    </w:p>
    <w:p>
      <w:pPr>
        <w:snapToGrid w:val="0"/>
        <w:spacing w:before="156" w:beforeLines="50" w:after="50" w:line="360" w:lineRule="exact"/>
        <w:jc w:val="center"/>
        <w:rPr>
          <w:rFonts w:ascii="宋体" w:hAnsi="宋体"/>
          <w:b/>
          <w:szCs w:val="21"/>
        </w:rPr>
      </w:pPr>
      <w:r>
        <w:rPr>
          <w:rFonts w:hint="eastAsia" w:ascii="宋体" w:hAnsi="宋体"/>
          <w:b/>
          <w:szCs w:val="21"/>
        </w:rPr>
        <w:t>项目实施人员（主要从业人员及其技术资格）一览表</w:t>
      </w:r>
    </w:p>
    <w:tbl>
      <w:tblPr>
        <w:tblStyle w:val="55"/>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姓名</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职务</w:t>
            </w:r>
          </w:p>
        </w:tc>
        <w:tc>
          <w:tcPr>
            <w:tcW w:w="21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szCs w:val="21"/>
              </w:rPr>
            </w:pPr>
            <w:r>
              <w:rPr>
                <w:rFonts w:hint="eastAsia" w:ascii="宋体" w:hAnsi="宋体"/>
                <w:szCs w:val="21"/>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jc w:val="center"/>
              <w:rPr>
                <w:rFonts w:ascii="宋体" w:hAnsi="宋体"/>
                <w:bCs/>
                <w:szCs w:val="21"/>
              </w:rPr>
            </w:pPr>
            <w:r>
              <w:rPr>
                <w:rFonts w:hint="eastAsia" w:ascii="宋体" w:hAnsi="宋体"/>
                <w:bCs/>
                <w:szCs w:val="21"/>
              </w:rPr>
              <w:t>参加本单位</w:t>
            </w:r>
          </w:p>
          <w:p>
            <w:pPr>
              <w:snapToGrid w:val="0"/>
              <w:spacing w:before="156" w:beforeLines="50" w:after="50"/>
              <w:jc w:val="center"/>
              <w:rPr>
                <w:rFonts w:ascii="宋体" w:hAnsi="宋体"/>
                <w:bCs/>
                <w:szCs w:val="21"/>
              </w:rPr>
            </w:pPr>
            <w:r>
              <w:rPr>
                <w:rFonts w:hint="eastAsia" w:ascii="宋体" w:hAnsi="宋体"/>
                <w:bCs/>
                <w:szCs w:val="21"/>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ascii="宋体" w:hAnsi="宋体"/>
                <w:bCs/>
                <w:szCs w:val="21"/>
              </w:rPr>
            </w:pPr>
            <w:r>
              <w:rPr>
                <w:rFonts w:hint="eastAsia" w:ascii="宋体" w:hAnsi="宋体"/>
                <w:bCs/>
                <w:szCs w:val="21"/>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160" w:type="dxa"/>
            <w:tcBorders>
              <w:top w:val="single" w:color="auto" w:sz="4" w:space="0"/>
              <w:left w:val="single" w:color="auto" w:sz="4" w:space="0"/>
              <w:bottom w:val="single" w:color="auto" w:sz="4" w:space="0"/>
              <w:right w:val="single" w:color="auto" w:sz="4" w:space="0"/>
            </w:tcBorders>
          </w:tcPr>
          <w:p>
            <w:pPr>
              <w:pStyle w:val="31"/>
              <w:snapToGrid w:val="0"/>
              <w:spacing w:before="156" w:beforeLines="50" w:after="50" w:line="360" w:lineRule="exact"/>
              <w:ind w:left="5250"/>
              <w:rPr>
                <w:rFonts w:hAnsi="宋体"/>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ascii="宋体" w:hAnsi="宋体"/>
                <w:szCs w:val="21"/>
              </w:rPr>
            </w:pPr>
          </w:p>
        </w:tc>
      </w:tr>
    </w:tbl>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b/>
          <w:szCs w:val="21"/>
        </w:rPr>
      </w:pPr>
    </w:p>
    <w:p>
      <w:pPr>
        <w:snapToGrid w:val="0"/>
        <w:spacing w:before="50" w:after="156" w:afterLines="50" w:line="360" w:lineRule="exact"/>
        <w:jc w:val="left"/>
        <w:rPr>
          <w:rFonts w:ascii="宋体" w:hAnsi="宋体"/>
          <w:szCs w:val="21"/>
        </w:rPr>
      </w:pPr>
      <w:r>
        <w:rPr>
          <w:rFonts w:hint="eastAsia" w:ascii="宋体" w:hAnsi="宋体"/>
          <w:b/>
          <w:szCs w:val="21"/>
        </w:rPr>
        <w:t>（6）</w:t>
      </w:r>
      <w:r>
        <w:rPr>
          <w:rFonts w:hint="eastAsia" w:ascii="宋体" w:hAnsi="宋体"/>
          <w:szCs w:val="21"/>
        </w:rPr>
        <w:t>优惠条件：投标人承诺给予招标人的各种优惠条件，包括备品备件、专用耗材、售后服务等方面的优惠；</w:t>
      </w:r>
    </w:p>
    <w:p>
      <w:pPr>
        <w:snapToGrid w:val="0"/>
        <w:spacing w:before="50" w:after="156" w:afterLines="50" w:line="360" w:lineRule="exact"/>
        <w:jc w:val="left"/>
        <w:rPr>
          <w:rFonts w:ascii="宋体" w:hAnsi="宋体"/>
          <w:szCs w:val="21"/>
        </w:rPr>
      </w:pPr>
      <w:r>
        <w:rPr>
          <w:rFonts w:hint="eastAsia" w:ascii="宋体" w:hAnsi="宋体"/>
          <w:szCs w:val="21"/>
        </w:rPr>
        <w:t>备品备件、专用耗材、售后服务优惠表格式：</w:t>
      </w:r>
    </w:p>
    <w:tbl>
      <w:tblPr>
        <w:tblStyle w:val="5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r>
              <w:rPr>
                <w:rFonts w:hint="eastAsia" w:hAnsi="宋体"/>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9"/>
              <w:snapToGrid w:val="0"/>
              <w:spacing w:before="295" w:after="295" w:line="360" w:lineRule="exact"/>
              <w:jc w:val="center"/>
              <w:rPr>
                <w:rFonts w:hAnsi="宋体"/>
              </w:rPr>
            </w:pPr>
            <w:r>
              <w:rPr>
                <w:rFonts w:hint="eastAsia" w:hAnsi="宋体"/>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9"/>
              <w:snapToGrid w:val="0"/>
              <w:spacing w:before="295" w:after="295" w:line="360" w:lineRule="exact"/>
              <w:jc w:val="center"/>
              <w:rPr>
                <w:rFonts w:hAnsi="宋体"/>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9"/>
              <w:snapToGrid w:val="0"/>
              <w:spacing w:before="295" w:after="295" w:line="360" w:lineRule="exact"/>
              <w:jc w:val="center"/>
              <w:rPr>
                <w:rFonts w:hAnsi="宋体"/>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r>
              <w:rPr>
                <w:rFonts w:hint="eastAsia" w:hAnsi="宋体"/>
                <w:u w:val="single"/>
              </w:rPr>
              <w:t xml:space="preserve">            </w:t>
            </w:r>
            <w:r>
              <w:rPr>
                <w:rFonts w:hint="eastAsia" w:hAnsi="宋体"/>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9"/>
              <w:snapToGrid w:val="0"/>
              <w:spacing w:before="295" w:after="295" w:line="360" w:lineRule="exact"/>
              <w:jc w:val="center"/>
              <w:rPr>
                <w:rFonts w:hAnsi="宋体"/>
              </w:rPr>
            </w:pPr>
          </w:p>
        </w:tc>
      </w:tr>
    </w:tbl>
    <w:p>
      <w:pPr>
        <w:snapToGrid w:val="0"/>
        <w:spacing w:before="50" w:after="50" w:line="360" w:lineRule="exact"/>
        <w:rPr>
          <w:rFonts w:ascii="宋体" w:hAnsi="宋体"/>
          <w:spacing w:val="20"/>
          <w:szCs w:val="21"/>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before="50" w:after="156" w:afterLines="50" w:line="360" w:lineRule="exact"/>
        <w:jc w:val="left"/>
        <w:rPr>
          <w:rFonts w:ascii="宋体" w:hAnsi="宋体"/>
          <w:szCs w:val="21"/>
        </w:rPr>
      </w:pPr>
    </w:p>
    <w:p>
      <w:pPr>
        <w:snapToGrid w:val="0"/>
        <w:spacing w:before="50" w:after="156" w:afterLines="50" w:line="360" w:lineRule="exact"/>
        <w:jc w:val="left"/>
        <w:rPr>
          <w:rFonts w:ascii="宋体" w:hAnsi="宋体"/>
          <w:szCs w:val="21"/>
        </w:rPr>
      </w:pPr>
      <w:r>
        <w:rPr>
          <w:rFonts w:hint="eastAsia" w:ascii="宋体" w:hAnsi="宋体"/>
          <w:b/>
          <w:bCs/>
          <w:szCs w:val="21"/>
        </w:rPr>
        <w:t>（7）</w:t>
      </w:r>
      <w:r>
        <w:rPr>
          <w:rFonts w:hint="eastAsia" w:ascii="宋体" w:hAnsi="宋体"/>
          <w:szCs w:val="21"/>
        </w:rPr>
        <w:t>投标人对本项目的合理化建议和改进措施（格式自拟）</w:t>
      </w:r>
    </w:p>
    <w:p>
      <w:pPr>
        <w:snapToGrid w:val="0"/>
        <w:spacing w:before="50" w:after="156" w:afterLines="50" w:line="360" w:lineRule="exact"/>
        <w:jc w:val="left"/>
        <w:rPr>
          <w:rFonts w:ascii="宋体" w:hAnsi="宋体"/>
          <w:szCs w:val="21"/>
        </w:rPr>
      </w:pPr>
      <w:r>
        <w:rPr>
          <w:rFonts w:hint="eastAsia" w:ascii="宋体" w:hAnsi="宋体"/>
          <w:b/>
          <w:szCs w:val="21"/>
        </w:rPr>
        <w:t>（8）</w:t>
      </w:r>
      <w:r>
        <w:rPr>
          <w:rFonts w:hint="eastAsia" w:ascii="宋体" w:hAnsi="宋体"/>
          <w:szCs w:val="21"/>
        </w:rPr>
        <w:t>投标人需要说明的其他文件和说明（格式自拟）</w:t>
      </w:r>
    </w:p>
    <w:p>
      <w:pPr>
        <w:snapToGrid w:val="0"/>
        <w:spacing w:line="360" w:lineRule="exact"/>
        <w:ind w:firstLine="420" w:firstLineChars="200"/>
        <w:jc w:val="left"/>
        <w:rPr>
          <w:rFonts w:ascii="宋体" w:hAnsi="宋体"/>
          <w:szCs w:val="21"/>
        </w:rPr>
      </w:pPr>
      <w:r>
        <w:rPr>
          <w:rFonts w:hint="eastAsia" w:ascii="宋体" w:hAnsi="宋体"/>
          <w:szCs w:val="21"/>
        </w:rPr>
        <w:t>▲（9）招标项目采购需求中要求必须提供的材料。（招标项目采购需求中要求必须提供的材料，据实提供）</w:t>
      </w:r>
    </w:p>
    <w:p>
      <w:pPr>
        <w:pStyle w:val="2"/>
        <w:rPr>
          <w:rFonts w:hint="eastAsia"/>
          <w:sz w:val="21"/>
          <w:szCs w:val="21"/>
        </w:rPr>
      </w:pPr>
    </w:p>
    <w:p>
      <w:pPr>
        <w:pageBreakBefore/>
        <w:rPr>
          <w:b/>
        </w:rPr>
      </w:pPr>
      <w:r>
        <w:rPr>
          <w:rFonts w:hint="eastAsia"/>
          <w:b/>
          <w:lang w:eastAsia="zh-CN"/>
        </w:rPr>
        <w:t>四</w:t>
      </w:r>
      <w:r>
        <w:rPr>
          <w:rFonts w:hint="eastAsia"/>
          <w:b/>
        </w:rPr>
        <w:t>）报价文件部分 （格式）</w:t>
      </w:r>
    </w:p>
    <w:p>
      <w:pPr>
        <w:snapToGrid w:val="0"/>
        <w:spacing w:before="156" w:beforeLines="50" w:after="50" w:line="360" w:lineRule="exact"/>
        <w:rPr>
          <w:rFonts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ascii="宋体" w:hAnsi="宋体"/>
          <w:b/>
          <w:szCs w:val="21"/>
        </w:rPr>
      </w:pPr>
      <w:r>
        <w:rPr>
          <w:rFonts w:hint="eastAsia" w:ascii="宋体" w:hAnsi="宋体"/>
          <w:b/>
          <w:szCs w:val="21"/>
        </w:rPr>
        <w:t>投 标 函</w:t>
      </w:r>
    </w:p>
    <w:p>
      <w:pPr>
        <w:snapToGrid w:val="0"/>
        <w:spacing w:line="360" w:lineRule="exact"/>
        <w:rPr>
          <w:rFonts w:ascii="宋体" w:hAnsi="宋体"/>
          <w:szCs w:val="21"/>
        </w:rPr>
      </w:pPr>
      <w:r>
        <w:rPr>
          <w:rFonts w:hint="eastAsia" w:ascii="宋体" w:hAnsi="宋体"/>
          <w:szCs w:val="21"/>
        </w:rPr>
        <w:t>致：</w:t>
      </w:r>
      <w:r>
        <w:rPr>
          <w:rFonts w:hint="eastAsia" w:ascii="宋体" w:hAnsi="宋体"/>
          <w:u w:val="single"/>
        </w:rPr>
        <w:t>广西壮族自治区公共资源交易中心</w:t>
      </w:r>
      <w:r>
        <w:rPr>
          <w:rFonts w:hint="eastAsia" w:ascii="宋体" w:hAnsi="宋体"/>
          <w:szCs w:val="21"/>
        </w:rPr>
        <w:t>：</w:t>
      </w:r>
    </w:p>
    <w:p>
      <w:pPr>
        <w:snapToGrid w:val="0"/>
        <w:spacing w:line="360" w:lineRule="exact"/>
        <w:ind w:firstLine="480"/>
        <w:rPr>
          <w:rFonts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项目的招标公告（项目编号：____</w:t>
      </w:r>
      <w:r>
        <w:rPr>
          <w:rFonts w:hint="eastAsia" w:ascii="宋体" w:hAnsi="宋体"/>
          <w:szCs w:val="21"/>
          <w:u w:val="single"/>
        </w:rPr>
        <w:t>_     _</w:t>
      </w:r>
      <w:r>
        <w:rPr>
          <w:rFonts w:hint="eastAsia" w:ascii="宋体" w:hAnsi="宋体"/>
          <w:szCs w:val="21"/>
        </w:rPr>
        <w:t>_），签字代表______</w:t>
      </w:r>
      <w:r>
        <w:rPr>
          <w:rFonts w:hint="eastAsia" w:ascii="宋体" w:hAnsi="宋体"/>
          <w:szCs w:val="21"/>
          <w:u w:val="single"/>
        </w:rPr>
        <w:t xml:space="preserve">_     </w:t>
      </w:r>
      <w:r>
        <w:rPr>
          <w:rFonts w:hint="eastAsia" w:ascii="宋体" w:hAnsi="宋体"/>
          <w:szCs w:val="21"/>
        </w:rPr>
        <w:t>（全名）经正式授权并代表投标人_____</w:t>
      </w:r>
      <w:r>
        <w:rPr>
          <w:rFonts w:hint="eastAsia" w:ascii="宋体" w:hAnsi="宋体"/>
          <w:szCs w:val="21"/>
          <w:u w:val="single"/>
        </w:rPr>
        <w:t>__                    __</w:t>
      </w:r>
      <w:r>
        <w:rPr>
          <w:rFonts w:hint="eastAsia" w:ascii="宋体" w:hAnsi="宋体"/>
          <w:szCs w:val="21"/>
        </w:rPr>
        <w:t>（投标人名称）上传并提交加密的电子投标文件一份。</w:t>
      </w:r>
    </w:p>
    <w:p>
      <w:pPr>
        <w:snapToGrid w:val="0"/>
        <w:spacing w:line="360" w:lineRule="exact"/>
        <w:ind w:firstLine="420" w:firstLineChars="200"/>
        <w:rPr>
          <w:rFonts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ascii="宋体" w:hAnsi="宋体"/>
          <w:szCs w:val="21"/>
        </w:rPr>
      </w:pPr>
      <w:r>
        <w:rPr>
          <w:rFonts w:hint="eastAsia" w:ascii="宋体" w:hAnsi="宋体"/>
          <w:szCs w:val="21"/>
        </w:rPr>
        <w:t>3.本投标有效期自开标日起 ______个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ascii="宋体" w:hAnsi="宋体"/>
          <w:szCs w:val="21"/>
        </w:rPr>
      </w:pPr>
      <w:r>
        <w:rPr>
          <w:rFonts w:hint="eastAsia" w:ascii="宋体" w:hAnsi="宋体"/>
          <w:szCs w:val="21"/>
        </w:rPr>
        <w:t>6.与本投标有关的一切正式往来信函请寄：</w:t>
      </w:r>
    </w:p>
    <w:p>
      <w:pPr>
        <w:snapToGrid w:val="0"/>
        <w:spacing w:line="360" w:lineRule="exact"/>
        <w:rPr>
          <w:rFonts w:ascii="宋体" w:hAnsi="宋体"/>
          <w:szCs w:val="21"/>
        </w:rPr>
      </w:pPr>
      <w:r>
        <w:rPr>
          <w:rFonts w:hint="eastAsia" w:ascii="宋体" w:hAnsi="宋体"/>
          <w:szCs w:val="21"/>
        </w:rPr>
        <w:t>地址：__________</w:t>
      </w:r>
      <w:r>
        <w:rPr>
          <w:rFonts w:hint="eastAsia" w:ascii="宋体" w:hAnsi="宋体"/>
          <w:szCs w:val="21"/>
          <w:u w:val="single"/>
        </w:rPr>
        <w:t xml:space="preserve">        _</w:t>
      </w:r>
      <w:r>
        <w:rPr>
          <w:rFonts w:hint="eastAsia" w:ascii="宋体" w:hAnsi="宋体"/>
          <w:szCs w:val="21"/>
        </w:rPr>
        <w:t>____邮编：__________   电话：______________</w:t>
      </w:r>
    </w:p>
    <w:p>
      <w:pPr>
        <w:snapToGrid w:val="0"/>
        <w:spacing w:line="360" w:lineRule="exact"/>
        <w:rPr>
          <w:rFonts w:ascii="宋体" w:hAnsi="宋体"/>
          <w:szCs w:val="21"/>
        </w:rPr>
      </w:pPr>
      <w:r>
        <w:rPr>
          <w:rFonts w:hint="eastAsia" w:ascii="宋体" w:hAnsi="宋体"/>
          <w:szCs w:val="21"/>
        </w:rPr>
        <w:t>传真：______________投标人代表姓名 ___________  职务：______</w:t>
      </w:r>
      <w:r>
        <w:rPr>
          <w:rFonts w:hint="eastAsia" w:ascii="宋体" w:hAnsi="宋体"/>
          <w:szCs w:val="21"/>
          <w:u w:val="single"/>
        </w:rPr>
        <w:t xml:space="preserve"> </w:t>
      </w:r>
      <w:r>
        <w:rPr>
          <w:rFonts w:hint="eastAsia" w:ascii="宋体" w:hAnsi="宋体"/>
          <w:szCs w:val="21"/>
        </w:rPr>
        <w:t>_______</w:t>
      </w:r>
    </w:p>
    <w:p>
      <w:pPr>
        <w:snapToGrid w:val="0"/>
        <w:spacing w:line="360" w:lineRule="exact"/>
        <w:rPr>
          <w:rFonts w:ascii="宋体" w:hAnsi="宋体"/>
          <w:szCs w:val="21"/>
        </w:rPr>
      </w:pPr>
      <w:r>
        <w:rPr>
          <w:rFonts w:hint="eastAsia" w:ascii="宋体" w:hAnsi="宋体"/>
          <w:szCs w:val="21"/>
        </w:rPr>
        <w:t>投标人名称（公章）:___________________</w:t>
      </w:r>
    </w:p>
    <w:p>
      <w:pPr>
        <w:snapToGrid w:val="0"/>
        <w:spacing w:line="360" w:lineRule="exact"/>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银行账号：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ascii="宋体" w:hAnsi="宋体"/>
          <w:szCs w:val="21"/>
        </w:rPr>
      </w:pPr>
      <w:r>
        <w:rPr>
          <w:rFonts w:hint="eastAsia" w:ascii="宋体" w:hAnsi="宋体"/>
          <w:szCs w:val="21"/>
        </w:rPr>
        <w:t>委托代理人签字：___________                 日期：_____年___月___日</w:t>
      </w:r>
    </w:p>
    <w:p>
      <w:pPr>
        <w:pStyle w:val="29"/>
        <w:snapToGrid w:val="0"/>
        <w:spacing w:before="295" w:after="295" w:line="360" w:lineRule="exact"/>
        <w:ind w:firstLine="5670" w:firstLineChars="2700"/>
        <w:rPr>
          <w:rFonts w:hAnsi="宋体"/>
        </w:rPr>
      </w:pPr>
      <w:r>
        <w:rPr>
          <w:rFonts w:hint="eastAsia" w:hAnsi="宋体"/>
        </w:rPr>
        <w:t>（公章）</w:t>
      </w:r>
    </w:p>
    <w:p>
      <w:pPr>
        <w:pStyle w:val="29"/>
        <w:snapToGrid w:val="0"/>
        <w:spacing w:before="295" w:after="295" w:line="360" w:lineRule="exact"/>
        <w:ind w:firstLine="5565" w:firstLineChars="2650"/>
        <w:rPr>
          <w:rFonts w:hAnsi="宋体"/>
        </w:rPr>
      </w:pPr>
      <w:r>
        <w:rPr>
          <w:rFonts w:hint="eastAsia" w:hAnsi="宋体"/>
        </w:rPr>
        <w:t>年</w:t>
      </w:r>
      <w:r>
        <w:rPr>
          <w:rFonts w:hAnsi="宋体"/>
        </w:rPr>
        <w:t>___</w:t>
      </w:r>
      <w:r>
        <w:rPr>
          <w:rFonts w:hint="eastAsia" w:hAnsi="宋体"/>
        </w:rPr>
        <w:t>月</w:t>
      </w:r>
      <w:r>
        <w:rPr>
          <w:rFonts w:hAnsi="宋体"/>
        </w:rPr>
        <w:t>___</w:t>
      </w:r>
      <w:r>
        <w:rPr>
          <w:rFonts w:hint="eastAsia" w:hAnsi="宋体"/>
        </w:rPr>
        <w:t>日</w:t>
      </w: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156" w:beforeLines="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snapToGrid w:val="0"/>
        <w:spacing w:before="156" w:beforeLines="50" w:after="50" w:line="360" w:lineRule="exact"/>
        <w:rPr>
          <w:rFonts w:ascii="宋体" w:hAnsi="宋体"/>
          <w:b/>
          <w:szCs w:val="21"/>
        </w:rPr>
      </w:pPr>
      <w:r>
        <w:rPr>
          <w:rFonts w:hint="eastAsia" w:ascii="宋体" w:hAnsi="宋体"/>
          <w:b/>
          <w:szCs w:val="21"/>
        </w:rPr>
        <w:t>投标报价明细表格式</w:t>
      </w:r>
    </w:p>
    <w:p>
      <w:pPr>
        <w:pStyle w:val="29"/>
        <w:snapToGrid w:val="0"/>
        <w:spacing w:before="295" w:after="295" w:line="360" w:lineRule="exact"/>
        <w:ind w:firstLine="105" w:firstLineChars="50"/>
        <w:rPr>
          <w:rFonts w:hAnsi="宋体"/>
        </w:rPr>
      </w:pPr>
      <w:r>
        <w:rPr>
          <w:rFonts w:hint="eastAsia"/>
          <w:u w:val="single"/>
        </w:rPr>
        <w:t xml:space="preserve">  </w:t>
      </w:r>
      <w:r>
        <w:rPr>
          <w:rFonts w:hint="eastAsia"/>
        </w:rPr>
        <w:t>分标</w:t>
      </w:r>
      <w:r>
        <w:rPr>
          <w:rFonts w:hint="eastAsia" w:hAnsi="宋体"/>
        </w:rPr>
        <w:t xml:space="preserve">                                                金额单位：人民币（元）</w:t>
      </w:r>
    </w:p>
    <w:tbl>
      <w:tblPr>
        <w:tblStyle w:val="55"/>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pacing w:val="20"/>
                <w:szCs w:val="21"/>
              </w:rPr>
            </w:pPr>
            <w:r>
              <w:rPr>
                <w:rFonts w:hint="eastAsia" w:ascii="宋体" w:hAnsi="宋体"/>
                <w:szCs w:val="21"/>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pPr>
              <w:pStyle w:val="599"/>
              <w:jc w:val="center"/>
              <w:rPr>
                <w:color w:val="auto"/>
              </w:rPr>
            </w:pPr>
            <w:r>
              <w:rPr>
                <w:rFonts w:hint="eastAsia"/>
                <w:color w:val="auto"/>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szCs w:val="21"/>
              </w:rPr>
            </w:pPr>
            <w:r>
              <w:rPr>
                <w:rFonts w:hint="eastAsia" w:ascii="宋体" w:hAnsi="宋体"/>
                <w:szCs w:val="21"/>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单价</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szCs w:val="21"/>
              </w:rPr>
            </w:pPr>
            <w:r>
              <w:rPr>
                <w:rFonts w:hint="eastAsia" w:ascii="宋体" w:hAnsi="宋体"/>
                <w:szCs w:val="21"/>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r>
              <w:rPr>
                <w:rFonts w:hint="eastAsia" w:ascii="宋体" w:hAnsi="宋体"/>
                <w:spacing w:val="20"/>
                <w:szCs w:val="21"/>
              </w:rPr>
              <w:t>……</w:t>
            </w: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hAnsi="宋体"/>
              </w:rPr>
              <w:t>本项目</w:t>
            </w:r>
            <w:r>
              <w:rPr>
                <w:rFonts w:hint="eastAsia" w:ascii="宋体" w:hAnsi="宋体"/>
                <w:szCs w:val="21"/>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spacing w:val="20"/>
                <w:szCs w:val="21"/>
              </w:rPr>
            </w:pPr>
            <w:r>
              <w:rPr>
                <w:rFonts w:hint="eastAsia" w:ascii="宋体" w:hAnsi="宋体"/>
                <w:szCs w:val="21"/>
                <w:lang w:eastAsia="zh"/>
              </w:rPr>
              <w:t>¥</w:t>
            </w:r>
            <w:r>
              <w:rPr>
                <w:rFonts w:hint="eastAsia" w:ascii="宋体" w:hAnsi="宋体"/>
                <w:szCs w:val="21"/>
                <w:u w:val="single"/>
              </w:rPr>
              <w:t xml:space="preserve">            </w:t>
            </w:r>
          </w:p>
        </w:tc>
      </w:tr>
    </w:tbl>
    <w:p>
      <w:pPr>
        <w:tabs>
          <w:tab w:val="left" w:pos="1418"/>
        </w:tabs>
        <w:snapToGrid w:val="0"/>
        <w:spacing w:before="50" w:after="50" w:line="360" w:lineRule="exact"/>
        <w:ind w:left="1418" w:hanging="567"/>
        <w:jc w:val="center"/>
        <w:rPr>
          <w:rFonts w:ascii="宋体" w:hAnsi="宋体"/>
          <w:spacing w:val="20"/>
          <w:szCs w:val="21"/>
          <w:u w:val="single"/>
        </w:rPr>
      </w:pPr>
    </w:p>
    <w:p>
      <w:pPr>
        <w:snapToGrid w:val="0"/>
        <w:spacing w:before="50" w:after="50" w:line="360" w:lineRule="exact"/>
        <w:rPr>
          <w:rFonts w:ascii="宋体" w:hAnsi="宋体"/>
          <w:spacing w:val="20"/>
          <w:szCs w:val="21"/>
          <w:u w:val="single"/>
        </w:rPr>
      </w:pPr>
      <w:r>
        <w:rPr>
          <w:rFonts w:hint="eastAsia" w:ascii="宋体" w:hAnsi="宋体"/>
          <w:szCs w:val="21"/>
        </w:rPr>
        <w:t>法定代表人或委托代理人签字（或签章）</w:t>
      </w:r>
      <w:r>
        <w:rPr>
          <w:rFonts w:hint="eastAsia" w:ascii="宋体" w:hAnsi="宋体"/>
          <w:spacing w:val="20"/>
          <w:szCs w:val="21"/>
        </w:rPr>
        <w:t>：</w:t>
      </w:r>
      <w:r>
        <w:rPr>
          <w:rFonts w:hint="eastAsia" w:ascii="宋体" w:hAnsi="宋体"/>
          <w:spacing w:val="20"/>
          <w:szCs w:val="21"/>
          <w:u w:val="single"/>
        </w:rPr>
        <w:t xml:space="preserve">          </w:t>
      </w:r>
    </w:p>
    <w:p>
      <w:pPr>
        <w:snapToGrid w:val="0"/>
        <w:spacing w:before="50" w:after="50" w:line="360" w:lineRule="exact"/>
        <w:rPr>
          <w:rFonts w:ascii="宋体" w:hAnsi="宋体"/>
          <w:szCs w:val="21"/>
        </w:rPr>
      </w:pPr>
      <w:r>
        <w:rPr>
          <w:rFonts w:hint="eastAsia" w:ascii="宋体" w:hAnsi="宋体"/>
          <w:szCs w:val="21"/>
        </w:rPr>
        <w:t xml:space="preserve">投标人盖章：                               日  期：         </w:t>
      </w:r>
    </w:p>
    <w:p>
      <w:pPr>
        <w:snapToGrid w:val="0"/>
        <w:spacing w:before="156" w:beforeLines="50" w:after="50" w:line="360" w:lineRule="exact"/>
        <w:rPr>
          <w:rFonts w:ascii="宋体" w:hAnsi="宋体"/>
          <w:szCs w:val="21"/>
        </w:rPr>
      </w:pPr>
      <w:r>
        <w:rPr>
          <w:rFonts w:hint="eastAsia" w:ascii="宋体" w:hAnsi="宋体"/>
          <w:b/>
          <w:szCs w:val="21"/>
        </w:rPr>
        <w:t>（3）</w:t>
      </w:r>
      <w:r>
        <w:rPr>
          <w:rFonts w:hint="eastAsia" w:ascii="宋体" w:hAnsi="宋体"/>
          <w:szCs w:val="21"/>
        </w:rPr>
        <w:t>投标人针对报价需要说明的其他文件和说明（格式自拟）</w:t>
      </w: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156" w:beforeLines="50" w:after="50" w:line="360" w:lineRule="exact"/>
        <w:rPr>
          <w:rFonts w:ascii="宋体" w:hAnsi="宋体"/>
          <w:szCs w:val="21"/>
        </w:rPr>
      </w:pPr>
    </w:p>
    <w:p>
      <w:pPr>
        <w:snapToGrid w:val="0"/>
        <w:spacing w:before="50" w:after="50" w:line="360" w:lineRule="exact"/>
        <w:rPr>
          <w:rFonts w:ascii="宋体" w:hAnsi="宋体"/>
          <w:b/>
          <w:szCs w:val="21"/>
        </w:rPr>
      </w:pPr>
    </w:p>
    <w:p>
      <w:pPr>
        <w:snapToGrid w:val="0"/>
        <w:spacing w:before="50" w:after="50" w:line="360" w:lineRule="exact"/>
        <w:rPr>
          <w:rFonts w:ascii="宋体" w:hAnsi="宋体"/>
          <w:b/>
          <w:szCs w:val="21"/>
        </w:rPr>
      </w:pPr>
      <w:r>
        <w:rPr>
          <w:rFonts w:hint="eastAsia" w:ascii="宋体" w:hAnsi="宋体"/>
          <w:b/>
          <w:szCs w:val="21"/>
        </w:rPr>
        <w:t>（4）开标一览表</w:t>
      </w:r>
    </w:p>
    <w:p>
      <w:pPr>
        <w:snapToGrid w:val="0"/>
        <w:spacing w:before="50" w:after="50" w:line="360" w:lineRule="exact"/>
        <w:jc w:val="center"/>
        <w:rPr>
          <w:rFonts w:ascii="宋体" w:hAnsi="宋体"/>
          <w:b/>
          <w:szCs w:val="21"/>
        </w:rPr>
      </w:pPr>
      <w:r>
        <w:rPr>
          <w:rFonts w:hint="eastAsia" w:ascii="宋体" w:hAnsi="宋体"/>
          <w:b/>
          <w:szCs w:val="21"/>
        </w:rPr>
        <w:t>开标一览表</w:t>
      </w:r>
    </w:p>
    <w:p>
      <w:pPr>
        <w:snapToGrid w:val="0"/>
        <w:spacing w:before="50" w:after="156" w:afterLines="50" w:line="360" w:lineRule="exact"/>
        <w:jc w:val="left"/>
      </w:pPr>
      <w:r>
        <w:rPr>
          <w:rFonts w:hint="eastAsia" w:hAnsi="宋体"/>
        </w:rPr>
        <w:t>项目名称：</w:t>
      </w:r>
    </w:p>
    <w:p>
      <w:pPr>
        <w:snapToGrid w:val="0"/>
        <w:spacing w:before="50" w:after="156" w:afterLines="50" w:line="360" w:lineRule="exact"/>
        <w:jc w:val="left"/>
        <w:rPr>
          <w:rFonts w:ascii="宋体" w:hAnsi="宋体"/>
          <w:b/>
          <w:szCs w:val="21"/>
        </w:rPr>
      </w:pPr>
      <w:r>
        <w:rPr>
          <w:rFonts w:hint="eastAsia"/>
        </w:rPr>
        <w:t>项目编号：</w:t>
      </w:r>
      <w:r>
        <w:t xml:space="preserve">                                        </w:t>
      </w:r>
    </w:p>
    <w:p>
      <w:pPr>
        <w:snapToGrid w:val="0"/>
        <w:spacing w:before="50" w:after="156" w:afterLines="50" w:line="360" w:lineRule="exact"/>
        <w:ind w:firstLine="102" w:firstLineChars="49"/>
        <w:jc w:val="left"/>
        <w:rPr>
          <w:rFonts w:ascii="宋体" w:hAnsi="宋体"/>
          <w:b/>
          <w:szCs w:val="21"/>
        </w:rPr>
      </w:pPr>
      <w:r>
        <w:rPr>
          <w:rFonts w:hint="eastAsia"/>
          <w:u w:val="single"/>
        </w:rPr>
        <w:t xml:space="preserve">  </w:t>
      </w:r>
      <w:r>
        <w:rPr>
          <w:rFonts w:hint="eastAsia"/>
        </w:rPr>
        <w:t>分标</w:t>
      </w:r>
      <w:r>
        <w:t xml:space="preserve">                                                </w:t>
      </w:r>
      <w:r>
        <w:rPr>
          <w:rFonts w:hint="eastAsia"/>
        </w:rPr>
        <w:t>金额单位：人民币（元）</w:t>
      </w:r>
    </w:p>
    <w:tbl>
      <w:tblPr>
        <w:tblStyle w:val="5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72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r>
              <w:rPr>
                <w:rFonts w:hint="eastAsia" w:ascii="宋体" w:hAnsi="宋体"/>
                <w:szCs w:val="21"/>
              </w:rPr>
              <w:t>序号</w:t>
            </w: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单价</w:t>
            </w: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r>
              <w:rPr>
                <w:rFonts w:hint="eastAsia" w:ascii="宋体" w:hAnsi="宋体"/>
                <w:szCs w:val="21"/>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Cs w:val="21"/>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ascii="宋体" w:hAnsi="宋体"/>
                <w:bCs/>
                <w:szCs w:val="21"/>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ascii="宋体" w:hAnsi="宋体"/>
                <w:szCs w:val="21"/>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c>
          <w:tcPr>
            <w:tcW w:w="172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ascii="宋体" w:hAnsi="宋体"/>
                <w:szCs w:val="21"/>
                <w:u w:val="single"/>
              </w:rPr>
            </w:pPr>
            <w:r>
              <w:rPr>
                <w:rFonts w:hint="eastAsia" w:hAnsi="宋体"/>
              </w:rPr>
              <w:t>本项目</w:t>
            </w:r>
            <w:r>
              <w:rPr>
                <w:rFonts w:hint="eastAsia" w:ascii="宋体" w:hAnsi="宋体"/>
                <w:szCs w:val="21"/>
              </w:rPr>
              <w:t xml:space="preserve">合计金额大写：                                              </w:t>
            </w:r>
            <w:r>
              <w:rPr>
                <w:rFonts w:hint="eastAsia" w:ascii="宋体" w:hAnsi="宋体"/>
                <w:szCs w:val="21"/>
                <w:lang w:eastAsia="zh"/>
              </w:rPr>
              <w:t>¥</w:t>
            </w:r>
            <w:r>
              <w:rPr>
                <w:rFonts w:hint="eastAsia" w:ascii="宋体" w:hAnsi="宋体"/>
                <w:szCs w:val="21"/>
                <w:u w:val="single"/>
              </w:rPr>
              <w:t xml:space="preserve">            </w:t>
            </w:r>
          </w:p>
        </w:tc>
      </w:tr>
    </w:tbl>
    <w:p>
      <w:pPr>
        <w:snapToGrid w:val="0"/>
        <w:spacing w:before="50" w:after="50" w:line="360" w:lineRule="exact"/>
        <w:ind w:firstLine="420" w:firstLineChars="200"/>
        <w:jc w:val="left"/>
        <w:rPr>
          <w:rFonts w:ascii="宋体" w:hAnsi="宋体"/>
          <w:szCs w:val="21"/>
        </w:rPr>
      </w:pPr>
      <w:r>
        <w:rPr>
          <w:rFonts w:hint="eastAsia" w:ascii="宋体" w:hAnsi="宋体"/>
          <w:szCs w:val="21"/>
        </w:rPr>
        <w:t>注： 1、报价一经涂改，应在涂改处加盖单位公章或者由法定代表人或授权委托人签字或盖章，否则其投标作无效标处理。</w:t>
      </w:r>
    </w:p>
    <w:p>
      <w:pPr>
        <w:snapToGrid w:val="0"/>
        <w:spacing w:before="50" w:after="50" w:line="360" w:lineRule="exact"/>
        <w:ind w:firstLine="420" w:firstLineChars="200"/>
        <w:jc w:val="left"/>
        <w:rPr>
          <w:rFonts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jc w:val="left"/>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20" w:firstLineChars="200"/>
        <w:jc w:val="left"/>
        <w:rPr>
          <w:rFonts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ascii="宋体" w:hAnsi="宋体"/>
          <w:szCs w:val="21"/>
        </w:rPr>
      </w:pPr>
      <w:r>
        <w:rPr>
          <w:rFonts w:hint="eastAsia" w:ascii="宋体" w:hAnsi="宋体"/>
          <w:szCs w:val="21"/>
        </w:rPr>
        <w:t xml:space="preserve">法定代表人或委托代理人签字（或签章）：                    </w:t>
      </w:r>
    </w:p>
    <w:p>
      <w:pPr>
        <w:snapToGrid w:val="0"/>
        <w:spacing w:before="50" w:after="50" w:line="360" w:lineRule="exact"/>
        <w:ind w:right="-816" w:rightChars="-389" w:firstLine="420" w:firstLineChars="200"/>
        <w:rPr>
          <w:rFonts w:ascii="宋体" w:hAnsi="宋体"/>
          <w:szCs w:val="21"/>
        </w:rPr>
      </w:pPr>
      <w:r>
        <w:rPr>
          <w:rFonts w:hint="eastAsia" w:ascii="宋体" w:hAnsi="宋体"/>
          <w:szCs w:val="21"/>
        </w:rPr>
        <w:t xml:space="preserve">投标人名称（盖章）：                               </w:t>
      </w:r>
    </w:p>
    <w:p>
      <w:pPr>
        <w:jc w:val="right"/>
      </w:pPr>
      <w:r>
        <w:rPr>
          <w:rFonts w:hint="eastAsia"/>
        </w:rPr>
        <w:t>日期：    年   月   日</w:t>
      </w:r>
    </w:p>
    <w:p/>
    <w:p/>
    <w:p/>
    <w:p/>
    <w:p/>
    <w:p/>
    <w:p/>
    <w:p/>
    <w:p/>
    <w:p/>
    <w:p/>
    <w:p/>
    <w:p>
      <w:pPr>
        <w:snapToGrid w:val="0"/>
        <w:spacing w:before="50" w:after="50" w:line="360" w:lineRule="exact"/>
        <w:ind w:right="-816" w:rightChars="-389" w:firstLine="7140" w:firstLineChars="3400"/>
        <w:rPr>
          <w:rFonts w:ascii="宋体" w:hAnsi="宋体"/>
          <w:szCs w:val="21"/>
        </w:rPr>
      </w:pPr>
    </w:p>
    <w:p/>
    <w:p/>
    <w:p/>
    <w:sectPr>
      <w:pgSz w:w="11906" w:h="16838"/>
      <w:pgMar w:top="1134" w:right="1134" w:bottom="1134" w:left="1134" w:header="851" w:footer="992" w:gutter="0"/>
      <w:pgNumType w:fmt="decimal"/>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8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Ђˎ̥">
    <w:altName w:val="宋体"/>
    <w:panose1 w:val="00000000000000000000"/>
    <w:charset w:val="00"/>
    <w:family w:val="roman"/>
    <w:pitch w:val="default"/>
    <w:sig w:usb0="00000000" w:usb1="00000000" w:usb2="00000000" w:usb3="00000000" w:csb0="00040001" w:csb1="00000000"/>
  </w:font>
  <w:font w:name="Verdana">
    <w:altName w:val="DejaVu Sans"/>
    <w:panose1 w:val="020B0604030504040204"/>
    <w:charset w:val="00"/>
    <w:family w:val="swiss"/>
    <w:pitch w:val="default"/>
    <w:sig w:usb0="00000000" w:usb1="00000000" w:usb2="00000010"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楷体_GB2312">
    <w:panose1 w:val="02010609030101010101"/>
    <w:charset w:val="86"/>
    <w:family w:val="modern"/>
    <w:pitch w:val="default"/>
    <w:sig w:usb0="00000001" w:usb1="080E0000" w:usb2="00000000" w:usb3="00000000" w:csb0="00040000" w:csb1="00000000"/>
  </w:font>
  <w:font w:name="华文宋体">
    <w:altName w:val="方正书宋_GBK"/>
    <w:panose1 w:val="02010600040101010101"/>
    <w:charset w:val="86"/>
    <w:family w:val="auto"/>
    <w:pitch w:val="default"/>
    <w:sig w:usb0="00000000" w:usb1="00000000" w:usb2="00000000" w:usb3="00000000" w:csb0="0004009F" w:csb1="DFD70000"/>
  </w:font>
  <w:font w:name="Tahoma">
    <w:altName w:val="DejaVu Sans"/>
    <w:panose1 w:val="020B0604030504040204"/>
    <w:charset w:val="00"/>
    <w:family w:val="swiss"/>
    <w:pitch w:val="default"/>
    <w:sig w:usb0="00000000" w:usb1="00000000" w:usb2="00000029" w:usb3="00000000" w:csb0="000101FF" w:csb1="00000000"/>
  </w:font>
  <w:font w:name="Tms Rmn">
    <w:altName w:val="Noto Serif Bengali"/>
    <w:panose1 w:val="02020603040505020304"/>
    <w:charset w:val="00"/>
    <w:family w:val="roman"/>
    <w:pitch w:val="default"/>
    <w:sig w:usb0="00000000" w:usb1="00000000" w:usb2="00000000" w:usb3="00000000" w:csb0="00000001" w:csb1="00000000"/>
  </w:font>
  <w:font w:name="创艺简黑体">
    <w:altName w:val="方正黑体_GBK"/>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10" w:usb3="00000000" w:csb0="00040000"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方正书宋_GBK">
    <w:panose1 w:val="02000000000000000000"/>
    <w:charset w:val="86"/>
    <w:family w:val="auto"/>
    <w:pitch w:val="default"/>
    <w:sig w:usb0="00000001" w:usb1="08000000" w:usb2="00000000" w:usb3="00000000" w:csb0="00040000" w:csb1="00000000"/>
  </w:font>
  <w:font w:name="Noto Serif Bengali">
    <w:panose1 w:val="020B0502040504020204"/>
    <w:charset w:val="00"/>
    <w:family w:val="auto"/>
    <w:pitch w:val="default"/>
    <w:sig w:usb0="00010000"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7785" cy="131445"/>
              <wp:effectExtent l="0" t="0" r="0" b="1905"/>
              <wp:wrapNone/>
              <wp:docPr id="2"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7216;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DPi91E0AAAAAIBAAAPAAAAAAAAAAEAIAAAADgAAABkcnMvZG93bnJl&#10;di54bWxQSwECFAAUAAAACACHTuJAD3fJke8BAACzAwAADgAAAAAAAAABACAAAAA1AQAAZHJzL2Uy&#10;b0RvYy54bWxQSwUGAAAAAAYABgBZAQAAlgU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framePr w:wrap="around" w:vAnchor="text" w:hAnchor="margin" w:xAlign="center" w:y="1"/>
      <w:rPr>
        <w:rStyle w:val="60"/>
      </w:rPr>
    </w:pPr>
    <w:r>
      <w:fldChar w:fldCharType="begin"/>
    </w:r>
    <w:r>
      <w:rPr>
        <w:rStyle w:val="60"/>
      </w:rPr>
      <w:instrText xml:space="preserve">PAGE  </w:instrText>
    </w:r>
    <w:r>
      <w:fldChar w:fldCharType="separate"/>
    </w:r>
    <w:r>
      <w:fldChar w:fldCharType="end"/>
    </w:r>
  </w:p>
  <w:p>
    <w:pPr>
      <w:pStyle w:val="3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tabs>
        <w:tab w:val="left" w:pos="5169"/>
        <w:tab w:val="clear" w:pos="8306"/>
      </w:tabs>
      <w:ind w:right="360"/>
      <w:jc w:val="both"/>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3810" b="381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M+L3UTQAAAAAgEAAA8AAAAAAAAAAQAgAAAAOAAAAGRycy9kb3ducmV2&#10;LnhtbFBLAQIUABQAAAAIAIdO4kBkw5xs7gEAALMDAAAOAAAAAAAAAAEAIAAAADUBAABkcnMvZTJv&#10;RG9jLnhtbFBLBQYAAAAABgAGAFkBAACVBQAAAAA=&#10;">
              <v:fill on="f" focussize="0,0"/>
              <v:stroke on="f"/>
              <v:imagedata o:title=""/>
              <o:lock v:ext="edit" aspectratio="f"/>
              <v:textbox inset="0mm,0mm,0mm,0mm" style="mso-fit-shape-to-text:t;">
                <w:txbxContent>
                  <w:p>
                    <w:pPr>
                      <w:pStyle w:val="3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医用直线加速器</w:t>
    </w:r>
    <w:r>
      <w:rPr>
        <w:rFonts w:hint="default" w:ascii="宋体" w:hAnsi="宋体" w:cs="宋体"/>
        <w:b w:val="0"/>
        <w:sz w:val="18"/>
        <w:szCs w:val="18"/>
        <w:lang w:val="en"/>
      </w:rPr>
      <w:t>)集中采购</w:t>
    </w:r>
    <w:r>
      <w:rPr>
        <w:rFonts w:hint="eastAsia"/>
      </w:rPr>
      <w:t>（</w:t>
    </w:r>
    <w:r>
      <w:rPr>
        <w:rFonts w:hint="eastAsia"/>
        <w:lang w:val="en" w:eastAsia="zh-CN"/>
      </w:rPr>
      <w:t>GXZC2026-G1-002393-JYZX</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right"/>
    </w:pPr>
    <w:r>
      <w:rPr>
        <w:rFonts w:hint="default" w:ascii="宋体" w:hAnsi="宋体" w:cs="宋体"/>
        <w:b w:val="0"/>
        <w:sz w:val="18"/>
        <w:szCs w:val="18"/>
        <w:lang w:val="en"/>
      </w:rPr>
      <w:t>2025年广西大型医用设备(</w:t>
    </w:r>
    <w:r>
      <w:rPr>
        <w:rFonts w:hint="eastAsia" w:ascii="宋体" w:hAnsi="宋体" w:cs="宋体"/>
        <w:b w:val="0"/>
        <w:sz w:val="18"/>
        <w:szCs w:val="18"/>
        <w:lang w:val="en" w:eastAsia="zh"/>
      </w:rPr>
      <w:t>医用直线加速器</w:t>
    </w:r>
    <w:r>
      <w:rPr>
        <w:rFonts w:hint="default" w:ascii="宋体" w:hAnsi="宋体" w:cs="宋体"/>
        <w:b w:val="0"/>
        <w:sz w:val="18"/>
        <w:szCs w:val="18"/>
        <w:lang w:val="en"/>
      </w:rPr>
      <w:t>)集中采购</w:t>
    </w:r>
    <w:r>
      <w:rPr>
        <w:rFonts w:hint="eastAsia"/>
      </w:rPr>
      <w:t>（</w:t>
    </w:r>
    <w:r>
      <w:rPr>
        <w:rFonts w:hint="eastAsia"/>
        <w:lang w:val="en" w:eastAsia="zh-CN"/>
      </w:rPr>
      <w:t>GXZC2026-G1-002393-JYZX</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31"/>
      <w:suff w:val="nothing"/>
      <w:lvlText w:val="（%1）"/>
      <w:lvlJc w:val="left"/>
      <w:rPr>
        <w:rFonts w:cs="Times New Roman"/>
      </w:rPr>
    </w:lvl>
  </w:abstractNum>
  <w:abstractNum w:abstractNumId="1">
    <w:nsid w:val="F3ECB142"/>
    <w:multiLevelType w:val="singleLevel"/>
    <w:tmpl w:val="F3ECB142"/>
    <w:lvl w:ilvl="0" w:tentative="0">
      <w:start w:val="12"/>
      <w:numFmt w:val="decimal"/>
      <w:suff w:val="nothing"/>
      <w:lvlText w:val="（%1）"/>
      <w:lvlJc w:val="left"/>
    </w:lvl>
  </w:abstractNum>
  <w:abstractNum w:abstractNumId="2">
    <w:nsid w:val="FEEE8679"/>
    <w:multiLevelType w:val="singleLevel"/>
    <w:tmpl w:val="FEEE8679"/>
    <w:lvl w:ilvl="0" w:tentative="0">
      <w:start w:val="15"/>
      <w:numFmt w:val="chineseCounting"/>
      <w:suff w:val="nothing"/>
      <w:lvlText w:val="（%1）"/>
      <w:lvlJc w:val="left"/>
      <w:rPr>
        <w:rFonts w:hint="eastAsia"/>
      </w:rPr>
    </w:lvl>
  </w:abstractNum>
  <w:abstractNum w:abstractNumId="3">
    <w:nsid w:val="08C42F8D"/>
    <w:multiLevelType w:val="singleLevel"/>
    <w:tmpl w:val="08C42F8D"/>
    <w:lvl w:ilvl="0" w:tentative="0">
      <w:start w:val="2"/>
      <w:numFmt w:val="chineseCounting"/>
      <w:suff w:val="nothing"/>
      <w:lvlText w:val="%1、"/>
      <w:lvlJc w:val="left"/>
      <w:rPr>
        <w:rFonts w:hint="eastAsia"/>
      </w:rPr>
    </w:lvl>
  </w:abstractNum>
  <w:abstractNum w:abstractNumId="4">
    <w:nsid w:val="3FCF0C34"/>
    <w:multiLevelType w:val="singleLevel"/>
    <w:tmpl w:val="3FCF0C34"/>
    <w:lvl w:ilvl="0" w:tentative="0">
      <w:start w:val="3"/>
      <w:numFmt w:val="chineseCounting"/>
      <w:suff w:val="nothing"/>
      <w:lvlText w:val="%1、"/>
      <w:lvlJc w:val="left"/>
      <w:rPr>
        <w:rFonts w:hint="eastAsia"/>
      </w:rPr>
    </w:lvl>
  </w:abstractNum>
  <w:abstractNum w:abstractNumId="5">
    <w:nsid w:val="7C728C76"/>
    <w:multiLevelType w:val="singleLevel"/>
    <w:tmpl w:val="7C728C76"/>
    <w:lvl w:ilvl="0" w:tentative="0">
      <w:start w:val="2"/>
      <w:numFmt w:val="chineseCounting"/>
      <w:suff w:val="nothing"/>
      <w:lvlText w:val="（%1）"/>
      <w:lvlJc w:val="left"/>
      <w:rPr>
        <w:rFonts w:hint="eastAsia"/>
      </w:r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0MWI0MDAyMzc1MmZmZThiMDFlMTBlODNlMGIzY2E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0FC9"/>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0226"/>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DC7"/>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470E"/>
    <w:rsid w:val="00176559"/>
    <w:rsid w:val="001801A0"/>
    <w:rsid w:val="0018081A"/>
    <w:rsid w:val="00180A2C"/>
    <w:rsid w:val="00180E5E"/>
    <w:rsid w:val="0018313E"/>
    <w:rsid w:val="0018427B"/>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965"/>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580"/>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1A4"/>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D33"/>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0BF"/>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219E"/>
    <w:rsid w:val="00393D3B"/>
    <w:rsid w:val="003940B1"/>
    <w:rsid w:val="00395893"/>
    <w:rsid w:val="00396559"/>
    <w:rsid w:val="00396F21"/>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A30"/>
    <w:rsid w:val="00437B07"/>
    <w:rsid w:val="004403EA"/>
    <w:rsid w:val="004413E7"/>
    <w:rsid w:val="004431A4"/>
    <w:rsid w:val="00445717"/>
    <w:rsid w:val="004462A6"/>
    <w:rsid w:val="00446BDD"/>
    <w:rsid w:val="0045120F"/>
    <w:rsid w:val="0045296E"/>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A88"/>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6FD3"/>
    <w:rsid w:val="004F768C"/>
    <w:rsid w:val="004F7A3D"/>
    <w:rsid w:val="00501DA8"/>
    <w:rsid w:val="00502B96"/>
    <w:rsid w:val="00504A68"/>
    <w:rsid w:val="0050553A"/>
    <w:rsid w:val="00510288"/>
    <w:rsid w:val="00511BCE"/>
    <w:rsid w:val="00512D1E"/>
    <w:rsid w:val="0051327C"/>
    <w:rsid w:val="005171CD"/>
    <w:rsid w:val="00522DDC"/>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D95"/>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3CA0"/>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4CE9"/>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80B"/>
    <w:rsid w:val="0065166B"/>
    <w:rsid w:val="0065225B"/>
    <w:rsid w:val="00655ADD"/>
    <w:rsid w:val="00655F5E"/>
    <w:rsid w:val="006569F4"/>
    <w:rsid w:val="00657047"/>
    <w:rsid w:val="00657368"/>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67C6D"/>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EF3"/>
    <w:rsid w:val="00884533"/>
    <w:rsid w:val="00885D0F"/>
    <w:rsid w:val="00891754"/>
    <w:rsid w:val="00892020"/>
    <w:rsid w:val="00892CF9"/>
    <w:rsid w:val="00892E49"/>
    <w:rsid w:val="008953DB"/>
    <w:rsid w:val="00895BE8"/>
    <w:rsid w:val="00895DAC"/>
    <w:rsid w:val="00896463"/>
    <w:rsid w:val="00897099"/>
    <w:rsid w:val="008A2611"/>
    <w:rsid w:val="008A3863"/>
    <w:rsid w:val="008A6414"/>
    <w:rsid w:val="008A67AA"/>
    <w:rsid w:val="008B0A1C"/>
    <w:rsid w:val="008B3E5E"/>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B6C"/>
    <w:rsid w:val="00915F0B"/>
    <w:rsid w:val="00920457"/>
    <w:rsid w:val="00920C66"/>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2D73"/>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0AF4"/>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5025"/>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3BA"/>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268"/>
    <w:rsid w:val="00B504A6"/>
    <w:rsid w:val="00B51EF0"/>
    <w:rsid w:val="00B52EFE"/>
    <w:rsid w:val="00B57727"/>
    <w:rsid w:val="00B5779F"/>
    <w:rsid w:val="00B600AA"/>
    <w:rsid w:val="00B60AB1"/>
    <w:rsid w:val="00B618F7"/>
    <w:rsid w:val="00B62AF9"/>
    <w:rsid w:val="00B64420"/>
    <w:rsid w:val="00B64959"/>
    <w:rsid w:val="00B70E5B"/>
    <w:rsid w:val="00B73A8B"/>
    <w:rsid w:val="00B74128"/>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2FA"/>
    <w:rsid w:val="00CB0438"/>
    <w:rsid w:val="00CB08D6"/>
    <w:rsid w:val="00CB1F80"/>
    <w:rsid w:val="00CB339F"/>
    <w:rsid w:val="00CB5463"/>
    <w:rsid w:val="00CB673D"/>
    <w:rsid w:val="00CB7DCC"/>
    <w:rsid w:val="00CC0777"/>
    <w:rsid w:val="00CC104E"/>
    <w:rsid w:val="00CC3495"/>
    <w:rsid w:val="00CC38AE"/>
    <w:rsid w:val="00CC3EEA"/>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5245"/>
    <w:rsid w:val="00D15835"/>
    <w:rsid w:val="00D2136D"/>
    <w:rsid w:val="00D22D6D"/>
    <w:rsid w:val="00D2303A"/>
    <w:rsid w:val="00D23317"/>
    <w:rsid w:val="00D239D4"/>
    <w:rsid w:val="00D24D5D"/>
    <w:rsid w:val="00D27CC7"/>
    <w:rsid w:val="00D31861"/>
    <w:rsid w:val="00D32D70"/>
    <w:rsid w:val="00D34367"/>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E779A"/>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5CAD"/>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316A7"/>
    <w:rsid w:val="00F31DCF"/>
    <w:rsid w:val="00F338E9"/>
    <w:rsid w:val="00F40A85"/>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002"/>
    <w:rsid w:val="00FC2C6E"/>
    <w:rsid w:val="00FC2D5F"/>
    <w:rsid w:val="00FC2D84"/>
    <w:rsid w:val="00FC2FD5"/>
    <w:rsid w:val="00FC3ABD"/>
    <w:rsid w:val="00FC50F6"/>
    <w:rsid w:val="00FD03A4"/>
    <w:rsid w:val="00FD1161"/>
    <w:rsid w:val="00FD11B4"/>
    <w:rsid w:val="00FD13F0"/>
    <w:rsid w:val="00FD2059"/>
    <w:rsid w:val="00FD20AC"/>
    <w:rsid w:val="00FD36D6"/>
    <w:rsid w:val="00FD4150"/>
    <w:rsid w:val="00FD62CE"/>
    <w:rsid w:val="00FD76A0"/>
    <w:rsid w:val="00FE0D54"/>
    <w:rsid w:val="00FE1A46"/>
    <w:rsid w:val="00FE22B9"/>
    <w:rsid w:val="00FF0207"/>
    <w:rsid w:val="00FF13EE"/>
    <w:rsid w:val="00FF6005"/>
    <w:rsid w:val="00FF69FA"/>
    <w:rsid w:val="0240636C"/>
    <w:rsid w:val="029506B1"/>
    <w:rsid w:val="02B51750"/>
    <w:rsid w:val="02E5679B"/>
    <w:rsid w:val="034701FE"/>
    <w:rsid w:val="047B8BE2"/>
    <w:rsid w:val="05BD7E53"/>
    <w:rsid w:val="05C15C52"/>
    <w:rsid w:val="06E95875"/>
    <w:rsid w:val="075D1849"/>
    <w:rsid w:val="07EF7F71"/>
    <w:rsid w:val="08DE171A"/>
    <w:rsid w:val="099B379E"/>
    <w:rsid w:val="09A6367E"/>
    <w:rsid w:val="09AA9F9A"/>
    <w:rsid w:val="09CD3B14"/>
    <w:rsid w:val="0A36027E"/>
    <w:rsid w:val="0A8C5119"/>
    <w:rsid w:val="0ADF2E0E"/>
    <w:rsid w:val="0BE5CBCD"/>
    <w:rsid w:val="0C080FC2"/>
    <w:rsid w:val="0C1E3E07"/>
    <w:rsid w:val="0CEE2D9A"/>
    <w:rsid w:val="0D27F95D"/>
    <w:rsid w:val="0DDB94AA"/>
    <w:rsid w:val="0DEA67B6"/>
    <w:rsid w:val="0E390906"/>
    <w:rsid w:val="0EE759A1"/>
    <w:rsid w:val="0F195338"/>
    <w:rsid w:val="0F7384D1"/>
    <w:rsid w:val="0F940BBB"/>
    <w:rsid w:val="0FEB3061"/>
    <w:rsid w:val="0FEF5D2E"/>
    <w:rsid w:val="0FFFD5B9"/>
    <w:rsid w:val="10D114E2"/>
    <w:rsid w:val="12071CCC"/>
    <w:rsid w:val="13A42E00"/>
    <w:rsid w:val="13B55D14"/>
    <w:rsid w:val="13FB89E4"/>
    <w:rsid w:val="13FF02CE"/>
    <w:rsid w:val="13FF6337"/>
    <w:rsid w:val="1589A108"/>
    <w:rsid w:val="15DFA56A"/>
    <w:rsid w:val="173F2747"/>
    <w:rsid w:val="179F1141"/>
    <w:rsid w:val="17AA14A0"/>
    <w:rsid w:val="17B06C4E"/>
    <w:rsid w:val="17DF568D"/>
    <w:rsid w:val="17DFAE35"/>
    <w:rsid w:val="17EF498B"/>
    <w:rsid w:val="17FFA5B4"/>
    <w:rsid w:val="18AB16F5"/>
    <w:rsid w:val="18AE18D6"/>
    <w:rsid w:val="18B417D8"/>
    <w:rsid w:val="18CC2CDE"/>
    <w:rsid w:val="19236D1A"/>
    <w:rsid w:val="193130F9"/>
    <w:rsid w:val="197DE5B9"/>
    <w:rsid w:val="1BB39839"/>
    <w:rsid w:val="1BFB9A89"/>
    <w:rsid w:val="1BFE6EA7"/>
    <w:rsid w:val="1BFFA145"/>
    <w:rsid w:val="1C0C5B91"/>
    <w:rsid w:val="1C7F7848"/>
    <w:rsid w:val="1CAC2755"/>
    <w:rsid w:val="1CEA3410"/>
    <w:rsid w:val="1CFFB938"/>
    <w:rsid w:val="1D203BBB"/>
    <w:rsid w:val="1D7F0C90"/>
    <w:rsid w:val="1DAF891A"/>
    <w:rsid w:val="1DF4B453"/>
    <w:rsid w:val="1DF9FDB1"/>
    <w:rsid w:val="1EDD721E"/>
    <w:rsid w:val="1EFBB41D"/>
    <w:rsid w:val="1EFECD63"/>
    <w:rsid w:val="1F570490"/>
    <w:rsid w:val="1F7F67C6"/>
    <w:rsid w:val="1F9B38DD"/>
    <w:rsid w:val="1F9BB5B2"/>
    <w:rsid w:val="1FA74070"/>
    <w:rsid w:val="1FBF67F9"/>
    <w:rsid w:val="1FED5EEE"/>
    <w:rsid w:val="1FF53B50"/>
    <w:rsid w:val="1FFF52BC"/>
    <w:rsid w:val="1FFF63E3"/>
    <w:rsid w:val="1FFFEC08"/>
    <w:rsid w:val="20CC50A8"/>
    <w:rsid w:val="20FF8A2E"/>
    <w:rsid w:val="210B22AC"/>
    <w:rsid w:val="215BA186"/>
    <w:rsid w:val="22627005"/>
    <w:rsid w:val="23790901"/>
    <w:rsid w:val="237FB731"/>
    <w:rsid w:val="23B835E7"/>
    <w:rsid w:val="23BF0929"/>
    <w:rsid w:val="246430E5"/>
    <w:rsid w:val="24646193"/>
    <w:rsid w:val="256AEECB"/>
    <w:rsid w:val="25DC4E14"/>
    <w:rsid w:val="25FE780A"/>
    <w:rsid w:val="266D38A3"/>
    <w:rsid w:val="26F14514"/>
    <w:rsid w:val="26FCD3F9"/>
    <w:rsid w:val="26FE6946"/>
    <w:rsid w:val="27A54CE8"/>
    <w:rsid w:val="27F7604A"/>
    <w:rsid w:val="27FED097"/>
    <w:rsid w:val="28084732"/>
    <w:rsid w:val="28135B26"/>
    <w:rsid w:val="287AB881"/>
    <w:rsid w:val="28837859"/>
    <w:rsid w:val="28B17509"/>
    <w:rsid w:val="28CF13D5"/>
    <w:rsid w:val="292A4865"/>
    <w:rsid w:val="295A2878"/>
    <w:rsid w:val="29774816"/>
    <w:rsid w:val="2AD7057D"/>
    <w:rsid w:val="2AF98169"/>
    <w:rsid w:val="2AFF58BB"/>
    <w:rsid w:val="2B173CE2"/>
    <w:rsid w:val="2B37FAF5"/>
    <w:rsid w:val="2B9ECB5A"/>
    <w:rsid w:val="2BACB28B"/>
    <w:rsid w:val="2CBDA9A4"/>
    <w:rsid w:val="2CBDB223"/>
    <w:rsid w:val="2CEB238A"/>
    <w:rsid w:val="2CEFD60D"/>
    <w:rsid w:val="2D0C5FD7"/>
    <w:rsid w:val="2D145C50"/>
    <w:rsid w:val="2D3B3FB1"/>
    <w:rsid w:val="2DB274E9"/>
    <w:rsid w:val="2DCD2251"/>
    <w:rsid w:val="2DE81100"/>
    <w:rsid w:val="2DEC75AA"/>
    <w:rsid w:val="2DED7BA8"/>
    <w:rsid w:val="2DFDECDE"/>
    <w:rsid w:val="2E9302D0"/>
    <w:rsid w:val="2EB60BCE"/>
    <w:rsid w:val="2EB6807E"/>
    <w:rsid w:val="2EEF454B"/>
    <w:rsid w:val="2EF7A352"/>
    <w:rsid w:val="2F057303"/>
    <w:rsid w:val="2F5BD637"/>
    <w:rsid w:val="2F7C5615"/>
    <w:rsid w:val="2F9D1559"/>
    <w:rsid w:val="2FDF41E0"/>
    <w:rsid w:val="2FDF854B"/>
    <w:rsid w:val="2FE513EE"/>
    <w:rsid w:val="2FE51D81"/>
    <w:rsid w:val="2FEFA5AB"/>
    <w:rsid w:val="2FF91F46"/>
    <w:rsid w:val="2FFD4134"/>
    <w:rsid w:val="2FFE0C1B"/>
    <w:rsid w:val="2FFF75FC"/>
    <w:rsid w:val="30077C66"/>
    <w:rsid w:val="3013041F"/>
    <w:rsid w:val="301A0E6A"/>
    <w:rsid w:val="31BF1FF0"/>
    <w:rsid w:val="31CFE6AB"/>
    <w:rsid w:val="31F9436D"/>
    <w:rsid w:val="32BE5BC9"/>
    <w:rsid w:val="32F347CF"/>
    <w:rsid w:val="33576316"/>
    <w:rsid w:val="33FBB76E"/>
    <w:rsid w:val="33FE82DA"/>
    <w:rsid w:val="33FF0E7A"/>
    <w:rsid w:val="34372196"/>
    <w:rsid w:val="34565170"/>
    <w:rsid w:val="351D423D"/>
    <w:rsid w:val="35BF6AFC"/>
    <w:rsid w:val="35CF8C50"/>
    <w:rsid w:val="35D7B9E1"/>
    <w:rsid w:val="35FE59B8"/>
    <w:rsid w:val="364F4412"/>
    <w:rsid w:val="36740672"/>
    <w:rsid w:val="369B75DB"/>
    <w:rsid w:val="375B2B07"/>
    <w:rsid w:val="375F9984"/>
    <w:rsid w:val="376C6118"/>
    <w:rsid w:val="377D27C9"/>
    <w:rsid w:val="37A56AD0"/>
    <w:rsid w:val="37AE703A"/>
    <w:rsid w:val="37BDCCEC"/>
    <w:rsid w:val="37CC3E75"/>
    <w:rsid w:val="37DFAC27"/>
    <w:rsid w:val="37EF1BD4"/>
    <w:rsid w:val="37F7FC57"/>
    <w:rsid w:val="37F960C4"/>
    <w:rsid w:val="37FBE143"/>
    <w:rsid w:val="37FD0515"/>
    <w:rsid w:val="37FF7988"/>
    <w:rsid w:val="37FFBB11"/>
    <w:rsid w:val="389E24D1"/>
    <w:rsid w:val="38E369BE"/>
    <w:rsid w:val="38FF9528"/>
    <w:rsid w:val="393609BF"/>
    <w:rsid w:val="396F13CB"/>
    <w:rsid w:val="39785B8F"/>
    <w:rsid w:val="397EB1A3"/>
    <w:rsid w:val="39CD4409"/>
    <w:rsid w:val="39F76B62"/>
    <w:rsid w:val="39FFEFD7"/>
    <w:rsid w:val="3A356BDC"/>
    <w:rsid w:val="3A771B79"/>
    <w:rsid w:val="3AC919C4"/>
    <w:rsid w:val="3AFA7670"/>
    <w:rsid w:val="3AFFA19C"/>
    <w:rsid w:val="3AFFE85A"/>
    <w:rsid w:val="3B34B937"/>
    <w:rsid w:val="3B3FEFC1"/>
    <w:rsid w:val="3B731E2E"/>
    <w:rsid w:val="3B7FA7AD"/>
    <w:rsid w:val="3B7FB13A"/>
    <w:rsid w:val="3B7FE854"/>
    <w:rsid w:val="3BB63F71"/>
    <w:rsid w:val="3BBF6DA0"/>
    <w:rsid w:val="3BCD4F54"/>
    <w:rsid w:val="3BD77242"/>
    <w:rsid w:val="3BDFAE1F"/>
    <w:rsid w:val="3BEDD4DC"/>
    <w:rsid w:val="3BEF3C8A"/>
    <w:rsid w:val="3BEFFD0F"/>
    <w:rsid w:val="3BF43544"/>
    <w:rsid w:val="3BF68F27"/>
    <w:rsid w:val="3BF90170"/>
    <w:rsid w:val="3BFB73C7"/>
    <w:rsid w:val="3BFDDE1C"/>
    <w:rsid w:val="3BFECDD7"/>
    <w:rsid w:val="3BFF90E8"/>
    <w:rsid w:val="3C147DE0"/>
    <w:rsid w:val="3C207E34"/>
    <w:rsid w:val="3C634E75"/>
    <w:rsid w:val="3C6D6DE8"/>
    <w:rsid w:val="3C7F891F"/>
    <w:rsid w:val="3CBB93CE"/>
    <w:rsid w:val="3CC96797"/>
    <w:rsid w:val="3CDFE697"/>
    <w:rsid w:val="3CFD53A7"/>
    <w:rsid w:val="3CFF2D2E"/>
    <w:rsid w:val="3CFF3D35"/>
    <w:rsid w:val="3D1D4B3C"/>
    <w:rsid w:val="3D2EAAA4"/>
    <w:rsid w:val="3D4EE4DF"/>
    <w:rsid w:val="3D7F9DF7"/>
    <w:rsid w:val="3DA3E919"/>
    <w:rsid w:val="3DACBB4D"/>
    <w:rsid w:val="3DB740FD"/>
    <w:rsid w:val="3DDB0697"/>
    <w:rsid w:val="3DDE2CEA"/>
    <w:rsid w:val="3DDE7DB7"/>
    <w:rsid w:val="3DE764FA"/>
    <w:rsid w:val="3DE76E8D"/>
    <w:rsid w:val="3DED2F6D"/>
    <w:rsid w:val="3DF31102"/>
    <w:rsid w:val="3DF52AB8"/>
    <w:rsid w:val="3DFD2AFE"/>
    <w:rsid w:val="3DFF64E3"/>
    <w:rsid w:val="3DFF7A6B"/>
    <w:rsid w:val="3E5720DE"/>
    <w:rsid w:val="3E6B1B28"/>
    <w:rsid w:val="3E7F6C39"/>
    <w:rsid w:val="3E8FC2DE"/>
    <w:rsid w:val="3E95439E"/>
    <w:rsid w:val="3E9EE038"/>
    <w:rsid w:val="3EBC1971"/>
    <w:rsid w:val="3EDE5B66"/>
    <w:rsid w:val="3EEAA6DC"/>
    <w:rsid w:val="3EEBCEDF"/>
    <w:rsid w:val="3EFA2E48"/>
    <w:rsid w:val="3F073F01"/>
    <w:rsid w:val="3F184181"/>
    <w:rsid w:val="3F23E1B4"/>
    <w:rsid w:val="3F47D3B4"/>
    <w:rsid w:val="3F5A88B5"/>
    <w:rsid w:val="3F764185"/>
    <w:rsid w:val="3F7772C4"/>
    <w:rsid w:val="3F777CE3"/>
    <w:rsid w:val="3F7BCBF6"/>
    <w:rsid w:val="3F7BEBC8"/>
    <w:rsid w:val="3F7EFFCA"/>
    <w:rsid w:val="3F7FBC98"/>
    <w:rsid w:val="3F9F6A6A"/>
    <w:rsid w:val="3FAFD5B8"/>
    <w:rsid w:val="3FB7D12F"/>
    <w:rsid w:val="3FBB4D67"/>
    <w:rsid w:val="3FBB9005"/>
    <w:rsid w:val="3FBEF935"/>
    <w:rsid w:val="3FBF92B2"/>
    <w:rsid w:val="3FDE090D"/>
    <w:rsid w:val="3FDF7788"/>
    <w:rsid w:val="3FDFDA10"/>
    <w:rsid w:val="3FE65D79"/>
    <w:rsid w:val="3FE7ACDC"/>
    <w:rsid w:val="3FE9435B"/>
    <w:rsid w:val="3FEA4921"/>
    <w:rsid w:val="3FED5EF2"/>
    <w:rsid w:val="3FED9ED5"/>
    <w:rsid w:val="3FEF4AE1"/>
    <w:rsid w:val="3FF1D8BD"/>
    <w:rsid w:val="3FF3A1F6"/>
    <w:rsid w:val="3FF4E1F6"/>
    <w:rsid w:val="3FF5DE90"/>
    <w:rsid w:val="3FF7C8C8"/>
    <w:rsid w:val="3FF7D284"/>
    <w:rsid w:val="3FF7F6EA"/>
    <w:rsid w:val="3FFAFBA8"/>
    <w:rsid w:val="3FFE4971"/>
    <w:rsid w:val="3FFE4AE2"/>
    <w:rsid w:val="3FFE82FB"/>
    <w:rsid w:val="3FFF017B"/>
    <w:rsid w:val="3FFFFD52"/>
    <w:rsid w:val="40832EB3"/>
    <w:rsid w:val="40E73EE4"/>
    <w:rsid w:val="420C519F"/>
    <w:rsid w:val="425B25EF"/>
    <w:rsid w:val="427A38AA"/>
    <w:rsid w:val="42A1293C"/>
    <w:rsid w:val="42A16BFA"/>
    <w:rsid w:val="42A52948"/>
    <w:rsid w:val="43CE2DA7"/>
    <w:rsid w:val="44B91BB1"/>
    <w:rsid w:val="44DC66A1"/>
    <w:rsid w:val="46157D2B"/>
    <w:rsid w:val="46581CF1"/>
    <w:rsid w:val="46DC3EA3"/>
    <w:rsid w:val="477F5943"/>
    <w:rsid w:val="4797AA05"/>
    <w:rsid w:val="47BE6982"/>
    <w:rsid w:val="47F35980"/>
    <w:rsid w:val="48384622"/>
    <w:rsid w:val="48FC0DFD"/>
    <w:rsid w:val="491F70FA"/>
    <w:rsid w:val="493B2EB0"/>
    <w:rsid w:val="49E656E9"/>
    <w:rsid w:val="4AD6D732"/>
    <w:rsid w:val="4B284CD2"/>
    <w:rsid w:val="4B5F7387"/>
    <w:rsid w:val="4BBD9EA8"/>
    <w:rsid w:val="4BBF773E"/>
    <w:rsid w:val="4BCBA875"/>
    <w:rsid w:val="4BDBE558"/>
    <w:rsid w:val="4BE90E3B"/>
    <w:rsid w:val="4BEF5CE0"/>
    <w:rsid w:val="4BFF4138"/>
    <w:rsid w:val="4C032FAE"/>
    <w:rsid w:val="4D3ADD57"/>
    <w:rsid w:val="4D40385F"/>
    <w:rsid w:val="4D4D213E"/>
    <w:rsid w:val="4D84661B"/>
    <w:rsid w:val="4D891FDA"/>
    <w:rsid w:val="4D9407A7"/>
    <w:rsid w:val="4D99C30F"/>
    <w:rsid w:val="4DD30CC7"/>
    <w:rsid w:val="4E3A3764"/>
    <w:rsid w:val="4E3B3813"/>
    <w:rsid w:val="4EA7482D"/>
    <w:rsid w:val="4EBD78B5"/>
    <w:rsid w:val="4EBE9F53"/>
    <w:rsid w:val="4EBEB2F0"/>
    <w:rsid w:val="4EBF8859"/>
    <w:rsid w:val="4ED732C6"/>
    <w:rsid w:val="4EDFE6ED"/>
    <w:rsid w:val="4EFA3227"/>
    <w:rsid w:val="4EFD194A"/>
    <w:rsid w:val="4F724781"/>
    <w:rsid w:val="4F765944"/>
    <w:rsid w:val="4F7B89B7"/>
    <w:rsid w:val="4F7FE44D"/>
    <w:rsid w:val="4F8C61C8"/>
    <w:rsid w:val="4FB11E15"/>
    <w:rsid w:val="4FCE5993"/>
    <w:rsid w:val="4FDCC181"/>
    <w:rsid w:val="4FF4BA0B"/>
    <w:rsid w:val="4FF89153"/>
    <w:rsid w:val="4FFB9710"/>
    <w:rsid w:val="51975C59"/>
    <w:rsid w:val="51A25CF2"/>
    <w:rsid w:val="51B055F1"/>
    <w:rsid w:val="51E15EBF"/>
    <w:rsid w:val="51FD7F72"/>
    <w:rsid w:val="51FED7AB"/>
    <w:rsid w:val="524316A6"/>
    <w:rsid w:val="52624F05"/>
    <w:rsid w:val="52D2383C"/>
    <w:rsid w:val="537E9791"/>
    <w:rsid w:val="53A37B3E"/>
    <w:rsid w:val="53DF0EA3"/>
    <w:rsid w:val="53F876A5"/>
    <w:rsid w:val="53FE0D54"/>
    <w:rsid w:val="53FF8C90"/>
    <w:rsid w:val="545D5CF0"/>
    <w:rsid w:val="546E4584"/>
    <w:rsid w:val="54CFDA31"/>
    <w:rsid w:val="54F57839"/>
    <w:rsid w:val="54FE8266"/>
    <w:rsid w:val="55C93B3C"/>
    <w:rsid w:val="5674EEB4"/>
    <w:rsid w:val="567E6A7C"/>
    <w:rsid w:val="56BF1C44"/>
    <w:rsid w:val="56F6DFCA"/>
    <w:rsid w:val="570F2DED"/>
    <w:rsid w:val="5718C784"/>
    <w:rsid w:val="577F1982"/>
    <w:rsid w:val="57887F8F"/>
    <w:rsid w:val="57ADFC77"/>
    <w:rsid w:val="57AF770B"/>
    <w:rsid w:val="57B43952"/>
    <w:rsid w:val="57BADDED"/>
    <w:rsid w:val="57CF87DD"/>
    <w:rsid w:val="57DC8E08"/>
    <w:rsid w:val="57DF8E87"/>
    <w:rsid w:val="57E92985"/>
    <w:rsid w:val="57F7593A"/>
    <w:rsid w:val="57F769AC"/>
    <w:rsid w:val="57FA7183"/>
    <w:rsid w:val="57FADCF1"/>
    <w:rsid w:val="57FF75E2"/>
    <w:rsid w:val="5874668E"/>
    <w:rsid w:val="593A2D34"/>
    <w:rsid w:val="593FFEBE"/>
    <w:rsid w:val="594D5B7D"/>
    <w:rsid w:val="597D0F51"/>
    <w:rsid w:val="59C55412"/>
    <w:rsid w:val="59CF682E"/>
    <w:rsid w:val="59FED8D0"/>
    <w:rsid w:val="5A170152"/>
    <w:rsid w:val="5A3FA7DE"/>
    <w:rsid w:val="5A6DBC2E"/>
    <w:rsid w:val="5A7ECE15"/>
    <w:rsid w:val="5AB51522"/>
    <w:rsid w:val="5ADB2FC7"/>
    <w:rsid w:val="5AFE8CCA"/>
    <w:rsid w:val="5B4FACEE"/>
    <w:rsid w:val="5B693AA4"/>
    <w:rsid w:val="5B7D2F90"/>
    <w:rsid w:val="5B9FB915"/>
    <w:rsid w:val="5BB74C3B"/>
    <w:rsid w:val="5BD462C2"/>
    <w:rsid w:val="5BDDBA6A"/>
    <w:rsid w:val="5BE373B9"/>
    <w:rsid w:val="5BE6741F"/>
    <w:rsid w:val="5BED0BA5"/>
    <w:rsid w:val="5BED428F"/>
    <w:rsid w:val="5BEDF2DC"/>
    <w:rsid w:val="5BF31260"/>
    <w:rsid w:val="5BF42238"/>
    <w:rsid w:val="5BFF67F5"/>
    <w:rsid w:val="5BFFA924"/>
    <w:rsid w:val="5C9C9005"/>
    <w:rsid w:val="5CC5AA5A"/>
    <w:rsid w:val="5CDF5C41"/>
    <w:rsid w:val="5CF7F1CF"/>
    <w:rsid w:val="5CFF6120"/>
    <w:rsid w:val="5CFF8A29"/>
    <w:rsid w:val="5D912E1C"/>
    <w:rsid w:val="5DBE8EE8"/>
    <w:rsid w:val="5DF1244D"/>
    <w:rsid w:val="5DF7AE63"/>
    <w:rsid w:val="5DF7BDD0"/>
    <w:rsid w:val="5DFEAEE7"/>
    <w:rsid w:val="5DFF46BD"/>
    <w:rsid w:val="5DFF4BA7"/>
    <w:rsid w:val="5DFFB9CA"/>
    <w:rsid w:val="5E3FE386"/>
    <w:rsid w:val="5E5F6239"/>
    <w:rsid w:val="5E6D0E37"/>
    <w:rsid w:val="5EA83F26"/>
    <w:rsid w:val="5EA984FB"/>
    <w:rsid w:val="5EAD703E"/>
    <w:rsid w:val="5EBCE33A"/>
    <w:rsid w:val="5EBFDA86"/>
    <w:rsid w:val="5EE5E5BD"/>
    <w:rsid w:val="5EE6E88B"/>
    <w:rsid w:val="5EEB6D2C"/>
    <w:rsid w:val="5EEB977C"/>
    <w:rsid w:val="5EEF6BC3"/>
    <w:rsid w:val="5EFA7CCD"/>
    <w:rsid w:val="5EFE63D5"/>
    <w:rsid w:val="5EFE7016"/>
    <w:rsid w:val="5F1DF69C"/>
    <w:rsid w:val="5F32BCA4"/>
    <w:rsid w:val="5F35E7DE"/>
    <w:rsid w:val="5F39E4B6"/>
    <w:rsid w:val="5F3E6D3B"/>
    <w:rsid w:val="5F54233B"/>
    <w:rsid w:val="5F574848"/>
    <w:rsid w:val="5F658591"/>
    <w:rsid w:val="5F7E530C"/>
    <w:rsid w:val="5F7F5D59"/>
    <w:rsid w:val="5F7F9A7D"/>
    <w:rsid w:val="5F9B0961"/>
    <w:rsid w:val="5F9BC50E"/>
    <w:rsid w:val="5FAA6342"/>
    <w:rsid w:val="5FADABA7"/>
    <w:rsid w:val="5FBB3D08"/>
    <w:rsid w:val="5FBD6886"/>
    <w:rsid w:val="5FBF1FC3"/>
    <w:rsid w:val="5FBF55C6"/>
    <w:rsid w:val="5FCE562F"/>
    <w:rsid w:val="5FCFFBB0"/>
    <w:rsid w:val="5FD56FC2"/>
    <w:rsid w:val="5FDBA3BF"/>
    <w:rsid w:val="5FDE8D79"/>
    <w:rsid w:val="5FDEBD5C"/>
    <w:rsid w:val="5FDF2AAC"/>
    <w:rsid w:val="5FDF8298"/>
    <w:rsid w:val="5FDFBE79"/>
    <w:rsid w:val="5FE423BE"/>
    <w:rsid w:val="5FEDE379"/>
    <w:rsid w:val="5FEF12BF"/>
    <w:rsid w:val="5FEF6660"/>
    <w:rsid w:val="5FF40D00"/>
    <w:rsid w:val="5FF665A2"/>
    <w:rsid w:val="5FF93A98"/>
    <w:rsid w:val="5FFBEFA0"/>
    <w:rsid w:val="5FFE3626"/>
    <w:rsid w:val="5FFF1ED8"/>
    <w:rsid w:val="5FFFC984"/>
    <w:rsid w:val="5FFFD6C4"/>
    <w:rsid w:val="601077B3"/>
    <w:rsid w:val="60EB054B"/>
    <w:rsid w:val="61174778"/>
    <w:rsid w:val="612FE800"/>
    <w:rsid w:val="613025B5"/>
    <w:rsid w:val="61610C60"/>
    <w:rsid w:val="61DBA294"/>
    <w:rsid w:val="621E675C"/>
    <w:rsid w:val="6252450F"/>
    <w:rsid w:val="62D32124"/>
    <w:rsid w:val="633412F9"/>
    <w:rsid w:val="633F8ADB"/>
    <w:rsid w:val="636C6D28"/>
    <w:rsid w:val="6394407B"/>
    <w:rsid w:val="63D45786"/>
    <w:rsid w:val="63FDD03D"/>
    <w:rsid w:val="63FFB7CF"/>
    <w:rsid w:val="63FFEAA0"/>
    <w:rsid w:val="642C604E"/>
    <w:rsid w:val="644EACB3"/>
    <w:rsid w:val="64601C26"/>
    <w:rsid w:val="64897A15"/>
    <w:rsid w:val="64DC31AC"/>
    <w:rsid w:val="64FF5833"/>
    <w:rsid w:val="64FFCC4F"/>
    <w:rsid w:val="65B974BF"/>
    <w:rsid w:val="65FDF064"/>
    <w:rsid w:val="669F29C1"/>
    <w:rsid w:val="66AEF7D2"/>
    <w:rsid w:val="66AF4824"/>
    <w:rsid w:val="66C978D5"/>
    <w:rsid w:val="66DF5D97"/>
    <w:rsid w:val="66EF5FE3"/>
    <w:rsid w:val="66F72AE4"/>
    <w:rsid w:val="6707BF6B"/>
    <w:rsid w:val="670A2826"/>
    <w:rsid w:val="671F73A2"/>
    <w:rsid w:val="673D3DA9"/>
    <w:rsid w:val="677102D7"/>
    <w:rsid w:val="67754F8F"/>
    <w:rsid w:val="677B195D"/>
    <w:rsid w:val="67873E6F"/>
    <w:rsid w:val="67AF63DE"/>
    <w:rsid w:val="67E20FB7"/>
    <w:rsid w:val="67ED4620"/>
    <w:rsid w:val="67EFEB09"/>
    <w:rsid w:val="67F98D16"/>
    <w:rsid w:val="67FB42EF"/>
    <w:rsid w:val="67FE7DB4"/>
    <w:rsid w:val="68AA7332"/>
    <w:rsid w:val="68FF1501"/>
    <w:rsid w:val="69086C9F"/>
    <w:rsid w:val="6988A73E"/>
    <w:rsid w:val="69EFB287"/>
    <w:rsid w:val="69F7B1C7"/>
    <w:rsid w:val="6A421CB9"/>
    <w:rsid w:val="6A5CE66E"/>
    <w:rsid w:val="6A783458"/>
    <w:rsid w:val="6AC6D2D0"/>
    <w:rsid w:val="6ADFC75A"/>
    <w:rsid w:val="6B0E0676"/>
    <w:rsid w:val="6B1A32DB"/>
    <w:rsid w:val="6B2333AE"/>
    <w:rsid w:val="6B7CA9DC"/>
    <w:rsid w:val="6B7FC646"/>
    <w:rsid w:val="6B8317E6"/>
    <w:rsid w:val="6B9F6C77"/>
    <w:rsid w:val="6BA6EFFB"/>
    <w:rsid w:val="6BB6F1F0"/>
    <w:rsid w:val="6BBB934F"/>
    <w:rsid w:val="6BD68D5A"/>
    <w:rsid w:val="6BDB5118"/>
    <w:rsid w:val="6BDB835E"/>
    <w:rsid w:val="6BEB7BA8"/>
    <w:rsid w:val="6BEF0584"/>
    <w:rsid w:val="6BFF6850"/>
    <w:rsid w:val="6BFF8DD8"/>
    <w:rsid w:val="6BFFE5DD"/>
    <w:rsid w:val="6C7F65E4"/>
    <w:rsid w:val="6CBF39FF"/>
    <w:rsid w:val="6CEB7557"/>
    <w:rsid w:val="6D390CAA"/>
    <w:rsid w:val="6D435430"/>
    <w:rsid w:val="6D7D3F04"/>
    <w:rsid w:val="6D8D1129"/>
    <w:rsid w:val="6DA97D7C"/>
    <w:rsid w:val="6DA98AF5"/>
    <w:rsid w:val="6DDA835B"/>
    <w:rsid w:val="6DF5B3C5"/>
    <w:rsid w:val="6DF7B3AA"/>
    <w:rsid w:val="6DF99A12"/>
    <w:rsid w:val="6DFB1288"/>
    <w:rsid w:val="6DFCF019"/>
    <w:rsid w:val="6DFD932B"/>
    <w:rsid w:val="6E67021F"/>
    <w:rsid w:val="6E6BF30B"/>
    <w:rsid w:val="6E7F3370"/>
    <w:rsid w:val="6EA7BF0C"/>
    <w:rsid w:val="6EAE5A2D"/>
    <w:rsid w:val="6EBE2A7A"/>
    <w:rsid w:val="6EC90E50"/>
    <w:rsid w:val="6ECB7934"/>
    <w:rsid w:val="6EDB55DF"/>
    <w:rsid w:val="6EDFE2D4"/>
    <w:rsid w:val="6EE1EFBA"/>
    <w:rsid w:val="6EE69842"/>
    <w:rsid w:val="6EF76AFD"/>
    <w:rsid w:val="6EF76E47"/>
    <w:rsid w:val="6EF7E048"/>
    <w:rsid w:val="6EFF6889"/>
    <w:rsid w:val="6F1F1883"/>
    <w:rsid w:val="6F3A33BB"/>
    <w:rsid w:val="6F3E142E"/>
    <w:rsid w:val="6F3F8B99"/>
    <w:rsid w:val="6F4FC376"/>
    <w:rsid w:val="6F5FD34E"/>
    <w:rsid w:val="6F691BDC"/>
    <w:rsid w:val="6F6A670D"/>
    <w:rsid w:val="6F6BDA04"/>
    <w:rsid w:val="6F6FE56F"/>
    <w:rsid w:val="6F753DE4"/>
    <w:rsid w:val="6F7B7837"/>
    <w:rsid w:val="6F7E9247"/>
    <w:rsid w:val="6F7F4C48"/>
    <w:rsid w:val="6F7F8B94"/>
    <w:rsid w:val="6FBA7E09"/>
    <w:rsid w:val="6FBB27F8"/>
    <w:rsid w:val="6FBB8292"/>
    <w:rsid w:val="6FBE9D11"/>
    <w:rsid w:val="6FBEC420"/>
    <w:rsid w:val="6FBF5B68"/>
    <w:rsid w:val="6FBFC606"/>
    <w:rsid w:val="6FC4269D"/>
    <w:rsid w:val="6FC4676F"/>
    <w:rsid w:val="6FD2A3D3"/>
    <w:rsid w:val="6FD70911"/>
    <w:rsid w:val="6FDF6937"/>
    <w:rsid w:val="6FDFC4C2"/>
    <w:rsid w:val="6FEB0884"/>
    <w:rsid w:val="6FEB1E42"/>
    <w:rsid w:val="6FEF0BA7"/>
    <w:rsid w:val="6FF1A999"/>
    <w:rsid w:val="6FF34867"/>
    <w:rsid w:val="6FF7AC9B"/>
    <w:rsid w:val="6FFAD816"/>
    <w:rsid w:val="6FFB24E1"/>
    <w:rsid w:val="6FFDB840"/>
    <w:rsid w:val="6FFE1E54"/>
    <w:rsid w:val="6FFE2339"/>
    <w:rsid w:val="6FFF2848"/>
    <w:rsid w:val="6FFF5EF7"/>
    <w:rsid w:val="6FFF7354"/>
    <w:rsid w:val="6FFFC54C"/>
    <w:rsid w:val="70FFE6DA"/>
    <w:rsid w:val="711C6EDD"/>
    <w:rsid w:val="713BCF43"/>
    <w:rsid w:val="717E340C"/>
    <w:rsid w:val="71800327"/>
    <w:rsid w:val="71FDED23"/>
    <w:rsid w:val="71FEBDEF"/>
    <w:rsid w:val="71FF41DF"/>
    <w:rsid w:val="71FF81E1"/>
    <w:rsid w:val="72598B51"/>
    <w:rsid w:val="72BA1048"/>
    <w:rsid w:val="72EF2AEB"/>
    <w:rsid w:val="72FEB977"/>
    <w:rsid w:val="73002C03"/>
    <w:rsid w:val="731B7A69"/>
    <w:rsid w:val="73638FCC"/>
    <w:rsid w:val="737BC746"/>
    <w:rsid w:val="73BDFB88"/>
    <w:rsid w:val="73C03E29"/>
    <w:rsid w:val="73C2CACE"/>
    <w:rsid w:val="73C3940C"/>
    <w:rsid w:val="73CFE2C2"/>
    <w:rsid w:val="73DD07B7"/>
    <w:rsid w:val="73E399CA"/>
    <w:rsid w:val="73EF234B"/>
    <w:rsid w:val="73EF3DEB"/>
    <w:rsid w:val="73FED484"/>
    <w:rsid w:val="73FF2DD7"/>
    <w:rsid w:val="73FF5E4A"/>
    <w:rsid w:val="74435624"/>
    <w:rsid w:val="74B530B7"/>
    <w:rsid w:val="74FB6737"/>
    <w:rsid w:val="74FF0369"/>
    <w:rsid w:val="74FF5181"/>
    <w:rsid w:val="74FF8653"/>
    <w:rsid w:val="755F8934"/>
    <w:rsid w:val="757DE146"/>
    <w:rsid w:val="75B72F48"/>
    <w:rsid w:val="75B7B735"/>
    <w:rsid w:val="75CA04E2"/>
    <w:rsid w:val="75CB4B5C"/>
    <w:rsid w:val="75CF592C"/>
    <w:rsid w:val="75DD35F0"/>
    <w:rsid w:val="75E74381"/>
    <w:rsid w:val="75EE9E8C"/>
    <w:rsid w:val="75F71D64"/>
    <w:rsid w:val="75FA40D0"/>
    <w:rsid w:val="75FB63F2"/>
    <w:rsid w:val="75FD558B"/>
    <w:rsid w:val="75FDC643"/>
    <w:rsid w:val="760B4200"/>
    <w:rsid w:val="76641462"/>
    <w:rsid w:val="767B2FFF"/>
    <w:rsid w:val="767C7C44"/>
    <w:rsid w:val="769170E4"/>
    <w:rsid w:val="769B6D97"/>
    <w:rsid w:val="76B685FD"/>
    <w:rsid w:val="76BAE47C"/>
    <w:rsid w:val="76F117DC"/>
    <w:rsid w:val="76F529F6"/>
    <w:rsid w:val="76F619EF"/>
    <w:rsid w:val="76FB9CFC"/>
    <w:rsid w:val="76FF1690"/>
    <w:rsid w:val="76FF6392"/>
    <w:rsid w:val="7721C25B"/>
    <w:rsid w:val="7768B19D"/>
    <w:rsid w:val="777A57B1"/>
    <w:rsid w:val="777DA521"/>
    <w:rsid w:val="777F90FA"/>
    <w:rsid w:val="777FB5BD"/>
    <w:rsid w:val="77AC72C6"/>
    <w:rsid w:val="77AF18F9"/>
    <w:rsid w:val="77AFB97E"/>
    <w:rsid w:val="77AFC23A"/>
    <w:rsid w:val="77BD714C"/>
    <w:rsid w:val="77BFE5AE"/>
    <w:rsid w:val="77CD572E"/>
    <w:rsid w:val="77DB1B69"/>
    <w:rsid w:val="77DD2B40"/>
    <w:rsid w:val="77DD634A"/>
    <w:rsid w:val="77DF2893"/>
    <w:rsid w:val="77EDF724"/>
    <w:rsid w:val="77EEAB48"/>
    <w:rsid w:val="77F446D0"/>
    <w:rsid w:val="77F62696"/>
    <w:rsid w:val="77F73563"/>
    <w:rsid w:val="77F9213F"/>
    <w:rsid w:val="77FB2C44"/>
    <w:rsid w:val="77FBEBA1"/>
    <w:rsid w:val="77FBF74F"/>
    <w:rsid w:val="77FD1CF0"/>
    <w:rsid w:val="77FEE524"/>
    <w:rsid w:val="77FEE6F2"/>
    <w:rsid w:val="77FF6F0E"/>
    <w:rsid w:val="77FFA52A"/>
    <w:rsid w:val="780F0E93"/>
    <w:rsid w:val="78949781"/>
    <w:rsid w:val="78B94796"/>
    <w:rsid w:val="78CF0F78"/>
    <w:rsid w:val="78F7527B"/>
    <w:rsid w:val="79278D9D"/>
    <w:rsid w:val="796D40C9"/>
    <w:rsid w:val="796F9E6C"/>
    <w:rsid w:val="797F6EEC"/>
    <w:rsid w:val="797F8AFF"/>
    <w:rsid w:val="79A67277"/>
    <w:rsid w:val="79AF57E3"/>
    <w:rsid w:val="79C6CEA0"/>
    <w:rsid w:val="79DF2AB8"/>
    <w:rsid w:val="79F45E3B"/>
    <w:rsid w:val="79F9A15D"/>
    <w:rsid w:val="79FB9A10"/>
    <w:rsid w:val="79FEEF1E"/>
    <w:rsid w:val="79FF0C44"/>
    <w:rsid w:val="79FFAE0C"/>
    <w:rsid w:val="7A225F63"/>
    <w:rsid w:val="7A346202"/>
    <w:rsid w:val="7A36307F"/>
    <w:rsid w:val="7A3A6673"/>
    <w:rsid w:val="7A4FC83D"/>
    <w:rsid w:val="7A5BF884"/>
    <w:rsid w:val="7AA7A636"/>
    <w:rsid w:val="7ABB4355"/>
    <w:rsid w:val="7ADF1DE4"/>
    <w:rsid w:val="7AE1E31A"/>
    <w:rsid w:val="7AE4A00D"/>
    <w:rsid w:val="7AF0C7AB"/>
    <w:rsid w:val="7AF327FD"/>
    <w:rsid w:val="7AFB2350"/>
    <w:rsid w:val="7AFD793B"/>
    <w:rsid w:val="7AFDE448"/>
    <w:rsid w:val="7AFDF999"/>
    <w:rsid w:val="7AFFF6F6"/>
    <w:rsid w:val="7B0E0EDC"/>
    <w:rsid w:val="7B37EDB9"/>
    <w:rsid w:val="7B4126CD"/>
    <w:rsid w:val="7B773CF7"/>
    <w:rsid w:val="7B775EB7"/>
    <w:rsid w:val="7B7E283D"/>
    <w:rsid w:val="7B7F273F"/>
    <w:rsid w:val="7B81CC0B"/>
    <w:rsid w:val="7B96CDAC"/>
    <w:rsid w:val="7B9F27D1"/>
    <w:rsid w:val="7BA75C6E"/>
    <w:rsid w:val="7BA92085"/>
    <w:rsid w:val="7BBC6BEE"/>
    <w:rsid w:val="7BBE9B84"/>
    <w:rsid w:val="7BDDC18F"/>
    <w:rsid w:val="7BDF426D"/>
    <w:rsid w:val="7BE78946"/>
    <w:rsid w:val="7BEDCDDE"/>
    <w:rsid w:val="7BEF8EB8"/>
    <w:rsid w:val="7BF9C107"/>
    <w:rsid w:val="7BFBD425"/>
    <w:rsid w:val="7BFDABCD"/>
    <w:rsid w:val="7BFDF3A9"/>
    <w:rsid w:val="7BFEEB68"/>
    <w:rsid w:val="7BFFAED8"/>
    <w:rsid w:val="7BFFCB6B"/>
    <w:rsid w:val="7BFFE185"/>
    <w:rsid w:val="7BFFED39"/>
    <w:rsid w:val="7BFFF470"/>
    <w:rsid w:val="7C074744"/>
    <w:rsid w:val="7C2A6510"/>
    <w:rsid w:val="7C4CF83D"/>
    <w:rsid w:val="7C5F06EC"/>
    <w:rsid w:val="7C63BB62"/>
    <w:rsid w:val="7C679821"/>
    <w:rsid w:val="7C7DFE56"/>
    <w:rsid w:val="7C83F53C"/>
    <w:rsid w:val="7CB8D5D9"/>
    <w:rsid w:val="7CBF2B3C"/>
    <w:rsid w:val="7CD01E69"/>
    <w:rsid w:val="7CDF3756"/>
    <w:rsid w:val="7CE363C6"/>
    <w:rsid w:val="7CEEE028"/>
    <w:rsid w:val="7CF7D7E6"/>
    <w:rsid w:val="7D0E7C23"/>
    <w:rsid w:val="7D31E725"/>
    <w:rsid w:val="7D3B7DCB"/>
    <w:rsid w:val="7D3BB8B0"/>
    <w:rsid w:val="7D65D22D"/>
    <w:rsid w:val="7D6F2E15"/>
    <w:rsid w:val="7D7BCE0D"/>
    <w:rsid w:val="7D7F2E67"/>
    <w:rsid w:val="7D898CA2"/>
    <w:rsid w:val="7D8E1283"/>
    <w:rsid w:val="7DAB5EFB"/>
    <w:rsid w:val="7DAF33B1"/>
    <w:rsid w:val="7DB72548"/>
    <w:rsid w:val="7DB776DD"/>
    <w:rsid w:val="7DBBF6CD"/>
    <w:rsid w:val="7DBF7D8F"/>
    <w:rsid w:val="7DC78571"/>
    <w:rsid w:val="7DCC92B9"/>
    <w:rsid w:val="7DCCFDE7"/>
    <w:rsid w:val="7DCE4D70"/>
    <w:rsid w:val="7DD7105B"/>
    <w:rsid w:val="7DDDA5B7"/>
    <w:rsid w:val="7DF1E23A"/>
    <w:rsid w:val="7DF373AD"/>
    <w:rsid w:val="7DF73CCC"/>
    <w:rsid w:val="7DF7901D"/>
    <w:rsid w:val="7DF8D08E"/>
    <w:rsid w:val="7DF901B7"/>
    <w:rsid w:val="7DFC82B9"/>
    <w:rsid w:val="7DFCB3E7"/>
    <w:rsid w:val="7DFD341D"/>
    <w:rsid w:val="7DFD7367"/>
    <w:rsid w:val="7DFE2812"/>
    <w:rsid w:val="7DFF09E3"/>
    <w:rsid w:val="7DFF36D1"/>
    <w:rsid w:val="7DFFCB79"/>
    <w:rsid w:val="7E3DF215"/>
    <w:rsid w:val="7E5778ED"/>
    <w:rsid w:val="7E5F82E7"/>
    <w:rsid w:val="7E73E898"/>
    <w:rsid w:val="7E7B1C68"/>
    <w:rsid w:val="7E7BE3B4"/>
    <w:rsid w:val="7E7BF797"/>
    <w:rsid w:val="7E7D590B"/>
    <w:rsid w:val="7E8FD573"/>
    <w:rsid w:val="7E9DE841"/>
    <w:rsid w:val="7E9F10D4"/>
    <w:rsid w:val="7E9F8843"/>
    <w:rsid w:val="7EBEB2E2"/>
    <w:rsid w:val="7ECF05BC"/>
    <w:rsid w:val="7ED9113A"/>
    <w:rsid w:val="7EDAA570"/>
    <w:rsid w:val="7EDC9E0C"/>
    <w:rsid w:val="7EDF3CD0"/>
    <w:rsid w:val="7EDF8303"/>
    <w:rsid w:val="7EE3B93E"/>
    <w:rsid w:val="7EE8A469"/>
    <w:rsid w:val="7EEB7067"/>
    <w:rsid w:val="7EED6B9D"/>
    <w:rsid w:val="7EEF4C85"/>
    <w:rsid w:val="7EF3A179"/>
    <w:rsid w:val="7EF724D1"/>
    <w:rsid w:val="7EF73CBB"/>
    <w:rsid w:val="7EF9943D"/>
    <w:rsid w:val="7EFB9BE7"/>
    <w:rsid w:val="7EFBC61D"/>
    <w:rsid w:val="7EFBFCD9"/>
    <w:rsid w:val="7EFE0B82"/>
    <w:rsid w:val="7F06B3A4"/>
    <w:rsid w:val="7F0F5076"/>
    <w:rsid w:val="7F1ED372"/>
    <w:rsid w:val="7F2FF76B"/>
    <w:rsid w:val="7F3D516E"/>
    <w:rsid w:val="7F3F90DF"/>
    <w:rsid w:val="7F3FDB7C"/>
    <w:rsid w:val="7F5606D5"/>
    <w:rsid w:val="7F57D8CD"/>
    <w:rsid w:val="7F5BC3AB"/>
    <w:rsid w:val="7F5D2495"/>
    <w:rsid w:val="7F6D8324"/>
    <w:rsid w:val="7F6E0F67"/>
    <w:rsid w:val="7F76DF1F"/>
    <w:rsid w:val="7F7781F8"/>
    <w:rsid w:val="7F7B2F1D"/>
    <w:rsid w:val="7F7B4A8E"/>
    <w:rsid w:val="7F7D58EC"/>
    <w:rsid w:val="7F7E57A7"/>
    <w:rsid w:val="7F7E9E7B"/>
    <w:rsid w:val="7F7F39F9"/>
    <w:rsid w:val="7F7F8D25"/>
    <w:rsid w:val="7F7FB9D9"/>
    <w:rsid w:val="7F8FE272"/>
    <w:rsid w:val="7F9D72F6"/>
    <w:rsid w:val="7F9F878E"/>
    <w:rsid w:val="7F9FA57E"/>
    <w:rsid w:val="7FA5B2D6"/>
    <w:rsid w:val="7FAB34E5"/>
    <w:rsid w:val="7FADBA50"/>
    <w:rsid w:val="7FAE541E"/>
    <w:rsid w:val="7FBB95AF"/>
    <w:rsid w:val="7FBBB864"/>
    <w:rsid w:val="7FBBBC36"/>
    <w:rsid w:val="7FBBDFEE"/>
    <w:rsid w:val="7FBBFA41"/>
    <w:rsid w:val="7FBC9C9C"/>
    <w:rsid w:val="7FBDE930"/>
    <w:rsid w:val="7FBE0E5C"/>
    <w:rsid w:val="7FBE5456"/>
    <w:rsid w:val="7FBEAF11"/>
    <w:rsid w:val="7FBF21A9"/>
    <w:rsid w:val="7FBF4F5A"/>
    <w:rsid w:val="7FBF7987"/>
    <w:rsid w:val="7FBF7A1D"/>
    <w:rsid w:val="7FBF9E44"/>
    <w:rsid w:val="7FBFB0D5"/>
    <w:rsid w:val="7FC7787F"/>
    <w:rsid w:val="7FCBCD9B"/>
    <w:rsid w:val="7FCE03C9"/>
    <w:rsid w:val="7FD5C49F"/>
    <w:rsid w:val="7FD78681"/>
    <w:rsid w:val="7FD7D9F6"/>
    <w:rsid w:val="7FDAECE2"/>
    <w:rsid w:val="7FDB0B46"/>
    <w:rsid w:val="7FDC16B8"/>
    <w:rsid w:val="7FDCF8A1"/>
    <w:rsid w:val="7FDDE68A"/>
    <w:rsid w:val="7FDF09FF"/>
    <w:rsid w:val="7FDF1F9C"/>
    <w:rsid w:val="7FDF4963"/>
    <w:rsid w:val="7FDF4B61"/>
    <w:rsid w:val="7FDF777E"/>
    <w:rsid w:val="7FDF95F9"/>
    <w:rsid w:val="7FDFC1BE"/>
    <w:rsid w:val="7FDFE9C1"/>
    <w:rsid w:val="7FE270FC"/>
    <w:rsid w:val="7FE38AFD"/>
    <w:rsid w:val="7FE6DCE2"/>
    <w:rsid w:val="7FEBBC33"/>
    <w:rsid w:val="7FEC7409"/>
    <w:rsid w:val="7FEF01D6"/>
    <w:rsid w:val="7FEF4820"/>
    <w:rsid w:val="7FEF6E86"/>
    <w:rsid w:val="7FEF72C1"/>
    <w:rsid w:val="7FF330C7"/>
    <w:rsid w:val="7FF3CF94"/>
    <w:rsid w:val="7FF417E7"/>
    <w:rsid w:val="7FF57FF7"/>
    <w:rsid w:val="7FF70D7C"/>
    <w:rsid w:val="7FF760FA"/>
    <w:rsid w:val="7FF761BD"/>
    <w:rsid w:val="7FF7E88C"/>
    <w:rsid w:val="7FF94B2A"/>
    <w:rsid w:val="7FFB3DA9"/>
    <w:rsid w:val="7FFC21A6"/>
    <w:rsid w:val="7FFC2A73"/>
    <w:rsid w:val="7FFC41C5"/>
    <w:rsid w:val="7FFCCCBA"/>
    <w:rsid w:val="7FFD23B9"/>
    <w:rsid w:val="7FFD3B31"/>
    <w:rsid w:val="7FFD3CE5"/>
    <w:rsid w:val="7FFD6383"/>
    <w:rsid w:val="7FFD8345"/>
    <w:rsid w:val="7FFDA1F7"/>
    <w:rsid w:val="7FFDB102"/>
    <w:rsid w:val="7FFDDF02"/>
    <w:rsid w:val="7FFDEBA7"/>
    <w:rsid w:val="7FFE199C"/>
    <w:rsid w:val="7FFE5989"/>
    <w:rsid w:val="7FFE69C7"/>
    <w:rsid w:val="7FFF0E88"/>
    <w:rsid w:val="7FFF2484"/>
    <w:rsid w:val="7FFF3C5E"/>
    <w:rsid w:val="7FFF3E78"/>
    <w:rsid w:val="7FFF869E"/>
    <w:rsid w:val="7FFF9B41"/>
    <w:rsid w:val="7FFFAFA0"/>
    <w:rsid w:val="7FFFB9D2"/>
    <w:rsid w:val="7FFFBA5E"/>
    <w:rsid w:val="7FFFC5CF"/>
    <w:rsid w:val="7FFFCFB7"/>
    <w:rsid w:val="7FFFE7DF"/>
    <w:rsid w:val="81974CF5"/>
    <w:rsid w:val="81FCBAD0"/>
    <w:rsid w:val="837F45C6"/>
    <w:rsid w:val="866FCC99"/>
    <w:rsid w:val="89CFE25E"/>
    <w:rsid w:val="8BAE4E57"/>
    <w:rsid w:val="8BDA14DC"/>
    <w:rsid w:val="8BFA576D"/>
    <w:rsid w:val="8CDE2851"/>
    <w:rsid w:val="8EB50656"/>
    <w:rsid w:val="8EBD16D9"/>
    <w:rsid w:val="8FBF1A69"/>
    <w:rsid w:val="8FFD7C7D"/>
    <w:rsid w:val="9377CC2C"/>
    <w:rsid w:val="94BB80E9"/>
    <w:rsid w:val="954D4C9F"/>
    <w:rsid w:val="95F7625E"/>
    <w:rsid w:val="95FA88DA"/>
    <w:rsid w:val="96CF8BAE"/>
    <w:rsid w:val="96FE935E"/>
    <w:rsid w:val="973F9CEC"/>
    <w:rsid w:val="979B7AB0"/>
    <w:rsid w:val="979F08FC"/>
    <w:rsid w:val="97BBCC64"/>
    <w:rsid w:val="97E5B836"/>
    <w:rsid w:val="97FDC0C3"/>
    <w:rsid w:val="97FDD0BB"/>
    <w:rsid w:val="9AA919E8"/>
    <w:rsid w:val="9AFAC3D2"/>
    <w:rsid w:val="9BBF6A98"/>
    <w:rsid w:val="9BDDCC38"/>
    <w:rsid w:val="9BFA7FD8"/>
    <w:rsid w:val="9D4B5CFF"/>
    <w:rsid w:val="9DD9F774"/>
    <w:rsid w:val="9DEB3B94"/>
    <w:rsid w:val="9DF798B6"/>
    <w:rsid w:val="9E6D5FBB"/>
    <w:rsid w:val="9E9A0C44"/>
    <w:rsid w:val="9EAB74FA"/>
    <w:rsid w:val="9EFFE525"/>
    <w:rsid w:val="9F3FAA82"/>
    <w:rsid w:val="9F4F4951"/>
    <w:rsid w:val="9F677271"/>
    <w:rsid w:val="9F77B6EC"/>
    <w:rsid w:val="9F7E14AF"/>
    <w:rsid w:val="9F7F071C"/>
    <w:rsid w:val="9F9BE958"/>
    <w:rsid w:val="9FAF180F"/>
    <w:rsid w:val="9FD6D02C"/>
    <w:rsid w:val="9FDF465E"/>
    <w:rsid w:val="9FFB0EA0"/>
    <w:rsid w:val="9FFDB206"/>
    <w:rsid w:val="9FFF52D4"/>
    <w:rsid w:val="9FFFE74A"/>
    <w:rsid w:val="A3BF9C67"/>
    <w:rsid w:val="A55FEEA4"/>
    <w:rsid w:val="A5ED64C5"/>
    <w:rsid w:val="A9EDE295"/>
    <w:rsid w:val="A9FBEDDF"/>
    <w:rsid w:val="AAF7CA0C"/>
    <w:rsid w:val="AB17573C"/>
    <w:rsid w:val="AB7BBB8D"/>
    <w:rsid w:val="AB7DC1DB"/>
    <w:rsid w:val="AB97750F"/>
    <w:rsid w:val="ABDE487E"/>
    <w:rsid w:val="ABFCC76B"/>
    <w:rsid w:val="ABFFBC66"/>
    <w:rsid w:val="AC3E0BA4"/>
    <w:rsid w:val="AC7FF54D"/>
    <w:rsid w:val="AD6F7622"/>
    <w:rsid w:val="ADCF353F"/>
    <w:rsid w:val="ADD63B27"/>
    <w:rsid w:val="ADDCA3A7"/>
    <w:rsid w:val="ADE7E214"/>
    <w:rsid w:val="ADF5515D"/>
    <w:rsid w:val="ADFD9279"/>
    <w:rsid w:val="AE63DD91"/>
    <w:rsid w:val="AE7DAB34"/>
    <w:rsid w:val="AEBE11C5"/>
    <w:rsid w:val="AEDDF35B"/>
    <w:rsid w:val="AF165592"/>
    <w:rsid w:val="AF3F65C7"/>
    <w:rsid w:val="AF6B16F1"/>
    <w:rsid w:val="AFBDB14C"/>
    <w:rsid w:val="AFCE2221"/>
    <w:rsid w:val="AFCF1C38"/>
    <w:rsid w:val="AFD927D9"/>
    <w:rsid w:val="AFDE69E6"/>
    <w:rsid w:val="AFDF1581"/>
    <w:rsid w:val="AFF5174B"/>
    <w:rsid w:val="AFFDCBC5"/>
    <w:rsid w:val="AFFF79B3"/>
    <w:rsid w:val="B1BFED84"/>
    <w:rsid w:val="B1E70424"/>
    <w:rsid w:val="B1F8982C"/>
    <w:rsid w:val="B1FF33C2"/>
    <w:rsid w:val="B32F8540"/>
    <w:rsid w:val="B3C77740"/>
    <w:rsid w:val="B3F78D45"/>
    <w:rsid w:val="B477B65D"/>
    <w:rsid w:val="B4D50BAA"/>
    <w:rsid w:val="B4E38AA2"/>
    <w:rsid w:val="B4E777C6"/>
    <w:rsid w:val="B5E96A6E"/>
    <w:rsid w:val="B5FE89F7"/>
    <w:rsid w:val="B6545662"/>
    <w:rsid w:val="B6D7861B"/>
    <w:rsid w:val="B6F61C32"/>
    <w:rsid w:val="B6FDF4F8"/>
    <w:rsid w:val="B77B0C15"/>
    <w:rsid w:val="B77D1AA3"/>
    <w:rsid w:val="B77DEA5E"/>
    <w:rsid w:val="B77F7CF6"/>
    <w:rsid w:val="B79F6E54"/>
    <w:rsid w:val="B7B95C92"/>
    <w:rsid w:val="B7D76E40"/>
    <w:rsid w:val="B7EBA303"/>
    <w:rsid w:val="B7EBCB2B"/>
    <w:rsid w:val="B7EFB7EF"/>
    <w:rsid w:val="B7F7672D"/>
    <w:rsid w:val="B7FF6F49"/>
    <w:rsid w:val="B896E16A"/>
    <w:rsid w:val="B8B7BA94"/>
    <w:rsid w:val="B8FAB0B1"/>
    <w:rsid w:val="B927B65C"/>
    <w:rsid w:val="B9FE24C8"/>
    <w:rsid w:val="B9FF2EE5"/>
    <w:rsid w:val="B9FFA45E"/>
    <w:rsid w:val="B9FFD2A4"/>
    <w:rsid w:val="BA9EDB9F"/>
    <w:rsid w:val="BABF02E1"/>
    <w:rsid w:val="BABF303D"/>
    <w:rsid w:val="BAF4E3FB"/>
    <w:rsid w:val="BB5C1C7C"/>
    <w:rsid w:val="BB7AB0B6"/>
    <w:rsid w:val="BB7FD797"/>
    <w:rsid w:val="BBAE1AAE"/>
    <w:rsid w:val="BBDA42F4"/>
    <w:rsid w:val="BBEF7661"/>
    <w:rsid w:val="BBFD8E77"/>
    <w:rsid w:val="BBFE9FF5"/>
    <w:rsid w:val="BBFFE1B3"/>
    <w:rsid w:val="BC7E9575"/>
    <w:rsid w:val="BC9DDB51"/>
    <w:rsid w:val="BCDE0D29"/>
    <w:rsid w:val="BD460129"/>
    <w:rsid w:val="BD6F4AA0"/>
    <w:rsid w:val="BD7BA86F"/>
    <w:rsid w:val="BD7DC114"/>
    <w:rsid w:val="BD7F64D3"/>
    <w:rsid w:val="BDBC4BBE"/>
    <w:rsid w:val="BDD7B6BF"/>
    <w:rsid w:val="BDDDE617"/>
    <w:rsid w:val="BDDF4FEC"/>
    <w:rsid w:val="BDE90AA5"/>
    <w:rsid w:val="BDF7DD8F"/>
    <w:rsid w:val="BE7BE88B"/>
    <w:rsid w:val="BE7D2B53"/>
    <w:rsid w:val="BE7F6A4E"/>
    <w:rsid w:val="BE7FFE46"/>
    <w:rsid w:val="BE953F5E"/>
    <w:rsid w:val="BE986B32"/>
    <w:rsid w:val="BEB7466A"/>
    <w:rsid w:val="BEBF4AB9"/>
    <w:rsid w:val="BEDE6223"/>
    <w:rsid w:val="BEDFCE07"/>
    <w:rsid w:val="BEE88AA3"/>
    <w:rsid w:val="BEEB1F15"/>
    <w:rsid w:val="BEEBD5A5"/>
    <w:rsid w:val="BEF3854B"/>
    <w:rsid w:val="BEFE2391"/>
    <w:rsid w:val="BEFE539A"/>
    <w:rsid w:val="BF419FA2"/>
    <w:rsid w:val="BF4C6A68"/>
    <w:rsid w:val="BF5B6411"/>
    <w:rsid w:val="BF6E4E05"/>
    <w:rsid w:val="BF73E507"/>
    <w:rsid w:val="BF7A4C99"/>
    <w:rsid w:val="BF7AA841"/>
    <w:rsid w:val="BF7E54B6"/>
    <w:rsid w:val="BF8E1636"/>
    <w:rsid w:val="BF8F374A"/>
    <w:rsid w:val="BF9B9393"/>
    <w:rsid w:val="BF9D40EC"/>
    <w:rsid w:val="BFB4B46F"/>
    <w:rsid w:val="BFBA161E"/>
    <w:rsid w:val="BFBDB8B3"/>
    <w:rsid w:val="BFBDEEC8"/>
    <w:rsid w:val="BFCEC1DB"/>
    <w:rsid w:val="BFD66288"/>
    <w:rsid w:val="BFDA27EC"/>
    <w:rsid w:val="BFDD9D11"/>
    <w:rsid w:val="BFDE84E9"/>
    <w:rsid w:val="BFDF340F"/>
    <w:rsid w:val="BFDF40B4"/>
    <w:rsid w:val="BFDF4DC7"/>
    <w:rsid w:val="BFE24BE8"/>
    <w:rsid w:val="BFE6398C"/>
    <w:rsid w:val="BFE7CD7D"/>
    <w:rsid w:val="BFEB7123"/>
    <w:rsid w:val="BFEE76F0"/>
    <w:rsid w:val="BFF3B82E"/>
    <w:rsid w:val="BFF666E6"/>
    <w:rsid w:val="BFFA522F"/>
    <w:rsid w:val="BFFB7152"/>
    <w:rsid w:val="BFFD6F3B"/>
    <w:rsid w:val="BFFE2A5B"/>
    <w:rsid w:val="BFFE3654"/>
    <w:rsid w:val="BFFF2B63"/>
    <w:rsid w:val="BFFF4B6E"/>
    <w:rsid w:val="BFFF925B"/>
    <w:rsid w:val="BFFFD570"/>
    <w:rsid w:val="BFFFF1AE"/>
    <w:rsid w:val="C1F223F8"/>
    <w:rsid w:val="C2DB5D73"/>
    <w:rsid w:val="C3BEA96F"/>
    <w:rsid w:val="C3F6DC97"/>
    <w:rsid w:val="C5EBF734"/>
    <w:rsid w:val="C6DB6514"/>
    <w:rsid w:val="C7B2D523"/>
    <w:rsid w:val="C7EF9525"/>
    <w:rsid w:val="C95FAAB8"/>
    <w:rsid w:val="C9918F33"/>
    <w:rsid w:val="CAEE3B36"/>
    <w:rsid w:val="CAF7A20A"/>
    <w:rsid w:val="CB728C37"/>
    <w:rsid w:val="CB993475"/>
    <w:rsid w:val="CBB511A8"/>
    <w:rsid w:val="CBED8B2F"/>
    <w:rsid w:val="CBFF72DA"/>
    <w:rsid w:val="CC492B29"/>
    <w:rsid w:val="CDCE809C"/>
    <w:rsid w:val="CDEFB85F"/>
    <w:rsid w:val="CDF307DB"/>
    <w:rsid w:val="CEEB956D"/>
    <w:rsid w:val="CEF38C2C"/>
    <w:rsid w:val="CF6F03D0"/>
    <w:rsid w:val="CF7A19AD"/>
    <w:rsid w:val="CF7F7419"/>
    <w:rsid w:val="CF7F94F4"/>
    <w:rsid w:val="CFAF19E3"/>
    <w:rsid w:val="CFBDA81E"/>
    <w:rsid w:val="CFC7FE93"/>
    <w:rsid w:val="CFEF60AD"/>
    <w:rsid w:val="CFFAAE1D"/>
    <w:rsid w:val="CFFEE8E3"/>
    <w:rsid w:val="D2DFEE51"/>
    <w:rsid w:val="D3337D5E"/>
    <w:rsid w:val="D3A519F2"/>
    <w:rsid w:val="D3BF21D5"/>
    <w:rsid w:val="D3EB0297"/>
    <w:rsid w:val="D43F104C"/>
    <w:rsid w:val="D53B494D"/>
    <w:rsid w:val="D569D071"/>
    <w:rsid w:val="D57FF159"/>
    <w:rsid w:val="D59F33A4"/>
    <w:rsid w:val="D5B8CCC3"/>
    <w:rsid w:val="D5D95E5A"/>
    <w:rsid w:val="D5FF48B9"/>
    <w:rsid w:val="D5FFD5FC"/>
    <w:rsid w:val="D6AD7645"/>
    <w:rsid w:val="D6D7AF82"/>
    <w:rsid w:val="D6F7E010"/>
    <w:rsid w:val="D77215E6"/>
    <w:rsid w:val="D774610B"/>
    <w:rsid w:val="D77A5953"/>
    <w:rsid w:val="D783577D"/>
    <w:rsid w:val="D7BF7303"/>
    <w:rsid w:val="D7D7CC61"/>
    <w:rsid w:val="D7E8E021"/>
    <w:rsid w:val="D7EBB2B2"/>
    <w:rsid w:val="D7FE60B3"/>
    <w:rsid w:val="D7FE825C"/>
    <w:rsid w:val="D7FEBAD8"/>
    <w:rsid w:val="D7FFE240"/>
    <w:rsid w:val="D8434AEE"/>
    <w:rsid w:val="D87F249D"/>
    <w:rsid w:val="D9BFC47F"/>
    <w:rsid w:val="D9BFDA02"/>
    <w:rsid w:val="D9F6320C"/>
    <w:rsid w:val="D9FD93F5"/>
    <w:rsid w:val="DA3B266C"/>
    <w:rsid w:val="DA97792F"/>
    <w:rsid w:val="DAAF43FD"/>
    <w:rsid w:val="DACF059C"/>
    <w:rsid w:val="DAE76860"/>
    <w:rsid w:val="DAFB0878"/>
    <w:rsid w:val="DAFB2A4A"/>
    <w:rsid w:val="DAFD71DE"/>
    <w:rsid w:val="DAFDE26D"/>
    <w:rsid w:val="DAFE79AF"/>
    <w:rsid w:val="DB7D22BD"/>
    <w:rsid w:val="DB7F7932"/>
    <w:rsid w:val="DB9B82C3"/>
    <w:rsid w:val="DBAFFE8E"/>
    <w:rsid w:val="DBC2D83E"/>
    <w:rsid w:val="DBD78EDD"/>
    <w:rsid w:val="DBEA329A"/>
    <w:rsid w:val="DBED16C3"/>
    <w:rsid w:val="DBEF37B5"/>
    <w:rsid w:val="DBFF43D6"/>
    <w:rsid w:val="DBFF5433"/>
    <w:rsid w:val="DC7789E0"/>
    <w:rsid w:val="DCFF07B3"/>
    <w:rsid w:val="DD3E2953"/>
    <w:rsid w:val="DD4FE7E9"/>
    <w:rsid w:val="DD5D7594"/>
    <w:rsid w:val="DD7602C4"/>
    <w:rsid w:val="DD8FB20C"/>
    <w:rsid w:val="DDBBDEC4"/>
    <w:rsid w:val="DDDF52B4"/>
    <w:rsid w:val="DDE3C061"/>
    <w:rsid w:val="DDF1D581"/>
    <w:rsid w:val="DDFD8EF4"/>
    <w:rsid w:val="DDFF8B77"/>
    <w:rsid w:val="DDFFBF7E"/>
    <w:rsid w:val="DE224415"/>
    <w:rsid w:val="DE5B3B1A"/>
    <w:rsid w:val="DE76F020"/>
    <w:rsid w:val="DE780823"/>
    <w:rsid w:val="DE7DC473"/>
    <w:rsid w:val="DEAC6F19"/>
    <w:rsid w:val="DEE6C23E"/>
    <w:rsid w:val="DEE9C6BA"/>
    <w:rsid w:val="DEEE96B0"/>
    <w:rsid w:val="DEF7DF04"/>
    <w:rsid w:val="DEFD100F"/>
    <w:rsid w:val="DEFF76A0"/>
    <w:rsid w:val="DF33F6EA"/>
    <w:rsid w:val="DF5729EE"/>
    <w:rsid w:val="DF61E4AC"/>
    <w:rsid w:val="DF657197"/>
    <w:rsid w:val="DF6F1FB6"/>
    <w:rsid w:val="DF733DE8"/>
    <w:rsid w:val="DF7A3567"/>
    <w:rsid w:val="DF7B7C72"/>
    <w:rsid w:val="DF7CB26F"/>
    <w:rsid w:val="DF7DB3A5"/>
    <w:rsid w:val="DF7E4CB0"/>
    <w:rsid w:val="DF7FA7A6"/>
    <w:rsid w:val="DF7FC6A3"/>
    <w:rsid w:val="DF972261"/>
    <w:rsid w:val="DF9BC985"/>
    <w:rsid w:val="DFAEC9DD"/>
    <w:rsid w:val="DFBB3808"/>
    <w:rsid w:val="DFBB41DA"/>
    <w:rsid w:val="DFCED897"/>
    <w:rsid w:val="DFD7B599"/>
    <w:rsid w:val="DFD9266D"/>
    <w:rsid w:val="DFDB7187"/>
    <w:rsid w:val="DFDBA1C6"/>
    <w:rsid w:val="DFDBA381"/>
    <w:rsid w:val="DFDDC7E8"/>
    <w:rsid w:val="DFE5BC71"/>
    <w:rsid w:val="DFE80541"/>
    <w:rsid w:val="DFE93242"/>
    <w:rsid w:val="DFED0C7C"/>
    <w:rsid w:val="DFED9240"/>
    <w:rsid w:val="DFEF8131"/>
    <w:rsid w:val="DFEFD766"/>
    <w:rsid w:val="DFF30D31"/>
    <w:rsid w:val="DFF76BA8"/>
    <w:rsid w:val="DFFB9346"/>
    <w:rsid w:val="DFFBC92E"/>
    <w:rsid w:val="DFFBD49D"/>
    <w:rsid w:val="DFFBE49E"/>
    <w:rsid w:val="DFFC476D"/>
    <w:rsid w:val="DFFCA844"/>
    <w:rsid w:val="DFFDA72F"/>
    <w:rsid w:val="DFFF0356"/>
    <w:rsid w:val="DFFF08FE"/>
    <w:rsid w:val="DFFF1F68"/>
    <w:rsid w:val="DFFF212E"/>
    <w:rsid w:val="DFFF8A47"/>
    <w:rsid w:val="E1777119"/>
    <w:rsid w:val="E237F5C1"/>
    <w:rsid w:val="E35D90D1"/>
    <w:rsid w:val="E3BF2571"/>
    <w:rsid w:val="E3CF8C60"/>
    <w:rsid w:val="E3E7A04A"/>
    <w:rsid w:val="E3EE48C9"/>
    <w:rsid w:val="E3F77889"/>
    <w:rsid w:val="E55FB5B1"/>
    <w:rsid w:val="E57F438A"/>
    <w:rsid w:val="E5D6F948"/>
    <w:rsid w:val="E5DE6256"/>
    <w:rsid w:val="E63B127D"/>
    <w:rsid w:val="E6BFA889"/>
    <w:rsid w:val="E6D53DAC"/>
    <w:rsid w:val="E6DF46F8"/>
    <w:rsid w:val="E6E76456"/>
    <w:rsid w:val="E71FD372"/>
    <w:rsid w:val="E767E085"/>
    <w:rsid w:val="E76B293C"/>
    <w:rsid w:val="E77EFDC7"/>
    <w:rsid w:val="E799C489"/>
    <w:rsid w:val="E7BBD8B9"/>
    <w:rsid w:val="E7DF24DB"/>
    <w:rsid w:val="E7E74212"/>
    <w:rsid w:val="E7F308D7"/>
    <w:rsid w:val="E7F5E77E"/>
    <w:rsid w:val="E7F9F594"/>
    <w:rsid w:val="E7FB3824"/>
    <w:rsid w:val="E7FDCBC1"/>
    <w:rsid w:val="E7FF24A0"/>
    <w:rsid w:val="E8FFCE7C"/>
    <w:rsid w:val="E907118B"/>
    <w:rsid w:val="E9B77FB0"/>
    <w:rsid w:val="E9CDB310"/>
    <w:rsid w:val="E9DD42FC"/>
    <w:rsid w:val="E9EB4C8D"/>
    <w:rsid w:val="E9F5BD99"/>
    <w:rsid w:val="E9F71EFB"/>
    <w:rsid w:val="E9F7BCA5"/>
    <w:rsid w:val="E9FD504D"/>
    <w:rsid w:val="EA4E3792"/>
    <w:rsid w:val="EA5F944B"/>
    <w:rsid w:val="EAA389D0"/>
    <w:rsid w:val="EAFF70C1"/>
    <w:rsid w:val="EB7733A8"/>
    <w:rsid w:val="EB7BA1CC"/>
    <w:rsid w:val="EB9525CF"/>
    <w:rsid w:val="EBBDC0E8"/>
    <w:rsid w:val="EBBFE8CD"/>
    <w:rsid w:val="EBEF3723"/>
    <w:rsid w:val="EBF755CC"/>
    <w:rsid w:val="EBF98719"/>
    <w:rsid w:val="EBFD5FFB"/>
    <w:rsid w:val="EBFEF2BB"/>
    <w:rsid w:val="EBFFA6B7"/>
    <w:rsid w:val="EC6FD303"/>
    <w:rsid w:val="ECDA1369"/>
    <w:rsid w:val="ECE949D4"/>
    <w:rsid w:val="ECF32949"/>
    <w:rsid w:val="ECFFD018"/>
    <w:rsid w:val="ED158735"/>
    <w:rsid w:val="ED1EA3B7"/>
    <w:rsid w:val="ED4F03FE"/>
    <w:rsid w:val="ED55763E"/>
    <w:rsid w:val="ED5FA7B6"/>
    <w:rsid w:val="ED6F0C79"/>
    <w:rsid w:val="ED7BA05A"/>
    <w:rsid w:val="ED7BAA1B"/>
    <w:rsid w:val="ED7F217A"/>
    <w:rsid w:val="EDBB0718"/>
    <w:rsid w:val="EDCF8F66"/>
    <w:rsid w:val="EDDDF85B"/>
    <w:rsid w:val="EDDF6846"/>
    <w:rsid w:val="EDDF7CF0"/>
    <w:rsid w:val="EDF72F25"/>
    <w:rsid w:val="EDF75F23"/>
    <w:rsid w:val="EE1F8E66"/>
    <w:rsid w:val="EE731824"/>
    <w:rsid w:val="EE76B8BE"/>
    <w:rsid w:val="EEAB42EC"/>
    <w:rsid w:val="EEAF40BE"/>
    <w:rsid w:val="EEB6C559"/>
    <w:rsid w:val="EEBDCE37"/>
    <w:rsid w:val="EEDF0DA7"/>
    <w:rsid w:val="EEE49002"/>
    <w:rsid w:val="EEE7AD00"/>
    <w:rsid w:val="EEEF087F"/>
    <w:rsid w:val="EEF9BC1B"/>
    <w:rsid w:val="EEFD847C"/>
    <w:rsid w:val="EEFF484C"/>
    <w:rsid w:val="EF10A059"/>
    <w:rsid w:val="EF3E3D9C"/>
    <w:rsid w:val="EF3F33D9"/>
    <w:rsid w:val="EF5AB207"/>
    <w:rsid w:val="EF698AE2"/>
    <w:rsid w:val="EF7FC29B"/>
    <w:rsid w:val="EF9F547D"/>
    <w:rsid w:val="EFA9B43F"/>
    <w:rsid w:val="EFBF92C2"/>
    <w:rsid w:val="EFBFC19C"/>
    <w:rsid w:val="EFCB0919"/>
    <w:rsid w:val="EFCC28C7"/>
    <w:rsid w:val="EFCDBECA"/>
    <w:rsid w:val="EFD6066D"/>
    <w:rsid w:val="EFD7900F"/>
    <w:rsid w:val="EFDC0BC9"/>
    <w:rsid w:val="EFDD2D47"/>
    <w:rsid w:val="EFDDB7FD"/>
    <w:rsid w:val="EFDDEA58"/>
    <w:rsid w:val="EFE311EF"/>
    <w:rsid w:val="EFE94001"/>
    <w:rsid w:val="EFEB439E"/>
    <w:rsid w:val="EFED4841"/>
    <w:rsid w:val="EFF3E185"/>
    <w:rsid w:val="EFF626A8"/>
    <w:rsid w:val="EFF62ADC"/>
    <w:rsid w:val="EFF70A57"/>
    <w:rsid w:val="EFF71DEF"/>
    <w:rsid w:val="EFFA7E6F"/>
    <w:rsid w:val="EFFB5B2B"/>
    <w:rsid w:val="EFFBA50F"/>
    <w:rsid w:val="EFFBDF9A"/>
    <w:rsid w:val="EFFEBE79"/>
    <w:rsid w:val="EFFF2303"/>
    <w:rsid w:val="EFFF9B3C"/>
    <w:rsid w:val="F1FA3686"/>
    <w:rsid w:val="F1FDF5B5"/>
    <w:rsid w:val="F1FF74CE"/>
    <w:rsid w:val="F1FFC457"/>
    <w:rsid w:val="F1FFD396"/>
    <w:rsid w:val="F1FFFE50"/>
    <w:rsid w:val="F2744956"/>
    <w:rsid w:val="F2EF3A0F"/>
    <w:rsid w:val="F2EF3B17"/>
    <w:rsid w:val="F34BC67B"/>
    <w:rsid w:val="F35A7E17"/>
    <w:rsid w:val="F35DE18C"/>
    <w:rsid w:val="F36FAC61"/>
    <w:rsid w:val="F37831F0"/>
    <w:rsid w:val="F3787506"/>
    <w:rsid w:val="F37986EA"/>
    <w:rsid w:val="F37EA5D5"/>
    <w:rsid w:val="F3B7C678"/>
    <w:rsid w:val="F3D6F0EA"/>
    <w:rsid w:val="F3E1D16A"/>
    <w:rsid w:val="F3E77833"/>
    <w:rsid w:val="F3E94DA5"/>
    <w:rsid w:val="F3EF4643"/>
    <w:rsid w:val="F3F6094F"/>
    <w:rsid w:val="F3F7E8A6"/>
    <w:rsid w:val="F3FD356A"/>
    <w:rsid w:val="F3FECE85"/>
    <w:rsid w:val="F4F58A43"/>
    <w:rsid w:val="F4FFD21F"/>
    <w:rsid w:val="F55BD45F"/>
    <w:rsid w:val="F56F99FB"/>
    <w:rsid w:val="F57FB77F"/>
    <w:rsid w:val="F58E1C92"/>
    <w:rsid w:val="F5A6680C"/>
    <w:rsid w:val="F5B5986B"/>
    <w:rsid w:val="F5BECCDB"/>
    <w:rsid w:val="F5D64AE1"/>
    <w:rsid w:val="F5D7773B"/>
    <w:rsid w:val="F5DF7E6F"/>
    <w:rsid w:val="F5EE1907"/>
    <w:rsid w:val="F5F33688"/>
    <w:rsid w:val="F5F70456"/>
    <w:rsid w:val="F676AEA4"/>
    <w:rsid w:val="F68AD0DC"/>
    <w:rsid w:val="F6B7A217"/>
    <w:rsid w:val="F6BFAD99"/>
    <w:rsid w:val="F6C7498B"/>
    <w:rsid w:val="F6CF52FB"/>
    <w:rsid w:val="F6DD2E59"/>
    <w:rsid w:val="F6E6E8C0"/>
    <w:rsid w:val="F6E7AEFD"/>
    <w:rsid w:val="F6EC6D0F"/>
    <w:rsid w:val="F6EF129D"/>
    <w:rsid w:val="F6F5560B"/>
    <w:rsid w:val="F6FD0DE1"/>
    <w:rsid w:val="F6FFAC03"/>
    <w:rsid w:val="F75072D8"/>
    <w:rsid w:val="F76F072D"/>
    <w:rsid w:val="F76F7733"/>
    <w:rsid w:val="F77DFA55"/>
    <w:rsid w:val="F77F9A35"/>
    <w:rsid w:val="F7A9E0C0"/>
    <w:rsid w:val="F7ABF7CD"/>
    <w:rsid w:val="F7ACBA9F"/>
    <w:rsid w:val="F7B72799"/>
    <w:rsid w:val="F7BD3076"/>
    <w:rsid w:val="F7BF0998"/>
    <w:rsid w:val="F7BF4335"/>
    <w:rsid w:val="F7D5C9AB"/>
    <w:rsid w:val="F7D7370F"/>
    <w:rsid w:val="F7EAC7E2"/>
    <w:rsid w:val="F7EE77D4"/>
    <w:rsid w:val="F7F68FC3"/>
    <w:rsid w:val="F7F6CD61"/>
    <w:rsid w:val="F7F8F6FF"/>
    <w:rsid w:val="F7F9F01A"/>
    <w:rsid w:val="F7FA77D3"/>
    <w:rsid w:val="F7FB22C7"/>
    <w:rsid w:val="F7FB4E31"/>
    <w:rsid w:val="F7FC27E6"/>
    <w:rsid w:val="F7FDA0A4"/>
    <w:rsid w:val="F7FE7637"/>
    <w:rsid w:val="F7FF89A2"/>
    <w:rsid w:val="F8477A4F"/>
    <w:rsid w:val="F8F72DFE"/>
    <w:rsid w:val="F8FC2B68"/>
    <w:rsid w:val="F9562D92"/>
    <w:rsid w:val="F97EDAE4"/>
    <w:rsid w:val="F99F39F6"/>
    <w:rsid w:val="F99F4305"/>
    <w:rsid w:val="F9AB0E42"/>
    <w:rsid w:val="F9BBD98A"/>
    <w:rsid w:val="F9C9C763"/>
    <w:rsid w:val="F9CCD924"/>
    <w:rsid w:val="F9D69134"/>
    <w:rsid w:val="F9D757DE"/>
    <w:rsid w:val="F9E8C7A7"/>
    <w:rsid w:val="F9FC1CA8"/>
    <w:rsid w:val="F9FD51F7"/>
    <w:rsid w:val="F9FF10BC"/>
    <w:rsid w:val="F9FF28EE"/>
    <w:rsid w:val="F9FF54A0"/>
    <w:rsid w:val="F9FF70E8"/>
    <w:rsid w:val="F9FFAF56"/>
    <w:rsid w:val="F9FFD80A"/>
    <w:rsid w:val="FA7AC038"/>
    <w:rsid w:val="FA7F4BA4"/>
    <w:rsid w:val="FAB6589D"/>
    <w:rsid w:val="FADFC84A"/>
    <w:rsid w:val="FAE7078A"/>
    <w:rsid w:val="FAF1B536"/>
    <w:rsid w:val="FAF46C59"/>
    <w:rsid w:val="FAF5A6CD"/>
    <w:rsid w:val="FAFA8ED8"/>
    <w:rsid w:val="FAFE1C7E"/>
    <w:rsid w:val="FAFF0936"/>
    <w:rsid w:val="FAFF1F68"/>
    <w:rsid w:val="FB173918"/>
    <w:rsid w:val="FB377170"/>
    <w:rsid w:val="FB3B05CE"/>
    <w:rsid w:val="FB4C7A56"/>
    <w:rsid w:val="FB5B5EFF"/>
    <w:rsid w:val="FB5E02F9"/>
    <w:rsid w:val="FB6A7C47"/>
    <w:rsid w:val="FB6D37DB"/>
    <w:rsid w:val="FB6F99F0"/>
    <w:rsid w:val="FB7B99EC"/>
    <w:rsid w:val="FB7C83BF"/>
    <w:rsid w:val="FB7F2C08"/>
    <w:rsid w:val="FB7F4E8A"/>
    <w:rsid w:val="FB97582A"/>
    <w:rsid w:val="FBAD7567"/>
    <w:rsid w:val="FBAF4D99"/>
    <w:rsid w:val="FBB3EAF9"/>
    <w:rsid w:val="FBB6275B"/>
    <w:rsid w:val="FBB7F7CE"/>
    <w:rsid w:val="FBBB7EC2"/>
    <w:rsid w:val="FBBD597C"/>
    <w:rsid w:val="FBBD6867"/>
    <w:rsid w:val="FBBF0BE9"/>
    <w:rsid w:val="FBBFFDD2"/>
    <w:rsid w:val="FBDB161D"/>
    <w:rsid w:val="FBDBA40D"/>
    <w:rsid w:val="FBDCDCA7"/>
    <w:rsid w:val="FBDDF2ED"/>
    <w:rsid w:val="FBDED09E"/>
    <w:rsid w:val="FBE99EEE"/>
    <w:rsid w:val="FBEF6697"/>
    <w:rsid w:val="FBF3F68D"/>
    <w:rsid w:val="FBF55F53"/>
    <w:rsid w:val="FBF83CC0"/>
    <w:rsid w:val="FBF93B4E"/>
    <w:rsid w:val="FBFD0261"/>
    <w:rsid w:val="FBFDB77A"/>
    <w:rsid w:val="FBFDEBB6"/>
    <w:rsid w:val="FBFE02E4"/>
    <w:rsid w:val="FBFE881D"/>
    <w:rsid w:val="FBFF4009"/>
    <w:rsid w:val="FBFF80A9"/>
    <w:rsid w:val="FBFFD5D6"/>
    <w:rsid w:val="FBFFF43E"/>
    <w:rsid w:val="FC1EF17A"/>
    <w:rsid w:val="FC6FBDA3"/>
    <w:rsid w:val="FC7D388D"/>
    <w:rsid w:val="FCCD4866"/>
    <w:rsid w:val="FCCE63CA"/>
    <w:rsid w:val="FCEA0B3C"/>
    <w:rsid w:val="FCFB572F"/>
    <w:rsid w:val="FCFDC374"/>
    <w:rsid w:val="FCFFC785"/>
    <w:rsid w:val="FD3E76F3"/>
    <w:rsid w:val="FD62293B"/>
    <w:rsid w:val="FD6A2F07"/>
    <w:rsid w:val="FD6BA162"/>
    <w:rsid w:val="FD6F909C"/>
    <w:rsid w:val="FD7C0659"/>
    <w:rsid w:val="FD7F4552"/>
    <w:rsid w:val="FD9EBA82"/>
    <w:rsid w:val="FDA6A2E6"/>
    <w:rsid w:val="FDB51F53"/>
    <w:rsid w:val="FDB9615D"/>
    <w:rsid w:val="FDBFDA2D"/>
    <w:rsid w:val="FDC73F73"/>
    <w:rsid w:val="FDDE9976"/>
    <w:rsid w:val="FDDF1878"/>
    <w:rsid w:val="FDDFF28F"/>
    <w:rsid w:val="FDEAA156"/>
    <w:rsid w:val="FDEF346A"/>
    <w:rsid w:val="FDEFB8A1"/>
    <w:rsid w:val="FDF5D296"/>
    <w:rsid w:val="FDF79965"/>
    <w:rsid w:val="FDF7F7EF"/>
    <w:rsid w:val="FDFA8F03"/>
    <w:rsid w:val="FDFAFA9A"/>
    <w:rsid w:val="FDFB0F64"/>
    <w:rsid w:val="FDFC73C7"/>
    <w:rsid w:val="FDFDB1CF"/>
    <w:rsid w:val="FDFDCA57"/>
    <w:rsid w:val="FDFEDB19"/>
    <w:rsid w:val="FDFF3899"/>
    <w:rsid w:val="FDFF8E38"/>
    <w:rsid w:val="FDFFA644"/>
    <w:rsid w:val="FDFFB0AB"/>
    <w:rsid w:val="FE17FAF7"/>
    <w:rsid w:val="FE2F741F"/>
    <w:rsid w:val="FE3A3557"/>
    <w:rsid w:val="FE53D296"/>
    <w:rsid w:val="FE6E997D"/>
    <w:rsid w:val="FE757707"/>
    <w:rsid w:val="FE7A60F0"/>
    <w:rsid w:val="FE7E7ADF"/>
    <w:rsid w:val="FE7EF501"/>
    <w:rsid w:val="FE7F27C0"/>
    <w:rsid w:val="FE7F8611"/>
    <w:rsid w:val="FE7FB3E5"/>
    <w:rsid w:val="FE8FDC47"/>
    <w:rsid w:val="FE93B55E"/>
    <w:rsid w:val="FE9F3C5C"/>
    <w:rsid w:val="FEAB1C02"/>
    <w:rsid w:val="FEB6E967"/>
    <w:rsid w:val="FEBA7008"/>
    <w:rsid w:val="FEBB4663"/>
    <w:rsid w:val="FEBD0E76"/>
    <w:rsid w:val="FEBDE084"/>
    <w:rsid w:val="FEBF1449"/>
    <w:rsid w:val="FEBF6B1A"/>
    <w:rsid w:val="FEBFAC37"/>
    <w:rsid w:val="FEE16DC1"/>
    <w:rsid w:val="FEEAA2A4"/>
    <w:rsid w:val="FEED325A"/>
    <w:rsid w:val="FEED9775"/>
    <w:rsid w:val="FEEF11B3"/>
    <w:rsid w:val="FEEFE54C"/>
    <w:rsid w:val="FEF0B055"/>
    <w:rsid w:val="FEF3D9A8"/>
    <w:rsid w:val="FEF496C1"/>
    <w:rsid w:val="FEF7DE7D"/>
    <w:rsid w:val="FEFA989B"/>
    <w:rsid w:val="FEFAD0BB"/>
    <w:rsid w:val="FEFBCB97"/>
    <w:rsid w:val="FEFD3426"/>
    <w:rsid w:val="FEFE10C5"/>
    <w:rsid w:val="FEFE7C68"/>
    <w:rsid w:val="FEFE94E0"/>
    <w:rsid w:val="FEFF70E4"/>
    <w:rsid w:val="FEFF73BB"/>
    <w:rsid w:val="FEFF9836"/>
    <w:rsid w:val="FEFFB70D"/>
    <w:rsid w:val="FEFFCEF1"/>
    <w:rsid w:val="FF0BD44E"/>
    <w:rsid w:val="FF1F732C"/>
    <w:rsid w:val="FF2BCAB4"/>
    <w:rsid w:val="FF30F82E"/>
    <w:rsid w:val="FF3AFCBD"/>
    <w:rsid w:val="FF3B5FF8"/>
    <w:rsid w:val="FF5F523C"/>
    <w:rsid w:val="FF618D47"/>
    <w:rsid w:val="FF64A640"/>
    <w:rsid w:val="FF6EAA89"/>
    <w:rsid w:val="FF6F183A"/>
    <w:rsid w:val="FF6F5B88"/>
    <w:rsid w:val="FF6F63B1"/>
    <w:rsid w:val="FF6FADD3"/>
    <w:rsid w:val="FF6FFCC1"/>
    <w:rsid w:val="FF7516A8"/>
    <w:rsid w:val="FF766393"/>
    <w:rsid w:val="FF77BC82"/>
    <w:rsid w:val="FF7B3DE8"/>
    <w:rsid w:val="FF7C03DC"/>
    <w:rsid w:val="FF7DE231"/>
    <w:rsid w:val="FF7E2C6F"/>
    <w:rsid w:val="FF7E78C1"/>
    <w:rsid w:val="FF7EE494"/>
    <w:rsid w:val="FF7F48CF"/>
    <w:rsid w:val="FF7F4A56"/>
    <w:rsid w:val="FF7F6419"/>
    <w:rsid w:val="FF7F9F54"/>
    <w:rsid w:val="FF7FB1EF"/>
    <w:rsid w:val="FF7FCAE2"/>
    <w:rsid w:val="FF83A891"/>
    <w:rsid w:val="FF8BB468"/>
    <w:rsid w:val="FF8BB96D"/>
    <w:rsid w:val="FF9B7CD8"/>
    <w:rsid w:val="FF9E3318"/>
    <w:rsid w:val="FF9FCCD2"/>
    <w:rsid w:val="FFA3275B"/>
    <w:rsid w:val="FFA64D7A"/>
    <w:rsid w:val="FFA7398E"/>
    <w:rsid w:val="FFAB3ECE"/>
    <w:rsid w:val="FFAE7162"/>
    <w:rsid w:val="FFAF5DBC"/>
    <w:rsid w:val="FFAF7252"/>
    <w:rsid w:val="FFAFEAE0"/>
    <w:rsid w:val="FFBC6E31"/>
    <w:rsid w:val="FFBD64C8"/>
    <w:rsid w:val="FFBDA264"/>
    <w:rsid w:val="FFBEB25A"/>
    <w:rsid w:val="FFBEE3BE"/>
    <w:rsid w:val="FFBF2207"/>
    <w:rsid w:val="FFBF8656"/>
    <w:rsid w:val="FFC23D8D"/>
    <w:rsid w:val="FFCAD5F0"/>
    <w:rsid w:val="FFCB24F2"/>
    <w:rsid w:val="FFCF3B17"/>
    <w:rsid w:val="FFD64A16"/>
    <w:rsid w:val="FFD6E123"/>
    <w:rsid w:val="FFD785E3"/>
    <w:rsid w:val="FFD7ABFE"/>
    <w:rsid w:val="FFDB8BFC"/>
    <w:rsid w:val="FFDC548D"/>
    <w:rsid w:val="FFDEDBC9"/>
    <w:rsid w:val="FFDEDC5C"/>
    <w:rsid w:val="FFDF2B19"/>
    <w:rsid w:val="FFDF48FC"/>
    <w:rsid w:val="FFDF7146"/>
    <w:rsid w:val="FFDFA779"/>
    <w:rsid w:val="FFE5BF9D"/>
    <w:rsid w:val="FFE5C057"/>
    <w:rsid w:val="FFEB6A20"/>
    <w:rsid w:val="FFEBF174"/>
    <w:rsid w:val="FFEBF808"/>
    <w:rsid w:val="FFED4A9F"/>
    <w:rsid w:val="FFEF0204"/>
    <w:rsid w:val="FFEF0211"/>
    <w:rsid w:val="FFEF38EA"/>
    <w:rsid w:val="FFEF5008"/>
    <w:rsid w:val="FFEF50B3"/>
    <w:rsid w:val="FFF11337"/>
    <w:rsid w:val="FFF29811"/>
    <w:rsid w:val="FFF30EE4"/>
    <w:rsid w:val="FFF37CC8"/>
    <w:rsid w:val="FFF39CF6"/>
    <w:rsid w:val="FFF3CB99"/>
    <w:rsid w:val="FFF58C73"/>
    <w:rsid w:val="FFF713CD"/>
    <w:rsid w:val="FFF977B7"/>
    <w:rsid w:val="FFFA130D"/>
    <w:rsid w:val="FFFB5E91"/>
    <w:rsid w:val="FFFB5F04"/>
    <w:rsid w:val="FFFBD25A"/>
    <w:rsid w:val="FFFBFEED"/>
    <w:rsid w:val="FFFCA0F1"/>
    <w:rsid w:val="FFFCB50C"/>
    <w:rsid w:val="FFFCDA7C"/>
    <w:rsid w:val="FFFD0F57"/>
    <w:rsid w:val="FFFD10EF"/>
    <w:rsid w:val="FFFD60EF"/>
    <w:rsid w:val="FFFDA487"/>
    <w:rsid w:val="FFFE4034"/>
    <w:rsid w:val="FFFEE731"/>
    <w:rsid w:val="FFFF0E85"/>
    <w:rsid w:val="FFFF4362"/>
    <w:rsid w:val="FFFF64D9"/>
    <w:rsid w:val="FFFF8162"/>
    <w:rsid w:val="FFFF94A0"/>
    <w:rsid w:val="FFFFA6DC"/>
    <w:rsid w:val="FFFFB19C"/>
    <w:rsid w:val="FFFFB974"/>
    <w:rsid w:val="FFFFBED0"/>
    <w:rsid w:val="FFFFE2BC"/>
    <w:rsid w:val="FFFFF0B4"/>
    <w:rsid w:val="FFFFF155"/>
    <w:rsid w:val="FFFFF9F0"/>
    <w:rsid w:val="FFFFF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4"/>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5"/>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6"/>
    <w:qFormat/>
    <w:uiPriority w:val="0"/>
    <w:pPr>
      <w:keepNext/>
      <w:keepLines/>
      <w:spacing w:before="280" w:after="290" w:line="376" w:lineRule="auto"/>
      <w:outlineLvl w:val="4"/>
    </w:pPr>
    <w:rPr>
      <w:b/>
      <w:sz w:val="28"/>
    </w:rPr>
  </w:style>
  <w:style w:type="paragraph" w:styleId="9">
    <w:name w:val="heading 6"/>
    <w:basedOn w:val="1"/>
    <w:next w:val="8"/>
    <w:link w:val="78"/>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9"/>
    <w:qFormat/>
    <w:uiPriority w:val="0"/>
    <w:pPr>
      <w:keepNext/>
      <w:keepLines/>
      <w:spacing w:before="240" w:after="64" w:line="320" w:lineRule="auto"/>
      <w:outlineLvl w:val="6"/>
    </w:pPr>
    <w:rPr>
      <w:b/>
      <w:sz w:val="24"/>
    </w:rPr>
  </w:style>
  <w:style w:type="paragraph" w:styleId="11">
    <w:name w:val="heading 8"/>
    <w:basedOn w:val="1"/>
    <w:next w:val="8"/>
    <w:link w:val="80"/>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1"/>
    <w:qFormat/>
    <w:uiPriority w:val="0"/>
    <w:pPr>
      <w:keepNext/>
      <w:keepLines/>
      <w:spacing w:before="240" w:after="64" w:line="320" w:lineRule="auto"/>
      <w:outlineLvl w:val="8"/>
    </w:pPr>
    <w:rPr>
      <w:rFonts w:ascii="Arial" w:hAnsi="Arial" w:eastAsia="黑体"/>
    </w:rPr>
  </w:style>
  <w:style w:type="character" w:default="1" w:styleId="57">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Normal Indent"/>
    <w:basedOn w:val="1"/>
    <w:link w:val="77"/>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List Bullet"/>
    <w:basedOn w:val="1"/>
    <w:unhideWhenUsed/>
    <w:qFormat/>
    <w:uiPriority w:val="0"/>
    <w:pPr>
      <w:tabs>
        <w:tab w:val="left" w:pos="3300"/>
      </w:tabs>
    </w:pPr>
  </w:style>
  <w:style w:type="paragraph" w:styleId="17">
    <w:name w:val="Document Map"/>
    <w:basedOn w:val="1"/>
    <w:link w:val="82"/>
    <w:qFormat/>
    <w:uiPriority w:val="0"/>
    <w:pPr>
      <w:shd w:val="clear" w:color="auto" w:fill="000080"/>
    </w:pPr>
  </w:style>
  <w:style w:type="paragraph" w:styleId="18">
    <w:name w:val="annotation text"/>
    <w:basedOn w:val="1"/>
    <w:link w:val="83"/>
    <w:qFormat/>
    <w:uiPriority w:val="0"/>
    <w:pPr>
      <w:adjustRightInd w:val="0"/>
      <w:spacing w:line="360" w:lineRule="atLeast"/>
      <w:jc w:val="left"/>
      <w:textAlignment w:val="baseline"/>
    </w:pPr>
    <w:rPr>
      <w:kern w:val="0"/>
      <w:sz w:val="24"/>
      <w:szCs w:val="20"/>
    </w:rPr>
  </w:style>
  <w:style w:type="paragraph" w:styleId="19">
    <w:name w:val="Salutation"/>
    <w:basedOn w:val="1"/>
    <w:next w:val="1"/>
    <w:link w:val="84"/>
    <w:qFormat/>
    <w:uiPriority w:val="0"/>
    <w:rPr>
      <w:sz w:val="28"/>
    </w:rPr>
  </w:style>
  <w:style w:type="paragraph" w:styleId="20">
    <w:name w:val="Body Text 3"/>
    <w:basedOn w:val="1"/>
    <w:link w:val="85"/>
    <w:qFormat/>
    <w:uiPriority w:val="0"/>
    <w:pPr>
      <w:spacing w:line="500" w:lineRule="exact"/>
    </w:pPr>
    <w:rPr>
      <w:b/>
      <w:bCs/>
      <w:sz w:val="24"/>
    </w:rPr>
  </w:style>
  <w:style w:type="paragraph" w:styleId="21">
    <w:name w:val="Body Text"/>
    <w:basedOn w:val="1"/>
    <w:next w:val="1"/>
    <w:link w:val="86"/>
    <w:qFormat/>
    <w:uiPriority w:val="0"/>
    <w:pPr>
      <w:spacing w:line="380" w:lineRule="exact"/>
    </w:pPr>
    <w:rPr>
      <w:sz w:val="24"/>
    </w:rPr>
  </w:style>
  <w:style w:type="paragraph" w:styleId="22">
    <w:name w:val="Body Text Indent"/>
    <w:basedOn w:val="1"/>
    <w:next w:val="23"/>
    <w:link w:val="87"/>
    <w:qFormat/>
    <w:uiPriority w:val="0"/>
    <w:pPr>
      <w:ind w:firstLine="830" w:firstLineChars="352"/>
    </w:pPr>
    <w:rPr>
      <w:rFonts w:ascii="仿宋_GB2312" w:eastAsia="仿宋_GB2312"/>
      <w:sz w:val="32"/>
      <w:szCs w:val="20"/>
    </w:rPr>
  </w:style>
  <w:style w:type="paragraph" w:styleId="23">
    <w:name w:val="annotation subject"/>
    <w:basedOn w:val="18"/>
    <w:next w:val="1"/>
    <w:link w:val="88"/>
    <w:qFormat/>
    <w:uiPriority w:val="0"/>
    <w:pPr>
      <w:adjustRightInd/>
      <w:spacing w:line="240" w:lineRule="auto"/>
      <w:textAlignment w:val="auto"/>
    </w:pPr>
    <w:rPr>
      <w:b/>
      <w:bCs/>
      <w:kern w:val="2"/>
      <w:sz w:val="21"/>
      <w:szCs w:val="24"/>
    </w:rPr>
  </w:style>
  <w:style w:type="paragraph" w:styleId="24">
    <w:name w:val="List Number 3"/>
    <w:basedOn w:val="1"/>
    <w:qFormat/>
    <w:uiPriority w:val="0"/>
    <w:pPr>
      <w:tabs>
        <w:tab w:val="left" w:pos="360"/>
      </w:tabs>
      <w:ind w:left="360" w:hanging="360"/>
    </w:pPr>
  </w:style>
  <w:style w:type="paragraph" w:styleId="25">
    <w:name w:val="List 2"/>
    <w:basedOn w:val="1"/>
    <w:qFormat/>
    <w:uiPriority w:val="0"/>
    <w:pPr>
      <w:ind w:left="100" w:leftChars="200" w:hanging="200" w:hangingChars="200"/>
    </w:pPr>
    <w:rPr>
      <w:sz w:val="28"/>
    </w:rPr>
  </w:style>
  <w:style w:type="paragraph" w:styleId="26">
    <w:name w:val="Block Text"/>
    <w:basedOn w:val="1"/>
    <w:qFormat/>
    <w:uiPriority w:val="0"/>
    <w:pPr>
      <w:adjustRightInd w:val="0"/>
      <w:ind w:left="420" w:right="33"/>
      <w:jc w:val="left"/>
      <w:textAlignment w:val="baseline"/>
    </w:pPr>
    <w:rPr>
      <w:kern w:val="0"/>
      <w:sz w:val="24"/>
      <w:szCs w:val="20"/>
    </w:rPr>
  </w:style>
  <w:style w:type="paragraph" w:styleId="27">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8">
    <w:name w:val="toc 3"/>
    <w:basedOn w:val="1"/>
    <w:next w:val="1"/>
    <w:qFormat/>
    <w:uiPriority w:val="0"/>
    <w:pPr>
      <w:ind w:left="840" w:leftChars="400"/>
    </w:pPr>
  </w:style>
  <w:style w:type="paragraph" w:styleId="29">
    <w:name w:val="Plain Text"/>
    <w:basedOn w:val="1"/>
    <w:next w:val="6"/>
    <w:link w:val="89"/>
    <w:qFormat/>
    <w:uiPriority w:val="0"/>
    <w:rPr>
      <w:rFonts w:ascii="宋体" w:hAnsi="Courier New" w:cs="Courier New"/>
      <w:szCs w:val="21"/>
    </w:rPr>
  </w:style>
  <w:style w:type="paragraph" w:styleId="30">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1">
    <w:name w:val="Date"/>
    <w:basedOn w:val="1"/>
    <w:next w:val="1"/>
    <w:link w:val="90"/>
    <w:qFormat/>
    <w:uiPriority w:val="0"/>
    <w:pPr>
      <w:ind w:left="100" w:leftChars="2500"/>
    </w:pPr>
    <w:rPr>
      <w:rFonts w:ascii="宋体" w:hAnsi="Courier New" w:cs="Courier New"/>
      <w:szCs w:val="21"/>
    </w:rPr>
  </w:style>
  <w:style w:type="paragraph" w:styleId="32">
    <w:name w:val="Body Text Indent 2"/>
    <w:basedOn w:val="1"/>
    <w:link w:val="91"/>
    <w:qFormat/>
    <w:uiPriority w:val="0"/>
    <w:pPr>
      <w:ind w:firstLine="630"/>
    </w:pPr>
    <w:rPr>
      <w:sz w:val="32"/>
      <w:szCs w:val="20"/>
    </w:rPr>
  </w:style>
  <w:style w:type="paragraph" w:styleId="33">
    <w:name w:val="endnote text"/>
    <w:basedOn w:val="1"/>
    <w:link w:val="92"/>
    <w:unhideWhenUsed/>
    <w:qFormat/>
    <w:uiPriority w:val="0"/>
    <w:pPr>
      <w:snapToGrid w:val="0"/>
      <w:jc w:val="left"/>
    </w:pPr>
    <w:rPr>
      <w:rFonts w:ascii="Calibri" w:hAnsi="Calibri"/>
      <w:szCs w:val="22"/>
    </w:rPr>
  </w:style>
  <w:style w:type="paragraph" w:styleId="34">
    <w:name w:val="Balloon Text"/>
    <w:basedOn w:val="1"/>
    <w:link w:val="93"/>
    <w:qFormat/>
    <w:uiPriority w:val="0"/>
    <w:rPr>
      <w:sz w:val="18"/>
      <w:szCs w:val="18"/>
    </w:rPr>
  </w:style>
  <w:style w:type="paragraph" w:styleId="35">
    <w:name w:val="footer"/>
    <w:basedOn w:val="1"/>
    <w:link w:val="94"/>
    <w:qFormat/>
    <w:uiPriority w:val="0"/>
    <w:pPr>
      <w:tabs>
        <w:tab w:val="center" w:pos="4153"/>
        <w:tab w:val="right" w:pos="8306"/>
      </w:tabs>
      <w:snapToGrid w:val="0"/>
      <w:jc w:val="left"/>
    </w:pPr>
    <w:rPr>
      <w:sz w:val="18"/>
      <w:szCs w:val="18"/>
    </w:rPr>
  </w:style>
  <w:style w:type="paragraph" w:styleId="36">
    <w:name w:val="header"/>
    <w:basedOn w:val="1"/>
    <w:link w:val="95"/>
    <w:qFormat/>
    <w:uiPriority w:val="0"/>
    <w:pPr>
      <w:pBdr>
        <w:bottom w:val="single" w:color="auto" w:sz="6" w:space="1"/>
      </w:pBdr>
      <w:tabs>
        <w:tab w:val="center" w:pos="4153"/>
        <w:tab w:val="right" w:pos="8306"/>
      </w:tabs>
      <w:snapToGrid w:val="0"/>
      <w:jc w:val="center"/>
    </w:pPr>
    <w:rPr>
      <w:sz w:val="18"/>
      <w:szCs w:val="18"/>
    </w:rPr>
  </w:style>
  <w:style w:type="paragraph" w:styleId="37">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8">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9">
    <w:name w:val="Subtitle"/>
    <w:basedOn w:val="1"/>
    <w:next w:val="1"/>
    <w:link w:val="96"/>
    <w:qFormat/>
    <w:uiPriority w:val="11"/>
    <w:pPr>
      <w:spacing w:before="240" w:after="60" w:line="312" w:lineRule="auto"/>
      <w:jc w:val="center"/>
      <w:outlineLvl w:val="1"/>
    </w:pPr>
    <w:rPr>
      <w:rFonts w:ascii="Calibri Light" w:hAnsi="Calibri Light"/>
      <w:b/>
      <w:bCs/>
      <w:kern w:val="28"/>
      <w:sz w:val="32"/>
      <w:szCs w:val="32"/>
    </w:rPr>
  </w:style>
  <w:style w:type="paragraph" w:styleId="40">
    <w:name w:val="List"/>
    <w:basedOn w:val="1"/>
    <w:qFormat/>
    <w:uiPriority w:val="0"/>
    <w:pPr>
      <w:ind w:left="200" w:hanging="200" w:hangingChars="200"/>
    </w:pPr>
    <w:rPr>
      <w:sz w:val="28"/>
    </w:rPr>
  </w:style>
  <w:style w:type="paragraph" w:styleId="41">
    <w:name w:val="footnote text"/>
    <w:basedOn w:val="1"/>
    <w:link w:val="97"/>
    <w:qFormat/>
    <w:uiPriority w:val="99"/>
    <w:pPr>
      <w:snapToGrid w:val="0"/>
      <w:jc w:val="left"/>
    </w:pPr>
    <w:rPr>
      <w:kern w:val="0"/>
      <w:sz w:val="18"/>
      <w:szCs w:val="18"/>
    </w:rPr>
  </w:style>
  <w:style w:type="paragraph" w:styleId="42">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3">
    <w:name w:val="List 5"/>
    <w:basedOn w:val="1"/>
    <w:qFormat/>
    <w:uiPriority w:val="0"/>
    <w:pPr>
      <w:ind w:left="2100" w:hanging="420"/>
    </w:pPr>
    <w:rPr>
      <w:szCs w:val="20"/>
    </w:rPr>
  </w:style>
  <w:style w:type="paragraph" w:styleId="44">
    <w:name w:val="Body Text Indent 3"/>
    <w:basedOn w:val="1"/>
    <w:link w:val="98"/>
    <w:qFormat/>
    <w:uiPriority w:val="0"/>
    <w:pPr>
      <w:spacing w:after="120"/>
      <w:ind w:left="420" w:leftChars="200"/>
    </w:pPr>
    <w:rPr>
      <w:sz w:val="16"/>
      <w:szCs w:val="16"/>
    </w:rPr>
  </w:style>
  <w:style w:type="paragraph" w:styleId="45">
    <w:name w:val="table of figures"/>
    <w:basedOn w:val="1"/>
    <w:next w:val="1"/>
    <w:qFormat/>
    <w:uiPriority w:val="0"/>
    <w:pPr>
      <w:ind w:left="200" w:leftChars="200" w:hanging="200" w:hangingChars="200"/>
    </w:pPr>
    <w:rPr>
      <w:rFonts w:ascii="Calibri" w:hAnsi="Calibri"/>
    </w:rPr>
  </w:style>
  <w:style w:type="paragraph" w:styleId="46">
    <w:name w:val="toc 2"/>
    <w:basedOn w:val="1"/>
    <w:next w:val="1"/>
    <w:qFormat/>
    <w:uiPriority w:val="0"/>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99"/>
    <w:qFormat/>
    <w:uiPriority w:val="0"/>
    <w:pPr>
      <w:spacing w:after="120" w:line="480" w:lineRule="auto"/>
    </w:pPr>
  </w:style>
  <w:style w:type="paragraph" w:styleId="49">
    <w:name w:val="HTML Preformatted"/>
    <w:basedOn w:val="1"/>
    <w:link w:val="10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0">
    <w:name w:val="Normal (Web)"/>
    <w:basedOn w:val="1"/>
    <w:qFormat/>
    <w:uiPriority w:val="99"/>
    <w:pPr>
      <w:widowControl/>
      <w:spacing w:before="100" w:beforeAutospacing="1" w:after="100" w:afterAutospacing="1"/>
      <w:jc w:val="left"/>
    </w:pPr>
    <w:rPr>
      <w:rFonts w:ascii="宋体" w:hAnsi="宋体"/>
      <w:kern w:val="0"/>
      <w:sz w:val="24"/>
    </w:rPr>
  </w:style>
  <w:style w:type="paragraph" w:styleId="51">
    <w:name w:val="index 1"/>
    <w:basedOn w:val="1"/>
    <w:next w:val="1"/>
    <w:semiHidden/>
    <w:qFormat/>
    <w:uiPriority w:val="0"/>
    <w:pPr>
      <w:spacing w:line="400" w:lineRule="exact"/>
      <w:ind w:firstLine="420" w:firstLineChars="200"/>
    </w:pPr>
    <w:rPr>
      <w:rFonts w:ascii="宋体" w:hAnsi="Courier New"/>
      <w:b/>
      <w:szCs w:val="20"/>
    </w:rPr>
  </w:style>
  <w:style w:type="paragraph" w:styleId="52">
    <w:name w:val="Title"/>
    <w:basedOn w:val="1"/>
    <w:next w:val="1"/>
    <w:link w:val="101"/>
    <w:qFormat/>
    <w:uiPriority w:val="0"/>
    <w:pPr>
      <w:spacing w:before="240" w:after="60"/>
      <w:jc w:val="center"/>
      <w:outlineLvl w:val="0"/>
    </w:pPr>
    <w:rPr>
      <w:rFonts w:ascii="Arial" w:hAnsi="Arial"/>
      <w:b/>
      <w:bCs/>
      <w:sz w:val="32"/>
      <w:szCs w:val="32"/>
    </w:rPr>
  </w:style>
  <w:style w:type="paragraph" w:styleId="53">
    <w:name w:val="Body Text First Indent"/>
    <w:basedOn w:val="21"/>
    <w:link w:val="102"/>
    <w:unhideWhenUsed/>
    <w:qFormat/>
    <w:uiPriority w:val="0"/>
    <w:pPr>
      <w:spacing w:after="120" w:line="240" w:lineRule="auto"/>
      <w:ind w:firstLine="420" w:firstLineChars="100"/>
    </w:pPr>
    <w:rPr>
      <w:sz w:val="21"/>
    </w:rPr>
  </w:style>
  <w:style w:type="paragraph" w:styleId="54">
    <w:name w:val="Body Text First Indent 2"/>
    <w:basedOn w:val="22"/>
    <w:link w:val="103"/>
    <w:qFormat/>
    <w:uiPriority w:val="0"/>
    <w:pPr>
      <w:spacing w:after="120"/>
      <w:ind w:left="420" w:leftChars="200" w:firstLine="420" w:firstLineChars="200"/>
    </w:pPr>
    <w:rPr>
      <w:sz w:val="21"/>
      <w:szCs w:val="24"/>
    </w:rPr>
  </w:style>
  <w:style w:type="table" w:styleId="56">
    <w:name w:val="Table Grid"/>
    <w:basedOn w:val="5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8">
    <w:name w:val="Strong"/>
    <w:qFormat/>
    <w:uiPriority w:val="22"/>
    <w:rPr>
      <w:b/>
      <w:bCs/>
    </w:rPr>
  </w:style>
  <w:style w:type="character" w:styleId="59">
    <w:name w:val="endnote reference"/>
    <w:unhideWhenUsed/>
    <w:qFormat/>
    <w:uiPriority w:val="99"/>
    <w:rPr>
      <w:vertAlign w:val="superscript"/>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basedOn w:val="57"/>
    <w:qFormat/>
    <w:uiPriority w:val="0"/>
    <w:rPr>
      <w:sz w:val="21"/>
      <w:szCs w:val="21"/>
    </w:rPr>
  </w:style>
  <w:style w:type="character" w:styleId="68">
    <w:name w:val="HTML Cite"/>
    <w:unhideWhenUsed/>
    <w:qFormat/>
    <w:uiPriority w:val="0"/>
  </w:style>
  <w:style w:type="character" w:styleId="69">
    <w:name w:val="footnote reference"/>
    <w:unhideWhenUsed/>
    <w:qFormat/>
    <w:uiPriority w:val="99"/>
    <w:rPr>
      <w:vertAlign w:val="superscript"/>
    </w:rPr>
  </w:style>
  <w:style w:type="character" w:styleId="70">
    <w:name w:val="HTML Keyboard"/>
    <w:unhideWhenUsed/>
    <w:qFormat/>
    <w:uiPriority w:val="0"/>
    <w:rPr>
      <w:rFonts w:hint="default" w:ascii="Courier New" w:hAnsi="Courier New" w:eastAsia="Courier New" w:cs="Courier New"/>
      <w:sz w:val="24"/>
      <w:szCs w:val="24"/>
    </w:rPr>
  </w:style>
  <w:style w:type="character" w:styleId="71">
    <w:name w:val="HTML Sample"/>
    <w:unhideWhenUsed/>
    <w:qFormat/>
    <w:uiPriority w:val="99"/>
    <w:rPr>
      <w:rFonts w:hint="default" w:ascii="Courier New" w:hAnsi="Courier New" w:eastAsia="Times New Roman" w:cs="Courier New"/>
    </w:rPr>
  </w:style>
  <w:style w:type="character" w:customStyle="1" w:styleId="72">
    <w:name w:val="标题 1 字符"/>
    <w:link w:val="3"/>
    <w:qFormat/>
    <w:uiPriority w:val="0"/>
    <w:rPr>
      <w:rFonts w:eastAsia="宋体"/>
      <w:b/>
      <w:bCs/>
      <w:kern w:val="44"/>
      <w:sz w:val="44"/>
      <w:szCs w:val="44"/>
      <w:lang w:val="en-US" w:eastAsia="zh-CN" w:bidi="ar-SA"/>
    </w:rPr>
  </w:style>
  <w:style w:type="character" w:customStyle="1" w:styleId="73">
    <w:name w:val="标题 2 字符"/>
    <w:link w:val="4"/>
    <w:qFormat/>
    <w:uiPriority w:val="0"/>
    <w:rPr>
      <w:rFonts w:ascii="Arial" w:hAnsi="Arial" w:eastAsia="黑体"/>
      <w:b/>
      <w:bCs/>
      <w:sz w:val="32"/>
      <w:szCs w:val="32"/>
      <w:lang w:bidi="ar-SA"/>
    </w:rPr>
  </w:style>
  <w:style w:type="character" w:customStyle="1" w:styleId="74">
    <w:name w:val="标题 3 字符1"/>
    <w:link w:val="5"/>
    <w:qFormat/>
    <w:uiPriority w:val="0"/>
    <w:rPr>
      <w:rFonts w:eastAsia="宋体"/>
      <w:b/>
      <w:bCs/>
      <w:sz w:val="32"/>
      <w:szCs w:val="32"/>
      <w:lang w:bidi="ar-SA"/>
    </w:rPr>
  </w:style>
  <w:style w:type="character" w:customStyle="1" w:styleId="75">
    <w:name w:val="标题 4 字符"/>
    <w:link w:val="6"/>
    <w:qFormat/>
    <w:uiPriority w:val="0"/>
    <w:rPr>
      <w:rFonts w:ascii="Arial" w:hAnsi="Arial" w:eastAsia="黑体"/>
      <w:sz w:val="28"/>
      <w:lang w:bidi="ar-SA"/>
    </w:rPr>
  </w:style>
  <w:style w:type="character" w:customStyle="1" w:styleId="76">
    <w:name w:val="标题 5 字符"/>
    <w:link w:val="7"/>
    <w:qFormat/>
    <w:uiPriority w:val="0"/>
    <w:rPr>
      <w:rFonts w:eastAsia="宋体"/>
      <w:b/>
      <w:kern w:val="2"/>
      <w:sz w:val="28"/>
      <w:szCs w:val="24"/>
      <w:lang w:val="en-US" w:eastAsia="zh-CN" w:bidi="ar-SA"/>
    </w:rPr>
  </w:style>
  <w:style w:type="character" w:customStyle="1" w:styleId="77">
    <w:name w:val="正文缩进 字符"/>
    <w:link w:val="8"/>
    <w:qFormat/>
    <w:locked/>
    <w:uiPriority w:val="0"/>
    <w:rPr>
      <w:kern w:val="2"/>
      <w:sz w:val="21"/>
    </w:rPr>
  </w:style>
  <w:style w:type="character" w:customStyle="1" w:styleId="78">
    <w:name w:val="标题 6 字符"/>
    <w:link w:val="9"/>
    <w:qFormat/>
    <w:uiPriority w:val="0"/>
    <w:rPr>
      <w:rFonts w:ascii="Arial" w:hAnsi="Arial" w:eastAsia="黑体"/>
      <w:b/>
      <w:kern w:val="2"/>
      <w:sz w:val="24"/>
      <w:szCs w:val="24"/>
      <w:lang w:val="en-US" w:eastAsia="zh-CN" w:bidi="ar-SA"/>
    </w:rPr>
  </w:style>
  <w:style w:type="character" w:customStyle="1" w:styleId="79">
    <w:name w:val="标题 7 字符"/>
    <w:link w:val="10"/>
    <w:qFormat/>
    <w:uiPriority w:val="0"/>
    <w:rPr>
      <w:rFonts w:eastAsia="宋体"/>
      <w:b/>
      <w:kern w:val="2"/>
      <w:sz w:val="24"/>
      <w:szCs w:val="24"/>
      <w:lang w:val="en-US" w:eastAsia="zh-CN" w:bidi="ar-SA"/>
    </w:rPr>
  </w:style>
  <w:style w:type="character" w:customStyle="1" w:styleId="80">
    <w:name w:val="标题 8 字符"/>
    <w:link w:val="11"/>
    <w:qFormat/>
    <w:uiPriority w:val="0"/>
    <w:rPr>
      <w:rFonts w:ascii="Arial" w:hAnsi="Arial" w:eastAsia="黑体"/>
      <w:kern w:val="2"/>
      <w:sz w:val="24"/>
      <w:szCs w:val="24"/>
      <w:lang w:val="en-US" w:eastAsia="zh-CN" w:bidi="ar-SA"/>
    </w:rPr>
  </w:style>
  <w:style w:type="character" w:customStyle="1" w:styleId="81">
    <w:name w:val="标题 9 字符"/>
    <w:link w:val="12"/>
    <w:qFormat/>
    <w:uiPriority w:val="0"/>
    <w:rPr>
      <w:rFonts w:ascii="Arial" w:hAnsi="Arial" w:eastAsia="黑体"/>
      <w:kern w:val="2"/>
      <w:sz w:val="21"/>
      <w:szCs w:val="24"/>
      <w:lang w:val="en-US" w:eastAsia="zh-CN" w:bidi="ar-SA"/>
    </w:rPr>
  </w:style>
  <w:style w:type="character" w:customStyle="1" w:styleId="82">
    <w:name w:val="文档结构图 字符"/>
    <w:link w:val="17"/>
    <w:qFormat/>
    <w:uiPriority w:val="0"/>
    <w:rPr>
      <w:rFonts w:eastAsia="宋体"/>
      <w:kern w:val="2"/>
      <w:sz w:val="21"/>
      <w:szCs w:val="24"/>
      <w:lang w:val="en-US" w:eastAsia="zh-CN" w:bidi="ar-SA"/>
    </w:rPr>
  </w:style>
  <w:style w:type="character" w:customStyle="1" w:styleId="83">
    <w:name w:val="批注文字 字符"/>
    <w:link w:val="18"/>
    <w:qFormat/>
    <w:uiPriority w:val="0"/>
    <w:rPr>
      <w:rFonts w:eastAsia="宋体"/>
      <w:sz w:val="24"/>
      <w:lang w:bidi="ar-SA"/>
    </w:rPr>
  </w:style>
  <w:style w:type="character" w:customStyle="1" w:styleId="84">
    <w:name w:val="称呼 字符"/>
    <w:link w:val="19"/>
    <w:qFormat/>
    <w:uiPriority w:val="0"/>
    <w:rPr>
      <w:kern w:val="2"/>
      <w:sz w:val="28"/>
      <w:szCs w:val="24"/>
    </w:rPr>
  </w:style>
  <w:style w:type="character" w:customStyle="1" w:styleId="85">
    <w:name w:val="正文文本 3 字符"/>
    <w:link w:val="20"/>
    <w:qFormat/>
    <w:uiPriority w:val="0"/>
    <w:rPr>
      <w:rFonts w:eastAsia="宋体"/>
      <w:b/>
      <w:bCs/>
      <w:kern w:val="2"/>
      <w:sz w:val="24"/>
      <w:szCs w:val="24"/>
      <w:lang w:val="en-US" w:eastAsia="zh-CN" w:bidi="ar-SA"/>
    </w:rPr>
  </w:style>
  <w:style w:type="character" w:customStyle="1" w:styleId="86">
    <w:name w:val="正文文本 字符"/>
    <w:link w:val="21"/>
    <w:qFormat/>
    <w:uiPriority w:val="0"/>
    <w:rPr>
      <w:rFonts w:eastAsia="宋体"/>
      <w:kern w:val="2"/>
      <w:sz w:val="24"/>
      <w:szCs w:val="24"/>
      <w:lang w:val="en-US" w:eastAsia="zh-CN" w:bidi="ar-SA"/>
    </w:rPr>
  </w:style>
  <w:style w:type="character" w:customStyle="1" w:styleId="87">
    <w:name w:val="正文文本缩进 字符"/>
    <w:link w:val="22"/>
    <w:qFormat/>
    <w:uiPriority w:val="0"/>
    <w:rPr>
      <w:rFonts w:ascii="仿宋_GB2312" w:eastAsia="仿宋_GB2312"/>
      <w:kern w:val="2"/>
      <w:sz w:val="32"/>
      <w:lang w:val="en-US" w:eastAsia="zh-CN" w:bidi="ar-SA"/>
    </w:rPr>
  </w:style>
  <w:style w:type="character" w:customStyle="1" w:styleId="88">
    <w:name w:val="批注主题 字符"/>
    <w:link w:val="23"/>
    <w:qFormat/>
    <w:uiPriority w:val="0"/>
    <w:rPr>
      <w:rFonts w:eastAsia="宋体"/>
      <w:b/>
      <w:bCs/>
      <w:kern w:val="2"/>
      <w:sz w:val="21"/>
      <w:szCs w:val="24"/>
      <w:lang w:bidi="ar-SA"/>
    </w:rPr>
  </w:style>
  <w:style w:type="character" w:customStyle="1" w:styleId="89">
    <w:name w:val="纯文本 字符2"/>
    <w:link w:val="29"/>
    <w:qFormat/>
    <w:uiPriority w:val="0"/>
    <w:rPr>
      <w:rFonts w:ascii="宋体" w:hAnsi="Courier New" w:eastAsia="宋体" w:cs="Courier New"/>
      <w:kern w:val="2"/>
      <w:sz w:val="21"/>
      <w:szCs w:val="21"/>
      <w:lang w:val="en-US" w:eastAsia="zh-CN" w:bidi="ar-SA"/>
    </w:rPr>
  </w:style>
  <w:style w:type="character" w:customStyle="1" w:styleId="90">
    <w:name w:val="日期 字符"/>
    <w:link w:val="31"/>
    <w:qFormat/>
    <w:uiPriority w:val="0"/>
    <w:rPr>
      <w:rFonts w:ascii="宋体" w:hAnsi="Courier New" w:eastAsia="宋体" w:cs="Courier New"/>
      <w:kern w:val="2"/>
      <w:sz w:val="21"/>
      <w:szCs w:val="21"/>
      <w:lang w:val="en-US" w:eastAsia="zh-CN" w:bidi="ar-SA"/>
    </w:rPr>
  </w:style>
  <w:style w:type="character" w:customStyle="1" w:styleId="91">
    <w:name w:val="正文文本缩进 2 字符"/>
    <w:link w:val="32"/>
    <w:qFormat/>
    <w:uiPriority w:val="0"/>
    <w:rPr>
      <w:rFonts w:eastAsia="宋体"/>
      <w:kern w:val="2"/>
      <w:sz w:val="32"/>
      <w:lang w:val="en-US" w:eastAsia="zh-CN" w:bidi="ar-SA"/>
    </w:rPr>
  </w:style>
  <w:style w:type="character" w:customStyle="1" w:styleId="92">
    <w:name w:val="尾注文本 字符"/>
    <w:link w:val="33"/>
    <w:qFormat/>
    <w:uiPriority w:val="0"/>
    <w:rPr>
      <w:rFonts w:ascii="Calibri" w:hAnsi="Calibri"/>
      <w:kern w:val="2"/>
      <w:sz w:val="21"/>
      <w:szCs w:val="22"/>
    </w:rPr>
  </w:style>
  <w:style w:type="character" w:customStyle="1" w:styleId="93">
    <w:name w:val="批注框文本 字符"/>
    <w:link w:val="34"/>
    <w:semiHidden/>
    <w:qFormat/>
    <w:uiPriority w:val="0"/>
    <w:rPr>
      <w:rFonts w:eastAsia="宋体"/>
      <w:kern w:val="2"/>
      <w:sz w:val="18"/>
      <w:szCs w:val="18"/>
      <w:lang w:val="en-US" w:eastAsia="zh-CN" w:bidi="ar-SA"/>
    </w:rPr>
  </w:style>
  <w:style w:type="character" w:customStyle="1" w:styleId="94">
    <w:name w:val="页脚 字符1"/>
    <w:link w:val="35"/>
    <w:qFormat/>
    <w:uiPriority w:val="0"/>
    <w:rPr>
      <w:rFonts w:eastAsia="宋体"/>
      <w:kern w:val="2"/>
      <w:sz w:val="18"/>
      <w:szCs w:val="18"/>
      <w:lang w:val="en-US" w:eastAsia="zh-CN" w:bidi="ar-SA"/>
    </w:rPr>
  </w:style>
  <w:style w:type="character" w:customStyle="1" w:styleId="95">
    <w:name w:val="页眉 字符1"/>
    <w:link w:val="36"/>
    <w:qFormat/>
    <w:uiPriority w:val="0"/>
    <w:rPr>
      <w:kern w:val="2"/>
      <w:sz w:val="18"/>
      <w:szCs w:val="18"/>
    </w:rPr>
  </w:style>
  <w:style w:type="character" w:customStyle="1" w:styleId="96">
    <w:name w:val="副标题 字符"/>
    <w:link w:val="39"/>
    <w:qFormat/>
    <w:locked/>
    <w:uiPriority w:val="11"/>
    <w:rPr>
      <w:rFonts w:ascii="Calibri Light" w:hAnsi="Calibri Light"/>
      <w:b/>
      <w:bCs/>
      <w:kern w:val="28"/>
      <w:sz w:val="32"/>
      <w:szCs w:val="32"/>
    </w:rPr>
  </w:style>
  <w:style w:type="character" w:customStyle="1" w:styleId="97">
    <w:name w:val="脚注文本 字符"/>
    <w:link w:val="41"/>
    <w:qFormat/>
    <w:uiPriority w:val="99"/>
    <w:rPr>
      <w:sz w:val="18"/>
      <w:szCs w:val="18"/>
    </w:rPr>
  </w:style>
  <w:style w:type="character" w:customStyle="1" w:styleId="98">
    <w:name w:val="正文文本缩进 3 字符"/>
    <w:link w:val="44"/>
    <w:qFormat/>
    <w:uiPriority w:val="0"/>
    <w:rPr>
      <w:rFonts w:eastAsia="宋体"/>
      <w:kern w:val="2"/>
      <w:sz w:val="16"/>
      <w:szCs w:val="16"/>
      <w:lang w:val="en-US" w:eastAsia="zh-CN" w:bidi="ar-SA"/>
    </w:rPr>
  </w:style>
  <w:style w:type="character" w:customStyle="1" w:styleId="99">
    <w:name w:val="正文文本 2 字符"/>
    <w:link w:val="48"/>
    <w:qFormat/>
    <w:uiPriority w:val="0"/>
    <w:rPr>
      <w:rFonts w:eastAsia="宋体"/>
      <w:kern w:val="2"/>
      <w:sz w:val="21"/>
      <w:szCs w:val="24"/>
      <w:lang w:val="en-US" w:eastAsia="zh-CN" w:bidi="ar-SA"/>
    </w:rPr>
  </w:style>
  <w:style w:type="character" w:customStyle="1" w:styleId="100">
    <w:name w:val="HTML 预设格式 字符"/>
    <w:link w:val="49"/>
    <w:qFormat/>
    <w:uiPriority w:val="0"/>
    <w:rPr>
      <w:rFonts w:ascii="黑体" w:hAnsi="Courier New" w:eastAsia="黑体" w:cs="Courier New"/>
      <w:lang w:val="en-US" w:eastAsia="zh-CN" w:bidi="ar-SA"/>
    </w:rPr>
  </w:style>
  <w:style w:type="character" w:customStyle="1" w:styleId="101">
    <w:name w:val="标题 字符"/>
    <w:link w:val="52"/>
    <w:qFormat/>
    <w:uiPriority w:val="0"/>
    <w:rPr>
      <w:rFonts w:ascii="Arial" w:hAnsi="Arial" w:eastAsia="宋体"/>
      <w:b/>
      <w:bCs/>
      <w:kern w:val="2"/>
      <w:sz w:val="32"/>
      <w:szCs w:val="32"/>
      <w:lang w:bidi="ar-SA"/>
    </w:rPr>
  </w:style>
  <w:style w:type="character" w:customStyle="1" w:styleId="102">
    <w:name w:val="正文文本首行缩进 字符"/>
    <w:link w:val="53"/>
    <w:qFormat/>
    <w:locked/>
    <w:uiPriority w:val="0"/>
    <w:rPr>
      <w:rFonts w:eastAsia="宋体"/>
      <w:kern w:val="2"/>
      <w:sz w:val="21"/>
      <w:szCs w:val="24"/>
      <w:lang w:val="en-US" w:eastAsia="zh-CN" w:bidi="ar-SA"/>
    </w:rPr>
  </w:style>
  <w:style w:type="character" w:customStyle="1" w:styleId="103">
    <w:name w:val="正文文本首行缩进 2 字符"/>
    <w:link w:val="54"/>
    <w:qFormat/>
    <w:uiPriority w:val="0"/>
    <w:rPr>
      <w:rFonts w:ascii="仿宋_GB2312" w:eastAsia="仿宋_GB2312"/>
      <w:kern w:val="2"/>
      <w:sz w:val="21"/>
      <w:szCs w:val="24"/>
      <w:lang w:val="en-US" w:eastAsia="zh-CN" w:bidi="ar-SA"/>
    </w:rPr>
  </w:style>
  <w:style w:type="character" w:customStyle="1" w:styleId="104">
    <w:name w:val="标题 3 Char"/>
    <w:qFormat/>
    <w:uiPriority w:val="9"/>
    <w:rPr>
      <w:b/>
      <w:bCs/>
      <w:sz w:val="32"/>
      <w:szCs w:val="32"/>
    </w:rPr>
  </w:style>
  <w:style w:type="character" w:customStyle="1" w:styleId="105">
    <w:name w:val="Char Char36"/>
    <w:qFormat/>
    <w:locked/>
    <w:uiPriority w:val="0"/>
    <w:rPr>
      <w:rFonts w:hint="eastAsia" w:ascii="宋体" w:hAnsi="宋体" w:eastAsia="宋体"/>
      <w:b/>
      <w:spacing w:val="-2"/>
      <w:sz w:val="24"/>
      <w:lang w:val="en-US" w:eastAsia="zh-CN" w:bidi="ar-SA"/>
    </w:rPr>
  </w:style>
  <w:style w:type="character" w:customStyle="1" w:styleId="106">
    <w:name w:val="页眉 字符"/>
    <w:qFormat/>
    <w:locked/>
    <w:uiPriority w:val="99"/>
    <w:rPr>
      <w:sz w:val="18"/>
      <w:szCs w:val="18"/>
    </w:rPr>
  </w:style>
  <w:style w:type="character" w:customStyle="1" w:styleId="107">
    <w:name w:val="Char Char Char Char Char2"/>
    <w:qFormat/>
    <w:uiPriority w:val="0"/>
    <w:rPr>
      <w:rFonts w:eastAsia="宋体"/>
      <w:b/>
      <w:bCs/>
      <w:kern w:val="44"/>
      <w:sz w:val="44"/>
      <w:szCs w:val="44"/>
      <w:lang w:val="en-US" w:eastAsia="zh-CN" w:bidi="ar-SA"/>
    </w:rPr>
  </w:style>
  <w:style w:type="character" w:customStyle="1" w:styleId="108">
    <w:name w:val="Char Char3"/>
    <w:qFormat/>
    <w:uiPriority w:val="0"/>
    <w:rPr>
      <w:rFonts w:hint="eastAsia" w:ascii="宋体" w:hAnsi="宋体" w:eastAsia="宋体"/>
      <w:kern w:val="2"/>
      <w:sz w:val="16"/>
      <w:szCs w:val="16"/>
      <w:lang w:val="en-US" w:eastAsia="zh-CN" w:bidi="ar-SA"/>
    </w:rPr>
  </w:style>
  <w:style w:type="character" w:customStyle="1" w:styleId="109">
    <w:name w:val="普通文字 Char Char5"/>
    <w:qFormat/>
    <w:uiPriority w:val="0"/>
    <w:rPr>
      <w:rFonts w:hint="eastAsia" w:ascii="宋体" w:hAnsi="Courier New" w:eastAsia="宋体" w:cs="Courier New"/>
      <w:kern w:val="2"/>
      <w:sz w:val="21"/>
      <w:szCs w:val="21"/>
    </w:rPr>
  </w:style>
  <w:style w:type="character" w:customStyle="1" w:styleId="110">
    <w:name w:val="p15 Char"/>
    <w:link w:val="111"/>
    <w:qFormat/>
    <w:uiPriority w:val="99"/>
    <w:rPr>
      <w:rFonts w:ascii="宋体" w:hAnsi="宋体" w:cs="宋体"/>
      <w:sz w:val="21"/>
      <w:szCs w:val="21"/>
    </w:rPr>
  </w:style>
  <w:style w:type="paragraph" w:customStyle="1" w:styleId="111">
    <w:name w:val="p15"/>
    <w:basedOn w:val="1"/>
    <w:link w:val="110"/>
    <w:qFormat/>
    <w:uiPriority w:val="99"/>
    <w:pPr>
      <w:widowControl/>
    </w:pPr>
    <w:rPr>
      <w:rFonts w:ascii="宋体" w:hAnsi="宋体"/>
      <w:kern w:val="0"/>
      <w:szCs w:val="21"/>
    </w:rPr>
  </w:style>
  <w:style w:type="character" w:customStyle="1" w:styleId="112">
    <w:name w:val="ca-5"/>
    <w:qFormat/>
    <w:uiPriority w:val="0"/>
  </w:style>
  <w:style w:type="character" w:customStyle="1" w:styleId="113">
    <w:name w:val="页码 New New New New New New New New"/>
    <w:qFormat/>
    <w:uiPriority w:val="0"/>
  </w:style>
  <w:style w:type="character" w:customStyle="1" w:styleId="114">
    <w:name w:val="正文（首行缩进2字符） Char"/>
    <w:link w:val="115"/>
    <w:qFormat/>
    <w:locked/>
    <w:uiPriority w:val="0"/>
    <w:rPr>
      <w:rFonts w:ascii="宋体" w:hAnsi="宋体"/>
      <w:kern w:val="2"/>
      <w:sz w:val="21"/>
      <w:szCs w:val="21"/>
    </w:rPr>
  </w:style>
  <w:style w:type="paragraph" w:customStyle="1" w:styleId="115">
    <w:name w:val="正文（首行缩进2字符）"/>
    <w:basedOn w:val="1"/>
    <w:link w:val="114"/>
    <w:qFormat/>
    <w:uiPriority w:val="0"/>
    <w:pPr>
      <w:spacing w:line="360" w:lineRule="auto"/>
      <w:ind w:firstLine="420" w:firstLineChars="200"/>
    </w:pPr>
    <w:rPr>
      <w:rFonts w:ascii="宋体" w:hAnsi="宋体"/>
      <w:szCs w:val="21"/>
    </w:rPr>
  </w:style>
  <w:style w:type="character" w:customStyle="1" w:styleId="116">
    <w:name w:val="ca-12"/>
    <w:qFormat/>
    <w:uiPriority w:val="0"/>
  </w:style>
  <w:style w:type="character" w:customStyle="1" w:styleId="117">
    <w:name w:val="普通文字 Char Char4"/>
    <w:qFormat/>
    <w:uiPriority w:val="0"/>
    <w:rPr>
      <w:rFonts w:ascii="宋体" w:hAnsi="Courier New" w:eastAsia="宋体" w:cs="Courier New"/>
      <w:kern w:val="2"/>
      <w:sz w:val="21"/>
      <w:szCs w:val="21"/>
      <w:lang w:val="en-US" w:eastAsia="zh-CN" w:bidi="ar-SA"/>
    </w:rPr>
  </w:style>
  <w:style w:type="character" w:customStyle="1" w:styleId="118">
    <w:name w:val="正文文本缩进 2 Char"/>
    <w:link w:val="119"/>
    <w:qFormat/>
    <w:uiPriority w:val="0"/>
    <w:rPr>
      <w:rFonts w:eastAsia="宋体"/>
      <w:kern w:val="2"/>
      <w:sz w:val="32"/>
      <w:lang w:val="en-US" w:eastAsia="zh-CN" w:bidi="ar-SA"/>
    </w:rPr>
  </w:style>
  <w:style w:type="paragraph" w:customStyle="1" w:styleId="119">
    <w:name w:val="正文文本缩进 21"/>
    <w:basedOn w:val="1"/>
    <w:link w:val="118"/>
    <w:qFormat/>
    <w:uiPriority w:val="0"/>
    <w:pPr>
      <w:ind w:firstLine="630"/>
    </w:pPr>
    <w:rPr>
      <w:sz w:val="32"/>
      <w:szCs w:val="20"/>
    </w:rPr>
  </w:style>
  <w:style w:type="character" w:customStyle="1" w:styleId="120">
    <w:name w:val="批注文字 Char3"/>
    <w:qFormat/>
    <w:locked/>
    <w:uiPriority w:val="0"/>
    <w:rPr>
      <w:rFonts w:hint="eastAsia" w:ascii="宋体" w:hAnsi="宋体" w:eastAsia="宋体"/>
      <w:kern w:val="2"/>
      <w:sz w:val="21"/>
      <w:szCs w:val="24"/>
    </w:rPr>
  </w:style>
  <w:style w:type="character" w:customStyle="1" w:styleId="121">
    <w:name w:val="正文文本缩进 3 Char"/>
    <w:link w:val="122"/>
    <w:qFormat/>
    <w:uiPriority w:val="0"/>
    <w:rPr>
      <w:rFonts w:eastAsia="宋体"/>
      <w:kern w:val="2"/>
      <w:sz w:val="16"/>
      <w:szCs w:val="16"/>
      <w:lang w:val="en-US" w:eastAsia="zh-CN" w:bidi="ar-SA"/>
    </w:rPr>
  </w:style>
  <w:style w:type="paragraph" w:customStyle="1" w:styleId="122">
    <w:name w:val="正文文本缩进 31"/>
    <w:basedOn w:val="1"/>
    <w:link w:val="121"/>
    <w:qFormat/>
    <w:uiPriority w:val="0"/>
    <w:pPr>
      <w:spacing w:after="120"/>
      <w:ind w:left="420" w:leftChars="200"/>
    </w:pPr>
    <w:rPr>
      <w:sz w:val="16"/>
      <w:szCs w:val="16"/>
    </w:rPr>
  </w:style>
  <w:style w:type="character" w:customStyle="1" w:styleId="123">
    <w:name w:val="页脚 Char2"/>
    <w:qFormat/>
    <w:locked/>
    <w:uiPriority w:val="0"/>
    <w:rPr>
      <w:rFonts w:hint="eastAsia" w:ascii="宋体" w:hAnsi="宋体" w:eastAsia="宋体"/>
      <w:kern w:val="2"/>
      <w:sz w:val="18"/>
      <w:szCs w:val="18"/>
    </w:rPr>
  </w:style>
  <w:style w:type="character" w:customStyle="1" w:styleId="124">
    <w:name w:val="style31"/>
    <w:qFormat/>
    <w:uiPriority w:val="0"/>
    <w:rPr>
      <w:sz w:val="18"/>
      <w:szCs w:val="18"/>
    </w:rPr>
  </w:style>
  <w:style w:type="character" w:customStyle="1" w:styleId="125">
    <w:name w:val="Body text|1_"/>
    <w:link w:val="126"/>
    <w:qFormat/>
    <w:uiPriority w:val="0"/>
    <w:rPr>
      <w:rFonts w:ascii="宋体" w:hAnsi="宋体" w:eastAsia="宋体" w:cs="宋体"/>
      <w:sz w:val="30"/>
      <w:szCs w:val="30"/>
    </w:rPr>
  </w:style>
  <w:style w:type="paragraph" w:customStyle="1" w:styleId="126">
    <w:name w:val="Body text|1"/>
    <w:basedOn w:val="1"/>
    <w:link w:val="125"/>
    <w:qFormat/>
    <w:uiPriority w:val="0"/>
    <w:pPr>
      <w:spacing w:line="353" w:lineRule="auto"/>
      <w:ind w:firstLine="400"/>
      <w:jc w:val="left"/>
    </w:pPr>
    <w:rPr>
      <w:rFonts w:ascii="宋体" w:hAnsi="宋体"/>
      <w:kern w:val="0"/>
      <w:sz w:val="30"/>
      <w:szCs w:val="30"/>
    </w:rPr>
  </w:style>
  <w:style w:type="character" w:customStyle="1" w:styleId="127">
    <w:name w:val="正文文本 Char2"/>
    <w:semiHidden/>
    <w:qFormat/>
    <w:uiPriority w:val="0"/>
    <w:rPr>
      <w:rFonts w:ascii="Times New Roman" w:hAnsi="Times New Roman"/>
      <w:kern w:val="2"/>
      <w:sz w:val="21"/>
      <w:szCs w:val="24"/>
    </w:rPr>
  </w:style>
  <w:style w:type="character" w:customStyle="1" w:styleId="128">
    <w:name w:val="批注文字 Char1"/>
    <w:qFormat/>
    <w:locked/>
    <w:uiPriority w:val="0"/>
    <w:rPr>
      <w:sz w:val="24"/>
    </w:rPr>
  </w:style>
  <w:style w:type="character" w:customStyle="1" w:styleId="129">
    <w:name w:val="Char Char28"/>
    <w:qFormat/>
    <w:locked/>
    <w:uiPriority w:val="0"/>
    <w:rPr>
      <w:rFonts w:hint="eastAsia" w:ascii="宋体" w:hAnsi="宋体" w:eastAsia="宋体"/>
      <w:b/>
      <w:kern w:val="2"/>
      <w:sz w:val="28"/>
      <w:szCs w:val="24"/>
      <w:lang w:val="en-US" w:eastAsia="zh-CN" w:bidi="ar-SA"/>
    </w:rPr>
  </w:style>
  <w:style w:type="character" w:customStyle="1" w:styleId="130">
    <w:name w:val="font51"/>
    <w:qFormat/>
    <w:uiPriority w:val="0"/>
    <w:rPr>
      <w:rFonts w:hint="eastAsia" w:ascii="黑体" w:hAnsi="宋体" w:eastAsia="黑体" w:cs="黑体"/>
      <w:b/>
      <w:color w:val="000000"/>
      <w:sz w:val="40"/>
      <w:szCs w:val="40"/>
      <w:u w:val="none"/>
    </w:rPr>
  </w:style>
  <w:style w:type="character" w:customStyle="1" w:styleId="131">
    <w:name w:val="尾注文本 Char"/>
    <w:qFormat/>
    <w:uiPriority w:val="0"/>
    <w:rPr>
      <w:rFonts w:ascii="Calibri" w:hAnsi="Calibri"/>
      <w:kern w:val="2"/>
      <w:sz w:val="21"/>
      <w:szCs w:val="22"/>
    </w:rPr>
  </w:style>
  <w:style w:type="character" w:customStyle="1" w:styleId="132">
    <w:name w:val="ca-6"/>
    <w:qFormat/>
    <w:uiPriority w:val="0"/>
  </w:style>
  <w:style w:type="character" w:customStyle="1" w:styleId="133">
    <w:name w:val="bookmark-item uuid-1595940673658 code-am01400034 addword numeric-input-box-cls"/>
    <w:qFormat/>
    <w:uiPriority w:val="0"/>
  </w:style>
  <w:style w:type="character" w:customStyle="1" w:styleId="134">
    <w:name w:val="bookmark-item uuid-1596004688403 code-00015 editdisable single-line-text-input-box-cls readonly"/>
    <w:qFormat/>
    <w:uiPriority w:val="0"/>
  </w:style>
  <w:style w:type="character" w:customStyle="1" w:styleId="135">
    <w:name w:val="qb-content2"/>
    <w:qFormat/>
    <w:uiPriority w:val="0"/>
  </w:style>
  <w:style w:type="character" w:customStyle="1" w:styleId="136">
    <w:name w:val="bookmark-item uuid-1593432150293 code-am014biditemname editdisable single-line-text-input-box-cls"/>
    <w:qFormat/>
    <w:uiPriority w:val="0"/>
  </w:style>
  <w:style w:type="character" w:customStyle="1" w:styleId="137">
    <w:name w:val="Body text|3_"/>
    <w:link w:val="138"/>
    <w:qFormat/>
    <w:uiPriority w:val="0"/>
    <w:rPr>
      <w:rFonts w:ascii="宋体" w:hAnsi="宋体" w:eastAsia="宋体" w:cs="宋体"/>
      <w:sz w:val="34"/>
      <w:szCs w:val="34"/>
    </w:rPr>
  </w:style>
  <w:style w:type="paragraph" w:customStyle="1" w:styleId="138">
    <w:name w:val="Body text|3"/>
    <w:basedOn w:val="1"/>
    <w:link w:val="137"/>
    <w:qFormat/>
    <w:uiPriority w:val="0"/>
    <w:pPr>
      <w:spacing w:after="460"/>
      <w:jc w:val="center"/>
    </w:pPr>
    <w:rPr>
      <w:rFonts w:ascii="宋体" w:hAnsi="宋体"/>
      <w:kern w:val="0"/>
      <w:sz w:val="34"/>
      <w:szCs w:val="34"/>
    </w:rPr>
  </w:style>
  <w:style w:type="character" w:customStyle="1" w:styleId="139">
    <w:name w:val="con"/>
    <w:qFormat/>
    <w:uiPriority w:val="0"/>
  </w:style>
  <w:style w:type="character" w:customStyle="1" w:styleId="140">
    <w:name w:val="纯文本 字符"/>
    <w:qFormat/>
    <w:uiPriority w:val="0"/>
    <w:rPr>
      <w:rFonts w:hint="eastAsia" w:ascii="宋体" w:hAnsi="Courier New" w:eastAsia="宋体" w:cs="Courier New"/>
      <w:szCs w:val="21"/>
    </w:rPr>
  </w:style>
  <w:style w:type="character" w:customStyle="1" w:styleId="141">
    <w:name w:val="bookmark-item uuid-1596004753055 code-00011 addword single-line-text-input-box-cls"/>
    <w:qFormat/>
    <w:uiPriority w:val="0"/>
  </w:style>
  <w:style w:type="character" w:customStyle="1" w:styleId="142">
    <w:name w:val="Char Char111"/>
    <w:qFormat/>
    <w:uiPriority w:val="0"/>
    <w:rPr>
      <w:rFonts w:hint="default" w:ascii="Times New Roman" w:hAnsi="Times New Roman" w:eastAsia="宋体" w:cs="Times New Roman"/>
      <w:sz w:val="30"/>
      <w:szCs w:val="24"/>
    </w:rPr>
  </w:style>
  <w:style w:type="character" w:customStyle="1" w:styleId="143">
    <w:name w:val="批注框文本 Char"/>
    <w:qFormat/>
    <w:uiPriority w:val="99"/>
    <w:rPr>
      <w:rFonts w:eastAsia="宋体"/>
      <w:kern w:val="2"/>
      <w:sz w:val="18"/>
      <w:szCs w:val="18"/>
      <w:lang w:val="en-US" w:eastAsia="zh-CN" w:bidi="ar-SA"/>
    </w:rPr>
  </w:style>
  <w:style w:type="character" w:customStyle="1" w:styleId="144">
    <w:name w:val="Char Char9"/>
    <w:qFormat/>
    <w:uiPriority w:val="0"/>
    <w:rPr>
      <w:rFonts w:hint="eastAsia" w:ascii="宋体" w:hAnsi="Courier New" w:eastAsia="宋体" w:cs="Courier New"/>
      <w:kern w:val="2"/>
      <w:sz w:val="21"/>
      <w:szCs w:val="21"/>
      <w:lang w:val="en-US" w:eastAsia="zh-CN" w:bidi="ar-SA"/>
    </w:rPr>
  </w:style>
  <w:style w:type="character" w:customStyle="1" w:styleId="145">
    <w:name w:val="标题 6 Char"/>
    <w:qFormat/>
    <w:uiPriority w:val="0"/>
    <w:rPr>
      <w:rFonts w:ascii="Arial" w:hAnsi="Arial" w:eastAsia="黑体"/>
      <w:b/>
      <w:kern w:val="2"/>
      <w:sz w:val="24"/>
      <w:szCs w:val="24"/>
      <w:lang w:val="en-US" w:eastAsia="zh-CN" w:bidi="ar-SA"/>
    </w:rPr>
  </w:style>
  <w:style w:type="character" w:customStyle="1" w:styleId="146">
    <w:name w:val="纯文本 Char1"/>
    <w:qFormat/>
    <w:uiPriority w:val="0"/>
    <w:rPr>
      <w:rFonts w:ascii="宋体" w:hAnsi="Courier New" w:eastAsia="宋体" w:cs="Courier New"/>
      <w:kern w:val="2"/>
      <w:sz w:val="21"/>
      <w:szCs w:val="21"/>
      <w:lang w:val="en-US" w:eastAsia="zh-CN" w:bidi="ar-SA"/>
    </w:rPr>
  </w:style>
  <w:style w:type="character" w:customStyle="1" w:styleId="147">
    <w:name w:val="bookmark-item uuid-1593432166973 code-am014remarks editdisable single-line-text-input-box-cls"/>
    <w:qFormat/>
    <w:uiPriority w:val="0"/>
  </w:style>
  <w:style w:type="character" w:customStyle="1" w:styleId="148">
    <w:name w:val="Char Char34"/>
    <w:qFormat/>
    <w:locked/>
    <w:uiPriority w:val="0"/>
    <w:rPr>
      <w:rFonts w:hint="eastAsia" w:ascii="宋体" w:hAnsi="宋体" w:eastAsia="宋体"/>
      <w:b/>
      <w:bCs/>
      <w:kern w:val="2"/>
      <w:sz w:val="32"/>
      <w:szCs w:val="32"/>
      <w:lang w:val="en-US" w:eastAsia="zh-CN" w:bidi="ar-SA"/>
    </w:rPr>
  </w:style>
  <w:style w:type="character" w:customStyle="1" w:styleId="149">
    <w:name w:val="Plain Text Char1"/>
    <w:semiHidden/>
    <w:qFormat/>
    <w:uiPriority w:val="99"/>
    <w:rPr>
      <w:rFonts w:ascii="宋体" w:hAnsi="Courier New" w:cs="Courier New"/>
      <w:szCs w:val="21"/>
    </w:rPr>
  </w:style>
  <w:style w:type="character" w:customStyle="1" w:styleId="150">
    <w:name w:val="apple-converted-space"/>
    <w:qFormat/>
    <w:uiPriority w:val="0"/>
  </w:style>
  <w:style w:type="character" w:customStyle="1" w:styleId="151">
    <w:name w:val="bookmark-item uuid-1588129973591 code-23015 addword single-line-text-input-box-cls readonly"/>
    <w:qFormat/>
    <w:uiPriority w:val="0"/>
  </w:style>
  <w:style w:type="character" w:customStyle="1" w:styleId="152">
    <w:name w:val="页码 New New New New New"/>
    <w:qFormat/>
    <w:uiPriority w:val="0"/>
  </w:style>
  <w:style w:type="character" w:customStyle="1" w:styleId="153">
    <w:name w:val="Char Char29"/>
    <w:qFormat/>
    <w:locked/>
    <w:uiPriority w:val="0"/>
    <w:rPr>
      <w:rFonts w:hint="default" w:ascii="Arial" w:hAnsi="Arial" w:eastAsia="黑体" w:cs="宋体"/>
      <w:b/>
      <w:bCs/>
      <w:kern w:val="2"/>
      <w:sz w:val="32"/>
      <w:szCs w:val="32"/>
      <w:lang w:val="en-US" w:eastAsia="zh-CN" w:bidi="ar-SA"/>
    </w:rPr>
  </w:style>
  <w:style w:type="character" w:customStyle="1" w:styleId="154">
    <w:name w:val="font11"/>
    <w:qFormat/>
    <w:uiPriority w:val="0"/>
    <w:rPr>
      <w:rFonts w:hint="eastAsia" w:ascii="宋体" w:hAnsi="宋体" w:eastAsia="宋体" w:cs="宋体"/>
      <w:color w:val="000000"/>
      <w:sz w:val="24"/>
      <w:szCs w:val="24"/>
      <w:u w:val="none"/>
    </w:rPr>
  </w:style>
  <w:style w:type="character" w:customStyle="1" w:styleId="155">
    <w:name w:val="Char Char8"/>
    <w:qFormat/>
    <w:locked/>
    <w:uiPriority w:val="0"/>
    <w:rPr>
      <w:rFonts w:ascii="仿宋_GB2312" w:eastAsia="仿宋_GB2312"/>
      <w:kern w:val="2"/>
      <w:sz w:val="32"/>
      <w:lang w:val="en-US" w:eastAsia="zh-CN" w:bidi="ar-SA"/>
    </w:rPr>
  </w:style>
  <w:style w:type="character" w:customStyle="1" w:styleId="156">
    <w:name w:val="Char Char23"/>
    <w:qFormat/>
    <w:uiPriority w:val="0"/>
    <w:rPr>
      <w:rFonts w:ascii="Times New Roman" w:hAnsi="Times New Roman" w:eastAsia="宋体" w:cs="Times New Roman"/>
      <w:b/>
      <w:bCs/>
      <w:kern w:val="44"/>
      <w:sz w:val="44"/>
      <w:szCs w:val="44"/>
    </w:rPr>
  </w:style>
  <w:style w:type="character" w:customStyle="1" w:styleId="157">
    <w:name w:val="ca-16"/>
    <w:qFormat/>
    <w:uiPriority w:val="0"/>
  </w:style>
  <w:style w:type="character" w:customStyle="1" w:styleId="158">
    <w:name w:val="ca-11"/>
    <w:qFormat/>
    <w:uiPriority w:val="0"/>
  </w:style>
  <w:style w:type="character" w:customStyle="1" w:styleId="159">
    <w:name w:val="bookmark-item uuid-1588129635457 code-23007 addword single-line-text-input-box-cls readonly"/>
    <w:qFormat/>
    <w:uiPriority w:val="0"/>
  </w:style>
  <w:style w:type="character" w:customStyle="1" w:styleId="160">
    <w:name w:val="正文文本缩进 Char"/>
    <w:qFormat/>
    <w:uiPriority w:val="0"/>
    <w:rPr>
      <w:rFonts w:ascii="仿宋_GB2312" w:eastAsia="仿宋_GB2312"/>
      <w:kern w:val="2"/>
      <w:sz w:val="32"/>
      <w:lang w:val="en-US" w:eastAsia="zh-CN" w:bidi="ar-SA"/>
    </w:rPr>
  </w:style>
  <w:style w:type="character" w:customStyle="1" w:styleId="161">
    <w:name w:val="Char Char20"/>
    <w:qFormat/>
    <w:uiPriority w:val="0"/>
    <w:rPr>
      <w:rFonts w:hint="eastAsia" w:ascii="仿宋_GB2312" w:eastAsia="仿宋_GB2312"/>
      <w:kern w:val="2"/>
      <w:sz w:val="32"/>
      <w:lang w:val="en-US" w:eastAsia="zh-CN" w:bidi="ar-SA"/>
    </w:rPr>
  </w:style>
  <w:style w:type="character" w:customStyle="1" w:styleId="162">
    <w:name w:val="PageNumber"/>
    <w:qFormat/>
    <w:uiPriority w:val="0"/>
  </w:style>
  <w:style w:type="character" w:customStyle="1" w:styleId="163">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4">
    <w:name w:val="正文文本 Char3"/>
    <w:qFormat/>
    <w:locked/>
    <w:uiPriority w:val="99"/>
    <w:rPr>
      <w:kern w:val="2"/>
      <w:sz w:val="21"/>
      <w:szCs w:val="24"/>
    </w:rPr>
  </w:style>
  <w:style w:type="character" w:customStyle="1" w:styleId="165">
    <w:name w:val="Char Char33"/>
    <w:qFormat/>
    <w:locked/>
    <w:uiPriority w:val="0"/>
    <w:rPr>
      <w:rFonts w:hint="default" w:ascii="Arial" w:hAnsi="Arial" w:eastAsia="黑体" w:cs="宋体"/>
      <w:sz w:val="28"/>
      <w:lang w:val="en-US" w:eastAsia="zh-CN" w:bidi="ar-SA"/>
    </w:rPr>
  </w:style>
  <w:style w:type="character" w:customStyle="1" w:styleId="166">
    <w:name w:val="bookmark-item"/>
    <w:qFormat/>
    <w:uiPriority w:val="0"/>
  </w:style>
  <w:style w:type="character" w:customStyle="1" w:styleId="167">
    <w:name w:val="标题 Char"/>
    <w:qFormat/>
    <w:uiPriority w:val="0"/>
    <w:rPr>
      <w:rFonts w:ascii="Arial" w:hAnsi="Arial" w:eastAsia="宋体"/>
      <w:b/>
      <w:bCs/>
      <w:kern w:val="2"/>
      <w:sz w:val="32"/>
      <w:szCs w:val="32"/>
      <w:lang w:bidi="ar-SA"/>
    </w:rPr>
  </w:style>
  <w:style w:type="character" w:customStyle="1" w:styleId="168">
    <w:name w:val="bookmark-item uuid-1595987359344 code-00004 addword single-line-text-input-box-cls"/>
    <w:qFormat/>
    <w:uiPriority w:val="0"/>
  </w:style>
  <w:style w:type="character" w:customStyle="1" w:styleId="169">
    <w:name w:val="标题 3 Char Char"/>
    <w:qFormat/>
    <w:locked/>
    <w:uiPriority w:val="0"/>
    <w:rPr>
      <w:rFonts w:hint="eastAsia" w:ascii="宋体" w:hAnsi="宋体" w:eastAsia="宋体"/>
      <w:b/>
      <w:bCs/>
      <w:kern w:val="2"/>
      <w:sz w:val="32"/>
      <w:szCs w:val="32"/>
      <w:lang w:val="en-US" w:eastAsia="zh-CN" w:bidi="ar-SA"/>
    </w:rPr>
  </w:style>
  <w:style w:type="character" w:customStyle="1" w:styleId="170">
    <w:name w:val="文档结构图 Char2"/>
    <w:semiHidden/>
    <w:qFormat/>
    <w:uiPriority w:val="0"/>
    <w:rPr>
      <w:rFonts w:ascii="宋体" w:hAnsi="Times New Roman"/>
      <w:kern w:val="2"/>
      <w:sz w:val="18"/>
      <w:szCs w:val="18"/>
    </w:rPr>
  </w:style>
  <w:style w:type="character" w:customStyle="1" w:styleId="171">
    <w:name w:val="纯文本 字符1"/>
    <w:qFormat/>
    <w:uiPriority w:val="0"/>
    <w:rPr>
      <w:rFonts w:ascii="Ђˎ̥" w:hAnsi="Verdana" w:eastAsia="Ђˎ̥" w:cs="Verdana"/>
      <w:szCs w:val="21"/>
    </w:rPr>
  </w:style>
  <w:style w:type="character" w:customStyle="1" w:styleId="172">
    <w:name w:val="Char Char11"/>
    <w:qFormat/>
    <w:uiPriority w:val="0"/>
    <w:rPr>
      <w:rFonts w:ascii="Times New Roman" w:hAnsi="Times New Roman" w:eastAsia="宋体" w:cs="Times New Roman"/>
      <w:sz w:val="30"/>
      <w:szCs w:val="24"/>
    </w:rPr>
  </w:style>
  <w:style w:type="character" w:customStyle="1" w:styleId="173">
    <w:name w:val="Char Char231"/>
    <w:qFormat/>
    <w:uiPriority w:val="0"/>
    <w:rPr>
      <w:rFonts w:hint="default" w:ascii="Times New Roman" w:hAnsi="Times New Roman" w:eastAsia="宋体" w:cs="Times New Roman"/>
      <w:b/>
      <w:bCs/>
      <w:kern w:val="44"/>
      <w:sz w:val="44"/>
      <w:szCs w:val="44"/>
    </w:rPr>
  </w:style>
  <w:style w:type="character" w:customStyle="1" w:styleId="174">
    <w:name w:val="style4"/>
    <w:qFormat/>
    <w:uiPriority w:val="0"/>
  </w:style>
  <w:style w:type="character" w:customStyle="1" w:styleId="175">
    <w:name w:val="ca-0"/>
    <w:qFormat/>
    <w:uiPriority w:val="0"/>
  </w:style>
  <w:style w:type="character" w:customStyle="1" w:styleId="176">
    <w:name w:val="普通文字 Char Char2"/>
    <w:qFormat/>
    <w:uiPriority w:val="0"/>
    <w:rPr>
      <w:rFonts w:ascii="宋体" w:hAnsi="Courier New" w:eastAsia="宋体"/>
      <w:kern w:val="2"/>
      <w:sz w:val="21"/>
      <w:lang w:val="en-US" w:eastAsia="zh-CN" w:bidi="ar-SA"/>
    </w:rPr>
  </w:style>
  <w:style w:type="character" w:customStyle="1" w:styleId="177">
    <w:name w:val="标题 Char1"/>
    <w:qFormat/>
    <w:uiPriority w:val="0"/>
    <w:rPr>
      <w:rFonts w:hint="default" w:ascii="Cambria" w:hAnsi="Cambria" w:cs="Times New Roman"/>
      <w:b/>
      <w:bCs/>
      <w:kern w:val="2"/>
      <w:sz w:val="32"/>
      <w:szCs w:val="32"/>
    </w:rPr>
  </w:style>
  <w:style w:type="character" w:customStyle="1" w:styleId="178">
    <w:name w:val="Char Char15"/>
    <w:qFormat/>
    <w:uiPriority w:val="0"/>
    <w:rPr>
      <w:sz w:val="18"/>
      <w:szCs w:val="18"/>
    </w:rPr>
  </w:style>
  <w:style w:type="character" w:customStyle="1" w:styleId="179">
    <w:name w:val="HTML 预设格式 Char"/>
    <w:qFormat/>
    <w:uiPriority w:val="0"/>
    <w:rPr>
      <w:rFonts w:ascii="黑体" w:hAnsi="Courier New" w:eastAsia="黑体" w:cs="Courier New"/>
      <w:lang w:val="en-US" w:eastAsia="zh-CN" w:bidi="ar-SA"/>
    </w:rPr>
  </w:style>
  <w:style w:type="character" w:customStyle="1" w:styleId="180">
    <w:name w:val="标题 8 Char"/>
    <w:qFormat/>
    <w:uiPriority w:val="0"/>
    <w:rPr>
      <w:rFonts w:ascii="Arial" w:hAnsi="Arial" w:eastAsia="黑体"/>
      <w:kern w:val="2"/>
      <w:sz w:val="24"/>
      <w:szCs w:val="24"/>
      <w:lang w:val="en-US" w:eastAsia="zh-CN" w:bidi="ar-SA"/>
    </w:rPr>
  </w:style>
  <w:style w:type="character" w:customStyle="1" w:styleId="181">
    <w:name w:val="段 Char"/>
    <w:link w:val="182"/>
    <w:qFormat/>
    <w:locked/>
    <w:uiPriority w:val="0"/>
    <w:rPr>
      <w:rFonts w:ascii="宋体"/>
      <w:sz w:val="21"/>
      <w:lang w:val="en-US" w:eastAsia="zh-CN" w:bidi="ar-SA"/>
    </w:rPr>
  </w:style>
  <w:style w:type="paragraph" w:customStyle="1" w:styleId="182">
    <w:name w:val="段"/>
    <w:link w:val="18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3">
    <w:name w:val="bookmark-item uuid-1594624443488 code-23013 addword date-time-selection-cls readonly"/>
    <w:qFormat/>
    <w:uiPriority w:val="0"/>
  </w:style>
  <w:style w:type="character" w:customStyle="1" w:styleId="184">
    <w:name w:val="bookmark-item uuid-1587980024345 code-23003 addword date-selection-cls"/>
    <w:qFormat/>
    <w:uiPriority w:val="0"/>
  </w:style>
  <w:style w:type="character" w:customStyle="1" w:styleId="185">
    <w:name w:val="列出段落 Char"/>
    <w:link w:val="186"/>
    <w:qFormat/>
    <w:uiPriority w:val="0"/>
    <w:rPr>
      <w:rFonts w:ascii="Calibri" w:hAnsi="Calibri" w:eastAsia="宋体"/>
      <w:kern w:val="2"/>
      <w:sz w:val="21"/>
      <w:szCs w:val="22"/>
      <w:lang w:val="en-US" w:eastAsia="zh-CN" w:bidi="ar-SA"/>
    </w:rPr>
  </w:style>
  <w:style w:type="paragraph" w:customStyle="1" w:styleId="186">
    <w:name w:val="列出段落"/>
    <w:basedOn w:val="1"/>
    <w:link w:val="185"/>
    <w:qFormat/>
    <w:uiPriority w:val="0"/>
    <w:pPr>
      <w:ind w:firstLine="420" w:firstLineChars="200"/>
    </w:pPr>
    <w:rPr>
      <w:rFonts w:ascii="Calibri" w:hAnsi="Calibri"/>
      <w:szCs w:val="22"/>
    </w:rPr>
  </w:style>
  <w:style w:type="character" w:customStyle="1" w:styleId="187">
    <w:name w:val="Char Char16"/>
    <w:qFormat/>
    <w:uiPriority w:val="0"/>
    <w:rPr>
      <w:rFonts w:hint="default" w:ascii="Arial" w:hAnsi="Arial" w:eastAsia="黑体" w:cs="Arial"/>
      <w:b/>
      <w:kern w:val="2"/>
      <w:sz w:val="24"/>
      <w:szCs w:val="24"/>
    </w:rPr>
  </w:style>
  <w:style w:type="character" w:customStyle="1" w:styleId="188">
    <w:name w:val="不明显参考1"/>
    <w:qFormat/>
    <w:uiPriority w:val="31"/>
    <w:rPr>
      <w:smallCaps/>
      <w:color w:val="C0504D"/>
      <w:u w:val="single"/>
    </w:rPr>
  </w:style>
  <w:style w:type="character" w:customStyle="1" w:styleId="189">
    <w:name w:val="副标题 Char3"/>
    <w:qFormat/>
    <w:uiPriority w:val="11"/>
    <w:rPr>
      <w:rFonts w:hint="default" w:ascii="Cambria" w:hAnsi="Cambria" w:cs="Times New Roman"/>
      <w:b/>
      <w:bCs/>
      <w:kern w:val="28"/>
      <w:sz w:val="32"/>
      <w:szCs w:val="32"/>
    </w:rPr>
  </w:style>
  <w:style w:type="character" w:customStyle="1" w:styleId="190">
    <w:name w:val="bookmark-item uuid-1596276761070 code-22002 editdisable multi-line-text-input-box-cls readonly"/>
    <w:basedOn w:val="57"/>
    <w:qFormat/>
    <w:uiPriority w:val="0"/>
  </w:style>
  <w:style w:type="character" w:customStyle="1" w:styleId="191">
    <w:name w:val="15"/>
    <w:qFormat/>
    <w:uiPriority w:val="0"/>
    <w:rPr>
      <w:rFonts w:hint="default" w:ascii="Times New Roman" w:hAnsi="Times New Roman" w:cs="Times New Roman"/>
      <w:color w:val="0000FF"/>
      <w:u w:val="single"/>
    </w:rPr>
  </w:style>
  <w:style w:type="character" w:customStyle="1" w:styleId="192">
    <w:name w:val="bookmark-item uuid-1594624424199 code-23012 addword single-line-text-input-box-cls readonly"/>
    <w:qFormat/>
    <w:uiPriority w:val="0"/>
  </w:style>
  <w:style w:type="character" w:customStyle="1" w:styleId="193">
    <w:name w:val="Char Char5"/>
    <w:qFormat/>
    <w:uiPriority w:val="0"/>
    <w:rPr>
      <w:rFonts w:hint="eastAsia" w:ascii="宋体" w:hAnsi="Courier New" w:eastAsia="宋体" w:cs="Courier New"/>
      <w:kern w:val="2"/>
      <w:sz w:val="21"/>
      <w:szCs w:val="21"/>
      <w:lang w:val="en-US" w:eastAsia="zh-CN" w:bidi="ar-SA"/>
    </w:rPr>
  </w:style>
  <w:style w:type="character" w:customStyle="1" w:styleId="194">
    <w:name w:val="Subtle Emphasis"/>
    <w:qFormat/>
    <w:uiPriority w:val="0"/>
    <w:rPr>
      <w:i/>
      <w:iCs/>
      <w:color w:val="808080"/>
    </w:rPr>
  </w:style>
  <w:style w:type="character" w:customStyle="1" w:styleId="195">
    <w:name w:val="HTML 预设格式 Char2"/>
    <w:qFormat/>
    <w:locked/>
    <w:uiPriority w:val="0"/>
    <w:rPr>
      <w:rFonts w:hint="eastAsia" w:ascii="黑体" w:hAnsi="Courier New" w:eastAsia="黑体" w:cs="Courier New"/>
    </w:rPr>
  </w:style>
  <w:style w:type="character" w:customStyle="1" w:styleId="196">
    <w:name w:val="标题 7 Char"/>
    <w:qFormat/>
    <w:uiPriority w:val="0"/>
    <w:rPr>
      <w:rFonts w:eastAsia="宋体"/>
      <w:b/>
      <w:kern w:val="2"/>
      <w:sz w:val="24"/>
      <w:szCs w:val="24"/>
      <w:lang w:val="en-US" w:eastAsia="zh-CN" w:bidi="ar-SA"/>
    </w:rPr>
  </w:style>
  <w:style w:type="character" w:customStyle="1" w:styleId="197">
    <w:name w:val="Char Char Char Char Char"/>
    <w:qFormat/>
    <w:uiPriority w:val="0"/>
    <w:rPr>
      <w:rFonts w:hint="eastAsia" w:ascii="宋体" w:hAnsi="宋体" w:eastAsia="宋体"/>
      <w:b/>
      <w:bCs/>
      <w:kern w:val="44"/>
      <w:sz w:val="44"/>
      <w:szCs w:val="44"/>
      <w:lang w:val="en-US" w:eastAsia="zh-CN" w:bidi="ar-SA"/>
    </w:rPr>
  </w:style>
  <w:style w:type="character" w:customStyle="1" w:styleId="198">
    <w:name w:val="标题 5 Char"/>
    <w:qFormat/>
    <w:uiPriority w:val="0"/>
    <w:rPr>
      <w:rFonts w:eastAsia="宋体"/>
      <w:b/>
      <w:kern w:val="2"/>
      <w:sz w:val="28"/>
      <w:szCs w:val="24"/>
      <w:lang w:val="en-US" w:eastAsia="zh-CN" w:bidi="ar-SA"/>
    </w:rPr>
  </w:style>
  <w:style w:type="character" w:customStyle="1" w:styleId="199">
    <w:name w:val="访问过的超链接1"/>
    <w:qFormat/>
    <w:uiPriority w:val="99"/>
    <w:rPr>
      <w:color w:val="800080"/>
      <w:u w:val="single"/>
    </w:rPr>
  </w:style>
  <w:style w:type="character" w:customStyle="1" w:styleId="200">
    <w:name w:val="无间隔 字符"/>
    <w:link w:val="201"/>
    <w:qFormat/>
    <w:uiPriority w:val="0"/>
    <w:rPr>
      <w:sz w:val="22"/>
      <w:szCs w:val="22"/>
      <w:lang w:val="en-US" w:eastAsia="zh-CN" w:bidi="ar-SA"/>
    </w:rPr>
  </w:style>
  <w:style w:type="paragraph" w:styleId="201">
    <w:name w:val="No Spacing"/>
    <w:link w:val="200"/>
    <w:qFormat/>
    <w:uiPriority w:val="0"/>
    <w:rPr>
      <w:rFonts w:ascii="Times New Roman" w:hAnsi="Times New Roman" w:eastAsia="宋体" w:cs="Times New Roman"/>
      <w:sz w:val="22"/>
      <w:szCs w:val="22"/>
      <w:lang w:val="en-US" w:eastAsia="zh-CN" w:bidi="ar-SA"/>
    </w:rPr>
  </w:style>
  <w:style w:type="character" w:customStyle="1" w:styleId="202">
    <w:name w:val="font41"/>
    <w:qFormat/>
    <w:uiPriority w:val="0"/>
    <w:rPr>
      <w:rFonts w:hint="eastAsia" w:ascii="仿宋_GB2312" w:eastAsia="仿宋_GB2312" w:cs="仿宋_GB2312"/>
      <w:color w:val="000000"/>
      <w:sz w:val="20"/>
      <w:szCs w:val="20"/>
      <w:u w:val="none"/>
    </w:rPr>
  </w:style>
  <w:style w:type="character" w:customStyle="1" w:styleId="203">
    <w:name w:val="Char Char27"/>
    <w:qFormat/>
    <w:uiPriority w:val="0"/>
    <w:rPr>
      <w:rFonts w:hint="eastAsia" w:ascii="宋体" w:hAnsi="宋体" w:eastAsia="宋体"/>
      <w:b/>
      <w:bCs/>
      <w:kern w:val="44"/>
      <w:sz w:val="44"/>
      <w:szCs w:val="44"/>
      <w:lang w:val="en-US" w:eastAsia="zh-CN" w:bidi="ar-SA"/>
    </w:rPr>
  </w:style>
  <w:style w:type="character" w:customStyle="1" w:styleId="204">
    <w:name w:val="页脚 Char"/>
    <w:qFormat/>
    <w:uiPriority w:val="99"/>
    <w:rPr>
      <w:rFonts w:eastAsia="宋体"/>
      <w:kern w:val="2"/>
      <w:sz w:val="18"/>
      <w:szCs w:val="18"/>
      <w:lang w:val="en-US" w:eastAsia="zh-CN" w:bidi="ar-SA"/>
    </w:rPr>
  </w:style>
  <w:style w:type="character" w:customStyle="1" w:styleId="205">
    <w:name w:val="页码 New New New New New New"/>
    <w:qFormat/>
    <w:uiPriority w:val="0"/>
  </w:style>
  <w:style w:type="character" w:customStyle="1" w:styleId="206">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07">
    <w:name w:val="正文文本缩进 Char3"/>
    <w:qFormat/>
    <w:locked/>
    <w:uiPriority w:val="0"/>
    <w:rPr>
      <w:rFonts w:hint="eastAsia" w:ascii="仿宋_GB2312" w:eastAsia="仿宋_GB2312"/>
      <w:kern w:val="2"/>
      <w:sz w:val="32"/>
    </w:rPr>
  </w:style>
  <w:style w:type="character" w:customStyle="1" w:styleId="208">
    <w:name w:val="ca-4"/>
    <w:qFormat/>
    <w:uiPriority w:val="0"/>
  </w:style>
  <w:style w:type="character" w:customStyle="1" w:styleId="209">
    <w:name w:val="正文文本 2 Char2"/>
    <w:qFormat/>
    <w:locked/>
    <w:uiPriority w:val="0"/>
    <w:rPr>
      <w:kern w:val="2"/>
      <w:sz w:val="21"/>
      <w:szCs w:val="24"/>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a-9"/>
    <w:qFormat/>
    <w:uiPriority w:val="0"/>
  </w:style>
  <w:style w:type="character" w:customStyle="1" w:styleId="212">
    <w:name w:val="Char Char152"/>
    <w:qFormat/>
    <w:uiPriority w:val="0"/>
    <w:rPr>
      <w:sz w:val="18"/>
      <w:szCs w:val="18"/>
    </w:rPr>
  </w:style>
  <w:style w:type="character" w:customStyle="1" w:styleId="213">
    <w:name w:val="font31"/>
    <w:qFormat/>
    <w:uiPriority w:val="0"/>
    <w:rPr>
      <w:rFonts w:hint="eastAsia" w:ascii="宋体" w:hAnsi="宋体" w:eastAsia="宋体"/>
      <w:color w:val="004A6F"/>
      <w:sz w:val="18"/>
      <w:szCs w:val="18"/>
    </w:rPr>
  </w:style>
  <w:style w:type="character" w:customStyle="1" w:styleId="214">
    <w:name w:val="正文文本 2 Char"/>
    <w:link w:val="215"/>
    <w:qFormat/>
    <w:uiPriority w:val="0"/>
    <w:rPr>
      <w:rFonts w:eastAsia="宋体"/>
      <w:kern w:val="2"/>
      <w:sz w:val="21"/>
      <w:szCs w:val="24"/>
      <w:lang w:val="en-US" w:eastAsia="zh-CN" w:bidi="ar-SA"/>
    </w:rPr>
  </w:style>
  <w:style w:type="paragraph" w:customStyle="1" w:styleId="215">
    <w:name w:val="正文文本 21"/>
    <w:basedOn w:val="1"/>
    <w:link w:val="214"/>
    <w:qFormat/>
    <w:uiPriority w:val="0"/>
    <w:pPr>
      <w:spacing w:after="120" w:line="480" w:lineRule="auto"/>
    </w:pPr>
  </w:style>
  <w:style w:type="character" w:customStyle="1" w:styleId="216">
    <w:name w:val="批注主题 Char"/>
    <w:link w:val="217"/>
    <w:qFormat/>
    <w:uiPriority w:val="99"/>
    <w:rPr>
      <w:rFonts w:eastAsia="宋体"/>
      <w:b/>
      <w:bCs/>
      <w:kern w:val="2"/>
      <w:sz w:val="21"/>
      <w:szCs w:val="24"/>
      <w:lang w:bidi="ar-SA"/>
    </w:rPr>
  </w:style>
  <w:style w:type="paragraph" w:customStyle="1" w:styleId="217">
    <w:name w:val="批注主题1"/>
    <w:basedOn w:val="18"/>
    <w:next w:val="18"/>
    <w:link w:val="216"/>
    <w:qFormat/>
    <w:uiPriority w:val="99"/>
    <w:pPr>
      <w:adjustRightInd/>
      <w:spacing w:line="240" w:lineRule="auto"/>
      <w:textAlignment w:val="auto"/>
    </w:pPr>
    <w:rPr>
      <w:b/>
      <w:bCs/>
      <w:kern w:val="2"/>
      <w:sz w:val="21"/>
      <w:szCs w:val="24"/>
    </w:rPr>
  </w:style>
  <w:style w:type="character" w:customStyle="1" w:styleId="218">
    <w:name w:val="Char Char2321"/>
    <w:qFormat/>
    <w:uiPriority w:val="0"/>
    <w:rPr>
      <w:rFonts w:hint="default" w:ascii="Times New Roman" w:hAnsi="Times New Roman" w:eastAsia="宋体" w:cs="Times New Roman"/>
      <w:b/>
      <w:bCs/>
      <w:kern w:val="44"/>
      <w:sz w:val="44"/>
      <w:szCs w:val="44"/>
    </w:rPr>
  </w:style>
  <w:style w:type="character" w:customStyle="1" w:styleId="219">
    <w:name w:val="标题 3 Char1"/>
    <w:qFormat/>
    <w:uiPriority w:val="0"/>
    <w:rPr>
      <w:rFonts w:eastAsia="宋体"/>
      <w:b/>
      <w:bCs/>
      <w:sz w:val="32"/>
      <w:szCs w:val="32"/>
      <w:lang w:bidi="ar-SA"/>
    </w:rPr>
  </w:style>
  <w:style w:type="character" w:customStyle="1" w:styleId="220">
    <w:name w:val="Char Char241"/>
    <w:qFormat/>
    <w:uiPriority w:val="0"/>
    <w:rPr>
      <w:rFonts w:hint="default" w:ascii="Arial" w:hAnsi="Arial" w:eastAsia="黑体" w:cs="Arial"/>
      <w:sz w:val="28"/>
      <w:lang w:bidi="ar-SA"/>
    </w:rPr>
  </w:style>
  <w:style w:type="character" w:customStyle="1" w:styleId="221">
    <w:name w:val="ca-32"/>
    <w:qFormat/>
    <w:uiPriority w:val="0"/>
  </w:style>
  <w:style w:type="character" w:customStyle="1" w:styleId="222">
    <w:name w:val="正文文本缩进 Char1"/>
    <w:qFormat/>
    <w:uiPriority w:val="0"/>
    <w:rPr>
      <w:kern w:val="2"/>
      <w:sz w:val="21"/>
      <w:szCs w:val="22"/>
    </w:rPr>
  </w:style>
  <w:style w:type="character" w:customStyle="1" w:styleId="223">
    <w:name w:val="H1 Char3"/>
    <w:qFormat/>
    <w:locked/>
    <w:uiPriority w:val="0"/>
    <w:rPr>
      <w:rFonts w:hint="eastAsia" w:ascii="宋体" w:hAnsi="宋体" w:eastAsia="宋体"/>
      <w:b/>
      <w:bCs/>
      <w:kern w:val="44"/>
      <w:sz w:val="44"/>
      <w:szCs w:val="44"/>
      <w:lang w:val="en-US" w:eastAsia="zh-CN" w:bidi="ar-SA"/>
    </w:rPr>
  </w:style>
  <w:style w:type="character" w:customStyle="1" w:styleId="224">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25">
    <w:name w:val="Char Char Char Char Char Char Char1"/>
    <w:qFormat/>
    <w:uiPriority w:val="0"/>
    <w:rPr>
      <w:rFonts w:hint="eastAsia" w:ascii="宋体" w:hAnsi="宋体" w:eastAsia="宋体"/>
      <w:kern w:val="2"/>
      <w:sz w:val="24"/>
      <w:szCs w:val="24"/>
      <w:lang w:val="en-US" w:eastAsia="zh-CN" w:bidi="ar-SA"/>
    </w:rPr>
  </w:style>
  <w:style w:type="character" w:customStyle="1" w:styleId="226">
    <w:name w:val="标题 9 Char"/>
    <w:qFormat/>
    <w:uiPriority w:val="0"/>
    <w:rPr>
      <w:rFonts w:ascii="Arial" w:hAnsi="Arial" w:eastAsia="黑体"/>
      <w:kern w:val="2"/>
      <w:sz w:val="21"/>
      <w:szCs w:val="24"/>
      <w:lang w:val="en-US" w:eastAsia="zh-CN" w:bidi="ar-SA"/>
    </w:rPr>
  </w:style>
  <w:style w:type="character" w:customStyle="1" w:styleId="227">
    <w:name w:val="bookmark-item uuid-1595940727161 code-23008 addword numeric-input-box-cls"/>
    <w:qFormat/>
    <w:uiPriority w:val="0"/>
  </w:style>
  <w:style w:type="character" w:customStyle="1" w:styleId="228">
    <w:name w:val="正文无缩进 Char Char"/>
    <w:link w:val="229"/>
    <w:qFormat/>
    <w:locked/>
    <w:uiPriority w:val="0"/>
    <w:rPr>
      <w:rFonts w:ascii="宋体" w:hAnsi="宋体"/>
      <w:color w:val="000000"/>
      <w:kern w:val="2"/>
      <w:sz w:val="24"/>
      <w:szCs w:val="24"/>
    </w:rPr>
  </w:style>
  <w:style w:type="paragraph" w:customStyle="1" w:styleId="229">
    <w:name w:val="正文无缩进"/>
    <w:basedOn w:val="1"/>
    <w:link w:val="228"/>
    <w:qFormat/>
    <w:uiPriority w:val="0"/>
    <w:pPr>
      <w:spacing w:line="360" w:lineRule="auto"/>
    </w:pPr>
    <w:rPr>
      <w:rFonts w:ascii="宋体" w:hAnsi="宋体"/>
      <w:color w:val="000000"/>
      <w:sz w:val="24"/>
    </w:rPr>
  </w:style>
  <w:style w:type="character" w:customStyle="1" w:styleId="230">
    <w:name w:val="副标题 Char"/>
    <w:qFormat/>
    <w:uiPriority w:val="0"/>
    <w:rPr>
      <w:rFonts w:ascii="Cambria" w:hAnsi="Cambria" w:cs="Times New Roman"/>
      <w:b/>
      <w:bCs/>
      <w:kern w:val="28"/>
      <w:sz w:val="32"/>
      <w:szCs w:val="32"/>
    </w:rPr>
  </w:style>
  <w:style w:type="character" w:customStyle="1" w:styleId="231">
    <w:name w:val="p1"/>
    <w:qFormat/>
    <w:uiPriority w:val="0"/>
  </w:style>
  <w:style w:type="character" w:customStyle="1" w:styleId="232">
    <w:name w:val="Char Char Char Char Char1"/>
    <w:qFormat/>
    <w:uiPriority w:val="0"/>
    <w:rPr>
      <w:rFonts w:hint="eastAsia" w:ascii="宋体" w:hAnsi="宋体" w:eastAsia="宋体"/>
      <w:b/>
      <w:bCs/>
      <w:kern w:val="44"/>
      <w:sz w:val="44"/>
      <w:szCs w:val="44"/>
      <w:lang w:val="en-US" w:eastAsia="zh-CN" w:bidi="ar-SA"/>
    </w:rPr>
  </w:style>
  <w:style w:type="character" w:customStyle="1" w:styleId="233">
    <w:name w:val="bookmark-item uuid-1596004721081 code-00009 addword interval-text-box-cls"/>
    <w:qFormat/>
    <w:uiPriority w:val="0"/>
  </w:style>
  <w:style w:type="character" w:customStyle="1" w:styleId="234">
    <w:name w:val="mark16"/>
    <w:qFormat/>
    <w:uiPriority w:val="0"/>
  </w:style>
  <w:style w:type="character" w:customStyle="1" w:styleId="235">
    <w:name w:val="标题 Char4"/>
    <w:qFormat/>
    <w:uiPriority w:val="0"/>
    <w:rPr>
      <w:rFonts w:hint="default" w:ascii="Cambria" w:hAnsi="Cambria" w:cs="Times New Roman"/>
      <w:b/>
      <w:bCs/>
      <w:kern w:val="2"/>
      <w:sz w:val="32"/>
      <w:szCs w:val="32"/>
    </w:rPr>
  </w:style>
  <w:style w:type="character" w:customStyle="1" w:styleId="236">
    <w:name w:val="style161"/>
    <w:qFormat/>
    <w:uiPriority w:val="0"/>
    <w:rPr>
      <w:color w:val="666666"/>
    </w:rPr>
  </w:style>
  <w:style w:type="character" w:customStyle="1" w:styleId="237">
    <w:name w:val="Char Char30"/>
    <w:qFormat/>
    <w:locked/>
    <w:uiPriority w:val="0"/>
    <w:rPr>
      <w:rFonts w:hint="eastAsia" w:ascii="宋体" w:hAnsi="宋体" w:eastAsia="宋体"/>
      <w:b/>
      <w:spacing w:val="-2"/>
      <w:sz w:val="24"/>
      <w:lang w:val="en-US" w:eastAsia="zh-CN" w:bidi="ar-SA"/>
    </w:rPr>
  </w:style>
  <w:style w:type="character" w:customStyle="1" w:styleId="238">
    <w:name w:val="标题 3 Char2"/>
    <w:qFormat/>
    <w:locked/>
    <w:uiPriority w:val="0"/>
    <w:rPr>
      <w:b/>
      <w:bCs/>
      <w:sz w:val="32"/>
      <w:szCs w:val="32"/>
    </w:rPr>
  </w:style>
  <w:style w:type="character" w:customStyle="1" w:styleId="239">
    <w:name w:val="页码 New New New"/>
    <w:qFormat/>
    <w:uiPriority w:val="0"/>
  </w:style>
  <w:style w:type="character" w:customStyle="1" w:styleId="240">
    <w:name w:val="Char Char101"/>
    <w:qFormat/>
    <w:uiPriority w:val="0"/>
    <w:rPr>
      <w:rFonts w:hint="eastAsia" w:ascii="宋体" w:hAnsi="宋体" w:eastAsia="宋体"/>
      <w:kern w:val="2"/>
      <w:sz w:val="21"/>
      <w:szCs w:val="24"/>
      <w:lang w:val="en-US" w:eastAsia="zh-CN" w:bidi="ar-SA"/>
    </w:rPr>
  </w:style>
  <w:style w:type="character" w:customStyle="1" w:styleId="241">
    <w:name w:val="unnamed3"/>
    <w:qFormat/>
    <w:uiPriority w:val="0"/>
  </w:style>
  <w:style w:type="character" w:customStyle="1" w:styleId="242">
    <w:name w:val="纯文本 Char"/>
    <w:qFormat/>
    <w:uiPriority w:val="0"/>
    <w:rPr>
      <w:rFonts w:ascii="宋体" w:hAnsi="Courier New" w:eastAsia="宋体" w:cs="Courier New"/>
      <w:kern w:val="2"/>
      <w:sz w:val="21"/>
      <w:szCs w:val="21"/>
      <w:lang w:val="en-US" w:eastAsia="zh-CN" w:bidi="ar-SA"/>
    </w:rPr>
  </w:style>
  <w:style w:type="character" w:customStyle="1" w:styleId="243">
    <w:name w:val="正文文本 3 Char2"/>
    <w:qFormat/>
    <w:locked/>
    <w:uiPriority w:val="0"/>
    <w:rPr>
      <w:rFonts w:hint="eastAsia" w:ascii="宋体" w:hAnsi="宋体" w:eastAsia="宋体"/>
      <w:b/>
      <w:bCs/>
      <w:kern w:val="2"/>
      <w:sz w:val="24"/>
      <w:szCs w:val="24"/>
    </w:rPr>
  </w:style>
  <w:style w:type="character" w:customStyle="1" w:styleId="244">
    <w:name w:val="Char Char31"/>
    <w:qFormat/>
    <w:locked/>
    <w:uiPriority w:val="0"/>
    <w:rPr>
      <w:rFonts w:hint="default" w:ascii="Arial" w:hAnsi="Arial" w:eastAsia="黑体" w:cs="宋体"/>
      <w:b/>
      <w:kern w:val="2"/>
      <w:sz w:val="24"/>
      <w:szCs w:val="24"/>
      <w:lang w:val="en-US" w:eastAsia="zh-CN" w:bidi="ar-SA"/>
    </w:rPr>
  </w:style>
  <w:style w:type="character" w:customStyle="1" w:styleId="245">
    <w:name w:val="纯文本 Char2"/>
    <w:qFormat/>
    <w:uiPriority w:val="0"/>
    <w:rPr>
      <w:rFonts w:ascii="宋体" w:hAnsi="Courier New" w:eastAsia="宋体" w:cs="Courier New"/>
      <w:kern w:val="2"/>
      <w:sz w:val="21"/>
      <w:szCs w:val="21"/>
      <w:lang w:val="en-US" w:eastAsia="zh-CN" w:bidi="ar-SA"/>
    </w:rPr>
  </w:style>
  <w:style w:type="character" w:customStyle="1" w:styleId="246">
    <w:name w:val="h Char1"/>
    <w:qFormat/>
    <w:locked/>
    <w:uiPriority w:val="0"/>
    <w:rPr>
      <w:rFonts w:hint="eastAsia" w:ascii="宋体" w:hAnsi="宋体" w:eastAsia="宋体"/>
      <w:kern w:val="2"/>
      <w:sz w:val="18"/>
      <w:szCs w:val="18"/>
      <w:lang w:val="en-US" w:eastAsia="zh-CN" w:bidi="ar-SA"/>
    </w:rPr>
  </w:style>
  <w:style w:type="character" w:customStyle="1" w:styleId="247">
    <w:name w:val="bookmark-item uuid-1593421137256 code-am014budgetprice editdisable single-line-text-input-box-cls"/>
    <w:qFormat/>
    <w:uiPriority w:val="0"/>
  </w:style>
  <w:style w:type="character" w:customStyle="1" w:styleId="248">
    <w:name w:val="正文文本 Char"/>
    <w:qFormat/>
    <w:uiPriority w:val="0"/>
    <w:rPr>
      <w:rFonts w:eastAsia="宋体"/>
      <w:kern w:val="2"/>
      <w:sz w:val="24"/>
      <w:szCs w:val="24"/>
      <w:lang w:val="en-US" w:eastAsia="zh-CN" w:bidi="ar-SA"/>
    </w:rPr>
  </w:style>
  <w:style w:type="character" w:customStyle="1" w:styleId="249">
    <w:name w:val="sel9"/>
    <w:qFormat/>
    <w:uiPriority w:val="0"/>
    <w:rPr>
      <w:rFonts w:hint="eastAsia" w:ascii="宋体" w:hAnsi="宋体" w:eastAsia="宋体"/>
      <w:b/>
      <w:bCs/>
      <w:sz w:val="21"/>
      <w:szCs w:val="21"/>
    </w:rPr>
  </w:style>
  <w:style w:type="character" w:customStyle="1" w:styleId="250">
    <w:name w:val="无间隔 Char Char"/>
    <w:qFormat/>
    <w:uiPriority w:val="0"/>
    <w:rPr>
      <w:rFonts w:ascii="Calibri" w:hAnsi="Calibri" w:eastAsia="宋体"/>
      <w:sz w:val="22"/>
      <w:szCs w:val="22"/>
      <w:lang w:val="en-US" w:eastAsia="zh-CN" w:bidi="ar-SA"/>
    </w:rPr>
  </w:style>
  <w:style w:type="character" w:customStyle="1" w:styleId="251">
    <w:name w:val="标题 2 Char2"/>
    <w:qFormat/>
    <w:locked/>
    <w:uiPriority w:val="0"/>
    <w:rPr>
      <w:rFonts w:hint="default" w:ascii="Arial" w:hAnsi="Arial" w:eastAsia="黑体" w:cs="Arial"/>
      <w:b/>
      <w:bCs/>
      <w:sz w:val="32"/>
      <w:szCs w:val="32"/>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bookmark-item uuid-1595940760210 code-23011 addword date-time-selection-cls"/>
    <w:qFormat/>
    <w:uiPriority w:val="0"/>
  </w:style>
  <w:style w:type="character" w:customStyle="1" w:styleId="255">
    <w:name w:val="标题 2 Char"/>
    <w:qFormat/>
    <w:uiPriority w:val="0"/>
    <w:rPr>
      <w:rFonts w:ascii="Arial" w:hAnsi="Arial" w:eastAsia="黑体"/>
      <w:b/>
      <w:bCs/>
      <w:sz w:val="32"/>
      <w:szCs w:val="32"/>
      <w:lang w:bidi="ar-SA"/>
    </w:rPr>
  </w:style>
  <w:style w:type="character" w:customStyle="1" w:styleId="256">
    <w:name w:val="Char Char Char2"/>
    <w:qFormat/>
    <w:uiPriority w:val="0"/>
    <w:rPr>
      <w:rFonts w:hint="eastAsia" w:ascii="宋体" w:hAnsi="宋体" w:eastAsia="宋体"/>
      <w:kern w:val="2"/>
      <w:sz w:val="18"/>
      <w:szCs w:val="18"/>
      <w:lang w:val="en-US" w:eastAsia="zh-CN" w:bidi="ar-SA"/>
    </w:rPr>
  </w:style>
  <w:style w:type="character" w:customStyle="1" w:styleId="257">
    <w:name w:val="NormalCharacter"/>
    <w:qFormat/>
    <w:uiPriority w:val="0"/>
  </w:style>
  <w:style w:type="character" w:customStyle="1" w:styleId="258">
    <w:name w:val="ca-2"/>
    <w:qFormat/>
    <w:uiPriority w:val="0"/>
  </w:style>
  <w:style w:type="character" w:customStyle="1" w:styleId="259">
    <w:name w:val="bookmark-item uuid-1594624027756 code-23005 addword morning-time-section-selection-cls"/>
    <w:qFormat/>
    <w:uiPriority w:val="0"/>
  </w:style>
  <w:style w:type="character" w:customStyle="1" w:styleId="260">
    <w:name w:val="Char Char143"/>
    <w:qFormat/>
    <w:uiPriority w:val="0"/>
    <w:rPr>
      <w:sz w:val="18"/>
      <w:szCs w:val="18"/>
    </w:rPr>
  </w:style>
  <w:style w:type="character" w:customStyle="1" w:styleId="261">
    <w:name w:val="标题 4 Char"/>
    <w:qFormat/>
    <w:uiPriority w:val="0"/>
    <w:rPr>
      <w:rFonts w:ascii="Arial" w:hAnsi="Arial" w:eastAsia="黑体"/>
      <w:sz w:val="28"/>
      <w:lang w:bidi="ar-SA"/>
    </w:rPr>
  </w:style>
  <w:style w:type="character" w:customStyle="1" w:styleId="262">
    <w:name w:val="脚注文本 Char2"/>
    <w:qFormat/>
    <w:uiPriority w:val="99"/>
    <w:rPr>
      <w:kern w:val="2"/>
      <w:sz w:val="18"/>
      <w:szCs w:val="18"/>
    </w:rPr>
  </w:style>
  <w:style w:type="character" w:customStyle="1" w:styleId="263">
    <w:name w:val="文档结构图 Char"/>
    <w:link w:val="264"/>
    <w:qFormat/>
    <w:uiPriority w:val="0"/>
    <w:rPr>
      <w:rFonts w:eastAsia="宋体"/>
      <w:kern w:val="2"/>
      <w:sz w:val="21"/>
      <w:szCs w:val="24"/>
      <w:lang w:val="en-US" w:eastAsia="zh-CN" w:bidi="ar-SA"/>
    </w:rPr>
  </w:style>
  <w:style w:type="paragraph" w:customStyle="1" w:styleId="264">
    <w:name w:val="文档结构图1"/>
    <w:basedOn w:val="1"/>
    <w:link w:val="263"/>
    <w:qFormat/>
    <w:uiPriority w:val="0"/>
    <w:pPr>
      <w:shd w:val="clear" w:color="auto" w:fill="000080"/>
    </w:pPr>
  </w:style>
  <w:style w:type="character" w:customStyle="1" w:styleId="265">
    <w:name w:val="bookmark-item uuid-1589194982864 code-31006 addword multi-line-text-input-box-cls"/>
    <w:basedOn w:val="57"/>
    <w:qFormat/>
    <w:uiPriority w:val="0"/>
  </w:style>
  <w:style w:type="character" w:customStyle="1" w:styleId="266">
    <w:name w:val="Char Char13"/>
    <w:qFormat/>
    <w:uiPriority w:val="0"/>
    <w:rPr>
      <w:rFonts w:hint="eastAsia" w:ascii="仿宋_GB2312" w:eastAsia="仿宋_GB2312"/>
      <w:kern w:val="2"/>
      <w:sz w:val="32"/>
      <w:lang w:val="en-US" w:eastAsia="zh-CN" w:bidi="ar-SA"/>
    </w:rPr>
  </w:style>
  <w:style w:type="character" w:customStyle="1" w:styleId="267">
    <w:name w:val="ca-3"/>
    <w:qFormat/>
    <w:uiPriority w:val="0"/>
  </w:style>
  <w:style w:type="character" w:customStyle="1" w:styleId="268">
    <w:name w:val="标题 Char3"/>
    <w:qFormat/>
    <w:locked/>
    <w:uiPriority w:val="10"/>
    <w:rPr>
      <w:rFonts w:hint="default" w:ascii="Arial" w:hAnsi="Arial" w:cs="Arial"/>
      <w:b/>
      <w:bCs/>
      <w:kern w:val="2"/>
      <w:sz w:val="32"/>
      <w:szCs w:val="32"/>
    </w:rPr>
  </w:style>
  <w:style w:type="character" w:customStyle="1" w:styleId="269">
    <w:name w:val="bookmark-item uuid-1596277470067 code-23002 editdisable multi-line-text-input-box-cls readonly"/>
    <w:qFormat/>
    <w:uiPriority w:val="0"/>
  </w:style>
  <w:style w:type="character" w:customStyle="1" w:styleId="270">
    <w:name w:val="脚注文本 Char1"/>
    <w:qFormat/>
    <w:uiPriority w:val="99"/>
    <w:rPr>
      <w:kern w:val="2"/>
      <w:sz w:val="18"/>
      <w:szCs w:val="18"/>
    </w:rPr>
  </w:style>
  <w:style w:type="character" w:customStyle="1" w:styleId="271">
    <w:name w:val="Char Char17"/>
    <w:qFormat/>
    <w:uiPriority w:val="0"/>
    <w:rPr>
      <w:rFonts w:hint="default" w:ascii="Times New Roman" w:hAnsi="Times New Roman" w:cs="Times New Roman"/>
      <w:b/>
      <w:bCs/>
      <w:kern w:val="2"/>
      <w:sz w:val="21"/>
      <w:szCs w:val="24"/>
    </w:rPr>
  </w:style>
  <w:style w:type="character" w:customStyle="1" w:styleId="272">
    <w:name w:val="bookmark-item uuid-1596004695990 code-00016 editdisable single-line-text-input-box-cls readonly"/>
    <w:qFormat/>
    <w:uiPriority w:val="0"/>
  </w:style>
  <w:style w:type="character" w:customStyle="1" w:styleId="273">
    <w:name w:val="ca-15"/>
    <w:qFormat/>
    <w:uiPriority w:val="0"/>
  </w:style>
  <w:style w:type="character" w:customStyle="1" w:styleId="274">
    <w:name w:val="bookmark-item uuid-1596004728442 code-00013 editdisable single-line-text-input-box-cls readonly"/>
    <w:qFormat/>
    <w:uiPriority w:val="0"/>
  </w:style>
  <w:style w:type="character" w:customStyle="1" w:styleId="275">
    <w:name w:val="llyf92"/>
    <w:qFormat/>
    <w:uiPriority w:val="0"/>
    <w:rPr>
      <w:sz w:val="18"/>
      <w:szCs w:val="18"/>
    </w:rPr>
  </w:style>
  <w:style w:type="character" w:customStyle="1" w:styleId="276">
    <w:name w:val="Char Char25"/>
    <w:qFormat/>
    <w:uiPriority w:val="0"/>
    <w:rPr>
      <w:rFonts w:hint="eastAsia" w:ascii="宋体" w:hAnsi="宋体" w:eastAsia="宋体"/>
      <w:b/>
      <w:bCs/>
      <w:sz w:val="32"/>
      <w:szCs w:val="32"/>
      <w:lang w:bidi="ar-SA"/>
    </w:rPr>
  </w:style>
  <w:style w:type="character" w:customStyle="1" w:styleId="277">
    <w:name w:val="H1 Char"/>
    <w:qFormat/>
    <w:uiPriority w:val="0"/>
    <w:rPr>
      <w:rFonts w:eastAsia="宋体"/>
      <w:b/>
      <w:bCs/>
      <w:kern w:val="44"/>
      <w:sz w:val="44"/>
      <w:szCs w:val="44"/>
      <w:lang w:val="en-US" w:eastAsia="zh-CN" w:bidi="ar-SA"/>
    </w:rPr>
  </w:style>
  <w:style w:type="character" w:customStyle="1" w:styleId="278">
    <w:name w:val="正文文本缩进 2 Char2"/>
    <w:qFormat/>
    <w:locked/>
    <w:uiPriority w:val="0"/>
    <w:rPr>
      <w:kern w:val="2"/>
      <w:sz w:val="32"/>
    </w:rPr>
  </w:style>
  <w:style w:type="character" w:customStyle="1" w:styleId="279">
    <w:name w:val="value"/>
    <w:qFormat/>
    <w:uiPriority w:val="0"/>
  </w:style>
  <w:style w:type="character" w:customStyle="1" w:styleId="280">
    <w:name w:val="日期 Char2"/>
    <w:qFormat/>
    <w:locked/>
    <w:uiPriority w:val="0"/>
    <w:rPr>
      <w:kern w:val="2"/>
      <w:sz w:val="21"/>
      <w:szCs w:val="24"/>
    </w:rPr>
  </w:style>
  <w:style w:type="character" w:customStyle="1" w:styleId="281">
    <w:name w:val="font21"/>
    <w:qFormat/>
    <w:uiPriority w:val="0"/>
    <w:rPr>
      <w:rFonts w:hint="eastAsia" w:ascii="宋体" w:hAnsi="宋体" w:eastAsia="宋体" w:cs="宋体"/>
      <w:color w:val="000000"/>
      <w:sz w:val="24"/>
      <w:szCs w:val="24"/>
      <w:u w:val="none"/>
    </w:rPr>
  </w:style>
  <w:style w:type="character" w:customStyle="1" w:styleId="282">
    <w:name w:val="row08"/>
    <w:qFormat/>
    <w:uiPriority w:val="0"/>
    <w:rPr>
      <w:rFonts w:hint="default" w:ascii="Times New Roman" w:hAnsi="Times New Roman" w:cs="Times New Roman"/>
    </w:rPr>
  </w:style>
  <w:style w:type="character" w:customStyle="1" w:styleId="283">
    <w:name w:val="Char Char21"/>
    <w:qFormat/>
    <w:uiPriority w:val="0"/>
    <w:rPr>
      <w:rFonts w:hint="default" w:ascii="Arial" w:hAnsi="Arial" w:eastAsia="黑体" w:cs="Arial"/>
      <w:b/>
      <w:kern w:val="2"/>
      <w:sz w:val="24"/>
      <w:szCs w:val="24"/>
      <w:lang w:val="en-US" w:eastAsia="zh-CN" w:bidi="ar-SA"/>
    </w:rPr>
  </w:style>
  <w:style w:type="character" w:customStyle="1" w:styleId="284">
    <w:name w:val="页眉 Char"/>
    <w:qFormat/>
    <w:uiPriority w:val="99"/>
    <w:rPr>
      <w:rFonts w:eastAsia="宋体"/>
      <w:kern w:val="2"/>
      <w:sz w:val="18"/>
      <w:szCs w:val="18"/>
      <w:lang w:val="en-US" w:eastAsia="zh-CN" w:bidi="ar-SA"/>
    </w:rPr>
  </w:style>
  <w:style w:type="character" w:customStyle="1" w:styleId="285">
    <w:name w:val="bookmark-item uuid-1595987425520 code-23021 editdisable multi-line-text-input-box-cls readonly"/>
    <w:qFormat/>
    <w:uiPriority w:val="0"/>
  </w:style>
  <w:style w:type="character" w:customStyle="1" w:styleId="286">
    <w:name w:val="自定义标题一 Char"/>
    <w:link w:val="28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87">
    <w:name w:val="自定义标题一"/>
    <w:basedOn w:val="3"/>
    <w:link w:val="28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88">
    <w:name w:val="Char Char2"/>
    <w:qFormat/>
    <w:uiPriority w:val="0"/>
    <w:rPr>
      <w:rFonts w:hint="eastAsia" w:ascii="宋体" w:hAnsi="Courier New" w:eastAsia="宋体"/>
      <w:szCs w:val="21"/>
      <w:lang w:bidi="ar-SA"/>
    </w:rPr>
  </w:style>
  <w:style w:type="character" w:customStyle="1" w:styleId="289">
    <w:name w:val="Char Char Char Char Char3"/>
    <w:qFormat/>
    <w:uiPriority w:val="0"/>
    <w:rPr>
      <w:rFonts w:eastAsia="宋体"/>
      <w:b/>
      <w:bCs/>
      <w:kern w:val="44"/>
      <w:sz w:val="44"/>
      <w:szCs w:val="44"/>
      <w:lang w:val="en-US" w:eastAsia="zh-CN" w:bidi="ar-SA"/>
    </w:rPr>
  </w:style>
  <w:style w:type="character" w:customStyle="1" w:styleId="290">
    <w:name w:val="bookmark-item uuid-1596015939851 code-00003 addword single-line-text-input-box-cls"/>
    <w:qFormat/>
    <w:uiPriority w:val="0"/>
  </w:style>
  <w:style w:type="character" w:customStyle="1" w:styleId="291">
    <w:name w:val="bookmark-item uuid-1595940643756 code-00004 addword single-line-text-input-box-cls"/>
    <w:qFormat/>
    <w:uiPriority w:val="0"/>
  </w:style>
  <w:style w:type="character" w:customStyle="1" w:styleId="292">
    <w:name w:val="标题 4 Char2"/>
    <w:qFormat/>
    <w:locked/>
    <w:uiPriority w:val="0"/>
    <w:rPr>
      <w:rFonts w:hint="default" w:ascii="Arial" w:hAnsi="Arial" w:eastAsia="黑体" w:cs="Arial"/>
      <w:sz w:val="28"/>
    </w:rPr>
  </w:style>
  <w:style w:type="character" w:customStyle="1" w:styleId="293">
    <w:name w:val="页眉 Char2"/>
    <w:qFormat/>
    <w:locked/>
    <w:uiPriority w:val="0"/>
    <w:rPr>
      <w:rFonts w:hint="eastAsia" w:ascii="宋体" w:hAnsi="宋体" w:eastAsia="宋体"/>
      <w:kern w:val="2"/>
      <w:sz w:val="18"/>
      <w:szCs w:val="18"/>
    </w:rPr>
  </w:style>
  <w:style w:type="character" w:customStyle="1" w:styleId="294">
    <w:name w:val="日期 Char"/>
    <w:link w:val="295"/>
    <w:qFormat/>
    <w:uiPriority w:val="0"/>
    <w:rPr>
      <w:rFonts w:ascii="宋体" w:hAnsi="Courier New" w:eastAsia="宋体" w:cs="Courier New"/>
      <w:kern w:val="2"/>
      <w:sz w:val="21"/>
      <w:szCs w:val="21"/>
      <w:lang w:val="en-US" w:eastAsia="zh-CN" w:bidi="ar-SA"/>
    </w:rPr>
  </w:style>
  <w:style w:type="paragraph" w:customStyle="1" w:styleId="295">
    <w:name w:val="日期1"/>
    <w:basedOn w:val="1"/>
    <w:next w:val="1"/>
    <w:link w:val="294"/>
    <w:qFormat/>
    <w:uiPriority w:val="0"/>
    <w:pPr>
      <w:ind w:left="100" w:leftChars="2500"/>
    </w:pPr>
    <w:rPr>
      <w:rFonts w:ascii="宋体" w:hAnsi="Courier New" w:cs="Courier New"/>
      <w:szCs w:val="21"/>
    </w:rPr>
  </w:style>
  <w:style w:type="character" w:customStyle="1" w:styleId="296">
    <w:name w:val="正文文本缩进 3 Char2"/>
    <w:qFormat/>
    <w:locked/>
    <w:uiPriority w:val="0"/>
    <w:rPr>
      <w:kern w:val="2"/>
      <w:sz w:val="16"/>
      <w:szCs w:val="16"/>
    </w:rPr>
  </w:style>
  <w:style w:type="character" w:customStyle="1" w:styleId="297">
    <w:name w:val="Char Char1511"/>
    <w:qFormat/>
    <w:uiPriority w:val="0"/>
    <w:rPr>
      <w:sz w:val="18"/>
      <w:szCs w:val="18"/>
    </w:rPr>
  </w:style>
  <w:style w:type="character" w:customStyle="1" w:styleId="298">
    <w:name w:val="Char Char112"/>
    <w:qFormat/>
    <w:uiPriority w:val="0"/>
    <w:rPr>
      <w:rFonts w:hint="default" w:ascii="Times New Roman" w:hAnsi="Times New Roman" w:eastAsia="宋体" w:cs="Times New Roman"/>
      <w:sz w:val="30"/>
      <w:szCs w:val="24"/>
    </w:rPr>
  </w:style>
  <w:style w:type="character" w:customStyle="1" w:styleId="299">
    <w:name w:val="页码 New New New New New New New"/>
    <w:qFormat/>
    <w:uiPriority w:val="0"/>
  </w:style>
  <w:style w:type="character" w:customStyle="1" w:styleId="300">
    <w:name w:val="Char Char10"/>
    <w:semiHidden/>
    <w:qFormat/>
    <w:uiPriority w:val="0"/>
    <w:rPr>
      <w:rFonts w:hint="eastAsia" w:ascii="宋体" w:hAnsi="宋体" w:eastAsia="宋体"/>
      <w:kern w:val="2"/>
      <w:sz w:val="24"/>
      <w:szCs w:val="24"/>
      <w:lang w:val="en-US" w:eastAsia="zh-CN" w:bidi="ar-SA"/>
    </w:rPr>
  </w:style>
  <w:style w:type="character" w:customStyle="1" w:styleId="301">
    <w:name w:val="bookmark-item uuid-1596004663203 code-00014 editdisable interval-text-box-cls readonly"/>
    <w:qFormat/>
    <w:uiPriority w:val="0"/>
  </w:style>
  <w:style w:type="character" w:customStyle="1" w:styleId="302">
    <w:name w:val="批注框文本 Char2"/>
    <w:qFormat/>
    <w:locked/>
    <w:uiPriority w:val="0"/>
    <w:rPr>
      <w:kern w:val="2"/>
      <w:sz w:val="18"/>
      <w:szCs w:val="18"/>
    </w:rPr>
  </w:style>
  <w:style w:type="character" w:customStyle="1" w:styleId="303">
    <w:name w:val="标题 3 字符"/>
    <w:qFormat/>
    <w:uiPriority w:val="0"/>
    <w:rPr>
      <w:b/>
      <w:bCs/>
      <w:kern w:val="2"/>
      <w:sz w:val="32"/>
      <w:szCs w:val="32"/>
    </w:rPr>
  </w:style>
  <w:style w:type="character" w:customStyle="1" w:styleId="304">
    <w:name w:val="Char Char7"/>
    <w:qFormat/>
    <w:locked/>
    <w:uiPriority w:val="0"/>
    <w:rPr>
      <w:rFonts w:hint="eastAsia" w:ascii="宋体" w:hAnsi="宋体" w:eastAsia="宋体"/>
      <w:kern w:val="2"/>
      <w:sz w:val="21"/>
      <w:szCs w:val="24"/>
      <w:lang w:val="en-US" w:eastAsia="zh-CN" w:bidi="ar-SA"/>
    </w:rPr>
  </w:style>
  <w:style w:type="character" w:customStyle="1" w:styleId="305">
    <w:name w:val="apple-style-span"/>
    <w:qFormat/>
    <w:uiPriority w:val="0"/>
  </w:style>
  <w:style w:type="character" w:customStyle="1" w:styleId="306">
    <w:name w:val="Char Char141"/>
    <w:qFormat/>
    <w:uiPriority w:val="0"/>
    <w:rPr>
      <w:sz w:val="18"/>
      <w:szCs w:val="18"/>
    </w:rPr>
  </w:style>
  <w:style w:type="character" w:customStyle="1" w:styleId="307">
    <w:name w:val="正文文本 3 Char"/>
    <w:link w:val="308"/>
    <w:qFormat/>
    <w:uiPriority w:val="0"/>
    <w:rPr>
      <w:rFonts w:eastAsia="宋体"/>
      <w:b/>
      <w:bCs/>
      <w:kern w:val="2"/>
      <w:sz w:val="24"/>
      <w:szCs w:val="24"/>
      <w:lang w:val="en-US" w:eastAsia="zh-CN" w:bidi="ar-SA"/>
    </w:rPr>
  </w:style>
  <w:style w:type="paragraph" w:customStyle="1" w:styleId="308">
    <w:name w:val="正文文本 31"/>
    <w:basedOn w:val="1"/>
    <w:link w:val="307"/>
    <w:qFormat/>
    <w:uiPriority w:val="0"/>
    <w:pPr>
      <w:spacing w:line="500" w:lineRule="exact"/>
    </w:pPr>
    <w:rPr>
      <w:b/>
      <w:bCs/>
      <w:sz w:val="24"/>
    </w:rPr>
  </w:style>
  <w:style w:type="character" w:customStyle="1" w:styleId="309">
    <w:name w:val="ca-7"/>
    <w:qFormat/>
    <w:uiPriority w:val="0"/>
  </w:style>
  <w:style w:type="character" w:customStyle="1" w:styleId="310">
    <w:name w:val="Char Char18"/>
    <w:qFormat/>
    <w:uiPriority w:val="0"/>
    <w:rPr>
      <w:rFonts w:hint="default" w:ascii="Arial" w:hAnsi="Arial" w:eastAsia="黑体" w:cs="Arial"/>
      <w:kern w:val="2"/>
      <w:sz w:val="21"/>
      <w:szCs w:val="24"/>
      <w:lang w:val="en-US" w:eastAsia="zh-CN" w:bidi="ar-SA"/>
    </w:rPr>
  </w:style>
  <w:style w:type="character" w:customStyle="1" w:styleId="311">
    <w:name w:val="Comment Text Char"/>
    <w:qFormat/>
    <w:locked/>
    <w:uiPriority w:val="0"/>
    <w:rPr>
      <w:rFonts w:eastAsia="宋体"/>
      <w:sz w:val="24"/>
    </w:rPr>
  </w:style>
  <w:style w:type="character" w:customStyle="1" w:styleId="312">
    <w:name w:val="rili1"/>
    <w:qFormat/>
    <w:uiPriority w:val="0"/>
  </w:style>
  <w:style w:type="character" w:customStyle="1" w:styleId="313">
    <w:name w:val="FA正文 Char"/>
    <w:link w:val="314"/>
    <w:semiHidden/>
    <w:qFormat/>
    <w:locked/>
    <w:uiPriority w:val="0"/>
    <w:rPr>
      <w:rFonts w:ascii="宋体" w:hAnsi="宋体"/>
      <w:spacing w:val="10"/>
      <w:kern w:val="2"/>
      <w:sz w:val="24"/>
      <w:szCs w:val="22"/>
    </w:rPr>
  </w:style>
  <w:style w:type="paragraph" w:customStyle="1" w:styleId="314">
    <w:name w:val="FA正文"/>
    <w:basedOn w:val="1"/>
    <w:link w:val="313"/>
    <w:semiHidden/>
    <w:qFormat/>
    <w:uiPriority w:val="0"/>
    <w:pPr>
      <w:tabs>
        <w:tab w:val="left" w:pos="3375"/>
      </w:tabs>
      <w:spacing w:line="360" w:lineRule="auto"/>
      <w:ind w:firstLine="520"/>
    </w:pPr>
    <w:rPr>
      <w:rFonts w:ascii="宋体" w:hAnsi="宋体"/>
      <w:spacing w:val="10"/>
      <w:sz w:val="24"/>
      <w:szCs w:val="22"/>
    </w:rPr>
  </w:style>
  <w:style w:type="character" w:customStyle="1" w:styleId="315">
    <w:name w:val="bookmark-item uuid-1588129524349 code-23004 addword date-selection-cls readonly"/>
    <w:qFormat/>
    <w:uiPriority w:val="0"/>
  </w:style>
  <w:style w:type="character" w:customStyle="1" w:styleId="316">
    <w:name w:val="称呼 Char"/>
    <w:qFormat/>
    <w:uiPriority w:val="0"/>
    <w:rPr>
      <w:kern w:val="2"/>
      <w:sz w:val="28"/>
      <w:szCs w:val="24"/>
    </w:rPr>
  </w:style>
  <w:style w:type="character" w:customStyle="1" w:styleId="317">
    <w:name w:val="批注文字 Char"/>
    <w:qFormat/>
    <w:uiPriority w:val="0"/>
    <w:rPr>
      <w:rFonts w:eastAsia="宋体"/>
      <w:sz w:val="24"/>
      <w:lang w:bidi="ar-SA"/>
    </w:rPr>
  </w:style>
  <w:style w:type="character" w:customStyle="1" w:styleId="318">
    <w:name w:val="Body Text Char"/>
    <w:qFormat/>
    <w:locked/>
    <w:uiPriority w:val="0"/>
    <w:rPr>
      <w:rFonts w:eastAsia="宋体"/>
      <w:kern w:val="2"/>
      <w:sz w:val="24"/>
      <w:szCs w:val="24"/>
      <w:lang w:val="en-US" w:eastAsia="zh-CN" w:bidi="ar-SA"/>
    </w:rPr>
  </w:style>
  <w:style w:type="character" w:customStyle="1" w:styleId="319">
    <w:name w:val="Char Char26"/>
    <w:qFormat/>
    <w:uiPriority w:val="0"/>
    <w:rPr>
      <w:rFonts w:hint="default" w:ascii="Arial" w:hAnsi="Arial" w:eastAsia="黑体" w:cs="Arial"/>
      <w:b/>
      <w:bCs/>
      <w:sz w:val="32"/>
      <w:szCs w:val="32"/>
      <w:lang w:bidi="ar-SA"/>
    </w:rPr>
  </w:style>
  <w:style w:type="character" w:customStyle="1" w:styleId="320">
    <w:name w:val="细化要求 Char"/>
    <w:link w:val="321"/>
    <w:qFormat/>
    <w:locked/>
    <w:uiPriority w:val="0"/>
    <w:rPr>
      <w:rFonts w:ascii="楷体_GB2312" w:hAnsi="Calibri" w:eastAsia="楷体_GB2312"/>
      <w:b/>
      <w:color w:val="FF0000"/>
      <w:sz w:val="24"/>
    </w:rPr>
  </w:style>
  <w:style w:type="paragraph" w:customStyle="1" w:styleId="321">
    <w:name w:val="细化要求"/>
    <w:basedOn w:val="1"/>
    <w:link w:val="320"/>
    <w:qFormat/>
    <w:uiPriority w:val="0"/>
    <w:pPr>
      <w:ind w:firstLine="200" w:firstLineChars="200"/>
    </w:pPr>
    <w:rPr>
      <w:rFonts w:ascii="楷体_GB2312" w:hAnsi="Calibri" w:eastAsia="楷体_GB2312"/>
      <w:b/>
      <w:color w:val="FF0000"/>
      <w:kern w:val="0"/>
      <w:sz w:val="24"/>
      <w:szCs w:val="20"/>
    </w:rPr>
  </w:style>
  <w:style w:type="character" w:customStyle="1" w:styleId="322">
    <w:name w:val="text11"/>
    <w:qFormat/>
    <w:uiPriority w:val="0"/>
    <w:rPr>
      <w:rFonts w:hint="default" w:ascii="Verdana" w:hAnsi="Verdana"/>
      <w:color w:val="4E4E4E"/>
      <w:sz w:val="18"/>
      <w:szCs w:val="18"/>
    </w:rPr>
  </w:style>
  <w:style w:type="character" w:customStyle="1" w:styleId="323">
    <w:name w:val="Char Char14"/>
    <w:qFormat/>
    <w:uiPriority w:val="0"/>
    <w:rPr>
      <w:sz w:val="18"/>
      <w:szCs w:val="18"/>
    </w:rPr>
  </w:style>
  <w:style w:type="character" w:customStyle="1" w:styleId="324">
    <w:name w:val="Char Char32"/>
    <w:qFormat/>
    <w:locked/>
    <w:uiPriority w:val="0"/>
    <w:rPr>
      <w:rFonts w:hint="eastAsia" w:ascii="宋体" w:hAnsi="宋体" w:eastAsia="宋体"/>
      <w:b/>
      <w:kern w:val="2"/>
      <w:sz w:val="28"/>
      <w:szCs w:val="24"/>
      <w:lang w:val="en-US" w:eastAsia="zh-CN" w:bidi="ar-SA"/>
    </w:rPr>
  </w:style>
  <w:style w:type="character" w:customStyle="1" w:styleId="325">
    <w:name w:val="页码 New"/>
    <w:qFormat/>
    <w:uiPriority w:val="0"/>
  </w:style>
  <w:style w:type="character" w:customStyle="1" w:styleId="326">
    <w:name w:val="Char Char Char Char Char Char"/>
    <w:qFormat/>
    <w:uiPriority w:val="0"/>
    <w:rPr>
      <w:rFonts w:hint="eastAsia" w:ascii="宋体" w:hAnsi="宋体" w:eastAsia="宋体"/>
      <w:b/>
      <w:bCs/>
      <w:kern w:val="44"/>
      <w:sz w:val="44"/>
      <w:szCs w:val="44"/>
      <w:lang w:val="en-US" w:eastAsia="zh-CN" w:bidi="ar-SA"/>
    </w:rPr>
  </w:style>
  <w:style w:type="character" w:customStyle="1" w:styleId="327">
    <w:name w:val="Char Char232"/>
    <w:qFormat/>
    <w:uiPriority w:val="0"/>
    <w:rPr>
      <w:rFonts w:ascii="Times New Roman" w:hAnsi="Times New Roman" w:eastAsia="宋体" w:cs="Times New Roman"/>
      <w:b/>
      <w:bCs/>
      <w:kern w:val="44"/>
      <w:sz w:val="44"/>
      <w:szCs w:val="44"/>
    </w:rPr>
  </w:style>
  <w:style w:type="character" w:customStyle="1" w:styleId="328">
    <w:name w:val="副标题 Char1"/>
    <w:qFormat/>
    <w:uiPriority w:val="11"/>
    <w:rPr>
      <w:rFonts w:hint="default" w:ascii="Cambria" w:hAnsi="Cambria" w:cs="Times New Roman"/>
      <w:b/>
      <w:bCs/>
      <w:kern w:val="28"/>
      <w:sz w:val="32"/>
      <w:szCs w:val="32"/>
    </w:rPr>
  </w:style>
  <w:style w:type="character" w:customStyle="1" w:styleId="329">
    <w:name w:val="style21"/>
    <w:qFormat/>
    <w:uiPriority w:val="0"/>
    <w:rPr>
      <w:sz w:val="18"/>
      <w:szCs w:val="18"/>
    </w:rPr>
  </w:style>
  <w:style w:type="character" w:customStyle="1" w:styleId="330">
    <w:name w:val="手改 Char Char1"/>
    <w:qFormat/>
    <w:locked/>
    <w:uiPriority w:val="0"/>
    <w:rPr>
      <w:rFonts w:hint="eastAsia" w:ascii="宋体" w:hAnsi="宋体" w:eastAsia="宋体"/>
      <w:sz w:val="24"/>
      <w:szCs w:val="24"/>
      <w:lang w:bidi="ar-SA"/>
    </w:rPr>
  </w:style>
  <w:style w:type="character" w:customStyle="1" w:styleId="331">
    <w:name w:val="Char Char Char1"/>
    <w:qFormat/>
    <w:uiPriority w:val="0"/>
    <w:rPr>
      <w:rFonts w:hint="eastAsia" w:ascii="宋体" w:hAnsi="宋体" w:eastAsia="宋体"/>
      <w:kern w:val="2"/>
      <w:sz w:val="18"/>
      <w:szCs w:val="18"/>
      <w:lang w:val="en-US" w:eastAsia="zh-CN" w:bidi="ar-SA"/>
    </w:rPr>
  </w:style>
  <w:style w:type="character" w:customStyle="1" w:styleId="332">
    <w:name w:val="Char Char1421"/>
    <w:qFormat/>
    <w:uiPriority w:val="0"/>
    <w:rPr>
      <w:sz w:val="18"/>
      <w:szCs w:val="18"/>
    </w:rPr>
  </w:style>
  <w:style w:type="character" w:customStyle="1" w:styleId="333">
    <w:name w:val="页脚 字符"/>
    <w:qFormat/>
    <w:locked/>
    <w:uiPriority w:val="99"/>
    <w:rPr>
      <w:sz w:val="18"/>
      <w:szCs w:val="18"/>
    </w:rPr>
  </w:style>
  <w:style w:type="character" w:customStyle="1" w:styleId="334">
    <w:name w:val="Char Char142"/>
    <w:qFormat/>
    <w:uiPriority w:val="0"/>
    <w:rPr>
      <w:sz w:val="18"/>
      <w:szCs w:val="18"/>
    </w:rPr>
  </w:style>
  <w:style w:type="character" w:customStyle="1" w:styleId="335">
    <w:name w:val="ca-10"/>
    <w:qFormat/>
    <w:uiPriority w:val="0"/>
  </w:style>
  <w:style w:type="character" w:customStyle="1" w:styleId="336">
    <w:name w:val="Char Char102"/>
    <w:semiHidden/>
    <w:qFormat/>
    <w:uiPriority w:val="0"/>
    <w:rPr>
      <w:rFonts w:eastAsia="宋体"/>
      <w:kern w:val="2"/>
      <w:sz w:val="24"/>
      <w:szCs w:val="24"/>
      <w:lang w:val="en-US" w:eastAsia="zh-CN" w:bidi="ar-SA"/>
    </w:rPr>
  </w:style>
  <w:style w:type="character" w:customStyle="1" w:styleId="337">
    <w:name w:val="手改 Char Char"/>
    <w:qFormat/>
    <w:uiPriority w:val="0"/>
    <w:rPr>
      <w:rFonts w:hint="eastAsia" w:ascii="宋体" w:hAnsi="宋体" w:eastAsia="宋体"/>
      <w:kern w:val="2"/>
      <w:sz w:val="24"/>
      <w:szCs w:val="24"/>
      <w:lang w:val="en-US" w:eastAsia="zh-CN" w:bidi="ar-SA"/>
    </w:rPr>
  </w:style>
  <w:style w:type="character" w:customStyle="1" w:styleId="338">
    <w:name w:val="H1 Char2"/>
    <w:qFormat/>
    <w:uiPriority w:val="0"/>
    <w:rPr>
      <w:rFonts w:eastAsia="宋体"/>
      <w:b/>
      <w:bCs/>
      <w:kern w:val="44"/>
      <w:sz w:val="44"/>
      <w:szCs w:val="44"/>
      <w:lang w:val="en-US" w:eastAsia="zh-CN" w:bidi="ar-SA"/>
    </w:rPr>
  </w:style>
  <w:style w:type="character" w:customStyle="1" w:styleId="339">
    <w:name w:val="Char Char19"/>
    <w:qFormat/>
    <w:uiPriority w:val="0"/>
    <w:rPr>
      <w:rFonts w:hint="default" w:ascii="Arial" w:hAnsi="Arial" w:eastAsia="黑体" w:cs="Arial"/>
      <w:kern w:val="2"/>
      <w:sz w:val="24"/>
      <w:szCs w:val="24"/>
      <w:lang w:val="en-US" w:eastAsia="zh-CN" w:bidi="ar-SA"/>
    </w:rPr>
  </w:style>
  <w:style w:type="character" w:customStyle="1" w:styleId="340">
    <w:name w:val="副标题 Char4"/>
    <w:qFormat/>
    <w:uiPriority w:val="11"/>
    <w:rPr>
      <w:rFonts w:hint="default" w:ascii="Cambria" w:hAnsi="Cambria" w:cs="Times New Roman"/>
      <w:b/>
      <w:bCs/>
      <w:kern w:val="28"/>
      <w:sz w:val="32"/>
      <w:szCs w:val="32"/>
    </w:rPr>
  </w:style>
  <w:style w:type="character" w:customStyle="1" w:styleId="341">
    <w:name w:val="已访问的超链接1"/>
    <w:qFormat/>
    <w:uiPriority w:val="99"/>
    <w:rPr>
      <w:color w:val="800080"/>
      <w:u w:val="single"/>
    </w:rPr>
  </w:style>
  <w:style w:type="character" w:customStyle="1" w:styleId="342">
    <w:name w:val="prodname"/>
    <w:qFormat/>
    <w:uiPriority w:val="0"/>
  </w:style>
  <w:style w:type="character" w:customStyle="1" w:styleId="343">
    <w:name w:val="正文首行缩进 Char"/>
    <w:qFormat/>
    <w:uiPriority w:val="0"/>
    <w:rPr>
      <w:rFonts w:eastAsia="宋体"/>
      <w:kern w:val="2"/>
      <w:sz w:val="21"/>
      <w:szCs w:val="24"/>
      <w:lang w:val="en-US" w:eastAsia="zh-CN" w:bidi="ar-SA"/>
    </w:rPr>
  </w:style>
  <w:style w:type="character" w:customStyle="1" w:styleId="344">
    <w:name w:val="Char Char1111"/>
    <w:qFormat/>
    <w:uiPriority w:val="0"/>
    <w:rPr>
      <w:rFonts w:hint="default" w:ascii="Times New Roman" w:hAnsi="Times New Roman" w:eastAsia="宋体" w:cs="Times New Roman"/>
      <w:sz w:val="30"/>
      <w:szCs w:val="24"/>
    </w:rPr>
  </w:style>
  <w:style w:type="character" w:customStyle="1" w:styleId="345">
    <w:name w:val="正文首行缩进 Char2"/>
    <w:qFormat/>
    <w:uiPriority w:val="99"/>
    <w:rPr>
      <w:rFonts w:hint="eastAsia" w:ascii="宋体" w:hAnsi="宋体" w:eastAsia="宋体"/>
      <w:kern w:val="2"/>
      <w:sz w:val="21"/>
      <w:szCs w:val="24"/>
      <w:lang w:val="en-US" w:eastAsia="zh-CN" w:bidi="ar-SA"/>
    </w:rPr>
  </w:style>
  <w:style w:type="character" w:customStyle="1" w:styleId="346">
    <w:name w:val="Char Char35"/>
    <w:qFormat/>
    <w:locked/>
    <w:uiPriority w:val="0"/>
    <w:rPr>
      <w:rFonts w:hint="default" w:ascii="Arial" w:hAnsi="Arial" w:eastAsia="黑体" w:cs="宋体"/>
      <w:b/>
      <w:bCs/>
      <w:kern w:val="2"/>
      <w:sz w:val="32"/>
      <w:szCs w:val="32"/>
      <w:lang w:val="en-US" w:eastAsia="zh-CN" w:bidi="ar-SA"/>
    </w:rPr>
  </w:style>
  <w:style w:type="character" w:customStyle="1" w:styleId="347">
    <w:name w:val="case31"/>
    <w:qFormat/>
    <w:uiPriority w:val="0"/>
    <w:rPr>
      <w:rFonts w:hint="default"/>
      <w:sz w:val="21"/>
      <w:szCs w:val="21"/>
    </w:rPr>
  </w:style>
  <w:style w:type="character" w:customStyle="1" w:styleId="348">
    <w:name w:val="页码 New New New New"/>
    <w:qFormat/>
    <w:uiPriority w:val="0"/>
  </w:style>
  <w:style w:type="character" w:customStyle="1" w:styleId="349">
    <w:name w:val="bookmark-item uuid-1596004745033 code-00010 editdisable single-line-text-input-box-cls readonly"/>
    <w:qFormat/>
    <w:uiPriority w:val="0"/>
  </w:style>
  <w:style w:type="character" w:customStyle="1" w:styleId="350">
    <w:name w:val="H1 Char1"/>
    <w:qFormat/>
    <w:uiPriority w:val="0"/>
    <w:rPr>
      <w:rFonts w:eastAsia="宋体"/>
      <w:b/>
      <w:bCs/>
      <w:kern w:val="44"/>
      <w:sz w:val="44"/>
      <w:szCs w:val="44"/>
      <w:lang w:val="en-US" w:eastAsia="zh-CN" w:bidi="ar-SA"/>
    </w:rPr>
  </w:style>
  <w:style w:type="character" w:customStyle="1" w:styleId="351">
    <w:name w:val="bookmark-item uuid-1595940687802 code-23021 editdisable multi-line-text-input-box-cls readonly"/>
    <w:qFormat/>
    <w:uiPriority w:val="0"/>
  </w:style>
  <w:style w:type="character" w:customStyle="1" w:styleId="352">
    <w:name w:val="1ji Char"/>
    <w:link w:val="353"/>
    <w:qFormat/>
    <w:uiPriority w:val="0"/>
    <w:rPr>
      <w:rFonts w:ascii="宋体" w:hAnsi="宋体" w:eastAsia="宋体"/>
      <w:b/>
      <w:bCs/>
      <w:kern w:val="44"/>
      <w:sz w:val="36"/>
      <w:szCs w:val="44"/>
      <w:lang w:val="en-US" w:eastAsia="zh-CN" w:bidi="ar-SA"/>
    </w:rPr>
  </w:style>
  <w:style w:type="paragraph" w:customStyle="1" w:styleId="353">
    <w:name w:val="1ji"/>
    <w:basedOn w:val="3"/>
    <w:link w:val="352"/>
    <w:qFormat/>
    <w:uiPriority w:val="0"/>
    <w:pPr>
      <w:keepLines w:val="0"/>
      <w:widowControl/>
      <w:spacing w:before="0" w:after="0" w:line="240" w:lineRule="auto"/>
      <w:jc w:val="center"/>
    </w:pPr>
    <w:rPr>
      <w:rFonts w:ascii="宋体" w:hAnsi="宋体"/>
      <w:sz w:val="36"/>
    </w:rPr>
  </w:style>
  <w:style w:type="character" w:customStyle="1" w:styleId="354">
    <w:name w:val="bookmark-item uuid-1595941076685 code-am014biditemcount editdisable single-line-text-input-box-cls"/>
    <w:qFormat/>
    <w:uiPriority w:val="0"/>
  </w:style>
  <w:style w:type="character" w:customStyle="1" w:styleId="355">
    <w:name w:val="bookmark-item uuid-1593421202487 code-am014briefspecificationdesc editdisable single-line-text-input-box-cls"/>
    <w:qFormat/>
    <w:uiPriority w:val="0"/>
  </w:style>
  <w:style w:type="character" w:customStyle="1" w:styleId="356">
    <w:name w:val="标题 1 Char"/>
    <w:qFormat/>
    <w:uiPriority w:val="0"/>
    <w:rPr>
      <w:rFonts w:eastAsia="宋体"/>
      <w:b/>
      <w:bCs/>
      <w:kern w:val="44"/>
      <w:sz w:val="44"/>
      <w:szCs w:val="44"/>
      <w:lang w:val="en-US" w:eastAsia="zh-CN" w:bidi="ar-SA"/>
    </w:rPr>
  </w:style>
  <w:style w:type="character" w:customStyle="1" w:styleId="357">
    <w:name w:val="ca-13"/>
    <w:qFormat/>
    <w:uiPriority w:val="0"/>
  </w:style>
  <w:style w:type="character" w:customStyle="1" w:styleId="358">
    <w:name w:val="Char Char113"/>
    <w:qFormat/>
    <w:uiPriority w:val="0"/>
    <w:rPr>
      <w:rFonts w:hint="default" w:ascii="Times New Roman" w:hAnsi="Times New Roman" w:eastAsia="宋体" w:cs="Times New Roman"/>
      <w:sz w:val="30"/>
      <w:szCs w:val="24"/>
    </w:rPr>
  </w:style>
  <w:style w:type="character" w:customStyle="1" w:styleId="359">
    <w:name w:val="ca-14"/>
    <w:qFormat/>
    <w:uiPriority w:val="0"/>
  </w:style>
  <w:style w:type="character" w:customStyle="1" w:styleId="360">
    <w:name w:val="批注主题 Char2"/>
    <w:qFormat/>
    <w:uiPriority w:val="0"/>
    <w:rPr>
      <w:rFonts w:hint="eastAsia" w:ascii="宋体" w:hAnsi="宋体" w:eastAsia="宋体"/>
      <w:b/>
      <w:bCs/>
      <w:kern w:val="2"/>
      <w:sz w:val="21"/>
      <w:szCs w:val="24"/>
    </w:rPr>
  </w:style>
  <w:style w:type="character" w:customStyle="1" w:styleId="361">
    <w:name w:val="列出段落 Char1"/>
    <w:qFormat/>
    <w:locked/>
    <w:uiPriority w:val="0"/>
    <w:rPr>
      <w:rFonts w:hint="default" w:ascii="Calibri" w:hAnsi="Calibri" w:cs="Calibri"/>
      <w:kern w:val="2"/>
      <w:sz w:val="21"/>
      <w:szCs w:val="22"/>
    </w:rPr>
  </w:style>
  <w:style w:type="character" w:customStyle="1" w:styleId="362">
    <w:name w:val="页码 New New New New New New New New New"/>
    <w:qFormat/>
    <w:uiPriority w:val="0"/>
  </w:style>
  <w:style w:type="character" w:customStyle="1" w:styleId="363">
    <w:name w:val="列出段落 字符"/>
    <w:qFormat/>
    <w:uiPriority w:val="99"/>
    <w:rPr>
      <w:rFonts w:ascii="Calibri" w:hAnsi="Calibri" w:eastAsia="宋体"/>
      <w:kern w:val="2"/>
      <w:sz w:val="21"/>
      <w:szCs w:val="22"/>
      <w:lang w:val="en-US" w:eastAsia="zh-CN" w:bidi="ar-SA"/>
    </w:rPr>
  </w:style>
  <w:style w:type="character" w:customStyle="1" w:styleId="364">
    <w:name w:val="ca-8"/>
    <w:qFormat/>
    <w:uiPriority w:val="0"/>
  </w:style>
  <w:style w:type="character" w:customStyle="1" w:styleId="365">
    <w:name w:val="Char Char"/>
    <w:qFormat/>
    <w:uiPriority w:val="0"/>
    <w:rPr>
      <w:rFonts w:hint="eastAsia" w:ascii="宋体" w:hAnsi="宋体" w:eastAsia="宋体"/>
      <w:kern w:val="2"/>
      <w:sz w:val="16"/>
      <w:szCs w:val="16"/>
      <w:lang w:val="en-US" w:eastAsia="zh-CN" w:bidi="ar-SA"/>
    </w:rPr>
  </w:style>
  <w:style w:type="character" w:customStyle="1" w:styleId="366">
    <w:name w:val="bookmark-item uuid-1595940713919 code-am01400046 editdisable single-line-text-input-box-cls readonly"/>
    <w:qFormat/>
    <w:uiPriority w:val="0"/>
  </w:style>
  <w:style w:type="character" w:customStyle="1" w:styleId="367">
    <w:name w:val="cubane_hilight1"/>
    <w:qFormat/>
    <w:uiPriority w:val="0"/>
    <w:rPr>
      <w:color w:val="CC0000"/>
    </w:rPr>
  </w:style>
  <w:style w:type="character" w:customStyle="1" w:styleId="368">
    <w:name w:val="bookmark-item uuid-1594624265677 code-23006 addword afternoon-time-section-selection-cls"/>
    <w:qFormat/>
    <w:uiPriority w:val="0"/>
  </w:style>
  <w:style w:type="character" w:customStyle="1" w:styleId="369">
    <w:name w:val="Char Char6"/>
    <w:qFormat/>
    <w:locked/>
    <w:uiPriority w:val="0"/>
    <w:rPr>
      <w:rFonts w:hint="eastAsia" w:ascii="宋体" w:hAnsi="Courier New" w:eastAsia="宋体" w:cs="Courier New"/>
      <w:kern w:val="2"/>
      <w:sz w:val="21"/>
      <w:szCs w:val="21"/>
      <w:lang w:val="en-US" w:eastAsia="zh-CN" w:bidi="ar-SA"/>
    </w:rPr>
  </w:style>
  <w:style w:type="character" w:customStyle="1" w:styleId="370">
    <w:name w:val="页码 New New"/>
    <w:qFormat/>
    <w:uiPriority w:val="0"/>
  </w:style>
  <w:style w:type="character" w:customStyle="1" w:styleId="371">
    <w:name w:val="正文文字首行缩进 Char"/>
    <w:qFormat/>
    <w:locked/>
    <w:uiPriority w:val="0"/>
    <w:rPr>
      <w:rFonts w:ascii="仿宋_GB2312" w:eastAsia="仿宋_GB2312"/>
      <w:kern w:val="2"/>
      <w:sz w:val="32"/>
    </w:rPr>
  </w:style>
  <w:style w:type="character" w:customStyle="1" w:styleId="372">
    <w:name w:val="font61"/>
    <w:qFormat/>
    <w:uiPriority w:val="0"/>
    <w:rPr>
      <w:rFonts w:hint="eastAsia" w:ascii="黑体" w:hAnsi="宋体" w:eastAsia="黑体" w:cs="黑体"/>
      <w:b/>
      <w:color w:val="000000"/>
      <w:sz w:val="40"/>
      <w:szCs w:val="40"/>
      <w:u w:val="single"/>
    </w:rPr>
  </w:style>
  <w:style w:type="character" w:customStyle="1" w:styleId="373">
    <w:name w:val="font81"/>
    <w:qFormat/>
    <w:uiPriority w:val="0"/>
    <w:rPr>
      <w:rFonts w:hint="default" w:ascii="华文宋体" w:hAnsi="华文宋体" w:eastAsia="华文宋体" w:cs="华文宋体"/>
      <w:color w:val="000000"/>
      <w:sz w:val="24"/>
      <w:szCs w:val="24"/>
      <w:u w:val="none"/>
    </w:rPr>
  </w:style>
  <w:style w:type="character" w:customStyle="1" w:styleId="374">
    <w:name w:val="Char Char22"/>
    <w:qFormat/>
    <w:uiPriority w:val="0"/>
    <w:rPr>
      <w:rFonts w:hint="eastAsia" w:ascii="宋体" w:hAnsi="宋体" w:eastAsia="宋体"/>
      <w:b/>
      <w:kern w:val="2"/>
      <w:sz w:val="28"/>
      <w:szCs w:val="24"/>
      <w:lang w:val="en-US" w:eastAsia="zh-CN" w:bidi="ar-SA"/>
    </w:rPr>
  </w:style>
  <w:style w:type="character" w:customStyle="1" w:styleId="375">
    <w:name w:val="mark13"/>
    <w:qFormat/>
    <w:uiPriority w:val="0"/>
  </w:style>
  <w:style w:type="character" w:customStyle="1" w:styleId="376">
    <w:name w:val="Plain Text Char"/>
    <w:link w:val="377"/>
    <w:qFormat/>
    <w:locked/>
    <w:uiPriority w:val="0"/>
    <w:rPr>
      <w:rFonts w:ascii="宋体" w:hAnsi="Courier New" w:eastAsia="宋体"/>
      <w:kern w:val="2"/>
      <w:sz w:val="21"/>
    </w:rPr>
  </w:style>
  <w:style w:type="paragraph" w:customStyle="1" w:styleId="377">
    <w:name w:val="纯文本1"/>
    <w:basedOn w:val="1"/>
    <w:link w:val="376"/>
    <w:qFormat/>
    <w:uiPriority w:val="0"/>
    <w:rPr>
      <w:rFonts w:ascii="宋体" w:hAnsi="Courier New"/>
      <w:szCs w:val="20"/>
    </w:rPr>
  </w:style>
  <w:style w:type="character" w:customStyle="1" w:styleId="378">
    <w:name w:val="Char Char151"/>
    <w:qFormat/>
    <w:uiPriority w:val="0"/>
    <w:rPr>
      <w:sz w:val="18"/>
      <w:szCs w:val="18"/>
    </w:rPr>
  </w:style>
  <w:style w:type="character" w:customStyle="1" w:styleId="379">
    <w:name w:val="bookmark-item uuid-1596004672274 code-00018 addword single-line-text-input-box-cls"/>
    <w:qFormat/>
    <w:uiPriority w:val="0"/>
  </w:style>
  <w:style w:type="paragraph" w:customStyle="1" w:styleId="38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1">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2">
    <w:name w:val="Char Char Char Char Char Char Char Char Char"/>
    <w:basedOn w:val="1"/>
    <w:qFormat/>
    <w:uiPriority w:val="0"/>
    <w:pPr>
      <w:widowControl/>
      <w:spacing w:after="160" w:line="240" w:lineRule="exact"/>
      <w:jc w:val="left"/>
    </w:pPr>
    <w:rPr>
      <w:szCs w:val="20"/>
    </w:rPr>
  </w:style>
  <w:style w:type="paragraph" w:customStyle="1" w:styleId="383">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4">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385">
    <w:name w:val="我的正文"/>
    <w:basedOn w:val="1"/>
    <w:qFormat/>
    <w:uiPriority w:val="0"/>
    <w:pPr>
      <w:spacing w:line="520" w:lineRule="exact"/>
      <w:ind w:firstLine="192" w:firstLineChars="192"/>
    </w:pPr>
    <w:rPr>
      <w:sz w:val="28"/>
      <w:szCs w:val="28"/>
    </w:rPr>
  </w:style>
  <w:style w:type="paragraph" w:customStyle="1" w:styleId="386">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38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8">
    <w:name w:val="Char"/>
    <w:basedOn w:val="17"/>
    <w:qFormat/>
    <w:uiPriority w:val="0"/>
    <w:pPr>
      <w:widowControl/>
      <w:ind w:firstLine="454"/>
      <w:jc w:val="left"/>
    </w:pPr>
    <w:rPr>
      <w:rFonts w:ascii="Tahoma" w:hAnsi="Tahoma" w:cs="宋体"/>
      <w:kern w:val="0"/>
      <w:sz w:val="24"/>
      <w:szCs w:val="20"/>
    </w:rPr>
  </w:style>
  <w:style w:type="paragraph" w:customStyle="1" w:styleId="3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0">
    <w:name w:val="纯文本2"/>
    <w:basedOn w:val="1"/>
    <w:qFormat/>
    <w:uiPriority w:val="0"/>
    <w:rPr>
      <w:rFonts w:ascii="宋体" w:hAnsi="Courier New"/>
      <w:szCs w:val="20"/>
    </w:rPr>
  </w:style>
  <w:style w:type="paragraph" w:customStyle="1" w:styleId="391">
    <w:name w:val="纯文本 New New"/>
    <w:basedOn w:val="392"/>
    <w:qFormat/>
    <w:uiPriority w:val="0"/>
    <w:rPr>
      <w:rFonts w:ascii="宋体" w:hAnsi="Courier New" w:cs="Courier New"/>
      <w:szCs w:val="21"/>
    </w:rPr>
  </w:style>
  <w:style w:type="paragraph" w:customStyle="1" w:styleId="392">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394">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样式 标题 3标题1.1二级节名h33rd level3l3Level 3 HeadH3heading 3 +..."/>
    <w:basedOn w:val="5"/>
    <w:qFormat/>
    <w:uiPriority w:val="0"/>
    <w:pPr>
      <w:numPr>
        <w:ilvl w:val="2"/>
        <w:numId w:val="1"/>
      </w:numPr>
      <w:spacing w:before="0" w:after="0" w:line="360" w:lineRule="auto"/>
      <w:jc w:val="left"/>
    </w:pPr>
    <w:rPr>
      <w:sz w:val="28"/>
      <w:szCs w:val="20"/>
    </w:rPr>
  </w:style>
  <w:style w:type="paragraph" w:customStyle="1" w:styleId="396">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39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8">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9">
    <w:name w:val="页眉 New"/>
    <w:basedOn w:val="400"/>
    <w:qFormat/>
    <w:uiPriority w:val="0"/>
    <w:pPr>
      <w:pBdr>
        <w:bottom w:val="single" w:color="auto" w:sz="6" w:space="1"/>
      </w:pBdr>
      <w:tabs>
        <w:tab w:val="center" w:pos="4153"/>
        <w:tab w:val="right" w:pos="8306"/>
      </w:tabs>
      <w:snapToGrid w:val="0"/>
      <w:jc w:val="center"/>
    </w:pPr>
    <w:rPr>
      <w:sz w:val="18"/>
      <w:szCs w:val="18"/>
    </w:rPr>
  </w:style>
  <w:style w:type="paragraph" w:customStyle="1" w:styleId="4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Char4"/>
    <w:basedOn w:val="17"/>
    <w:qFormat/>
    <w:uiPriority w:val="0"/>
    <w:pPr>
      <w:widowControl/>
      <w:ind w:firstLine="454"/>
      <w:jc w:val="left"/>
    </w:pPr>
    <w:rPr>
      <w:rFonts w:ascii="Tahoma" w:hAnsi="Tahoma" w:cs="宋体"/>
      <w:kern w:val="0"/>
      <w:sz w:val="24"/>
      <w:szCs w:val="20"/>
    </w:rPr>
  </w:style>
  <w:style w:type="paragraph" w:customStyle="1" w:styleId="40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03">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4">
    <w:name w:val="Char1 Char Char Char Char Char Char"/>
    <w:basedOn w:val="1"/>
    <w:qFormat/>
    <w:uiPriority w:val="0"/>
    <w:rPr>
      <w:rFonts w:ascii="Tahoma" w:hAnsi="Tahoma"/>
      <w:sz w:val="24"/>
      <w:szCs w:val="20"/>
    </w:rPr>
  </w:style>
  <w:style w:type="paragraph" w:customStyle="1" w:styleId="405">
    <w:name w:val="p0"/>
    <w:basedOn w:val="1"/>
    <w:qFormat/>
    <w:uiPriority w:val="0"/>
    <w:pPr>
      <w:widowControl/>
    </w:pPr>
    <w:rPr>
      <w:kern w:val="0"/>
      <w:szCs w:val="21"/>
    </w:rPr>
  </w:style>
  <w:style w:type="paragraph" w:customStyle="1" w:styleId="406">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07">
    <w:name w:val="Header Odd"/>
    <w:basedOn w:val="36"/>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08">
    <w:name w:val="pa-7"/>
    <w:basedOn w:val="1"/>
    <w:qFormat/>
    <w:uiPriority w:val="0"/>
    <w:pPr>
      <w:widowControl/>
      <w:spacing w:before="169" w:after="169"/>
      <w:jc w:val="left"/>
    </w:pPr>
    <w:rPr>
      <w:rFonts w:ascii="宋体" w:hAnsi="宋体" w:cs="宋体"/>
      <w:kern w:val="0"/>
      <w:sz w:val="24"/>
    </w:rPr>
  </w:style>
  <w:style w:type="paragraph" w:customStyle="1" w:styleId="409">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410">
    <w:name w:val="Char1"/>
    <w:basedOn w:val="1"/>
    <w:qFormat/>
    <w:uiPriority w:val="0"/>
    <w:rPr>
      <w:szCs w:val="21"/>
    </w:rPr>
  </w:style>
  <w:style w:type="paragraph" w:customStyle="1" w:styleId="411">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12">
    <w:name w:val="纯文本 New"/>
    <w:basedOn w:val="1"/>
    <w:qFormat/>
    <w:uiPriority w:val="0"/>
    <w:rPr>
      <w:rFonts w:ascii="宋体" w:hAnsi="Courier New" w:cs="Courier New"/>
      <w:szCs w:val="21"/>
    </w:rPr>
  </w:style>
  <w:style w:type="paragraph" w:customStyle="1" w:styleId="41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5">
    <w:name w:val="正文1"/>
    <w:basedOn w:val="1"/>
    <w:qFormat/>
    <w:uiPriority w:val="0"/>
    <w:rPr>
      <w:rFonts w:eastAsia="Times New Roman" w:cs="宋体"/>
      <w:kern w:val="0"/>
      <w:szCs w:val="20"/>
      <w:lang w:eastAsia="en-US"/>
    </w:rPr>
  </w:style>
  <w:style w:type="paragraph" w:customStyle="1" w:styleId="41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17">
    <w:name w:val="页眉 New New New New New New New New New"/>
    <w:basedOn w:val="418"/>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20">
    <w:name w:val="正文首行缩进两字符"/>
    <w:basedOn w:val="1"/>
    <w:qFormat/>
    <w:uiPriority w:val="0"/>
    <w:pPr>
      <w:spacing w:line="360" w:lineRule="auto"/>
      <w:ind w:firstLine="200" w:firstLineChars="200"/>
    </w:pPr>
  </w:style>
  <w:style w:type="paragraph" w:customStyle="1" w:styleId="421">
    <w:name w:val="pa-6"/>
    <w:basedOn w:val="1"/>
    <w:qFormat/>
    <w:uiPriority w:val="0"/>
    <w:pPr>
      <w:widowControl/>
      <w:spacing w:before="169" w:after="169"/>
      <w:jc w:val="left"/>
    </w:pPr>
    <w:rPr>
      <w:rFonts w:ascii="宋体" w:hAnsi="宋体" w:cs="宋体"/>
      <w:kern w:val="0"/>
      <w:sz w:val="24"/>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24">
    <w:name w:val="Char2"/>
    <w:basedOn w:val="1"/>
    <w:qFormat/>
    <w:uiPriority w:val="0"/>
    <w:rPr>
      <w:szCs w:val="20"/>
    </w:rPr>
  </w:style>
  <w:style w:type="paragraph" w:customStyle="1" w:styleId="425">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4"/>
    <w:basedOn w:val="1"/>
    <w:qFormat/>
    <w:uiPriority w:val="0"/>
    <w:pPr>
      <w:widowControl/>
      <w:spacing w:before="169" w:after="169"/>
      <w:jc w:val="left"/>
    </w:pPr>
    <w:rPr>
      <w:rFonts w:ascii="宋体" w:hAnsi="宋体" w:cs="宋体"/>
      <w:kern w:val="0"/>
      <w:sz w:val="24"/>
    </w:rPr>
  </w:style>
  <w:style w:type="paragraph" w:customStyle="1" w:styleId="427">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8">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29">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0">
    <w:name w:val="Char22"/>
    <w:basedOn w:val="1"/>
    <w:qFormat/>
    <w:uiPriority w:val="0"/>
    <w:rPr>
      <w:szCs w:val="20"/>
    </w:rPr>
  </w:style>
  <w:style w:type="paragraph" w:customStyle="1" w:styleId="431">
    <w:name w:val="招标标题1"/>
    <w:basedOn w:val="5"/>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432">
    <w:name w:val="表格文字"/>
    <w:basedOn w:val="1"/>
    <w:qFormat/>
    <w:uiPriority w:val="99"/>
    <w:pPr>
      <w:spacing w:before="25" w:after="25"/>
      <w:jc w:val="left"/>
    </w:pPr>
    <w:rPr>
      <w:bCs/>
      <w:spacing w:val="10"/>
      <w:kern w:val="0"/>
      <w:sz w:val="24"/>
    </w:rPr>
  </w:style>
  <w:style w:type="paragraph" w:customStyle="1" w:styleId="433">
    <w:name w:val="Char21"/>
    <w:basedOn w:val="1"/>
    <w:qFormat/>
    <w:uiPriority w:val="0"/>
    <w:pPr>
      <w:widowControl/>
      <w:spacing w:line="240" w:lineRule="exact"/>
      <w:jc w:val="left"/>
    </w:pPr>
    <w:rPr>
      <w:rFonts w:ascii="Verdana" w:hAnsi="Verdana"/>
      <w:kern w:val="0"/>
      <w:szCs w:val="20"/>
      <w:lang w:eastAsia="en-US"/>
    </w:rPr>
  </w:style>
  <w:style w:type="paragraph" w:customStyle="1" w:styleId="434">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35">
    <w:name w:val="Char Char1 Char Char Char Char"/>
    <w:basedOn w:val="17"/>
    <w:qFormat/>
    <w:uiPriority w:val="0"/>
    <w:rPr>
      <w:rFonts w:ascii="Tahoma" w:hAnsi="Tahoma"/>
      <w:sz w:val="24"/>
    </w:rPr>
  </w:style>
  <w:style w:type="paragraph" w:customStyle="1" w:styleId="436">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3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40">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443">
    <w:name w:val="列表段落1"/>
    <w:basedOn w:val="1"/>
    <w:qFormat/>
    <w:uiPriority w:val="0"/>
    <w:pPr>
      <w:ind w:firstLine="420" w:firstLineChars="200"/>
    </w:pPr>
    <w:rPr>
      <w:rFonts w:ascii="Calibri" w:hAnsi="Calibri"/>
      <w:szCs w:val="22"/>
    </w:rPr>
  </w:style>
  <w:style w:type="paragraph" w:customStyle="1" w:styleId="444">
    <w:name w:val="pa-11"/>
    <w:basedOn w:val="1"/>
    <w:qFormat/>
    <w:uiPriority w:val="0"/>
    <w:pPr>
      <w:widowControl/>
      <w:spacing w:before="169" w:after="169"/>
      <w:jc w:val="left"/>
    </w:pPr>
    <w:rPr>
      <w:rFonts w:ascii="宋体" w:hAnsi="宋体" w:cs="宋体"/>
      <w:kern w:val="0"/>
      <w:sz w:val="24"/>
    </w:rPr>
  </w:style>
  <w:style w:type="paragraph" w:customStyle="1" w:styleId="445">
    <w:name w:val="paragraph1"/>
    <w:basedOn w:val="1"/>
    <w:qFormat/>
    <w:uiPriority w:val="0"/>
    <w:pPr>
      <w:spacing w:line="300" w:lineRule="auto"/>
      <w:ind w:firstLine="200" w:firstLineChars="200"/>
    </w:pPr>
    <w:rPr>
      <w:sz w:val="24"/>
    </w:rPr>
  </w:style>
  <w:style w:type="paragraph" w:customStyle="1" w:styleId="44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47">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448">
    <w:name w:val="Char Char1 Char Char Char Char1"/>
    <w:basedOn w:val="17"/>
    <w:qFormat/>
    <w:uiPriority w:val="0"/>
    <w:rPr>
      <w:rFonts w:ascii="Tahoma" w:hAnsi="Tahoma"/>
      <w:sz w:val="24"/>
    </w:rPr>
  </w:style>
  <w:style w:type="paragraph" w:customStyle="1" w:styleId="449">
    <w:name w:val="节标题"/>
    <w:basedOn w:val="1"/>
    <w:next w:val="450"/>
    <w:qFormat/>
    <w:uiPriority w:val="0"/>
    <w:pPr>
      <w:widowControl/>
      <w:spacing w:line="289" w:lineRule="atLeast"/>
      <w:jc w:val="center"/>
      <w:textAlignment w:val="baseline"/>
    </w:pPr>
    <w:rPr>
      <w:color w:val="000000"/>
      <w:kern w:val="0"/>
      <w:sz w:val="28"/>
      <w:szCs w:val="20"/>
    </w:rPr>
  </w:style>
  <w:style w:type="paragraph" w:customStyle="1" w:styleId="450">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451">
    <w:name w:val="页眉 New New New New New New New New"/>
    <w:basedOn w:val="452"/>
    <w:qFormat/>
    <w:uiPriority w:val="0"/>
    <w:pPr>
      <w:pBdr>
        <w:bottom w:val="single" w:color="auto" w:sz="6" w:space="1"/>
      </w:pBdr>
      <w:tabs>
        <w:tab w:val="center" w:pos="4153"/>
        <w:tab w:val="right" w:pos="8306"/>
      </w:tabs>
      <w:snapToGrid w:val="0"/>
      <w:jc w:val="center"/>
    </w:pPr>
    <w:rPr>
      <w:sz w:val="18"/>
      <w:szCs w:val="18"/>
    </w:rPr>
  </w:style>
  <w:style w:type="paragraph" w:customStyle="1" w:styleId="452">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54">
    <w:name w:val="Plain Text1"/>
    <w:basedOn w:val="1"/>
    <w:qFormat/>
    <w:uiPriority w:val="0"/>
    <w:pPr>
      <w:autoSpaceDE w:val="0"/>
      <w:autoSpaceDN w:val="0"/>
      <w:adjustRightInd w:val="0"/>
    </w:pPr>
    <w:rPr>
      <w:rFonts w:ascii="宋体" w:hAnsi="Tms Rmn"/>
      <w:kern w:val="0"/>
      <w:szCs w:val="20"/>
    </w:rPr>
  </w:style>
  <w:style w:type="paragraph" w:customStyle="1" w:styleId="45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5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8">
    <w:name w:val="p16"/>
    <w:basedOn w:val="1"/>
    <w:qFormat/>
    <w:uiPriority w:val="0"/>
    <w:pPr>
      <w:widowControl/>
    </w:pPr>
    <w:rPr>
      <w:rFonts w:ascii="宋体" w:hAnsi="宋体" w:cs="宋体"/>
      <w:kern w:val="0"/>
      <w:szCs w:val="21"/>
    </w:rPr>
  </w:style>
  <w:style w:type="paragraph" w:customStyle="1" w:styleId="459">
    <w:name w:val="TOC 标题2"/>
    <w:next w:val="1"/>
    <w:qFormat/>
    <w:uiPriority w:val="99"/>
    <w:pPr>
      <w:wordWrap w:val="0"/>
    </w:pPr>
    <w:rPr>
      <w:rFonts w:ascii="Calibri" w:hAnsi="Calibri" w:eastAsia="宋体" w:cs="Times New Roman"/>
      <w:sz w:val="32"/>
      <w:lang w:val="en-US" w:eastAsia="zh-CN" w:bidi="ar-SA"/>
    </w:rPr>
  </w:style>
  <w:style w:type="paragraph" w:customStyle="1" w:styleId="4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Char23"/>
    <w:basedOn w:val="1"/>
    <w:qFormat/>
    <w:uiPriority w:val="0"/>
    <w:pPr>
      <w:widowControl/>
      <w:spacing w:after="160" w:line="240" w:lineRule="exact"/>
      <w:jc w:val="left"/>
    </w:pPr>
    <w:rPr>
      <w:rFonts w:ascii="Verdana" w:hAnsi="Verdana"/>
      <w:kern w:val="0"/>
      <w:szCs w:val="20"/>
      <w:lang w:eastAsia="en-US"/>
    </w:rPr>
  </w:style>
  <w:style w:type="paragraph" w:customStyle="1" w:styleId="463">
    <w:name w:val="Normal0"/>
    <w:qFormat/>
    <w:uiPriority w:val="0"/>
    <w:rPr>
      <w:rFonts w:ascii="Times New Roman" w:hAnsi="Times New Roman" w:eastAsia="宋体" w:cs="Times New Roman"/>
      <w:lang w:val="en-US" w:eastAsia="en-US" w:bidi="ar-SA"/>
    </w:rPr>
  </w:style>
  <w:style w:type="paragraph" w:customStyle="1" w:styleId="464">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5">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6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468">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69">
    <w:name w:val="页脚 New New New New"/>
    <w:basedOn w:val="440"/>
    <w:qFormat/>
    <w:uiPriority w:val="0"/>
    <w:pPr>
      <w:tabs>
        <w:tab w:val="center" w:pos="4153"/>
        <w:tab w:val="right" w:pos="8306"/>
      </w:tabs>
      <w:snapToGrid w:val="0"/>
      <w:jc w:val="left"/>
    </w:pPr>
    <w:rPr>
      <w:sz w:val="18"/>
      <w:szCs w:val="18"/>
    </w:rPr>
  </w:style>
  <w:style w:type="paragraph" w:customStyle="1" w:styleId="47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71">
    <w:name w:val="Char Char1 Char Char Char Char2"/>
    <w:basedOn w:val="17"/>
    <w:qFormat/>
    <w:uiPriority w:val="0"/>
  </w:style>
  <w:style w:type="paragraph" w:customStyle="1" w:styleId="47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73">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4">
    <w:name w:val="页脚 New New New New New New New"/>
    <w:basedOn w:val="392"/>
    <w:qFormat/>
    <w:uiPriority w:val="0"/>
    <w:pPr>
      <w:tabs>
        <w:tab w:val="center" w:pos="4153"/>
        <w:tab w:val="right" w:pos="8306"/>
      </w:tabs>
      <w:snapToGrid w:val="0"/>
      <w:jc w:val="left"/>
    </w:pPr>
    <w:rPr>
      <w:sz w:val="18"/>
      <w:szCs w:val="18"/>
    </w:rPr>
  </w:style>
  <w:style w:type="paragraph" w:customStyle="1" w:styleId="475">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76">
    <w:name w:val="Bullets"/>
    <w:basedOn w:val="1"/>
    <w:qFormat/>
    <w:uiPriority w:val="0"/>
    <w:pPr>
      <w:widowControl/>
      <w:adjustRightInd w:val="0"/>
      <w:snapToGrid w:val="0"/>
      <w:spacing w:before="60" w:after="60"/>
    </w:pPr>
    <w:rPr>
      <w:kern w:val="0"/>
      <w:sz w:val="24"/>
      <w:lang w:val="en-GB"/>
    </w:rPr>
  </w:style>
  <w:style w:type="paragraph" w:customStyle="1" w:styleId="477">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8">
    <w:name w:val="无间隔1"/>
    <w:qFormat/>
    <w:uiPriority w:val="0"/>
    <w:rPr>
      <w:rFonts w:ascii="Times New Roman" w:hAnsi="Times New Roman" w:eastAsia="宋体" w:cs="Times New Roman"/>
      <w:sz w:val="22"/>
      <w:szCs w:val="22"/>
      <w:lang w:val="en-US" w:eastAsia="zh-CN" w:bidi="ar-SA"/>
    </w:rPr>
  </w:style>
  <w:style w:type="paragraph" w:customStyle="1" w:styleId="479">
    <w:name w:val="纯文本11"/>
    <w:basedOn w:val="1"/>
    <w:qFormat/>
    <w:uiPriority w:val="0"/>
    <w:rPr>
      <w:rFonts w:ascii="宋体" w:hAnsi="Courier New"/>
      <w:kern w:val="0"/>
      <w:sz w:val="20"/>
      <w:szCs w:val="20"/>
    </w:rPr>
  </w:style>
  <w:style w:type="paragraph" w:customStyle="1" w:styleId="480">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48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83">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484">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85">
    <w:name w:val="Char Char Char3"/>
    <w:basedOn w:val="1"/>
    <w:qFormat/>
    <w:uiPriority w:val="0"/>
  </w:style>
  <w:style w:type="paragraph" w:customStyle="1" w:styleId="486">
    <w:name w:val="正文文本缩进 Char Char Char Char"/>
    <w:basedOn w:val="1"/>
    <w:qFormat/>
    <w:uiPriority w:val="0"/>
    <w:pPr>
      <w:ind w:firstLine="540"/>
    </w:pPr>
    <w:rPr>
      <w:rFonts w:hint="eastAsia" w:ascii="宋体" w:hAnsi="Courier New"/>
      <w:szCs w:val="20"/>
    </w:rPr>
  </w:style>
  <w:style w:type="paragraph" w:customStyle="1" w:styleId="487">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88">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489">
    <w:name w:val="Body"/>
    <w:basedOn w:val="1"/>
    <w:qFormat/>
    <w:uiPriority w:val="0"/>
    <w:pPr>
      <w:widowControl/>
      <w:tabs>
        <w:tab w:val="left" w:pos="1980"/>
      </w:tabs>
      <w:spacing w:before="80" w:after="80" w:line="360" w:lineRule="auto"/>
      <w:jc w:val="center"/>
    </w:pPr>
    <w:rPr>
      <w:szCs w:val="21"/>
    </w:rPr>
  </w:style>
  <w:style w:type="paragraph" w:customStyle="1" w:styleId="49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1">
    <w:name w:val="179"/>
    <w:basedOn w:val="1"/>
    <w:qFormat/>
    <w:uiPriority w:val="0"/>
    <w:pPr>
      <w:ind w:firstLine="420" w:firstLineChars="200"/>
    </w:pPr>
    <w:rPr>
      <w:rFonts w:ascii="Calibri" w:hAnsi="Calibri"/>
      <w:szCs w:val="22"/>
    </w:rPr>
  </w:style>
  <w:style w:type="paragraph" w:customStyle="1" w:styleId="492">
    <w:name w:val="列出段落22"/>
    <w:basedOn w:val="1"/>
    <w:qFormat/>
    <w:uiPriority w:val="0"/>
    <w:pPr>
      <w:ind w:firstLine="420" w:firstLineChars="200"/>
    </w:pPr>
    <w:rPr>
      <w:sz w:val="24"/>
    </w:rPr>
  </w:style>
  <w:style w:type="paragraph" w:customStyle="1" w:styleId="49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4">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5">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96">
    <w:name w:val="页眉 New New New New New New"/>
    <w:basedOn w:val="49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8">
    <w:name w:val="_Style 35"/>
    <w:basedOn w:val="17"/>
    <w:qFormat/>
    <w:uiPriority w:val="0"/>
    <w:pPr>
      <w:widowControl/>
      <w:ind w:firstLine="454"/>
      <w:jc w:val="left"/>
    </w:pPr>
  </w:style>
  <w:style w:type="paragraph" w:customStyle="1" w:styleId="499">
    <w:name w:val="pa-10"/>
    <w:basedOn w:val="1"/>
    <w:qFormat/>
    <w:uiPriority w:val="0"/>
    <w:pPr>
      <w:widowControl/>
      <w:spacing w:before="169" w:after="169"/>
      <w:jc w:val="left"/>
    </w:pPr>
    <w:rPr>
      <w:rFonts w:ascii="宋体" w:hAnsi="宋体" w:cs="宋体"/>
      <w:kern w:val="0"/>
      <w:sz w:val="24"/>
    </w:rPr>
  </w:style>
  <w:style w:type="paragraph" w:customStyle="1" w:styleId="500">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02">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03">
    <w:name w:val="文章总标题"/>
    <w:basedOn w:val="1"/>
    <w:next w:val="504"/>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04">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505">
    <w:name w:val="列出段落2"/>
    <w:basedOn w:val="1"/>
    <w:qFormat/>
    <w:uiPriority w:val="0"/>
    <w:pPr>
      <w:ind w:firstLine="420" w:firstLineChars="200"/>
    </w:pPr>
    <w:rPr>
      <w:kern w:val="0"/>
      <w:sz w:val="20"/>
      <w:szCs w:val="20"/>
    </w:rPr>
  </w:style>
  <w:style w:type="paragraph" w:customStyle="1" w:styleId="50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7">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509">
    <w:name w:val="页眉 New New New New New"/>
    <w:basedOn w:val="466"/>
    <w:qFormat/>
    <w:uiPriority w:val="0"/>
    <w:pPr>
      <w:pBdr>
        <w:bottom w:val="single" w:color="auto" w:sz="6" w:space="1"/>
      </w:pBdr>
      <w:tabs>
        <w:tab w:val="center" w:pos="4153"/>
        <w:tab w:val="right" w:pos="8306"/>
      </w:tabs>
      <w:snapToGrid w:val="0"/>
      <w:jc w:val="center"/>
    </w:pPr>
    <w:rPr>
      <w:sz w:val="18"/>
      <w:szCs w:val="18"/>
    </w:rPr>
  </w:style>
  <w:style w:type="paragraph" w:customStyle="1" w:styleId="510">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Char Char Char Char Char Char Char Char Char 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12">
    <w:name w:val="标准正文"/>
    <w:basedOn w:val="1"/>
    <w:next w:val="1"/>
    <w:qFormat/>
    <w:uiPriority w:val="0"/>
    <w:pPr>
      <w:widowControl/>
      <w:spacing w:after="50"/>
      <w:ind w:firstLine="200"/>
    </w:pPr>
    <w:rPr>
      <w:color w:val="000000"/>
      <w:sz w:val="24"/>
      <w:szCs w:val="20"/>
    </w:rPr>
  </w:style>
  <w:style w:type="paragraph" w:customStyle="1" w:styleId="513">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14">
    <w:name w:val="默认段落字体 Para Char"/>
    <w:basedOn w:val="1"/>
    <w:qFormat/>
    <w:uiPriority w:val="0"/>
    <w:pPr>
      <w:adjustRightInd w:val="0"/>
      <w:spacing w:line="360" w:lineRule="auto"/>
    </w:pPr>
    <w:rPr>
      <w:szCs w:val="20"/>
    </w:rPr>
  </w:style>
  <w:style w:type="paragraph" w:customStyle="1" w:styleId="515">
    <w:name w:val="Char3"/>
    <w:basedOn w:val="17"/>
    <w:qFormat/>
    <w:uiPriority w:val="0"/>
    <w:pPr>
      <w:widowControl/>
      <w:ind w:firstLine="454"/>
      <w:jc w:val="left"/>
    </w:pPr>
    <w:rPr>
      <w:rFonts w:ascii="Tahoma" w:hAnsi="Tahoma" w:cs="宋体"/>
      <w:kern w:val="0"/>
      <w:sz w:val="24"/>
      <w:szCs w:val="20"/>
    </w:rPr>
  </w:style>
  <w:style w:type="paragraph" w:customStyle="1" w:styleId="516">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17">
    <w:name w:val="444"/>
    <w:basedOn w:val="1"/>
    <w:qFormat/>
    <w:uiPriority w:val="0"/>
    <w:pPr>
      <w:adjustRightInd w:val="0"/>
      <w:spacing w:line="312" w:lineRule="atLeast"/>
      <w:jc w:val="center"/>
      <w:textAlignment w:val="baseline"/>
    </w:pPr>
    <w:rPr>
      <w:b/>
      <w:kern w:val="0"/>
      <w:sz w:val="36"/>
      <w:szCs w:val="36"/>
    </w:rPr>
  </w:style>
  <w:style w:type="paragraph" w:customStyle="1" w:styleId="518">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519">
    <w:name w:val="页眉 New New"/>
    <w:basedOn w:val="520"/>
    <w:qFormat/>
    <w:uiPriority w:val="0"/>
    <w:pPr>
      <w:pBdr>
        <w:bottom w:val="single" w:color="auto" w:sz="6" w:space="1"/>
      </w:pBdr>
      <w:tabs>
        <w:tab w:val="center" w:pos="4153"/>
        <w:tab w:val="right" w:pos="8306"/>
      </w:tabs>
      <w:snapToGrid w:val="0"/>
      <w:jc w:val="center"/>
    </w:pPr>
    <w:rPr>
      <w:sz w:val="18"/>
      <w:szCs w:val="18"/>
    </w:rPr>
  </w:style>
  <w:style w:type="paragraph" w:customStyle="1" w:styleId="520">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页脚 New New New New New New New New New"/>
    <w:basedOn w:val="418"/>
    <w:qFormat/>
    <w:uiPriority w:val="0"/>
    <w:pPr>
      <w:tabs>
        <w:tab w:val="center" w:pos="4153"/>
        <w:tab w:val="right" w:pos="8306"/>
      </w:tabs>
      <w:snapToGrid w:val="0"/>
      <w:jc w:val="left"/>
    </w:pPr>
    <w:rPr>
      <w:sz w:val="18"/>
      <w:szCs w:val="18"/>
    </w:rPr>
  </w:style>
  <w:style w:type="paragraph" w:customStyle="1" w:styleId="523">
    <w:name w:val="样式 标题 2H2h22nd levelTitre2l22Header 2节标题一级节名Level 2 He..."/>
    <w:basedOn w:val="4"/>
    <w:qFormat/>
    <w:uiPriority w:val="0"/>
    <w:pPr>
      <w:numPr>
        <w:ilvl w:val="1"/>
        <w:numId w:val="3"/>
      </w:numPr>
      <w:adjustRightInd w:val="0"/>
      <w:snapToGrid w:val="0"/>
      <w:spacing w:before="0" w:after="0" w:line="360" w:lineRule="auto"/>
    </w:pPr>
    <w:rPr>
      <w:sz w:val="21"/>
      <w:szCs w:val="20"/>
    </w:rPr>
  </w:style>
  <w:style w:type="paragraph" w:customStyle="1" w:styleId="52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5">
    <w:name w:val="pa-9"/>
    <w:basedOn w:val="1"/>
    <w:qFormat/>
    <w:uiPriority w:val="0"/>
    <w:pPr>
      <w:widowControl/>
      <w:spacing w:before="169" w:after="169"/>
      <w:jc w:val="left"/>
    </w:pPr>
    <w:rPr>
      <w:rFonts w:ascii="宋体" w:hAnsi="宋体" w:cs="宋体"/>
      <w:kern w:val="0"/>
      <w:sz w:val="24"/>
    </w:rPr>
  </w:style>
  <w:style w:type="paragraph" w:customStyle="1" w:styleId="52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8">
    <w:name w:val="Char Char Char Char Char Char1 Char"/>
    <w:basedOn w:val="1"/>
    <w:qFormat/>
    <w:uiPriority w:val="0"/>
    <w:pPr>
      <w:widowControl/>
      <w:spacing w:after="160" w:line="240" w:lineRule="exact"/>
      <w:jc w:val="left"/>
    </w:pPr>
  </w:style>
  <w:style w:type="paragraph" w:customStyle="1" w:styleId="52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0">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31">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532">
    <w:name w:val="表格"/>
    <w:basedOn w:val="1"/>
    <w:qFormat/>
    <w:uiPriority w:val="0"/>
    <w:pPr>
      <w:spacing w:line="400" w:lineRule="exact"/>
    </w:pPr>
    <w:rPr>
      <w:sz w:val="24"/>
    </w:rPr>
  </w:style>
  <w:style w:type="paragraph" w:customStyle="1" w:styleId="533">
    <w:name w:val="Char Char Char Char Char Char Char Char Char Char Char Char Char Char Char Char21"/>
    <w:basedOn w:val="1"/>
    <w:qFormat/>
    <w:uiPriority w:val="0"/>
    <w:pPr>
      <w:tabs>
        <w:tab w:val="left" w:pos="360"/>
      </w:tabs>
      <w:spacing w:line="360" w:lineRule="auto"/>
      <w:ind w:left="482" w:firstLine="200" w:firstLineChars="200"/>
    </w:pPr>
    <w:rPr>
      <w:rFonts w:ascii="宋体"/>
      <w:sz w:val="24"/>
    </w:rPr>
  </w:style>
  <w:style w:type="paragraph" w:customStyle="1" w:styleId="534">
    <w:name w:val="样式 首行缩进:  2 字符"/>
    <w:basedOn w:val="1"/>
    <w:qFormat/>
    <w:uiPriority w:val="0"/>
    <w:pPr>
      <w:spacing w:line="400" w:lineRule="exact"/>
      <w:ind w:firstLine="200" w:firstLineChars="200"/>
    </w:pPr>
    <w:rPr>
      <w:rFonts w:cs="宋体"/>
      <w:sz w:val="24"/>
    </w:rPr>
  </w:style>
  <w:style w:type="paragraph" w:customStyle="1" w:styleId="535">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53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37">
    <w:name w:val="pa-14"/>
    <w:basedOn w:val="1"/>
    <w:qFormat/>
    <w:uiPriority w:val="0"/>
    <w:pPr>
      <w:widowControl/>
      <w:spacing w:before="169" w:after="169"/>
      <w:jc w:val="left"/>
    </w:pPr>
    <w:rPr>
      <w:rFonts w:ascii="宋体" w:hAnsi="宋体" w:cs="宋体"/>
      <w:kern w:val="0"/>
      <w:sz w:val="24"/>
    </w:rPr>
  </w:style>
  <w:style w:type="paragraph" w:customStyle="1" w:styleId="53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3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0">
    <w:name w:val="页脚 New New New New New New"/>
    <w:basedOn w:val="497"/>
    <w:qFormat/>
    <w:uiPriority w:val="0"/>
    <w:pPr>
      <w:tabs>
        <w:tab w:val="center" w:pos="4153"/>
        <w:tab w:val="right" w:pos="8306"/>
      </w:tabs>
      <w:snapToGrid w:val="0"/>
      <w:jc w:val="left"/>
    </w:pPr>
    <w:rPr>
      <w:sz w:val="18"/>
      <w:szCs w:val="18"/>
    </w:rPr>
  </w:style>
  <w:style w:type="paragraph" w:customStyle="1" w:styleId="541">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42">
    <w:name w:val="正文11"/>
    <w:qFormat/>
    <w:uiPriority w:val="0"/>
    <w:pPr>
      <w:jc w:val="both"/>
    </w:pPr>
    <w:rPr>
      <w:rFonts w:ascii="Times New Roman" w:hAnsi="Times New Roman" w:eastAsia="宋体" w:cs="Times New Roman"/>
      <w:lang w:val="en-US" w:eastAsia="zh-CN" w:bidi="ar-SA"/>
    </w:rPr>
  </w:style>
  <w:style w:type="paragraph" w:customStyle="1" w:styleId="5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4">
    <w:name w:val="4"/>
    <w:basedOn w:val="1"/>
    <w:next w:val="32"/>
    <w:qFormat/>
    <w:uiPriority w:val="0"/>
    <w:pPr>
      <w:spacing w:line="420" w:lineRule="exact"/>
      <w:ind w:firstLine="409" w:firstLineChars="195"/>
    </w:pPr>
  </w:style>
  <w:style w:type="paragraph" w:customStyle="1" w:styleId="5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46">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547">
    <w:name w:val="Char Char1 Char Char Char Char3"/>
    <w:basedOn w:val="17"/>
    <w:qFormat/>
    <w:uiPriority w:val="0"/>
    <w:rPr>
      <w:rFonts w:ascii="Tahoma" w:hAnsi="Tahoma"/>
      <w:sz w:val="24"/>
    </w:rPr>
  </w:style>
  <w:style w:type="paragraph" w:customStyle="1" w:styleId="548">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549">
    <w:name w:val="pa-12"/>
    <w:basedOn w:val="1"/>
    <w:qFormat/>
    <w:uiPriority w:val="0"/>
    <w:pPr>
      <w:widowControl/>
      <w:spacing w:before="169" w:after="169"/>
      <w:jc w:val="left"/>
    </w:pPr>
    <w:rPr>
      <w:rFonts w:ascii="宋体" w:hAnsi="宋体" w:cs="宋体"/>
      <w:kern w:val="0"/>
      <w:sz w:val="24"/>
    </w:rPr>
  </w:style>
  <w:style w:type="paragraph" w:customStyle="1" w:styleId="550">
    <w:name w:val="标题2"/>
    <w:basedOn w:val="4"/>
    <w:qFormat/>
    <w:uiPriority w:val="0"/>
    <w:pPr>
      <w:snapToGrid w:val="0"/>
      <w:spacing w:line="410" w:lineRule="auto"/>
    </w:pPr>
    <w:rPr>
      <w:rFonts w:eastAsia="宋体"/>
      <w:b w:val="0"/>
    </w:rPr>
  </w:style>
  <w:style w:type="paragraph" w:customStyle="1" w:styleId="55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2">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53">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54">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556">
    <w:name w:val="5 Char Char Char Char Char Char Char Char Char Char"/>
    <w:basedOn w:val="1"/>
    <w:qFormat/>
    <w:uiPriority w:val="0"/>
  </w:style>
  <w:style w:type="paragraph" w:customStyle="1" w:styleId="557">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58">
    <w:name w:val="页眉 New New New"/>
    <w:basedOn w:val="524"/>
    <w:qFormat/>
    <w:uiPriority w:val="0"/>
    <w:pPr>
      <w:pBdr>
        <w:bottom w:val="single" w:color="auto" w:sz="6" w:space="1"/>
      </w:pBdr>
      <w:tabs>
        <w:tab w:val="center" w:pos="4153"/>
        <w:tab w:val="right" w:pos="8306"/>
      </w:tabs>
      <w:snapToGrid w:val="0"/>
      <w:jc w:val="center"/>
    </w:pPr>
    <w:rPr>
      <w:sz w:val="18"/>
      <w:szCs w:val="18"/>
    </w:rPr>
  </w:style>
  <w:style w:type="paragraph" w:customStyle="1" w:styleId="559">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0">
    <w:name w:val="_Style 70"/>
    <w:unhideWhenUsed/>
    <w:qFormat/>
    <w:uiPriority w:val="99"/>
    <w:rPr>
      <w:rFonts w:ascii="Times New Roman" w:hAnsi="Times New Roman" w:eastAsia="宋体" w:cs="Times New Roman"/>
      <w:kern w:val="2"/>
      <w:sz w:val="21"/>
      <w:szCs w:val="24"/>
      <w:lang w:val="en-US" w:eastAsia="zh-CN" w:bidi="ar-SA"/>
    </w:rPr>
  </w:style>
  <w:style w:type="paragraph" w:customStyle="1" w:styleId="56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2">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3">
    <w:name w:val="样式 0正文 + 首行缩进:  2 字符1"/>
    <w:basedOn w:val="1"/>
    <w:qFormat/>
    <w:uiPriority w:val="99"/>
    <w:pPr>
      <w:spacing w:line="360" w:lineRule="auto"/>
      <w:ind w:firstLine="200" w:firstLineChars="200"/>
    </w:pPr>
    <w:rPr>
      <w:szCs w:val="20"/>
    </w:rPr>
  </w:style>
  <w:style w:type="paragraph" w:customStyle="1" w:styleId="56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565">
    <w:name w:val="页眉 New New New New"/>
    <w:basedOn w:val="440"/>
    <w:qFormat/>
    <w:uiPriority w:val="0"/>
    <w:pPr>
      <w:pBdr>
        <w:bottom w:val="single" w:color="auto" w:sz="6" w:space="1"/>
      </w:pBdr>
      <w:tabs>
        <w:tab w:val="center" w:pos="4153"/>
        <w:tab w:val="right" w:pos="8306"/>
      </w:tabs>
      <w:snapToGrid w:val="0"/>
      <w:jc w:val="center"/>
    </w:pPr>
    <w:rPr>
      <w:sz w:val="18"/>
      <w:szCs w:val="18"/>
    </w:rPr>
  </w:style>
  <w:style w:type="paragraph" w:customStyle="1" w:styleId="566">
    <w:name w:val="1"/>
    <w:basedOn w:val="1"/>
    <w:next w:val="29"/>
    <w:qFormat/>
    <w:uiPriority w:val="0"/>
    <w:rPr>
      <w:rFonts w:ascii="宋体" w:hAnsi="Courier New"/>
      <w:szCs w:val="20"/>
    </w:rPr>
  </w:style>
  <w:style w:type="paragraph" w:customStyle="1" w:styleId="567">
    <w:name w:val="页脚 New"/>
    <w:basedOn w:val="400"/>
    <w:qFormat/>
    <w:uiPriority w:val="0"/>
    <w:pPr>
      <w:tabs>
        <w:tab w:val="center" w:pos="4153"/>
        <w:tab w:val="right" w:pos="8306"/>
      </w:tabs>
      <w:snapToGrid w:val="0"/>
      <w:jc w:val="left"/>
    </w:pPr>
    <w:rPr>
      <w:sz w:val="18"/>
      <w:szCs w:val="18"/>
    </w:rPr>
  </w:style>
  <w:style w:type="paragraph" w:customStyle="1" w:styleId="568">
    <w:name w:val="页脚 New New New New New New New New"/>
    <w:basedOn w:val="452"/>
    <w:qFormat/>
    <w:uiPriority w:val="0"/>
    <w:pPr>
      <w:tabs>
        <w:tab w:val="center" w:pos="4153"/>
        <w:tab w:val="right" w:pos="8306"/>
      </w:tabs>
      <w:snapToGrid w:val="0"/>
      <w:jc w:val="left"/>
    </w:pPr>
    <w:rPr>
      <w:sz w:val="18"/>
      <w:szCs w:val="18"/>
    </w:rPr>
  </w:style>
  <w:style w:type="paragraph" w:customStyle="1" w:styleId="569">
    <w:name w:val="正文文本缩进1"/>
    <w:basedOn w:val="1"/>
    <w:qFormat/>
    <w:uiPriority w:val="0"/>
    <w:pPr>
      <w:ind w:firstLine="830" w:firstLineChars="352"/>
    </w:pPr>
    <w:rPr>
      <w:rFonts w:ascii="宋体" w:hAnsi="Courier New"/>
      <w:szCs w:val="20"/>
    </w:rPr>
  </w:style>
  <w:style w:type="paragraph" w:customStyle="1" w:styleId="570">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1">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2">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3">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4">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75">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57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7">
    <w:name w:val="样式1"/>
    <w:basedOn w:val="1"/>
    <w:qFormat/>
    <w:uiPriority w:val="0"/>
    <w:pPr>
      <w:spacing w:before="120" w:after="120" w:line="300" w:lineRule="auto"/>
    </w:pPr>
    <w:rPr>
      <w:rFonts w:ascii="宋体" w:hAnsi="宋体"/>
      <w:b/>
      <w:sz w:val="24"/>
      <w:szCs w:val="20"/>
    </w:rPr>
  </w:style>
  <w:style w:type="paragraph" w:customStyle="1" w:styleId="578">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9">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580">
    <w:name w:val="Char5"/>
    <w:basedOn w:val="17"/>
    <w:qFormat/>
    <w:uiPriority w:val="0"/>
    <w:pPr>
      <w:widowControl/>
      <w:ind w:firstLine="454"/>
      <w:jc w:val="left"/>
    </w:pPr>
    <w:rPr>
      <w:rFonts w:ascii="Tahoma" w:hAnsi="Tahoma" w:cs="宋体"/>
      <w:kern w:val="0"/>
      <w:sz w:val="24"/>
      <w:szCs w:val="20"/>
    </w:rPr>
  </w:style>
  <w:style w:type="paragraph" w:customStyle="1" w:styleId="581">
    <w:name w:val="页脚 New New New"/>
    <w:basedOn w:val="524"/>
    <w:qFormat/>
    <w:uiPriority w:val="0"/>
    <w:pPr>
      <w:tabs>
        <w:tab w:val="center" w:pos="4153"/>
        <w:tab w:val="right" w:pos="8306"/>
      </w:tabs>
      <w:snapToGrid w:val="0"/>
      <w:jc w:val="left"/>
    </w:pPr>
    <w:rPr>
      <w:sz w:val="18"/>
      <w:szCs w:val="18"/>
    </w:rPr>
  </w:style>
  <w:style w:type="paragraph" w:customStyle="1" w:styleId="582">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83">
    <w:name w:val="Char Char Char Char"/>
    <w:basedOn w:val="17"/>
    <w:qFormat/>
    <w:uiPriority w:val="0"/>
    <w:pPr>
      <w:adjustRightInd w:val="0"/>
      <w:snapToGrid w:val="0"/>
      <w:spacing w:line="360" w:lineRule="auto"/>
    </w:pPr>
    <w:rPr>
      <w:rFonts w:ascii="Tahoma" w:hAnsi="Tahoma"/>
      <w:sz w:val="24"/>
    </w:rPr>
  </w:style>
  <w:style w:type="paragraph" w:customStyle="1" w:styleId="584">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5">
    <w:name w:val="F2"/>
    <w:basedOn w:val="1"/>
    <w:qFormat/>
    <w:uiPriority w:val="0"/>
    <w:pPr>
      <w:autoSpaceDE w:val="0"/>
      <w:autoSpaceDN w:val="0"/>
      <w:adjustRightInd w:val="0"/>
      <w:ind w:firstLine="601"/>
    </w:pPr>
    <w:rPr>
      <w:kern w:val="0"/>
      <w:sz w:val="24"/>
      <w:szCs w:val="20"/>
    </w:rPr>
  </w:style>
  <w:style w:type="paragraph" w:customStyle="1" w:styleId="586">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7">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88">
    <w:name w:val="Table Paragraph"/>
    <w:basedOn w:val="1"/>
    <w:qFormat/>
    <w:uiPriority w:val="0"/>
    <w:rPr>
      <w:rFonts w:ascii="仿宋" w:hAnsi="仿宋" w:eastAsia="仿宋" w:cs="仿宋"/>
      <w:lang w:val="zh-CN" w:bidi="zh-CN"/>
    </w:rPr>
  </w:style>
  <w:style w:type="paragraph" w:customStyle="1" w:styleId="589">
    <w:name w:val="Char Char24"/>
    <w:basedOn w:val="1"/>
    <w:qFormat/>
    <w:uiPriority w:val="0"/>
    <w:pPr>
      <w:widowControl/>
      <w:spacing w:after="160" w:line="240" w:lineRule="exact"/>
      <w:jc w:val="left"/>
    </w:pPr>
  </w:style>
  <w:style w:type="paragraph" w:customStyle="1" w:styleId="590">
    <w:name w:val="页脚 New New"/>
    <w:basedOn w:val="520"/>
    <w:qFormat/>
    <w:uiPriority w:val="0"/>
    <w:pPr>
      <w:tabs>
        <w:tab w:val="center" w:pos="4153"/>
        <w:tab w:val="right" w:pos="8306"/>
      </w:tabs>
      <w:snapToGrid w:val="0"/>
      <w:jc w:val="left"/>
    </w:pPr>
    <w:rPr>
      <w:sz w:val="18"/>
      <w:szCs w:val="18"/>
    </w:rPr>
  </w:style>
  <w:style w:type="paragraph" w:customStyle="1" w:styleId="591">
    <w:name w:val="正文段"/>
    <w:basedOn w:val="1"/>
    <w:qFormat/>
    <w:uiPriority w:val="0"/>
    <w:pPr>
      <w:widowControl/>
      <w:snapToGrid w:val="0"/>
      <w:spacing w:after="156" w:afterLines="50"/>
      <w:ind w:firstLine="200" w:firstLineChars="200"/>
    </w:pPr>
    <w:rPr>
      <w:kern w:val="0"/>
      <w:sz w:val="24"/>
      <w:szCs w:val="20"/>
    </w:rPr>
  </w:style>
  <w:style w:type="paragraph" w:customStyle="1" w:styleId="5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93">
    <w:name w:val="列出段落3"/>
    <w:basedOn w:val="1"/>
    <w:qFormat/>
    <w:uiPriority w:val="34"/>
    <w:pPr>
      <w:ind w:firstLine="420" w:firstLineChars="200"/>
    </w:pPr>
    <w:rPr>
      <w:rFonts w:ascii="Calibri" w:hAnsi="Calibri"/>
      <w:szCs w:val="22"/>
    </w:rPr>
  </w:style>
  <w:style w:type="paragraph" w:customStyle="1" w:styleId="594">
    <w:name w:val="公文一级"/>
    <w:basedOn w:val="5"/>
    <w:qFormat/>
    <w:uiPriority w:val="0"/>
    <w:pPr>
      <w:jc w:val="center"/>
    </w:pPr>
    <w:rPr>
      <w:rFonts w:ascii="黑体" w:hAnsi="黑体" w:eastAsia="黑体"/>
      <w:b w:val="0"/>
    </w:rPr>
  </w:style>
  <w:style w:type="paragraph" w:customStyle="1" w:styleId="595">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96">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97">
    <w:name w:val="项目5"/>
    <w:basedOn w:val="1"/>
    <w:qFormat/>
    <w:uiPriority w:val="0"/>
    <w:pPr>
      <w:tabs>
        <w:tab w:val="left" w:pos="360"/>
        <w:tab w:val="left" w:pos="874"/>
      </w:tabs>
      <w:spacing w:line="400" w:lineRule="exact"/>
      <w:jc w:val="left"/>
    </w:pPr>
    <w:rPr>
      <w:szCs w:val="20"/>
    </w:rPr>
  </w:style>
  <w:style w:type="paragraph" w:customStyle="1" w:styleId="598">
    <w:name w:val="页脚 New New New New New"/>
    <w:basedOn w:val="466"/>
    <w:qFormat/>
    <w:uiPriority w:val="0"/>
    <w:pPr>
      <w:tabs>
        <w:tab w:val="center" w:pos="4153"/>
        <w:tab w:val="right" w:pos="8306"/>
      </w:tabs>
      <w:snapToGrid w:val="0"/>
      <w:jc w:val="left"/>
    </w:pPr>
    <w:rPr>
      <w:sz w:val="18"/>
      <w:szCs w:val="18"/>
    </w:rPr>
  </w:style>
  <w:style w:type="paragraph" w:customStyle="1" w:styleId="599">
    <w:name w:val="表内文字"/>
    <w:basedOn w:val="1"/>
    <w:qFormat/>
    <w:uiPriority w:val="0"/>
    <w:pPr>
      <w:snapToGrid w:val="0"/>
      <w:spacing w:before="50" w:after="50" w:line="360" w:lineRule="exact"/>
    </w:pPr>
    <w:rPr>
      <w:rFonts w:ascii="宋体" w:hAnsi="宋体"/>
      <w:b/>
      <w:color w:val="0000FF"/>
      <w:szCs w:val="21"/>
    </w:rPr>
  </w:style>
  <w:style w:type="paragraph" w:customStyle="1" w:styleId="600">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601">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602">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60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604">
    <w:name w:val="pa-8"/>
    <w:basedOn w:val="1"/>
    <w:qFormat/>
    <w:uiPriority w:val="0"/>
    <w:pPr>
      <w:widowControl/>
      <w:spacing w:before="169" w:after="169"/>
      <w:jc w:val="left"/>
    </w:pPr>
    <w:rPr>
      <w:rFonts w:ascii="宋体" w:hAnsi="宋体" w:cs="宋体"/>
      <w:kern w:val="0"/>
      <w:sz w:val="24"/>
    </w:rPr>
  </w:style>
  <w:style w:type="paragraph" w:customStyle="1" w:styleId="605">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6">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7">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608">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09">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610">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61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612">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61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61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5">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616">
    <w:name w:val="pa-15"/>
    <w:basedOn w:val="1"/>
    <w:qFormat/>
    <w:uiPriority w:val="0"/>
    <w:pPr>
      <w:widowControl/>
      <w:spacing w:before="169" w:after="169"/>
      <w:jc w:val="left"/>
    </w:pPr>
    <w:rPr>
      <w:rFonts w:ascii="宋体" w:hAnsi="宋体" w:cs="宋体"/>
      <w:kern w:val="0"/>
      <w:sz w:val="24"/>
    </w:rPr>
  </w:style>
  <w:style w:type="paragraph" w:customStyle="1" w:styleId="617">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618">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619">
    <w:name w:val="页眉 New New New New New New New"/>
    <w:basedOn w:val="392"/>
    <w:qFormat/>
    <w:uiPriority w:val="0"/>
    <w:pPr>
      <w:pBdr>
        <w:bottom w:val="single" w:color="auto" w:sz="6" w:space="1"/>
      </w:pBdr>
      <w:tabs>
        <w:tab w:val="center" w:pos="4153"/>
        <w:tab w:val="right" w:pos="8306"/>
      </w:tabs>
      <w:snapToGrid w:val="0"/>
      <w:jc w:val="center"/>
    </w:pPr>
    <w:rPr>
      <w:sz w:val="18"/>
      <w:szCs w:val="18"/>
    </w:rPr>
  </w:style>
  <w:style w:type="paragraph" w:customStyle="1" w:styleId="620">
    <w:name w:val="默认段落字体 Para Char Char Char Char Char Char Char Char Char1 Char Char Char Char"/>
    <w:basedOn w:val="1"/>
    <w:qFormat/>
    <w:uiPriority w:val="0"/>
    <w:rPr>
      <w:rFonts w:ascii="Tahoma" w:hAnsi="Tahoma"/>
      <w:sz w:val="24"/>
      <w:szCs w:val="20"/>
    </w:rPr>
  </w:style>
  <w:style w:type="paragraph" w:customStyle="1" w:styleId="621">
    <w:name w:val="TOC Heading"/>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622">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3">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624">
    <w:name w:val="列出段落4"/>
    <w:basedOn w:val="1"/>
    <w:qFormat/>
    <w:uiPriority w:val="99"/>
    <w:pPr>
      <w:ind w:firstLine="420" w:firstLineChars="200"/>
    </w:pPr>
    <w:rPr>
      <w:rFonts w:ascii="Calibri" w:hAnsi="Calibri"/>
      <w:szCs w:val="22"/>
    </w:rPr>
  </w:style>
  <w:style w:type="paragraph" w:customStyle="1" w:styleId="625">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626">
    <w:name w:val="Char Char Char4"/>
    <w:basedOn w:val="1"/>
    <w:qFormat/>
    <w:uiPriority w:val="0"/>
    <w:pPr>
      <w:widowControl/>
      <w:spacing w:after="160" w:line="240" w:lineRule="exact"/>
      <w:jc w:val="left"/>
    </w:pPr>
    <w:rPr>
      <w:rFonts w:ascii="Verdana" w:hAnsi="Verdana"/>
      <w:kern w:val="0"/>
      <w:sz w:val="20"/>
      <w:szCs w:val="20"/>
      <w:lang w:eastAsia="en-US"/>
    </w:rPr>
  </w:style>
  <w:style w:type="paragraph" w:customStyle="1" w:styleId="627">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630">
    <w:name w:val="_Style 33"/>
    <w:basedOn w:val="1"/>
    <w:qFormat/>
    <w:uiPriority w:val="0"/>
    <w:pPr>
      <w:widowControl/>
      <w:spacing w:after="160" w:line="240" w:lineRule="exact"/>
      <w:jc w:val="left"/>
    </w:pPr>
  </w:style>
  <w:style w:type="paragraph" w:customStyle="1" w:styleId="631">
    <w:name w:val="纯文本12"/>
    <w:basedOn w:val="1"/>
    <w:qFormat/>
    <w:uiPriority w:val="0"/>
    <w:rPr>
      <w:rFonts w:ascii="宋体" w:hAnsi="Courier New"/>
      <w:szCs w:val="21"/>
    </w:rPr>
  </w:style>
  <w:style w:type="paragraph" w:customStyle="1" w:styleId="632">
    <w:name w:val="列表段落11"/>
    <w:basedOn w:val="1"/>
    <w:qFormat/>
    <w:uiPriority w:val="0"/>
    <w:pPr>
      <w:ind w:firstLine="420" w:firstLineChars="200"/>
    </w:pPr>
    <w:rPr>
      <w:rFonts w:ascii="Calibri" w:hAnsi="Calibri"/>
      <w:szCs w:val="22"/>
    </w:rPr>
  </w:style>
  <w:style w:type="paragraph" w:customStyle="1" w:styleId="63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34">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635">
    <w:name w:val="PlainText"/>
    <w:basedOn w:val="1"/>
    <w:qFormat/>
    <w:uiPriority w:val="0"/>
    <w:pPr>
      <w:widowControl/>
      <w:textAlignment w:val="baseline"/>
    </w:pPr>
    <w:rPr>
      <w:rFonts w:ascii="宋体" w:hAnsi="Courier New"/>
      <w:szCs w:val="21"/>
    </w:rPr>
  </w:style>
  <w:style w:type="character" w:customStyle="1" w:styleId="636">
    <w:name w:val="17"/>
    <w:qFormat/>
    <w:uiPriority w:val="0"/>
    <w:rPr>
      <w:rFonts w:hint="default" w:ascii="Times New Roman" w:hAnsi="Times New Roman" w:eastAsia="宋体" w:cs="Times New Roman"/>
      <w:color w:val="CC000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8345</Words>
  <Characters>47568</Characters>
  <Lines>396</Lines>
  <Paragraphs>111</Paragraphs>
  <TotalTime>39</TotalTime>
  <ScaleCrop>false</ScaleCrop>
  <LinksUpToDate>false</LinksUpToDate>
  <CharactersWithSpaces>55802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2025-09-04T19:50:00Z</dcterms:created>
  <dc:creator>聂泉源</dc:creator>
  <cp:lastModifiedBy>gxxc</cp:lastModifiedBy>
  <cp:lastPrinted>2025-10-18T14:08:00Z</cp:lastPrinted>
  <dcterms:modified xsi:type="dcterms:W3CDTF">2026-08-21T10:00:17Z</dcterms:modified>
  <dc:title>3</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069CFF63868848A79E7075D23DDBAEEF_13</vt:lpwstr>
  </property>
  <property fmtid="{D5CDD505-2E9C-101B-9397-08002B2CF9AE}" pid="4" name="KSOTemplateDocerSaveRecord">
    <vt:lpwstr>eyJoZGlkIjoiYzI3OTJkMDE0ZDAxZWJkMWMxYTA5NGU5OTFkOGZlNjYifQ==</vt:lpwstr>
  </property>
</Properties>
</file>