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23EEC2">
      <w:pPr>
        <w:pStyle w:val="14"/>
        <w:jc w:val="center"/>
        <w:rPr>
          <w:rFonts w:hint="eastAsia" w:hAnsi="宋体" w:cs="宋体"/>
          <w:b/>
          <w:bCs/>
          <w:color w:val="auto"/>
          <w:sz w:val="72"/>
          <w:szCs w:val="72"/>
          <w:highlight w:val="none"/>
        </w:rPr>
      </w:pPr>
    </w:p>
    <w:p w14:paraId="51EA4879">
      <w:pPr>
        <w:pStyle w:val="14"/>
        <w:jc w:val="center"/>
        <w:rPr>
          <w:rFonts w:hint="eastAsia" w:hAnsi="宋体" w:cs="宋体"/>
          <w:b/>
          <w:bCs/>
          <w:color w:val="auto"/>
          <w:sz w:val="72"/>
          <w:szCs w:val="72"/>
          <w:highlight w:val="none"/>
        </w:rPr>
      </w:pPr>
    </w:p>
    <w:p w14:paraId="5AEABD8F">
      <w:pPr>
        <w:pStyle w:val="14"/>
        <w:jc w:val="center"/>
        <w:rPr>
          <w:rFonts w:hint="eastAsia" w:hAnsi="宋体" w:cs="宋体"/>
          <w:b/>
          <w:bCs/>
          <w:color w:val="auto"/>
          <w:sz w:val="72"/>
          <w:szCs w:val="72"/>
          <w:highlight w:val="none"/>
        </w:rPr>
      </w:pPr>
      <w:bookmarkStart w:id="64" w:name="_GoBack"/>
      <w:bookmarkEnd w:id="64"/>
    </w:p>
    <w:p w14:paraId="1DD287ED">
      <w:pPr>
        <w:pStyle w:val="14"/>
        <w:jc w:val="center"/>
        <w:rPr>
          <w:rFonts w:hint="eastAsia" w:hAnsi="宋体" w:cs="宋体"/>
          <w:b/>
          <w:bCs/>
          <w:color w:val="auto"/>
          <w:sz w:val="72"/>
          <w:szCs w:val="72"/>
          <w:highlight w:val="none"/>
        </w:rPr>
      </w:pPr>
      <w:r>
        <w:rPr>
          <w:rFonts w:hint="eastAsia" w:hAnsi="宋体" w:cs="宋体"/>
          <w:b/>
          <w:bCs/>
          <w:color w:val="auto"/>
          <w:sz w:val="72"/>
          <w:szCs w:val="72"/>
          <w:highlight w:val="none"/>
        </w:rPr>
        <w:t>竞争性谈判采购文件</w:t>
      </w:r>
    </w:p>
    <w:p w14:paraId="30B5426D">
      <w:pPr>
        <w:spacing w:before="318" w:beforeLines="100" w:after="159" w:afterLines="50" w:line="360" w:lineRule="auto"/>
        <w:jc w:val="center"/>
        <w:rPr>
          <w:rFonts w:hint="eastAsia" w:ascii="宋体" w:hAnsi="宋体"/>
          <w:color w:val="auto"/>
          <w:szCs w:val="21"/>
          <w:highlight w:val="none"/>
        </w:rPr>
      </w:pPr>
      <w:r>
        <w:rPr>
          <w:rFonts w:hint="eastAsia" w:ascii="宋体" w:hAnsi="宋体"/>
          <w:color w:val="auto"/>
          <w:szCs w:val="21"/>
          <w:highlight w:val="none"/>
        </w:rPr>
        <w:t>（全流程电子化评标）</w:t>
      </w:r>
    </w:p>
    <w:p w14:paraId="34C21355">
      <w:pPr>
        <w:snapToGrid w:val="0"/>
        <w:spacing w:line="360" w:lineRule="auto"/>
        <w:rPr>
          <w:rFonts w:hint="eastAsia" w:ascii="宋体" w:hAnsi="宋体" w:cs="宋体"/>
          <w:color w:val="auto"/>
          <w:sz w:val="30"/>
          <w:szCs w:val="72"/>
          <w:highlight w:val="none"/>
        </w:rPr>
      </w:pPr>
    </w:p>
    <w:p w14:paraId="57FAD664">
      <w:pPr>
        <w:pStyle w:val="14"/>
        <w:ind w:firstLine="2108" w:firstLineChars="700"/>
        <w:jc w:val="left"/>
        <w:rPr>
          <w:rFonts w:hint="eastAsia" w:hAnsi="宋体" w:cs="宋体"/>
          <w:b/>
          <w:color w:val="auto"/>
          <w:sz w:val="30"/>
          <w:szCs w:val="72"/>
          <w:highlight w:val="none"/>
        </w:rPr>
      </w:pPr>
    </w:p>
    <w:p w14:paraId="0C8233EF">
      <w:pPr>
        <w:pStyle w:val="14"/>
        <w:jc w:val="center"/>
        <w:rPr>
          <w:rFonts w:hint="eastAsia" w:hAnsi="宋体" w:cs="宋体"/>
          <w:b/>
          <w:color w:val="auto"/>
          <w:sz w:val="30"/>
          <w:szCs w:val="72"/>
          <w:highlight w:val="none"/>
        </w:rPr>
      </w:pPr>
      <w:r>
        <w:rPr>
          <w:rFonts w:hint="eastAsia" w:hAnsi="宋体" w:cs="宋体"/>
          <w:b/>
          <w:color w:val="auto"/>
          <w:sz w:val="30"/>
          <w:szCs w:val="72"/>
          <w:highlight w:val="none"/>
        </w:rPr>
        <w:t>项目名称：东校园部分学生公寓无线网络改造</w:t>
      </w:r>
    </w:p>
    <w:p w14:paraId="146C8583">
      <w:pPr>
        <w:pStyle w:val="14"/>
        <w:jc w:val="center"/>
        <w:rPr>
          <w:rFonts w:hint="eastAsia" w:hAnsi="宋体" w:cs="宋体"/>
          <w:b/>
          <w:color w:val="auto"/>
          <w:sz w:val="30"/>
          <w:szCs w:val="72"/>
          <w:highlight w:val="none"/>
        </w:rPr>
      </w:pPr>
      <w:r>
        <w:rPr>
          <w:rFonts w:hint="eastAsia" w:hAnsi="宋体" w:cs="宋体"/>
          <w:b/>
          <w:color w:val="auto"/>
          <w:sz w:val="30"/>
          <w:szCs w:val="72"/>
          <w:highlight w:val="none"/>
        </w:rPr>
        <w:t>项目编号：GXZC2026-J1-002916-GXGN</w:t>
      </w:r>
    </w:p>
    <w:p w14:paraId="224AC011">
      <w:pPr>
        <w:pStyle w:val="14"/>
        <w:ind w:firstLine="2108" w:firstLineChars="700"/>
        <w:jc w:val="center"/>
        <w:rPr>
          <w:rFonts w:hint="eastAsia" w:hAnsi="宋体" w:cs="宋体"/>
          <w:b/>
          <w:color w:val="auto"/>
          <w:sz w:val="30"/>
          <w:szCs w:val="72"/>
          <w:highlight w:val="none"/>
        </w:rPr>
      </w:pPr>
    </w:p>
    <w:p w14:paraId="76FD141D">
      <w:pPr>
        <w:pStyle w:val="4"/>
        <w:rPr>
          <w:color w:val="auto"/>
          <w:highlight w:val="none"/>
        </w:rPr>
      </w:pPr>
    </w:p>
    <w:p w14:paraId="192AA1A7">
      <w:pPr>
        <w:pStyle w:val="14"/>
        <w:jc w:val="center"/>
        <w:rPr>
          <w:rFonts w:hint="eastAsia" w:hAnsi="宋体" w:cs="宋体"/>
          <w:b/>
          <w:color w:val="auto"/>
          <w:sz w:val="30"/>
          <w:szCs w:val="72"/>
          <w:highlight w:val="none"/>
        </w:rPr>
      </w:pPr>
      <w:r>
        <w:rPr>
          <w:rFonts w:hint="eastAsia" w:hAnsi="宋体" w:cs="宋体"/>
          <w:b/>
          <w:color w:val="auto"/>
          <w:sz w:val="30"/>
          <w:szCs w:val="72"/>
          <w:highlight w:val="none"/>
        </w:rPr>
        <w:t>采购单位：广西大学</w:t>
      </w:r>
    </w:p>
    <w:p w14:paraId="142C0549">
      <w:pPr>
        <w:pStyle w:val="14"/>
        <w:jc w:val="center"/>
        <w:rPr>
          <w:rFonts w:hint="eastAsia" w:hAnsi="宋体" w:cs="宋体"/>
          <w:b/>
          <w:color w:val="auto"/>
          <w:sz w:val="30"/>
          <w:szCs w:val="72"/>
          <w:highlight w:val="none"/>
        </w:rPr>
      </w:pPr>
      <w:r>
        <w:rPr>
          <w:rFonts w:hint="eastAsia" w:hAnsi="宋体" w:cs="宋体"/>
          <w:b/>
          <w:color w:val="auto"/>
          <w:sz w:val="30"/>
          <w:szCs w:val="72"/>
          <w:highlight w:val="none"/>
        </w:rPr>
        <w:t>采购代理机构：广西冠宁工程咨询有限公司</w:t>
      </w:r>
    </w:p>
    <w:p w14:paraId="39DC56A0">
      <w:pPr>
        <w:pStyle w:val="4"/>
        <w:rPr>
          <w:color w:val="auto"/>
          <w:highlight w:val="none"/>
        </w:rPr>
      </w:pPr>
    </w:p>
    <w:p w14:paraId="77D3784A">
      <w:pPr>
        <w:pStyle w:val="14"/>
        <w:jc w:val="center"/>
        <w:rPr>
          <w:rFonts w:hint="eastAsia" w:hAnsi="宋体" w:cs="宋体"/>
          <w:color w:val="auto"/>
          <w:highlight w:val="none"/>
        </w:rPr>
        <w:sectPr>
          <w:headerReference r:id="rId3" w:type="default"/>
          <w:footerReference r:id="rId4" w:type="default"/>
          <w:footerReference r:id="rId5" w:type="even"/>
          <w:pgSz w:w="11905" w:h="16838"/>
          <w:pgMar w:top="1417" w:right="1417" w:bottom="1417" w:left="1417" w:header="850" w:footer="992" w:gutter="0"/>
          <w:pgNumType w:start="0"/>
          <w:cols w:space="720" w:num="1"/>
          <w:titlePg/>
          <w:docGrid w:type="lines" w:linePitch="318" w:charSpace="0"/>
        </w:sectPr>
      </w:pPr>
      <w:r>
        <w:rPr>
          <w:rFonts w:hint="eastAsia" w:hAnsi="宋体" w:cs="宋体"/>
          <w:b/>
          <w:color w:val="auto"/>
          <w:sz w:val="30"/>
          <w:szCs w:val="72"/>
          <w:highlight w:val="none"/>
        </w:rPr>
        <w:t>2026年9月</w:t>
      </w:r>
      <w:r>
        <w:rPr>
          <w:rFonts w:hint="eastAsia" w:hAnsi="宋体" w:cs="宋体"/>
          <w:b/>
          <w:color w:val="auto"/>
          <w:sz w:val="30"/>
          <w:szCs w:val="72"/>
          <w:highlight w:val="none"/>
          <w:lang w:val="en-US" w:eastAsia="zh-CN"/>
        </w:rPr>
        <w:t>10</w:t>
      </w:r>
      <w:r>
        <w:rPr>
          <w:rFonts w:hint="eastAsia" w:hAnsi="宋体" w:cs="宋体"/>
          <w:b/>
          <w:color w:val="auto"/>
          <w:sz w:val="30"/>
          <w:szCs w:val="72"/>
          <w:highlight w:val="none"/>
        </w:rPr>
        <w:t>日</w:t>
      </w:r>
      <w:r>
        <w:rPr>
          <w:rFonts w:hAnsi="宋体" w:cs="宋体"/>
          <w:b/>
          <w:color w:val="auto"/>
          <w:sz w:val="30"/>
          <w:szCs w:val="72"/>
          <w:highlight w:val="none"/>
        </w:rPr>
        <w:t xml:space="preserve">  </w:t>
      </w:r>
    </w:p>
    <w:p w14:paraId="06BAA69F">
      <w:pPr>
        <w:spacing w:line="360" w:lineRule="auto"/>
        <w:rPr>
          <w:rFonts w:hint="eastAsia" w:ascii="宋体" w:hAnsi="宋体" w:cs="宋体"/>
          <w:b/>
          <w:color w:val="auto"/>
          <w:sz w:val="44"/>
          <w:szCs w:val="44"/>
          <w:highlight w:val="none"/>
        </w:rPr>
      </w:pPr>
    </w:p>
    <w:p w14:paraId="4196DF6E">
      <w:pPr>
        <w:spacing w:line="360" w:lineRule="auto"/>
        <w:jc w:val="center"/>
        <w:rPr>
          <w:rFonts w:hint="eastAsia" w:ascii="宋体" w:hAnsi="宋体" w:cs="宋体"/>
          <w:b/>
          <w:color w:val="auto"/>
          <w:sz w:val="44"/>
          <w:szCs w:val="44"/>
          <w:highlight w:val="none"/>
        </w:rPr>
      </w:pPr>
      <w:r>
        <w:rPr>
          <w:rFonts w:hint="eastAsia" w:ascii="宋体" w:hAnsi="宋体" w:cs="宋体"/>
          <w:b/>
          <w:color w:val="auto"/>
          <w:sz w:val="44"/>
          <w:szCs w:val="44"/>
          <w:highlight w:val="none"/>
        </w:rPr>
        <w:t>目  录</w:t>
      </w:r>
    </w:p>
    <w:p w14:paraId="5406453E">
      <w:pPr>
        <w:spacing w:line="400" w:lineRule="exact"/>
        <w:jc w:val="center"/>
        <w:rPr>
          <w:rFonts w:hint="eastAsia" w:ascii="宋体" w:hAnsi="宋体" w:cs="宋体"/>
          <w:b/>
          <w:color w:val="auto"/>
          <w:sz w:val="44"/>
          <w:szCs w:val="44"/>
          <w:highlight w:val="none"/>
        </w:rPr>
      </w:pPr>
    </w:p>
    <w:p w14:paraId="05C92688">
      <w:pPr>
        <w:pStyle w:val="19"/>
        <w:tabs>
          <w:tab w:val="right" w:leader="dot" w:pos="9071"/>
        </w:tabs>
        <w:spacing w:line="480" w:lineRule="auto"/>
        <w:rPr>
          <w:color w:val="auto"/>
          <w:sz w:val="24"/>
          <w:highlight w:val="none"/>
        </w:rPr>
      </w:pPr>
      <w:r>
        <w:rPr>
          <w:rFonts w:hint="eastAsia" w:ascii="宋体" w:hAnsi="宋体" w:cs="宋体"/>
          <w:b/>
          <w:color w:val="auto"/>
          <w:sz w:val="24"/>
          <w:highlight w:val="none"/>
        </w:rPr>
        <w:fldChar w:fldCharType="begin"/>
      </w:r>
      <w:r>
        <w:rPr>
          <w:rFonts w:hint="eastAsia" w:ascii="宋体" w:hAnsi="宋体" w:cs="宋体"/>
          <w:b/>
          <w:color w:val="auto"/>
          <w:sz w:val="24"/>
          <w:highlight w:val="none"/>
        </w:rPr>
        <w:instrText xml:space="preserve"> TOC \o "1-3" \h \z \u </w:instrText>
      </w:r>
      <w:r>
        <w:rPr>
          <w:rFonts w:hint="eastAsia" w:ascii="宋体" w:hAnsi="宋体" w:cs="宋体"/>
          <w:b/>
          <w:color w:val="auto"/>
          <w:sz w:val="24"/>
          <w:highlight w:val="none"/>
        </w:rPr>
        <w:fldChar w:fldCharType="separate"/>
      </w:r>
      <w:r>
        <w:rPr>
          <w:color w:val="auto"/>
          <w:highlight w:val="none"/>
        </w:rPr>
        <w:fldChar w:fldCharType="begin"/>
      </w:r>
      <w:r>
        <w:rPr>
          <w:color w:val="auto"/>
          <w:highlight w:val="none"/>
        </w:rPr>
        <w:instrText xml:space="preserve"> HYPERLINK \l "_Toc23788" </w:instrText>
      </w:r>
      <w:r>
        <w:rPr>
          <w:color w:val="auto"/>
          <w:highlight w:val="none"/>
        </w:rPr>
        <w:fldChar w:fldCharType="separate"/>
      </w:r>
      <w:r>
        <w:rPr>
          <w:rFonts w:ascii="宋体" w:hAnsi="宋体" w:cs="宋体"/>
          <w:bCs/>
          <w:color w:val="auto"/>
          <w:kern w:val="44"/>
          <w:sz w:val="24"/>
          <w:highlight w:val="none"/>
        </w:rPr>
        <w:t>第一章</w:t>
      </w:r>
      <w:r>
        <w:rPr>
          <w:rFonts w:hint="eastAsia" w:ascii="宋体" w:hAnsi="宋体" w:cs="宋体"/>
          <w:color w:val="auto"/>
          <w:sz w:val="24"/>
          <w:highlight w:val="none"/>
        </w:rPr>
        <w:t>竞争性谈判公告</w:t>
      </w:r>
      <w:r>
        <w:rPr>
          <w:color w:val="auto"/>
          <w:sz w:val="24"/>
          <w:highlight w:val="none"/>
        </w:rPr>
        <w:tab/>
      </w:r>
      <w:r>
        <w:rPr>
          <w:color w:val="auto"/>
          <w:sz w:val="24"/>
          <w:highlight w:val="none"/>
        </w:rPr>
        <w:fldChar w:fldCharType="begin"/>
      </w:r>
      <w:r>
        <w:rPr>
          <w:color w:val="auto"/>
          <w:sz w:val="24"/>
          <w:highlight w:val="none"/>
        </w:rPr>
        <w:instrText xml:space="preserve"> PAGEREF _Toc23788 \h </w:instrText>
      </w:r>
      <w:r>
        <w:rPr>
          <w:color w:val="auto"/>
          <w:sz w:val="24"/>
          <w:highlight w:val="none"/>
        </w:rPr>
        <w:fldChar w:fldCharType="separate"/>
      </w:r>
      <w:r>
        <w:rPr>
          <w:color w:val="auto"/>
          <w:sz w:val="24"/>
          <w:highlight w:val="none"/>
        </w:rPr>
        <w:t>1</w:t>
      </w:r>
      <w:r>
        <w:rPr>
          <w:color w:val="auto"/>
          <w:sz w:val="24"/>
          <w:highlight w:val="none"/>
        </w:rPr>
        <w:fldChar w:fldCharType="end"/>
      </w:r>
      <w:r>
        <w:rPr>
          <w:color w:val="auto"/>
          <w:sz w:val="24"/>
          <w:highlight w:val="none"/>
        </w:rPr>
        <w:fldChar w:fldCharType="end"/>
      </w:r>
    </w:p>
    <w:p w14:paraId="290CBD3C">
      <w:pPr>
        <w:pStyle w:val="19"/>
        <w:tabs>
          <w:tab w:val="right" w:leader="dot" w:pos="9071"/>
        </w:tabs>
        <w:spacing w:line="480" w:lineRule="auto"/>
        <w:rPr>
          <w:color w:val="auto"/>
          <w:sz w:val="24"/>
          <w:highlight w:val="none"/>
        </w:rPr>
      </w:pPr>
      <w:r>
        <w:rPr>
          <w:color w:val="auto"/>
          <w:highlight w:val="none"/>
        </w:rPr>
        <w:fldChar w:fldCharType="begin"/>
      </w:r>
      <w:r>
        <w:rPr>
          <w:color w:val="auto"/>
          <w:highlight w:val="none"/>
        </w:rPr>
        <w:instrText xml:space="preserve"> HYPERLINK \l "_Toc7871" </w:instrText>
      </w:r>
      <w:r>
        <w:rPr>
          <w:color w:val="auto"/>
          <w:highlight w:val="none"/>
        </w:rPr>
        <w:fldChar w:fldCharType="separate"/>
      </w:r>
      <w:r>
        <w:rPr>
          <w:rFonts w:hint="eastAsia" w:ascii="宋体" w:hAnsi="宋体" w:cs="宋体"/>
          <w:color w:val="auto"/>
          <w:sz w:val="24"/>
          <w:highlight w:val="none"/>
        </w:rPr>
        <w:t>第二章 供应商须知</w:t>
      </w:r>
      <w:r>
        <w:rPr>
          <w:color w:val="auto"/>
          <w:sz w:val="24"/>
          <w:highlight w:val="none"/>
        </w:rPr>
        <w:tab/>
      </w:r>
      <w:r>
        <w:rPr>
          <w:color w:val="auto"/>
          <w:sz w:val="24"/>
          <w:highlight w:val="none"/>
        </w:rPr>
        <w:fldChar w:fldCharType="begin"/>
      </w:r>
      <w:r>
        <w:rPr>
          <w:color w:val="auto"/>
          <w:sz w:val="24"/>
          <w:highlight w:val="none"/>
        </w:rPr>
        <w:instrText xml:space="preserve"> PAGEREF _Toc7871 \h </w:instrText>
      </w:r>
      <w:r>
        <w:rPr>
          <w:color w:val="auto"/>
          <w:sz w:val="24"/>
          <w:highlight w:val="none"/>
        </w:rPr>
        <w:fldChar w:fldCharType="separate"/>
      </w:r>
      <w:r>
        <w:rPr>
          <w:color w:val="auto"/>
          <w:sz w:val="24"/>
          <w:highlight w:val="none"/>
        </w:rPr>
        <w:t>8</w:t>
      </w:r>
      <w:r>
        <w:rPr>
          <w:color w:val="auto"/>
          <w:sz w:val="24"/>
          <w:highlight w:val="none"/>
        </w:rPr>
        <w:fldChar w:fldCharType="end"/>
      </w:r>
      <w:r>
        <w:rPr>
          <w:color w:val="auto"/>
          <w:sz w:val="24"/>
          <w:highlight w:val="none"/>
        </w:rPr>
        <w:fldChar w:fldCharType="end"/>
      </w:r>
    </w:p>
    <w:p w14:paraId="48813720">
      <w:pPr>
        <w:pStyle w:val="19"/>
        <w:tabs>
          <w:tab w:val="right" w:leader="dot" w:pos="9071"/>
        </w:tabs>
        <w:spacing w:line="480" w:lineRule="auto"/>
        <w:rPr>
          <w:color w:val="auto"/>
          <w:sz w:val="24"/>
          <w:highlight w:val="none"/>
        </w:rPr>
      </w:pPr>
      <w:r>
        <w:rPr>
          <w:color w:val="auto"/>
          <w:highlight w:val="none"/>
        </w:rPr>
        <w:fldChar w:fldCharType="begin"/>
      </w:r>
      <w:r>
        <w:rPr>
          <w:color w:val="auto"/>
          <w:highlight w:val="none"/>
        </w:rPr>
        <w:instrText xml:space="preserve"> HYPERLINK \l "_Toc6099" </w:instrText>
      </w:r>
      <w:r>
        <w:rPr>
          <w:color w:val="auto"/>
          <w:highlight w:val="none"/>
        </w:rPr>
        <w:fldChar w:fldCharType="separate"/>
      </w:r>
      <w:r>
        <w:rPr>
          <w:rFonts w:hint="eastAsia" w:ascii="宋体" w:hAnsi="宋体" w:cs="宋体"/>
          <w:color w:val="auto"/>
          <w:sz w:val="24"/>
          <w:highlight w:val="none"/>
        </w:rPr>
        <w:t>第三章 采购需求</w:t>
      </w:r>
      <w:r>
        <w:rPr>
          <w:color w:val="auto"/>
          <w:sz w:val="24"/>
          <w:highlight w:val="none"/>
        </w:rPr>
        <w:tab/>
      </w:r>
      <w:r>
        <w:rPr>
          <w:color w:val="auto"/>
          <w:sz w:val="24"/>
          <w:highlight w:val="none"/>
        </w:rPr>
        <w:fldChar w:fldCharType="begin"/>
      </w:r>
      <w:r>
        <w:rPr>
          <w:color w:val="auto"/>
          <w:sz w:val="24"/>
          <w:highlight w:val="none"/>
        </w:rPr>
        <w:instrText xml:space="preserve"> PAGEREF _Toc6099 \h </w:instrText>
      </w:r>
      <w:r>
        <w:rPr>
          <w:color w:val="auto"/>
          <w:sz w:val="24"/>
          <w:highlight w:val="none"/>
        </w:rPr>
        <w:fldChar w:fldCharType="separate"/>
      </w:r>
      <w:r>
        <w:rPr>
          <w:color w:val="auto"/>
          <w:sz w:val="24"/>
          <w:highlight w:val="none"/>
        </w:rPr>
        <w:t>31</w:t>
      </w:r>
      <w:r>
        <w:rPr>
          <w:color w:val="auto"/>
          <w:sz w:val="24"/>
          <w:highlight w:val="none"/>
        </w:rPr>
        <w:fldChar w:fldCharType="end"/>
      </w:r>
      <w:r>
        <w:rPr>
          <w:color w:val="auto"/>
          <w:sz w:val="24"/>
          <w:highlight w:val="none"/>
        </w:rPr>
        <w:fldChar w:fldCharType="end"/>
      </w:r>
    </w:p>
    <w:p w14:paraId="4E2AC692">
      <w:pPr>
        <w:pStyle w:val="19"/>
        <w:tabs>
          <w:tab w:val="right" w:leader="dot" w:pos="9071"/>
        </w:tabs>
        <w:spacing w:line="480" w:lineRule="auto"/>
        <w:rPr>
          <w:color w:val="auto"/>
          <w:sz w:val="24"/>
          <w:highlight w:val="none"/>
        </w:rPr>
      </w:pPr>
      <w:r>
        <w:rPr>
          <w:color w:val="auto"/>
          <w:highlight w:val="none"/>
        </w:rPr>
        <w:fldChar w:fldCharType="begin"/>
      </w:r>
      <w:r>
        <w:rPr>
          <w:color w:val="auto"/>
          <w:highlight w:val="none"/>
        </w:rPr>
        <w:instrText xml:space="preserve"> HYPERLINK \l "_Toc18244" </w:instrText>
      </w:r>
      <w:r>
        <w:rPr>
          <w:color w:val="auto"/>
          <w:highlight w:val="none"/>
        </w:rPr>
        <w:fldChar w:fldCharType="separate"/>
      </w:r>
      <w:r>
        <w:rPr>
          <w:rFonts w:hint="eastAsia" w:ascii="宋体" w:hAnsi="宋体" w:cs="宋体"/>
          <w:color w:val="auto"/>
          <w:sz w:val="24"/>
          <w:highlight w:val="none"/>
        </w:rPr>
        <w:t>第四章  评审程序和评定成交的标准</w:t>
      </w:r>
      <w:r>
        <w:rPr>
          <w:color w:val="auto"/>
          <w:sz w:val="24"/>
          <w:highlight w:val="none"/>
        </w:rPr>
        <w:tab/>
      </w:r>
      <w:r>
        <w:rPr>
          <w:color w:val="auto"/>
          <w:sz w:val="24"/>
          <w:highlight w:val="none"/>
        </w:rPr>
        <w:fldChar w:fldCharType="begin"/>
      </w:r>
      <w:r>
        <w:rPr>
          <w:color w:val="auto"/>
          <w:sz w:val="24"/>
          <w:highlight w:val="none"/>
        </w:rPr>
        <w:instrText xml:space="preserve"> PAGEREF _Toc18244 \h </w:instrText>
      </w:r>
      <w:r>
        <w:rPr>
          <w:color w:val="auto"/>
          <w:sz w:val="24"/>
          <w:highlight w:val="none"/>
        </w:rPr>
        <w:fldChar w:fldCharType="separate"/>
      </w:r>
      <w:r>
        <w:rPr>
          <w:color w:val="auto"/>
          <w:sz w:val="24"/>
          <w:highlight w:val="none"/>
        </w:rPr>
        <w:t>52</w:t>
      </w:r>
      <w:r>
        <w:rPr>
          <w:color w:val="auto"/>
          <w:sz w:val="24"/>
          <w:highlight w:val="none"/>
        </w:rPr>
        <w:fldChar w:fldCharType="end"/>
      </w:r>
      <w:r>
        <w:rPr>
          <w:color w:val="auto"/>
          <w:sz w:val="24"/>
          <w:highlight w:val="none"/>
        </w:rPr>
        <w:fldChar w:fldCharType="end"/>
      </w:r>
    </w:p>
    <w:p w14:paraId="5F0CF565">
      <w:pPr>
        <w:pStyle w:val="19"/>
        <w:tabs>
          <w:tab w:val="right" w:leader="dot" w:pos="9071"/>
        </w:tabs>
        <w:spacing w:line="480" w:lineRule="auto"/>
        <w:rPr>
          <w:color w:val="auto"/>
          <w:sz w:val="24"/>
          <w:highlight w:val="none"/>
        </w:rPr>
      </w:pPr>
      <w:r>
        <w:rPr>
          <w:color w:val="auto"/>
          <w:highlight w:val="none"/>
        </w:rPr>
        <w:fldChar w:fldCharType="begin"/>
      </w:r>
      <w:r>
        <w:rPr>
          <w:color w:val="auto"/>
          <w:highlight w:val="none"/>
        </w:rPr>
        <w:instrText xml:space="preserve"> HYPERLINK \l "_Toc5926" </w:instrText>
      </w:r>
      <w:r>
        <w:rPr>
          <w:color w:val="auto"/>
          <w:highlight w:val="none"/>
        </w:rPr>
        <w:fldChar w:fldCharType="separate"/>
      </w:r>
      <w:r>
        <w:rPr>
          <w:rFonts w:hint="eastAsia" w:ascii="宋体" w:hAnsi="宋体" w:cs="宋体"/>
          <w:color w:val="auto"/>
          <w:sz w:val="24"/>
          <w:highlight w:val="none"/>
        </w:rPr>
        <w:t>第五章 响应文件格式</w:t>
      </w:r>
      <w:r>
        <w:rPr>
          <w:color w:val="auto"/>
          <w:sz w:val="24"/>
          <w:highlight w:val="none"/>
        </w:rPr>
        <w:tab/>
      </w:r>
      <w:r>
        <w:rPr>
          <w:color w:val="auto"/>
          <w:sz w:val="24"/>
          <w:highlight w:val="none"/>
        </w:rPr>
        <w:fldChar w:fldCharType="begin"/>
      </w:r>
      <w:r>
        <w:rPr>
          <w:color w:val="auto"/>
          <w:sz w:val="24"/>
          <w:highlight w:val="none"/>
        </w:rPr>
        <w:instrText xml:space="preserve"> PAGEREF _Toc5926 \h </w:instrText>
      </w:r>
      <w:r>
        <w:rPr>
          <w:color w:val="auto"/>
          <w:sz w:val="24"/>
          <w:highlight w:val="none"/>
        </w:rPr>
        <w:fldChar w:fldCharType="separate"/>
      </w:r>
      <w:r>
        <w:rPr>
          <w:color w:val="auto"/>
          <w:sz w:val="24"/>
          <w:highlight w:val="none"/>
        </w:rPr>
        <w:t>60</w:t>
      </w:r>
      <w:r>
        <w:rPr>
          <w:color w:val="auto"/>
          <w:sz w:val="24"/>
          <w:highlight w:val="none"/>
        </w:rPr>
        <w:fldChar w:fldCharType="end"/>
      </w:r>
      <w:r>
        <w:rPr>
          <w:color w:val="auto"/>
          <w:sz w:val="24"/>
          <w:highlight w:val="none"/>
        </w:rPr>
        <w:fldChar w:fldCharType="end"/>
      </w:r>
    </w:p>
    <w:p w14:paraId="10AD87DC">
      <w:pPr>
        <w:pStyle w:val="19"/>
        <w:tabs>
          <w:tab w:val="right" w:leader="dot" w:pos="9071"/>
        </w:tabs>
        <w:spacing w:line="480" w:lineRule="auto"/>
        <w:rPr>
          <w:color w:val="auto"/>
          <w:sz w:val="24"/>
          <w:highlight w:val="none"/>
        </w:rPr>
      </w:pPr>
      <w:r>
        <w:rPr>
          <w:color w:val="auto"/>
          <w:highlight w:val="none"/>
        </w:rPr>
        <w:fldChar w:fldCharType="begin"/>
      </w:r>
      <w:r>
        <w:rPr>
          <w:color w:val="auto"/>
          <w:highlight w:val="none"/>
        </w:rPr>
        <w:instrText xml:space="preserve"> HYPERLINK \l "_Toc3729" </w:instrText>
      </w:r>
      <w:r>
        <w:rPr>
          <w:color w:val="auto"/>
          <w:highlight w:val="none"/>
        </w:rPr>
        <w:fldChar w:fldCharType="separate"/>
      </w:r>
      <w:r>
        <w:rPr>
          <w:rFonts w:hint="eastAsia" w:ascii="宋体" w:hAnsi="宋体" w:cs="宋体"/>
          <w:color w:val="auto"/>
          <w:sz w:val="24"/>
          <w:highlight w:val="none"/>
        </w:rPr>
        <w:t>第六章 合同文本</w:t>
      </w:r>
      <w:r>
        <w:rPr>
          <w:color w:val="auto"/>
          <w:sz w:val="24"/>
          <w:highlight w:val="none"/>
        </w:rPr>
        <w:tab/>
      </w:r>
      <w:r>
        <w:rPr>
          <w:color w:val="auto"/>
          <w:sz w:val="24"/>
          <w:highlight w:val="none"/>
        </w:rPr>
        <w:fldChar w:fldCharType="begin"/>
      </w:r>
      <w:r>
        <w:rPr>
          <w:color w:val="auto"/>
          <w:sz w:val="24"/>
          <w:highlight w:val="none"/>
        </w:rPr>
        <w:instrText xml:space="preserve"> PAGEREF _Toc3729 \h </w:instrText>
      </w:r>
      <w:r>
        <w:rPr>
          <w:color w:val="auto"/>
          <w:sz w:val="24"/>
          <w:highlight w:val="none"/>
        </w:rPr>
        <w:fldChar w:fldCharType="separate"/>
      </w:r>
      <w:r>
        <w:rPr>
          <w:color w:val="auto"/>
          <w:sz w:val="24"/>
          <w:highlight w:val="none"/>
        </w:rPr>
        <w:t>85</w:t>
      </w:r>
      <w:r>
        <w:rPr>
          <w:color w:val="auto"/>
          <w:sz w:val="24"/>
          <w:highlight w:val="none"/>
        </w:rPr>
        <w:fldChar w:fldCharType="end"/>
      </w:r>
      <w:r>
        <w:rPr>
          <w:color w:val="auto"/>
          <w:sz w:val="24"/>
          <w:highlight w:val="none"/>
        </w:rPr>
        <w:fldChar w:fldCharType="end"/>
      </w:r>
    </w:p>
    <w:p w14:paraId="7C844C1D">
      <w:pPr>
        <w:pStyle w:val="20"/>
        <w:tabs>
          <w:tab w:val="right" w:leader="dot" w:pos="8931"/>
          <w:tab w:val="clear" w:pos="8296"/>
        </w:tabs>
        <w:snapToGrid w:val="0"/>
        <w:spacing w:line="480" w:lineRule="auto"/>
        <w:ind w:left="0" w:leftChars="0"/>
        <w:rPr>
          <w:rFonts w:hint="eastAsia" w:ascii="宋体" w:hAnsi="宋体" w:cs="宋体"/>
          <w:b/>
          <w:color w:val="auto"/>
          <w:sz w:val="24"/>
          <w:highlight w:val="none"/>
        </w:rPr>
      </w:pPr>
      <w:r>
        <w:rPr>
          <w:rFonts w:hint="eastAsia" w:ascii="宋体" w:hAnsi="宋体" w:cs="宋体"/>
          <w:color w:val="auto"/>
          <w:sz w:val="24"/>
          <w:highlight w:val="none"/>
        </w:rPr>
        <w:fldChar w:fldCharType="end"/>
      </w:r>
    </w:p>
    <w:p w14:paraId="7A68F0B0">
      <w:pPr>
        <w:spacing w:line="400" w:lineRule="exact"/>
        <w:jc w:val="left"/>
        <w:rPr>
          <w:rFonts w:hint="eastAsia" w:ascii="宋体" w:hAnsi="宋体" w:cs="宋体"/>
          <w:b/>
          <w:color w:val="auto"/>
          <w:sz w:val="32"/>
          <w:szCs w:val="32"/>
          <w:highlight w:val="none"/>
        </w:rPr>
      </w:pPr>
    </w:p>
    <w:p w14:paraId="26E68F64">
      <w:pPr>
        <w:spacing w:line="400" w:lineRule="exact"/>
        <w:jc w:val="center"/>
        <w:rPr>
          <w:rFonts w:hint="eastAsia" w:ascii="宋体" w:hAnsi="宋体" w:cs="宋体"/>
          <w:b/>
          <w:color w:val="auto"/>
          <w:sz w:val="32"/>
          <w:szCs w:val="32"/>
          <w:highlight w:val="none"/>
        </w:rPr>
      </w:pPr>
    </w:p>
    <w:p w14:paraId="7617C81D">
      <w:pPr>
        <w:spacing w:line="400" w:lineRule="exact"/>
        <w:jc w:val="center"/>
        <w:rPr>
          <w:rFonts w:hint="eastAsia" w:ascii="宋体" w:hAnsi="宋体" w:cs="宋体"/>
          <w:b/>
          <w:color w:val="auto"/>
          <w:sz w:val="32"/>
          <w:szCs w:val="32"/>
          <w:highlight w:val="none"/>
        </w:rPr>
      </w:pPr>
    </w:p>
    <w:p w14:paraId="09650A1B">
      <w:pPr>
        <w:spacing w:line="400" w:lineRule="exact"/>
        <w:jc w:val="center"/>
        <w:rPr>
          <w:rFonts w:hint="eastAsia" w:ascii="宋体" w:hAnsi="宋体" w:cs="宋体"/>
          <w:b/>
          <w:color w:val="auto"/>
          <w:sz w:val="32"/>
          <w:szCs w:val="32"/>
          <w:highlight w:val="none"/>
        </w:rPr>
      </w:pPr>
    </w:p>
    <w:p w14:paraId="0441742C">
      <w:pPr>
        <w:spacing w:line="400" w:lineRule="exact"/>
        <w:jc w:val="center"/>
        <w:rPr>
          <w:rFonts w:hint="eastAsia" w:ascii="宋体" w:hAnsi="宋体" w:cs="宋体"/>
          <w:b/>
          <w:color w:val="auto"/>
          <w:sz w:val="32"/>
          <w:szCs w:val="32"/>
          <w:highlight w:val="none"/>
        </w:rPr>
      </w:pPr>
    </w:p>
    <w:p w14:paraId="5E125E9A">
      <w:pPr>
        <w:spacing w:line="400" w:lineRule="exact"/>
        <w:rPr>
          <w:rFonts w:hint="eastAsia" w:ascii="宋体" w:hAnsi="宋体" w:cs="宋体"/>
          <w:b/>
          <w:color w:val="auto"/>
          <w:sz w:val="32"/>
          <w:szCs w:val="32"/>
          <w:highlight w:val="none"/>
        </w:rPr>
        <w:sectPr>
          <w:headerReference r:id="rId6" w:type="default"/>
          <w:footerReference r:id="rId7" w:type="default"/>
          <w:pgSz w:w="11905" w:h="16838"/>
          <w:pgMar w:top="1417" w:right="1417" w:bottom="1417" w:left="1417" w:header="850" w:footer="992" w:gutter="0"/>
          <w:pgNumType w:start="0"/>
          <w:cols w:space="720" w:num="1"/>
          <w:titlePg/>
          <w:docGrid w:type="lines" w:linePitch="318" w:charSpace="0"/>
        </w:sectPr>
      </w:pPr>
    </w:p>
    <w:p w14:paraId="59BF1D1F">
      <w:pPr>
        <w:pStyle w:val="2"/>
        <w:spacing w:before="0" w:after="0" w:line="360" w:lineRule="auto"/>
        <w:jc w:val="center"/>
        <w:rPr>
          <w:rFonts w:hint="eastAsia" w:ascii="宋体" w:hAnsi="宋体" w:cs="宋体"/>
          <w:color w:val="auto"/>
          <w:highlight w:val="none"/>
        </w:rPr>
      </w:pPr>
      <w:bookmarkStart w:id="0" w:name="_Toc23788"/>
      <w:r>
        <w:rPr>
          <w:rFonts w:ascii="宋体" w:hAnsi="宋体" w:cs="宋体"/>
          <w:color w:val="auto"/>
          <w:highlight w:val="none"/>
        </w:rPr>
        <w:t>第一章</w:t>
      </w:r>
      <w:r>
        <w:rPr>
          <w:rFonts w:hint="eastAsia" w:ascii="宋体" w:hAnsi="宋体" w:cs="宋体"/>
          <w:color w:val="auto"/>
          <w:highlight w:val="none"/>
        </w:rPr>
        <w:t>竞争性谈判公告</w:t>
      </w:r>
      <w:bookmarkEnd w:id="0"/>
    </w:p>
    <w:p w14:paraId="7C671AFD">
      <w:pPr>
        <w:rPr>
          <w:color w:val="auto"/>
          <w:highlight w:val="none"/>
        </w:rPr>
      </w:pPr>
    </w:p>
    <w:p w14:paraId="7E424A39">
      <w:pPr>
        <w:pStyle w:val="33"/>
        <w:rPr>
          <w:color w:val="auto"/>
          <w:highlight w:val="none"/>
        </w:rPr>
      </w:pPr>
    </w:p>
    <w:p w14:paraId="13CD1B4A">
      <w:pPr>
        <w:spacing w:line="360" w:lineRule="auto"/>
        <w:jc w:val="center"/>
        <w:rPr>
          <w:rFonts w:hint="eastAsia" w:ascii="宋体" w:hAnsi="宋体" w:cs="宋体"/>
          <w:b/>
          <w:color w:val="auto"/>
          <w:sz w:val="36"/>
          <w:szCs w:val="36"/>
          <w:highlight w:val="none"/>
        </w:rPr>
      </w:pPr>
      <w:r>
        <w:rPr>
          <w:rFonts w:hint="eastAsia" w:ascii="宋体" w:hAnsi="宋体" w:cs="宋体"/>
          <w:b/>
          <w:color w:val="auto"/>
          <w:sz w:val="36"/>
          <w:szCs w:val="36"/>
          <w:highlight w:val="none"/>
        </w:rPr>
        <w:t>广西冠宁工程咨询有限公司</w:t>
      </w:r>
    </w:p>
    <w:p w14:paraId="3E9C9503">
      <w:pPr>
        <w:spacing w:line="360" w:lineRule="auto"/>
        <w:jc w:val="center"/>
        <w:rPr>
          <w:rFonts w:hint="eastAsia" w:ascii="宋体" w:hAnsi="宋体" w:cs="宋体"/>
          <w:b/>
          <w:color w:val="auto"/>
          <w:sz w:val="36"/>
          <w:szCs w:val="36"/>
          <w:highlight w:val="none"/>
        </w:rPr>
      </w:pPr>
      <w:r>
        <w:rPr>
          <w:rFonts w:hint="eastAsia" w:ascii="宋体" w:hAnsi="宋体" w:cs="宋体"/>
          <w:b/>
          <w:color w:val="auto"/>
          <w:sz w:val="36"/>
          <w:szCs w:val="36"/>
          <w:highlight w:val="none"/>
        </w:rPr>
        <w:t>东校园部分学生公寓无线网络改造（项目编号GXZC2026-J1-002916-GXGN）</w:t>
      </w:r>
    </w:p>
    <w:p w14:paraId="180D7799">
      <w:pPr>
        <w:spacing w:line="360" w:lineRule="auto"/>
        <w:jc w:val="center"/>
        <w:rPr>
          <w:rFonts w:hint="eastAsia" w:ascii="宋体" w:hAnsi="宋体" w:cs="宋体"/>
          <w:b/>
          <w:color w:val="auto"/>
          <w:kern w:val="0"/>
          <w:sz w:val="36"/>
          <w:szCs w:val="36"/>
          <w:highlight w:val="none"/>
        </w:rPr>
      </w:pPr>
      <w:r>
        <w:rPr>
          <w:rFonts w:hint="eastAsia" w:ascii="宋体" w:hAnsi="宋体" w:cs="宋体"/>
          <w:b/>
          <w:color w:val="auto"/>
          <w:kern w:val="0"/>
          <w:sz w:val="36"/>
          <w:szCs w:val="36"/>
          <w:highlight w:val="none"/>
        </w:rPr>
        <w:t>竞争性谈判公告</w:t>
      </w:r>
    </w:p>
    <w:p w14:paraId="7FF826D9">
      <w:pPr>
        <w:pStyle w:val="33"/>
        <w:rPr>
          <w:color w:val="auto"/>
          <w:highlight w:val="none"/>
        </w:rPr>
      </w:pPr>
    </w:p>
    <w:p w14:paraId="3F9051D3">
      <w:pPr>
        <w:spacing w:line="360" w:lineRule="auto"/>
        <w:rPr>
          <w:rFonts w:hint="eastAsia" w:ascii="宋体" w:hAnsi="宋体" w:cs="宋体"/>
          <w:b/>
          <w:bCs/>
          <w:color w:val="auto"/>
          <w:sz w:val="24"/>
          <w:highlight w:val="none"/>
        </w:rPr>
      </w:pPr>
    </w:p>
    <w:p w14:paraId="3B25CE72">
      <w:pPr>
        <w:pBdr>
          <w:top w:val="single" w:color="auto" w:sz="4" w:space="1"/>
          <w:left w:val="single" w:color="auto" w:sz="4" w:space="4"/>
          <w:bottom w:val="single" w:color="auto" w:sz="4" w:space="1"/>
          <w:right w:val="single" w:color="auto" w:sz="4" w:space="4"/>
        </w:pBdr>
        <w:spacing w:line="360" w:lineRule="auto"/>
        <w:rPr>
          <w:rFonts w:hint="eastAsia" w:ascii="宋体" w:hAnsi="宋体" w:cs="宋体"/>
          <w:b/>
          <w:bCs/>
          <w:color w:val="auto"/>
          <w:sz w:val="24"/>
          <w:highlight w:val="none"/>
        </w:rPr>
      </w:pPr>
      <w:bookmarkStart w:id="1" w:name="_Hlk37430271"/>
      <w:r>
        <w:rPr>
          <w:rFonts w:hint="eastAsia" w:ascii="宋体" w:hAnsi="宋体" w:cs="宋体"/>
          <w:b/>
          <w:bCs/>
          <w:color w:val="auto"/>
          <w:sz w:val="24"/>
          <w:highlight w:val="none"/>
        </w:rPr>
        <w:t>项目概况：</w:t>
      </w:r>
    </w:p>
    <w:p w14:paraId="346DC34E">
      <w:pPr>
        <w:pBdr>
          <w:top w:val="single" w:color="auto" w:sz="4" w:space="1"/>
          <w:left w:val="single" w:color="auto" w:sz="4" w:space="4"/>
          <w:bottom w:val="single" w:color="auto" w:sz="4" w:space="1"/>
          <w:right w:val="single" w:color="auto" w:sz="4" w:space="4"/>
        </w:pBd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 </w:t>
      </w:r>
      <w:bookmarkStart w:id="2" w:name="_Hlk206953611"/>
      <w:r>
        <w:rPr>
          <w:rFonts w:hint="eastAsia" w:ascii="宋体" w:hAnsi="宋体" w:cs="宋体"/>
          <w:color w:val="auto"/>
          <w:sz w:val="24"/>
          <w:highlight w:val="none"/>
        </w:rPr>
        <w:t xml:space="preserve"> </w:t>
      </w:r>
      <w:r>
        <w:rPr>
          <w:rFonts w:hint="eastAsia" w:ascii="宋体" w:hAnsi="宋体" w:cs="宋体"/>
          <w:color w:val="auto"/>
          <w:sz w:val="24"/>
          <w:highlight w:val="none"/>
          <w:u w:val="single"/>
        </w:rPr>
        <w:t>东校园部分学生公寓无线网络改造</w:t>
      </w:r>
      <w:r>
        <w:rPr>
          <w:rFonts w:hint="eastAsia" w:ascii="宋体" w:hAnsi="宋体"/>
          <w:color w:val="auto"/>
          <w:sz w:val="24"/>
          <w:highlight w:val="none"/>
          <w:u w:val="single"/>
        </w:rPr>
        <w:t>（采购标的或者项目名称</w:t>
      </w:r>
      <w:r>
        <w:rPr>
          <w:rFonts w:ascii="宋体" w:hAnsi="宋体"/>
          <w:color w:val="auto"/>
          <w:sz w:val="24"/>
          <w:highlight w:val="none"/>
          <w:u w:val="single"/>
        </w:rPr>
        <w:t>）</w:t>
      </w:r>
      <w:r>
        <w:rPr>
          <w:rFonts w:hint="eastAsia" w:ascii="宋体" w:hAnsi="宋体" w:cs="宋体"/>
          <w:color w:val="auto"/>
          <w:sz w:val="24"/>
          <w:highlight w:val="none"/>
        </w:rPr>
        <w:t>项目的</w:t>
      </w:r>
      <w:bookmarkEnd w:id="2"/>
      <w:r>
        <w:rPr>
          <w:rFonts w:hint="eastAsia" w:ascii="宋体" w:hAnsi="宋体" w:cs="宋体"/>
          <w:color w:val="auto"/>
          <w:sz w:val="24"/>
          <w:highlight w:val="none"/>
        </w:rPr>
        <w:t>潜在供应商应在广西政府采购云平台（https://www.gcy.zfcg.gxzf.gov.cn/）获取（下载）竞争性谈判采购文件，</w:t>
      </w:r>
      <w:bookmarkStart w:id="3" w:name="_Hlk206953590"/>
      <w:r>
        <w:rPr>
          <w:rFonts w:hint="eastAsia" w:ascii="宋体" w:hAnsi="宋体" w:cs="宋体"/>
          <w:color w:val="auto"/>
          <w:sz w:val="24"/>
          <w:highlight w:val="none"/>
        </w:rPr>
        <w:t>并于2026年</w:t>
      </w:r>
      <w:r>
        <w:rPr>
          <w:rFonts w:hint="eastAsia" w:ascii="宋体" w:hAnsi="宋体" w:cs="宋体"/>
          <w:color w:val="auto"/>
          <w:sz w:val="24"/>
          <w:highlight w:val="none"/>
          <w:lang w:val="en-US" w:eastAsia="zh-CN"/>
        </w:rPr>
        <w:t>9</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16</w:t>
      </w:r>
      <w:r>
        <w:rPr>
          <w:rFonts w:hint="eastAsia" w:ascii="宋体" w:hAnsi="宋体" w:cs="宋体"/>
          <w:color w:val="auto"/>
          <w:sz w:val="24"/>
          <w:highlight w:val="none"/>
        </w:rPr>
        <w:t>日</w:t>
      </w:r>
      <w:r>
        <w:rPr>
          <w:rFonts w:hint="eastAsia" w:ascii="宋体" w:hAnsi="宋体" w:cs="宋体"/>
          <w:color w:val="auto"/>
          <w:sz w:val="24"/>
          <w:highlight w:val="none"/>
          <w:lang w:val="en-US" w:eastAsia="zh-CN"/>
        </w:rPr>
        <w:t>09</w:t>
      </w:r>
      <w:r>
        <w:rPr>
          <w:rFonts w:hint="eastAsia" w:ascii="宋体" w:hAnsi="宋体" w:cs="宋体"/>
          <w:color w:val="auto"/>
          <w:sz w:val="24"/>
          <w:highlight w:val="none"/>
        </w:rPr>
        <w:t>时</w:t>
      </w:r>
      <w:r>
        <w:rPr>
          <w:rFonts w:hint="eastAsia" w:ascii="宋体" w:hAnsi="宋体" w:cs="宋体"/>
          <w:color w:val="auto"/>
          <w:sz w:val="24"/>
          <w:highlight w:val="none"/>
          <w:lang w:val="en-US" w:eastAsia="zh-CN"/>
        </w:rPr>
        <w:t>30</w:t>
      </w:r>
      <w:r>
        <w:rPr>
          <w:rFonts w:hint="eastAsia" w:ascii="宋体" w:hAnsi="宋体" w:cs="宋体"/>
          <w:color w:val="auto"/>
          <w:sz w:val="24"/>
          <w:highlight w:val="none"/>
        </w:rPr>
        <w:t>分</w:t>
      </w:r>
      <w:r>
        <w:rPr>
          <w:rFonts w:hint="eastAsia" w:ascii="宋体" w:hAnsi="宋体" w:cs="宋体"/>
          <w:bCs/>
          <w:color w:val="auto"/>
          <w:sz w:val="24"/>
          <w:highlight w:val="none"/>
        </w:rPr>
        <w:t>（北京时间）前提交响应文件</w:t>
      </w:r>
      <w:r>
        <w:rPr>
          <w:rFonts w:hint="eastAsia" w:ascii="宋体" w:hAnsi="宋体" w:cs="宋体"/>
          <w:color w:val="auto"/>
          <w:sz w:val="24"/>
          <w:highlight w:val="none"/>
        </w:rPr>
        <w:t>。</w:t>
      </w:r>
    </w:p>
    <w:bookmarkEnd w:id="3"/>
    <w:p w14:paraId="38F0BB68">
      <w:pPr>
        <w:spacing w:line="360" w:lineRule="auto"/>
        <w:ind w:firstLine="482" w:firstLineChars="200"/>
        <w:rPr>
          <w:rFonts w:hint="eastAsia" w:ascii="宋体" w:hAnsi="宋体" w:cs="宋体"/>
          <w:b/>
          <w:bCs/>
          <w:color w:val="auto"/>
          <w:sz w:val="24"/>
          <w:highlight w:val="none"/>
        </w:rPr>
      </w:pPr>
      <w:bookmarkStart w:id="4" w:name="_Toc28359095"/>
      <w:bookmarkStart w:id="5" w:name="_Toc71366047"/>
      <w:bookmarkStart w:id="6" w:name="_Toc35393636"/>
      <w:bookmarkStart w:id="7" w:name="_Toc71365369"/>
      <w:bookmarkStart w:id="8" w:name="_Toc28359018"/>
      <w:bookmarkStart w:id="9" w:name="_Toc35393805"/>
      <w:r>
        <w:rPr>
          <w:rFonts w:hint="eastAsia" w:ascii="宋体" w:hAnsi="宋体" w:cs="宋体"/>
          <w:b/>
          <w:bCs/>
          <w:color w:val="auto"/>
          <w:sz w:val="24"/>
          <w:highlight w:val="none"/>
        </w:rPr>
        <w:t>一、项目基本情况</w:t>
      </w:r>
    </w:p>
    <w:p w14:paraId="1CD47797">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项目名称：东校园部分学生公寓无线网络改造</w:t>
      </w:r>
    </w:p>
    <w:p w14:paraId="0652569B">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项目编号：GXZC2026-J1-002916-GXGN</w:t>
      </w:r>
    </w:p>
    <w:p w14:paraId="388EF86A">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采购计划编号：广西政采[2026]17745号-001-001、广西政采[2026]17745号-001-002、</w:t>
      </w:r>
      <w:r>
        <w:rPr>
          <w:color w:val="auto"/>
          <w:highlight w:val="none"/>
        </w:rPr>
        <w:fldChar w:fldCharType="begin"/>
      </w:r>
      <w:r>
        <w:rPr>
          <w:color w:val="auto"/>
          <w:highlight w:val="none"/>
        </w:rPr>
        <w:instrText xml:space="preserve">HYPERLINK "https://middle.gcy.zfcg.gxzf.gov.cn/purchaseplan_front/" \l "/plan/list/view?id=1000000000026174572" \t "https://www.gcy.zfcg.gxzf.gov.cn/delegation-order/_procurement_/order/orderInfo/check/_blank"</w:instrText>
      </w:r>
      <w:r>
        <w:rPr>
          <w:color w:val="auto"/>
          <w:highlight w:val="none"/>
        </w:rPr>
        <w:fldChar w:fldCharType="separate"/>
      </w:r>
      <w:r>
        <w:rPr>
          <w:rFonts w:hint="eastAsia" w:ascii="宋体" w:hAnsi="宋体" w:cs="宋体"/>
          <w:color w:val="auto"/>
          <w:sz w:val="24"/>
          <w:highlight w:val="none"/>
        </w:rPr>
        <w:t>广西政采[2026]17745号-002</w:t>
      </w:r>
      <w:r>
        <w:rPr>
          <w:rFonts w:ascii="宋体" w:hAnsi="宋体" w:cs="宋体"/>
          <w:color w:val="auto"/>
          <w:sz w:val="24"/>
          <w:highlight w:val="none"/>
        </w:rPr>
        <w:fldChar w:fldCharType="end"/>
      </w:r>
      <w:r>
        <w:rPr>
          <w:rFonts w:hint="eastAsia" w:ascii="宋体" w:hAnsi="宋体" w:cs="宋体"/>
          <w:color w:val="auto"/>
          <w:sz w:val="24"/>
          <w:highlight w:val="none"/>
        </w:rPr>
        <w:t>-001、</w:t>
      </w:r>
      <w:r>
        <w:rPr>
          <w:rFonts w:hint="eastAsia"/>
          <w:color w:val="auto"/>
          <w:highlight w:val="none"/>
        </w:rPr>
        <w:fldChar w:fldCharType="begin"/>
      </w:r>
      <w:r>
        <w:rPr>
          <w:color w:val="auto"/>
          <w:highlight w:val="none"/>
        </w:rPr>
        <w:instrText xml:space="preserve"> HYPERLINK "https://middle.gcy.zfcg.gxzf.gov.cn/purchaseplan_front/" \l "/plan/list/view?id=1000000000026174572" \t "https://www.gcy.zfcg.gxzf.gov.cn/delegation-order/_procurement_/order/orderInfo/check/_blank" </w:instrText>
      </w:r>
      <w:r>
        <w:rPr>
          <w:rFonts w:hint="eastAsia"/>
          <w:color w:val="auto"/>
          <w:highlight w:val="none"/>
        </w:rPr>
        <w:fldChar w:fldCharType="separate"/>
      </w:r>
      <w:r>
        <w:rPr>
          <w:rFonts w:hint="eastAsia" w:ascii="宋体" w:hAnsi="宋体" w:cs="宋体"/>
          <w:color w:val="auto"/>
          <w:sz w:val="24"/>
          <w:highlight w:val="none"/>
        </w:rPr>
        <w:t>广西政采[2026]17745号-002</w:t>
      </w:r>
      <w:r>
        <w:rPr>
          <w:rFonts w:hint="eastAsia" w:ascii="宋体" w:hAnsi="宋体" w:cs="宋体"/>
          <w:color w:val="auto"/>
          <w:sz w:val="24"/>
          <w:highlight w:val="none"/>
        </w:rPr>
        <w:fldChar w:fldCharType="end"/>
      </w:r>
      <w:r>
        <w:rPr>
          <w:rFonts w:hint="eastAsia" w:ascii="宋体" w:hAnsi="宋体" w:cs="宋体"/>
          <w:color w:val="auto"/>
          <w:sz w:val="24"/>
          <w:highlight w:val="none"/>
        </w:rPr>
        <w:t>-002、</w:t>
      </w:r>
      <w:r>
        <w:rPr>
          <w:color w:val="auto"/>
          <w:highlight w:val="none"/>
        </w:rPr>
        <w:fldChar w:fldCharType="begin"/>
      </w:r>
      <w:r>
        <w:rPr>
          <w:color w:val="auto"/>
          <w:highlight w:val="none"/>
        </w:rPr>
        <w:instrText xml:space="preserve">HYPERLINK "https://middle.gcy.zfcg.gxzf.gov.cn/purchaseplan_front/" \l "/plan/list/view?id=1000000000026174571" \t "https://www.gcy.zfcg.gxzf.gov.cn/delegation-order/_procurement_/order/orderInfo/check/_blank"</w:instrText>
      </w:r>
      <w:r>
        <w:rPr>
          <w:color w:val="auto"/>
          <w:highlight w:val="none"/>
        </w:rPr>
        <w:fldChar w:fldCharType="separate"/>
      </w:r>
      <w:r>
        <w:rPr>
          <w:rFonts w:hint="eastAsia" w:ascii="宋体" w:hAnsi="宋体" w:cs="宋体"/>
          <w:color w:val="auto"/>
          <w:sz w:val="24"/>
          <w:highlight w:val="none"/>
        </w:rPr>
        <w:t>广西政采[2026]17745号-003</w:t>
      </w:r>
      <w:r>
        <w:rPr>
          <w:rFonts w:ascii="宋体" w:hAnsi="宋体" w:cs="宋体"/>
          <w:color w:val="auto"/>
          <w:sz w:val="24"/>
          <w:highlight w:val="none"/>
        </w:rPr>
        <w:fldChar w:fldCharType="end"/>
      </w:r>
      <w:r>
        <w:rPr>
          <w:rFonts w:hint="eastAsia" w:ascii="宋体" w:hAnsi="宋体" w:cs="宋体"/>
          <w:color w:val="auto"/>
          <w:sz w:val="24"/>
          <w:highlight w:val="none"/>
        </w:rPr>
        <w:t>-001、</w:t>
      </w:r>
      <w:r>
        <w:rPr>
          <w:rFonts w:hint="eastAsia"/>
          <w:color w:val="auto"/>
          <w:highlight w:val="none"/>
        </w:rPr>
        <w:fldChar w:fldCharType="begin"/>
      </w:r>
      <w:r>
        <w:rPr>
          <w:color w:val="auto"/>
          <w:highlight w:val="none"/>
        </w:rPr>
        <w:instrText xml:space="preserve"> HYPERLINK "https://middle.gcy.zfcg.gxzf.gov.cn/purchaseplan_front/" \l "/plan/list/view?id=1000000000026174571" \t "https://www.gcy.zfcg.gxzf.gov.cn/delegation-order/_procurement_/order/orderInfo/check/_blank" </w:instrText>
      </w:r>
      <w:r>
        <w:rPr>
          <w:rFonts w:hint="eastAsia"/>
          <w:color w:val="auto"/>
          <w:highlight w:val="none"/>
        </w:rPr>
        <w:fldChar w:fldCharType="separate"/>
      </w:r>
      <w:r>
        <w:rPr>
          <w:rFonts w:hint="eastAsia" w:ascii="宋体" w:hAnsi="宋体" w:cs="宋体"/>
          <w:color w:val="auto"/>
          <w:sz w:val="24"/>
          <w:highlight w:val="none"/>
        </w:rPr>
        <w:t>广西政采[2026]17745号-003</w:t>
      </w:r>
      <w:r>
        <w:rPr>
          <w:rFonts w:hint="eastAsia" w:ascii="宋体" w:hAnsi="宋体" w:cs="宋体"/>
          <w:color w:val="auto"/>
          <w:sz w:val="24"/>
          <w:highlight w:val="none"/>
        </w:rPr>
        <w:fldChar w:fldCharType="end"/>
      </w:r>
      <w:r>
        <w:rPr>
          <w:rFonts w:hint="eastAsia" w:ascii="宋体" w:hAnsi="宋体" w:cs="宋体"/>
          <w:color w:val="auto"/>
          <w:sz w:val="24"/>
          <w:highlight w:val="none"/>
        </w:rPr>
        <w:t>-002、</w:t>
      </w:r>
      <w:r>
        <w:rPr>
          <w:color w:val="auto"/>
          <w:highlight w:val="none"/>
        </w:rPr>
        <w:fldChar w:fldCharType="begin"/>
      </w:r>
      <w:r>
        <w:rPr>
          <w:color w:val="auto"/>
          <w:highlight w:val="none"/>
        </w:rPr>
        <w:instrText xml:space="preserve">HYPERLINK "https://middle.gcy.zfcg.gxzf.gov.cn/purchaseplan_front/" \l "/plan/list/view?id=1000000000026174570" \t "https://www.gcy.zfcg.gxzf.gov.cn/delegation-order/_procurement_/order/orderInfo/check/_blank"</w:instrText>
      </w:r>
      <w:r>
        <w:rPr>
          <w:color w:val="auto"/>
          <w:highlight w:val="none"/>
        </w:rPr>
        <w:fldChar w:fldCharType="separate"/>
      </w:r>
      <w:r>
        <w:rPr>
          <w:rFonts w:hint="eastAsia" w:ascii="宋体" w:hAnsi="宋体" w:cs="宋体"/>
          <w:color w:val="auto"/>
          <w:sz w:val="24"/>
          <w:highlight w:val="none"/>
        </w:rPr>
        <w:t>广西政采[2026]17745号-004</w:t>
      </w:r>
      <w:r>
        <w:rPr>
          <w:rFonts w:ascii="宋体" w:hAnsi="宋体" w:cs="宋体"/>
          <w:color w:val="auto"/>
          <w:sz w:val="24"/>
          <w:highlight w:val="none"/>
        </w:rPr>
        <w:fldChar w:fldCharType="end"/>
      </w:r>
      <w:r>
        <w:rPr>
          <w:rFonts w:hint="eastAsia" w:ascii="宋体" w:hAnsi="宋体" w:cs="宋体"/>
          <w:color w:val="auto"/>
          <w:sz w:val="24"/>
          <w:highlight w:val="none"/>
        </w:rPr>
        <w:t>-001、</w:t>
      </w:r>
      <w:r>
        <w:rPr>
          <w:rFonts w:hint="eastAsia"/>
          <w:color w:val="auto"/>
          <w:highlight w:val="none"/>
        </w:rPr>
        <w:fldChar w:fldCharType="begin"/>
      </w:r>
      <w:r>
        <w:rPr>
          <w:color w:val="auto"/>
          <w:highlight w:val="none"/>
        </w:rPr>
        <w:instrText xml:space="preserve"> HYPERLINK "https://middle.gcy.zfcg.gxzf.gov.cn/purchaseplan_front/" \l "/plan/list/view?id=1000000000026174570" \t "https://www.gcy.zfcg.gxzf.gov.cn/delegation-order/_procurement_/order/orderInfo/check/_blank" </w:instrText>
      </w:r>
      <w:r>
        <w:rPr>
          <w:rFonts w:hint="eastAsia"/>
          <w:color w:val="auto"/>
          <w:highlight w:val="none"/>
        </w:rPr>
        <w:fldChar w:fldCharType="separate"/>
      </w:r>
      <w:r>
        <w:rPr>
          <w:rFonts w:hint="eastAsia" w:ascii="宋体" w:hAnsi="宋体" w:cs="宋体"/>
          <w:color w:val="auto"/>
          <w:sz w:val="24"/>
          <w:highlight w:val="none"/>
        </w:rPr>
        <w:t>广西政采[2026]17745号-004</w:t>
      </w:r>
      <w:r>
        <w:rPr>
          <w:rFonts w:hint="eastAsia" w:ascii="宋体" w:hAnsi="宋体" w:cs="宋体"/>
          <w:color w:val="auto"/>
          <w:sz w:val="24"/>
          <w:highlight w:val="none"/>
        </w:rPr>
        <w:fldChar w:fldCharType="end"/>
      </w:r>
      <w:r>
        <w:rPr>
          <w:rFonts w:hint="eastAsia" w:ascii="宋体" w:hAnsi="宋体" w:cs="宋体"/>
          <w:color w:val="auto"/>
          <w:sz w:val="24"/>
          <w:highlight w:val="none"/>
        </w:rPr>
        <w:t>-002、</w:t>
      </w:r>
      <w:r>
        <w:rPr>
          <w:color w:val="auto"/>
          <w:highlight w:val="none"/>
        </w:rPr>
        <w:fldChar w:fldCharType="begin"/>
      </w:r>
      <w:r>
        <w:rPr>
          <w:color w:val="auto"/>
          <w:highlight w:val="none"/>
        </w:rPr>
        <w:instrText xml:space="preserve">HYPERLINK "https://middle.gcy.zfcg.gxzf.gov.cn/purchaseplan_front/" \l "/plan/list/view?id=1000000000026174569" \t "https://www.gcy.zfcg.gxzf.gov.cn/delegation-order/_procurement_/order/orderInfo/check/_blank"</w:instrText>
      </w:r>
      <w:r>
        <w:rPr>
          <w:color w:val="auto"/>
          <w:highlight w:val="none"/>
        </w:rPr>
        <w:fldChar w:fldCharType="separate"/>
      </w:r>
      <w:r>
        <w:rPr>
          <w:rFonts w:hint="eastAsia" w:ascii="宋体" w:hAnsi="宋体" w:cs="宋体"/>
          <w:color w:val="auto"/>
          <w:sz w:val="24"/>
          <w:highlight w:val="none"/>
        </w:rPr>
        <w:t>广西政采[2026]17745号-005</w:t>
      </w:r>
      <w:r>
        <w:rPr>
          <w:rFonts w:ascii="宋体" w:hAnsi="宋体" w:cs="宋体"/>
          <w:color w:val="auto"/>
          <w:sz w:val="24"/>
          <w:highlight w:val="none"/>
        </w:rPr>
        <w:fldChar w:fldCharType="end"/>
      </w:r>
      <w:r>
        <w:rPr>
          <w:rFonts w:hint="eastAsia" w:ascii="宋体" w:hAnsi="宋体" w:cs="宋体"/>
          <w:color w:val="auto"/>
          <w:sz w:val="24"/>
          <w:highlight w:val="none"/>
        </w:rPr>
        <w:t>-001、</w:t>
      </w:r>
      <w:r>
        <w:rPr>
          <w:rFonts w:hint="eastAsia"/>
          <w:color w:val="auto"/>
          <w:highlight w:val="none"/>
        </w:rPr>
        <w:fldChar w:fldCharType="begin"/>
      </w:r>
      <w:r>
        <w:rPr>
          <w:color w:val="auto"/>
          <w:highlight w:val="none"/>
        </w:rPr>
        <w:instrText xml:space="preserve"> HYPERLINK "https://middle.gcy.zfcg.gxzf.gov.cn/purchaseplan_front/" \l "/plan/list/view?id=1000000000026174569" \t "https://www.gcy.zfcg.gxzf.gov.cn/delegation-order/_procurement_/order/orderInfo/check/_blank" </w:instrText>
      </w:r>
      <w:r>
        <w:rPr>
          <w:rFonts w:hint="eastAsia"/>
          <w:color w:val="auto"/>
          <w:highlight w:val="none"/>
        </w:rPr>
        <w:fldChar w:fldCharType="separate"/>
      </w:r>
      <w:r>
        <w:rPr>
          <w:rFonts w:hint="eastAsia" w:ascii="宋体" w:hAnsi="宋体" w:cs="宋体"/>
          <w:color w:val="auto"/>
          <w:sz w:val="24"/>
          <w:highlight w:val="none"/>
        </w:rPr>
        <w:t>广西政采[2026]17745号-005</w:t>
      </w:r>
      <w:r>
        <w:rPr>
          <w:rFonts w:hint="eastAsia" w:ascii="宋体" w:hAnsi="宋体" w:cs="宋体"/>
          <w:color w:val="auto"/>
          <w:sz w:val="24"/>
          <w:highlight w:val="none"/>
        </w:rPr>
        <w:fldChar w:fldCharType="end"/>
      </w:r>
      <w:r>
        <w:rPr>
          <w:rFonts w:hint="eastAsia" w:ascii="宋体" w:hAnsi="宋体" w:cs="宋体"/>
          <w:color w:val="auto"/>
          <w:sz w:val="24"/>
          <w:highlight w:val="none"/>
        </w:rPr>
        <w:t>-002、</w:t>
      </w:r>
      <w:r>
        <w:rPr>
          <w:color w:val="auto"/>
          <w:highlight w:val="none"/>
        </w:rPr>
        <w:fldChar w:fldCharType="begin"/>
      </w:r>
      <w:r>
        <w:rPr>
          <w:color w:val="auto"/>
          <w:highlight w:val="none"/>
        </w:rPr>
        <w:instrText xml:space="preserve">HYPERLINK "https://middle.gcy.zfcg.gxzf.gov.cn/purchaseplan_front/" \l "/plan/list/view?id=1000000000026174568" \t "https://www.gcy.zfcg.gxzf.gov.cn/delegation-order/_procurement_/order/orderInfo/check/_blank"</w:instrText>
      </w:r>
      <w:r>
        <w:rPr>
          <w:color w:val="auto"/>
          <w:highlight w:val="none"/>
        </w:rPr>
        <w:fldChar w:fldCharType="separate"/>
      </w:r>
      <w:r>
        <w:rPr>
          <w:rFonts w:hint="eastAsia" w:ascii="宋体" w:hAnsi="宋体" w:cs="宋体"/>
          <w:color w:val="auto"/>
          <w:sz w:val="24"/>
          <w:highlight w:val="none"/>
        </w:rPr>
        <w:t>广西政采[2026]17745号-006</w:t>
      </w:r>
      <w:r>
        <w:rPr>
          <w:rFonts w:ascii="宋体" w:hAnsi="宋体" w:cs="宋体"/>
          <w:color w:val="auto"/>
          <w:sz w:val="24"/>
          <w:highlight w:val="none"/>
        </w:rPr>
        <w:fldChar w:fldCharType="end"/>
      </w:r>
      <w:r>
        <w:rPr>
          <w:rFonts w:hint="eastAsia" w:ascii="宋体" w:hAnsi="宋体" w:cs="宋体"/>
          <w:color w:val="auto"/>
          <w:sz w:val="24"/>
          <w:highlight w:val="none"/>
        </w:rPr>
        <w:t>-001、</w:t>
      </w:r>
      <w:r>
        <w:rPr>
          <w:rFonts w:hint="eastAsia"/>
          <w:color w:val="auto"/>
          <w:highlight w:val="none"/>
        </w:rPr>
        <w:fldChar w:fldCharType="begin"/>
      </w:r>
      <w:r>
        <w:rPr>
          <w:color w:val="auto"/>
          <w:highlight w:val="none"/>
        </w:rPr>
        <w:instrText xml:space="preserve"> HYPERLINK "https://middle.gcy.zfcg.gxzf.gov.cn/purchaseplan_front/" \l "/plan/list/view?id=1000000000026174568" \t "https://www.gcy.zfcg.gxzf.gov.cn/delegation-order/_procurement_/order/orderInfo/check/_blank" </w:instrText>
      </w:r>
      <w:r>
        <w:rPr>
          <w:rFonts w:hint="eastAsia"/>
          <w:color w:val="auto"/>
          <w:highlight w:val="none"/>
        </w:rPr>
        <w:fldChar w:fldCharType="separate"/>
      </w:r>
      <w:r>
        <w:rPr>
          <w:rFonts w:hint="eastAsia" w:ascii="宋体" w:hAnsi="宋体" w:cs="宋体"/>
          <w:color w:val="auto"/>
          <w:sz w:val="24"/>
          <w:highlight w:val="none"/>
        </w:rPr>
        <w:t>广西政采[2026]17745号-006</w:t>
      </w:r>
      <w:r>
        <w:rPr>
          <w:rFonts w:hint="eastAsia" w:ascii="宋体" w:hAnsi="宋体" w:cs="宋体"/>
          <w:color w:val="auto"/>
          <w:sz w:val="24"/>
          <w:highlight w:val="none"/>
        </w:rPr>
        <w:fldChar w:fldCharType="end"/>
      </w:r>
      <w:r>
        <w:rPr>
          <w:rFonts w:hint="eastAsia" w:ascii="宋体" w:hAnsi="宋体" w:cs="宋体"/>
          <w:color w:val="auto"/>
          <w:sz w:val="24"/>
          <w:highlight w:val="none"/>
        </w:rPr>
        <w:t>-002、</w:t>
      </w:r>
      <w:r>
        <w:rPr>
          <w:color w:val="auto"/>
          <w:highlight w:val="none"/>
        </w:rPr>
        <w:fldChar w:fldCharType="begin"/>
      </w:r>
      <w:r>
        <w:rPr>
          <w:color w:val="auto"/>
          <w:highlight w:val="none"/>
        </w:rPr>
        <w:instrText xml:space="preserve">HYPERLINK "https://middle.gcy.zfcg.gxzf.gov.cn/purchaseplan_front/" \l "/plan/list/view?id=1000000000026174567" \t "https://www.gcy.zfcg.gxzf.gov.cn/delegation-order/_procurement_/order/orderInfo/check/_blank"</w:instrText>
      </w:r>
      <w:r>
        <w:rPr>
          <w:color w:val="auto"/>
          <w:highlight w:val="none"/>
        </w:rPr>
        <w:fldChar w:fldCharType="separate"/>
      </w:r>
      <w:r>
        <w:rPr>
          <w:rFonts w:hint="eastAsia" w:ascii="宋体" w:hAnsi="宋体" w:cs="宋体"/>
          <w:color w:val="auto"/>
          <w:sz w:val="24"/>
          <w:highlight w:val="none"/>
        </w:rPr>
        <w:t>广西政采[2026]17745号-007</w:t>
      </w:r>
      <w:r>
        <w:rPr>
          <w:rFonts w:ascii="宋体" w:hAnsi="宋体" w:cs="宋体"/>
          <w:color w:val="auto"/>
          <w:sz w:val="24"/>
          <w:highlight w:val="none"/>
        </w:rPr>
        <w:fldChar w:fldCharType="end"/>
      </w:r>
      <w:r>
        <w:rPr>
          <w:rFonts w:hint="eastAsia" w:ascii="宋体" w:hAnsi="宋体" w:cs="宋体"/>
          <w:color w:val="auto"/>
          <w:sz w:val="24"/>
          <w:highlight w:val="none"/>
        </w:rPr>
        <w:t>、</w:t>
      </w:r>
      <w:r>
        <w:rPr>
          <w:color w:val="auto"/>
          <w:highlight w:val="none"/>
        </w:rPr>
        <w:fldChar w:fldCharType="begin"/>
      </w:r>
      <w:r>
        <w:rPr>
          <w:color w:val="auto"/>
          <w:highlight w:val="none"/>
        </w:rPr>
        <w:instrText xml:space="preserve">HYPERLINK "https://middle.gcy.zfcg.gxzf.gov.cn/purchaseplan_front/" \l "/plan/list/view?id=1000000000026174566" \t "https://www.gcy.zfcg.gxzf.gov.cn/delegation-order/_procurement_/order/orderInfo/check/_blank"</w:instrText>
      </w:r>
      <w:r>
        <w:rPr>
          <w:color w:val="auto"/>
          <w:highlight w:val="none"/>
        </w:rPr>
        <w:fldChar w:fldCharType="separate"/>
      </w:r>
      <w:r>
        <w:rPr>
          <w:rFonts w:hint="eastAsia" w:ascii="宋体" w:hAnsi="宋体" w:cs="宋体"/>
          <w:color w:val="auto"/>
          <w:sz w:val="24"/>
          <w:highlight w:val="none"/>
        </w:rPr>
        <w:t>广西政采[2026]17745号-008</w:t>
      </w:r>
      <w:r>
        <w:rPr>
          <w:rFonts w:ascii="宋体" w:hAnsi="宋体" w:cs="宋体"/>
          <w:color w:val="auto"/>
          <w:sz w:val="24"/>
          <w:highlight w:val="none"/>
        </w:rPr>
        <w:fldChar w:fldCharType="end"/>
      </w:r>
      <w:r>
        <w:rPr>
          <w:rFonts w:hint="eastAsia" w:ascii="宋体" w:hAnsi="宋体" w:cs="宋体"/>
          <w:color w:val="auto"/>
          <w:sz w:val="24"/>
          <w:highlight w:val="none"/>
        </w:rPr>
        <w:t>-001、</w:t>
      </w:r>
      <w:r>
        <w:rPr>
          <w:rFonts w:hint="eastAsia"/>
          <w:color w:val="auto"/>
          <w:highlight w:val="none"/>
        </w:rPr>
        <w:fldChar w:fldCharType="begin"/>
      </w:r>
      <w:r>
        <w:rPr>
          <w:color w:val="auto"/>
          <w:highlight w:val="none"/>
        </w:rPr>
        <w:instrText xml:space="preserve"> HYPERLINK "https://middle.gcy.zfcg.gxzf.gov.cn/purchaseplan_front/" \l "/plan/list/view?id=1000000000026174566" \t "https://www.gcy.zfcg.gxzf.gov.cn/delegation-order/_procurement_/order/orderInfo/check/_blank" </w:instrText>
      </w:r>
      <w:r>
        <w:rPr>
          <w:rFonts w:hint="eastAsia"/>
          <w:color w:val="auto"/>
          <w:highlight w:val="none"/>
        </w:rPr>
        <w:fldChar w:fldCharType="separate"/>
      </w:r>
      <w:r>
        <w:rPr>
          <w:rFonts w:hint="eastAsia" w:ascii="宋体" w:hAnsi="宋体" w:cs="宋体"/>
          <w:color w:val="auto"/>
          <w:sz w:val="24"/>
          <w:highlight w:val="none"/>
        </w:rPr>
        <w:t>广西政采[2026]17745号-008</w:t>
      </w:r>
      <w:r>
        <w:rPr>
          <w:rFonts w:hint="eastAsia" w:ascii="宋体" w:hAnsi="宋体" w:cs="宋体"/>
          <w:color w:val="auto"/>
          <w:sz w:val="24"/>
          <w:highlight w:val="none"/>
        </w:rPr>
        <w:fldChar w:fldCharType="end"/>
      </w:r>
      <w:r>
        <w:rPr>
          <w:rFonts w:hint="eastAsia" w:ascii="宋体" w:hAnsi="宋体" w:cs="宋体"/>
          <w:color w:val="auto"/>
          <w:sz w:val="24"/>
          <w:highlight w:val="none"/>
        </w:rPr>
        <w:t>-002、</w:t>
      </w:r>
      <w:r>
        <w:rPr>
          <w:color w:val="auto"/>
          <w:highlight w:val="none"/>
        </w:rPr>
        <w:fldChar w:fldCharType="begin"/>
      </w:r>
      <w:r>
        <w:rPr>
          <w:color w:val="auto"/>
          <w:highlight w:val="none"/>
        </w:rPr>
        <w:instrText xml:space="preserve">HYPERLINK "https://middle.gcy.zfcg.gxzf.gov.cn/purchaseplan_front/" \l "/plan/list/view?id=1000000000026174565" \t "https://www.gcy.zfcg.gxzf.gov.cn/delegation-order/_procurement_/order/orderInfo/check/_blank"</w:instrText>
      </w:r>
      <w:r>
        <w:rPr>
          <w:color w:val="auto"/>
          <w:highlight w:val="none"/>
        </w:rPr>
        <w:fldChar w:fldCharType="separate"/>
      </w:r>
      <w:r>
        <w:rPr>
          <w:rFonts w:hint="eastAsia" w:ascii="宋体" w:hAnsi="宋体" w:cs="宋体"/>
          <w:color w:val="auto"/>
          <w:sz w:val="24"/>
          <w:highlight w:val="none"/>
        </w:rPr>
        <w:t>广西政采[2026]17745号-009</w:t>
      </w:r>
      <w:r>
        <w:rPr>
          <w:rFonts w:ascii="宋体" w:hAnsi="宋体" w:cs="宋体"/>
          <w:color w:val="auto"/>
          <w:sz w:val="24"/>
          <w:highlight w:val="none"/>
        </w:rPr>
        <w:fldChar w:fldCharType="end"/>
      </w:r>
      <w:r>
        <w:rPr>
          <w:rFonts w:hint="eastAsia" w:ascii="宋体" w:hAnsi="宋体" w:cs="宋体"/>
          <w:color w:val="auto"/>
          <w:sz w:val="24"/>
          <w:highlight w:val="none"/>
        </w:rPr>
        <w:t>-001、</w:t>
      </w:r>
      <w:r>
        <w:rPr>
          <w:rFonts w:hint="eastAsia"/>
          <w:color w:val="auto"/>
          <w:highlight w:val="none"/>
        </w:rPr>
        <w:fldChar w:fldCharType="begin"/>
      </w:r>
      <w:r>
        <w:rPr>
          <w:color w:val="auto"/>
          <w:highlight w:val="none"/>
        </w:rPr>
        <w:instrText xml:space="preserve"> HYPERLINK "https://middle.gcy.zfcg.gxzf.gov.cn/purchaseplan_front/" \l "/plan/list/view?id=1000000000026174565" \t "https://www.gcy.zfcg.gxzf.gov.cn/delegation-order/_procurement_/order/orderInfo/check/_blank" </w:instrText>
      </w:r>
      <w:r>
        <w:rPr>
          <w:rFonts w:hint="eastAsia"/>
          <w:color w:val="auto"/>
          <w:highlight w:val="none"/>
        </w:rPr>
        <w:fldChar w:fldCharType="separate"/>
      </w:r>
      <w:r>
        <w:rPr>
          <w:rFonts w:hint="eastAsia" w:ascii="宋体" w:hAnsi="宋体" w:cs="宋体"/>
          <w:color w:val="auto"/>
          <w:sz w:val="24"/>
          <w:highlight w:val="none"/>
        </w:rPr>
        <w:t>广西政采[2026]17745号-009</w:t>
      </w:r>
      <w:r>
        <w:rPr>
          <w:rFonts w:hint="eastAsia" w:ascii="宋体" w:hAnsi="宋体" w:cs="宋体"/>
          <w:color w:val="auto"/>
          <w:sz w:val="24"/>
          <w:highlight w:val="none"/>
        </w:rPr>
        <w:fldChar w:fldCharType="end"/>
      </w:r>
      <w:r>
        <w:rPr>
          <w:rFonts w:hint="eastAsia" w:ascii="宋体" w:hAnsi="宋体" w:cs="宋体"/>
          <w:color w:val="auto"/>
          <w:sz w:val="24"/>
          <w:highlight w:val="none"/>
        </w:rPr>
        <w:t>-002、</w:t>
      </w:r>
      <w:r>
        <w:rPr>
          <w:color w:val="auto"/>
          <w:highlight w:val="none"/>
        </w:rPr>
        <w:fldChar w:fldCharType="begin"/>
      </w:r>
      <w:r>
        <w:rPr>
          <w:color w:val="auto"/>
          <w:highlight w:val="none"/>
        </w:rPr>
        <w:instrText xml:space="preserve">HYPERLINK "https://middle.gcy.zfcg.gxzf.gov.cn/purchaseplan_front/" \l "/plan/list/view?id=1000000000026174562" \t "https://www.gcy.zfcg.gxzf.gov.cn/delegation-order/_procurement_/order/orderInfo/check/_blank"</w:instrText>
      </w:r>
      <w:r>
        <w:rPr>
          <w:color w:val="auto"/>
          <w:highlight w:val="none"/>
        </w:rPr>
        <w:fldChar w:fldCharType="separate"/>
      </w:r>
      <w:r>
        <w:rPr>
          <w:rFonts w:hint="eastAsia" w:ascii="宋体" w:hAnsi="宋体" w:cs="宋体"/>
          <w:color w:val="auto"/>
          <w:sz w:val="24"/>
          <w:highlight w:val="none"/>
        </w:rPr>
        <w:t>广西政采[2026]17747号-001</w:t>
      </w:r>
      <w:r>
        <w:rPr>
          <w:rFonts w:ascii="宋体" w:hAnsi="宋体" w:cs="宋体"/>
          <w:color w:val="auto"/>
          <w:sz w:val="24"/>
          <w:highlight w:val="none"/>
        </w:rPr>
        <w:fldChar w:fldCharType="end"/>
      </w:r>
      <w:r>
        <w:rPr>
          <w:rFonts w:hint="eastAsia" w:ascii="宋体" w:hAnsi="宋体" w:cs="宋体"/>
          <w:color w:val="auto"/>
          <w:sz w:val="24"/>
          <w:highlight w:val="none"/>
        </w:rPr>
        <w:t>、</w:t>
      </w:r>
      <w:r>
        <w:rPr>
          <w:color w:val="auto"/>
          <w:highlight w:val="none"/>
        </w:rPr>
        <w:fldChar w:fldCharType="begin"/>
      </w:r>
      <w:r>
        <w:rPr>
          <w:color w:val="auto"/>
          <w:highlight w:val="none"/>
        </w:rPr>
        <w:instrText xml:space="preserve">HYPERLINK "https://middle.gcy.zfcg.gxzf.gov.cn/purchaseplan_front/" \l "/plan/list/view?id=1000000000026174561" \t "https://www.gcy.zfcg.gxzf.gov.cn/delegation-order/_procurement_/order/orderInfo/check/_blank"</w:instrText>
      </w:r>
      <w:r>
        <w:rPr>
          <w:color w:val="auto"/>
          <w:highlight w:val="none"/>
        </w:rPr>
        <w:fldChar w:fldCharType="separate"/>
      </w:r>
      <w:r>
        <w:rPr>
          <w:rFonts w:hint="eastAsia" w:ascii="宋体" w:hAnsi="宋体" w:cs="宋体"/>
          <w:color w:val="auto"/>
          <w:sz w:val="24"/>
          <w:highlight w:val="none"/>
        </w:rPr>
        <w:t>广西政采[2026]17747号-002</w:t>
      </w:r>
      <w:r>
        <w:rPr>
          <w:rFonts w:ascii="宋体" w:hAnsi="宋体" w:cs="宋体"/>
          <w:color w:val="auto"/>
          <w:sz w:val="24"/>
          <w:highlight w:val="none"/>
        </w:rPr>
        <w:fldChar w:fldCharType="end"/>
      </w:r>
      <w:r>
        <w:rPr>
          <w:rFonts w:hint="eastAsia" w:ascii="宋体" w:hAnsi="宋体" w:cs="宋体"/>
          <w:color w:val="auto"/>
          <w:sz w:val="24"/>
          <w:highlight w:val="none"/>
        </w:rPr>
        <w:t>-001、</w:t>
      </w:r>
      <w:r>
        <w:rPr>
          <w:rFonts w:hint="eastAsia"/>
          <w:color w:val="auto"/>
          <w:highlight w:val="none"/>
        </w:rPr>
        <w:fldChar w:fldCharType="begin"/>
      </w:r>
      <w:r>
        <w:rPr>
          <w:color w:val="auto"/>
          <w:highlight w:val="none"/>
        </w:rPr>
        <w:instrText xml:space="preserve"> HYPERLINK "https://middle.gcy.zfcg.gxzf.gov.cn/purchaseplan_front/" \l "/plan/list/view?id=1000000000026174561" \t "https://www.gcy.zfcg.gxzf.gov.cn/delegation-order/_procurement_/order/orderInfo/check/_blank" </w:instrText>
      </w:r>
      <w:r>
        <w:rPr>
          <w:rFonts w:hint="eastAsia"/>
          <w:color w:val="auto"/>
          <w:highlight w:val="none"/>
        </w:rPr>
        <w:fldChar w:fldCharType="separate"/>
      </w:r>
      <w:r>
        <w:rPr>
          <w:rFonts w:hint="eastAsia" w:ascii="宋体" w:hAnsi="宋体" w:cs="宋体"/>
          <w:color w:val="auto"/>
          <w:sz w:val="24"/>
          <w:highlight w:val="none"/>
        </w:rPr>
        <w:t>广西政采[2026]17747号-002</w:t>
      </w:r>
      <w:r>
        <w:rPr>
          <w:rFonts w:hint="eastAsia" w:ascii="宋体" w:hAnsi="宋体" w:cs="宋体"/>
          <w:color w:val="auto"/>
          <w:sz w:val="24"/>
          <w:highlight w:val="none"/>
        </w:rPr>
        <w:fldChar w:fldCharType="end"/>
      </w:r>
      <w:r>
        <w:rPr>
          <w:rFonts w:hint="eastAsia" w:ascii="宋体" w:hAnsi="宋体" w:cs="宋体"/>
          <w:color w:val="auto"/>
          <w:sz w:val="24"/>
          <w:highlight w:val="none"/>
        </w:rPr>
        <w:t>-002、</w:t>
      </w:r>
      <w:r>
        <w:rPr>
          <w:color w:val="auto"/>
          <w:highlight w:val="none"/>
        </w:rPr>
        <w:fldChar w:fldCharType="begin"/>
      </w:r>
      <w:r>
        <w:rPr>
          <w:color w:val="auto"/>
          <w:highlight w:val="none"/>
        </w:rPr>
        <w:instrText xml:space="preserve">HYPERLINK "https://middle.gcy.zfcg.gxzf.gov.cn/purchaseplan_front/" \l "/plan/list/view?id=1000000000026174560" \t "https://www.gcy.zfcg.gxzf.gov.cn/delegation-order/_procurement_/order/orderInfo/check/_blank"</w:instrText>
      </w:r>
      <w:r>
        <w:rPr>
          <w:color w:val="auto"/>
          <w:highlight w:val="none"/>
        </w:rPr>
        <w:fldChar w:fldCharType="separate"/>
      </w:r>
      <w:r>
        <w:rPr>
          <w:rFonts w:hint="eastAsia" w:ascii="宋体" w:hAnsi="宋体" w:cs="宋体"/>
          <w:color w:val="auto"/>
          <w:sz w:val="24"/>
          <w:highlight w:val="none"/>
        </w:rPr>
        <w:t>广西政采[2026]17747号-003</w:t>
      </w:r>
      <w:r>
        <w:rPr>
          <w:rFonts w:ascii="宋体" w:hAnsi="宋体" w:cs="宋体"/>
          <w:color w:val="auto"/>
          <w:sz w:val="24"/>
          <w:highlight w:val="none"/>
        </w:rPr>
        <w:fldChar w:fldCharType="end"/>
      </w:r>
      <w:r>
        <w:rPr>
          <w:rFonts w:hint="eastAsia" w:ascii="宋体" w:hAnsi="宋体" w:cs="宋体"/>
          <w:color w:val="auto"/>
          <w:sz w:val="24"/>
          <w:highlight w:val="none"/>
        </w:rPr>
        <w:t>-001、</w:t>
      </w:r>
      <w:r>
        <w:rPr>
          <w:rFonts w:hint="eastAsia"/>
          <w:color w:val="auto"/>
          <w:highlight w:val="none"/>
        </w:rPr>
        <w:fldChar w:fldCharType="begin"/>
      </w:r>
      <w:r>
        <w:rPr>
          <w:color w:val="auto"/>
          <w:highlight w:val="none"/>
        </w:rPr>
        <w:instrText xml:space="preserve"> HYPERLINK "https://middle.gcy.zfcg.gxzf.gov.cn/purchaseplan_front/" \l "/plan/list/view?id=1000000000026174560" \t "https://www.gcy.zfcg.gxzf.gov.cn/delegation-order/_procurement_/order/orderInfo/check/_blank" </w:instrText>
      </w:r>
      <w:r>
        <w:rPr>
          <w:rFonts w:hint="eastAsia"/>
          <w:color w:val="auto"/>
          <w:highlight w:val="none"/>
        </w:rPr>
        <w:fldChar w:fldCharType="separate"/>
      </w:r>
      <w:r>
        <w:rPr>
          <w:rFonts w:hint="eastAsia" w:ascii="宋体" w:hAnsi="宋体" w:cs="宋体"/>
          <w:color w:val="auto"/>
          <w:sz w:val="24"/>
          <w:highlight w:val="none"/>
        </w:rPr>
        <w:t>广西政采[2026]17747号-003</w:t>
      </w:r>
      <w:r>
        <w:rPr>
          <w:rFonts w:hint="eastAsia" w:ascii="宋体" w:hAnsi="宋体" w:cs="宋体"/>
          <w:color w:val="auto"/>
          <w:sz w:val="24"/>
          <w:highlight w:val="none"/>
        </w:rPr>
        <w:fldChar w:fldCharType="end"/>
      </w:r>
      <w:r>
        <w:rPr>
          <w:rFonts w:hint="eastAsia" w:ascii="宋体" w:hAnsi="宋体" w:cs="宋体"/>
          <w:color w:val="auto"/>
          <w:sz w:val="24"/>
          <w:highlight w:val="none"/>
        </w:rPr>
        <w:t>-002、</w:t>
      </w:r>
      <w:r>
        <w:rPr>
          <w:color w:val="auto"/>
          <w:highlight w:val="none"/>
        </w:rPr>
        <w:fldChar w:fldCharType="begin"/>
      </w:r>
      <w:r>
        <w:rPr>
          <w:color w:val="auto"/>
          <w:highlight w:val="none"/>
        </w:rPr>
        <w:instrText xml:space="preserve">HYPERLINK "https://middle.gcy.zfcg.gxzf.gov.cn/purchaseplan_front/" \l "/plan/list/view?id=1000000000026174559" \t "https://www.gcy.zfcg.gxzf.gov.cn/delegation-order/_procurement_/order/orderInfo/check/_blank"</w:instrText>
      </w:r>
      <w:r>
        <w:rPr>
          <w:color w:val="auto"/>
          <w:highlight w:val="none"/>
        </w:rPr>
        <w:fldChar w:fldCharType="separate"/>
      </w:r>
      <w:r>
        <w:rPr>
          <w:rFonts w:hint="eastAsia" w:ascii="宋体" w:hAnsi="宋体" w:cs="宋体"/>
          <w:color w:val="auto"/>
          <w:sz w:val="24"/>
          <w:highlight w:val="none"/>
        </w:rPr>
        <w:t>广西政采[2026]17747号-004</w:t>
      </w:r>
      <w:r>
        <w:rPr>
          <w:rFonts w:ascii="宋体" w:hAnsi="宋体" w:cs="宋体"/>
          <w:color w:val="auto"/>
          <w:sz w:val="24"/>
          <w:highlight w:val="none"/>
        </w:rPr>
        <w:fldChar w:fldCharType="end"/>
      </w:r>
      <w:r>
        <w:rPr>
          <w:rFonts w:hint="eastAsia" w:ascii="宋体" w:hAnsi="宋体" w:cs="宋体"/>
          <w:color w:val="auto"/>
          <w:sz w:val="24"/>
          <w:highlight w:val="none"/>
        </w:rPr>
        <w:t>-001、</w:t>
      </w:r>
      <w:r>
        <w:rPr>
          <w:rFonts w:hint="eastAsia"/>
          <w:color w:val="auto"/>
          <w:highlight w:val="none"/>
        </w:rPr>
        <w:fldChar w:fldCharType="begin"/>
      </w:r>
      <w:r>
        <w:rPr>
          <w:color w:val="auto"/>
          <w:highlight w:val="none"/>
        </w:rPr>
        <w:instrText xml:space="preserve"> HYPERLINK "https://middle.gcy.zfcg.gxzf.gov.cn/purchaseplan_front/" \l "/plan/list/view?id=1000000000026174559" \t "https://www.gcy.zfcg.gxzf.gov.cn/delegation-order/_procurement_/order/orderInfo/check/_blank" </w:instrText>
      </w:r>
      <w:r>
        <w:rPr>
          <w:rFonts w:hint="eastAsia"/>
          <w:color w:val="auto"/>
          <w:highlight w:val="none"/>
        </w:rPr>
        <w:fldChar w:fldCharType="separate"/>
      </w:r>
      <w:r>
        <w:rPr>
          <w:rFonts w:hint="eastAsia" w:ascii="宋体" w:hAnsi="宋体" w:cs="宋体"/>
          <w:color w:val="auto"/>
          <w:sz w:val="24"/>
          <w:highlight w:val="none"/>
        </w:rPr>
        <w:t>广西政采[2026]17747号-004</w:t>
      </w:r>
      <w:r>
        <w:rPr>
          <w:rFonts w:hint="eastAsia" w:ascii="宋体" w:hAnsi="宋体" w:cs="宋体"/>
          <w:color w:val="auto"/>
          <w:sz w:val="24"/>
          <w:highlight w:val="none"/>
        </w:rPr>
        <w:fldChar w:fldCharType="end"/>
      </w:r>
      <w:r>
        <w:rPr>
          <w:rFonts w:hint="eastAsia" w:ascii="宋体" w:hAnsi="宋体" w:cs="宋体"/>
          <w:color w:val="auto"/>
          <w:sz w:val="24"/>
          <w:highlight w:val="none"/>
        </w:rPr>
        <w:t>-002、</w:t>
      </w:r>
      <w:r>
        <w:rPr>
          <w:color w:val="auto"/>
          <w:highlight w:val="none"/>
        </w:rPr>
        <w:fldChar w:fldCharType="begin"/>
      </w:r>
      <w:r>
        <w:rPr>
          <w:color w:val="auto"/>
          <w:highlight w:val="none"/>
        </w:rPr>
        <w:instrText xml:space="preserve">HYPERLINK "https://middle.gcy.zfcg.gxzf.gov.cn/purchaseplan_front/" \l "/plan/list/view?id=1000000000026174559" \t "https://www.gcy.zfcg.gxzf.gov.cn/delegation-order/_procurement_/order/orderInfo/check/_blank"</w:instrText>
      </w:r>
      <w:r>
        <w:rPr>
          <w:color w:val="auto"/>
          <w:highlight w:val="none"/>
        </w:rPr>
        <w:fldChar w:fldCharType="separate"/>
      </w:r>
      <w:r>
        <w:rPr>
          <w:rFonts w:hint="eastAsia" w:ascii="宋体" w:hAnsi="宋体" w:cs="宋体"/>
          <w:color w:val="auto"/>
          <w:sz w:val="24"/>
          <w:highlight w:val="none"/>
        </w:rPr>
        <w:t>广西政采[2026]17747号-005</w:t>
      </w:r>
      <w:r>
        <w:rPr>
          <w:rFonts w:ascii="宋体" w:hAnsi="宋体" w:cs="宋体"/>
          <w:color w:val="auto"/>
          <w:sz w:val="24"/>
          <w:highlight w:val="none"/>
        </w:rPr>
        <w:fldChar w:fldCharType="end"/>
      </w:r>
      <w:r>
        <w:rPr>
          <w:rFonts w:hint="eastAsia" w:ascii="宋体" w:hAnsi="宋体" w:cs="宋体"/>
          <w:color w:val="auto"/>
          <w:sz w:val="24"/>
          <w:highlight w:val="none"/>
        </w:rPr>
        <w:t>-001、</w:t>
      </w:r>
      <w:r>
        <w:rPr>
          <w:rFonts w:hint="eastAsia"/>
          <w:color w:val="auto"/>
          <w:highlight w:val="none"/>
        </w:rPr>
        <w:fldChar w:fldCharType="begin"/>
      </w:r>
      <w:r>
        <w:rPr>
          <w:color w:val="auto"/>
          <w:highlight w:val="none"/>
        </w:rPr>
        <w:instrText xml:space="preserve"> HYPERLINK "https://middle.gcy.zfcg.gxzf.gov.cn/purchaseplan_front/" \l "/plan/list/view?id=1000000000026174559" \t "https://www.gcy.zfcg.gxzf.gov.cn/delegation-order/_procurement_/order/orderInfo/check/_blank" </w:instrText>
      </w:r>
      <w:r>
        <w:rPr>
          <w:rFonts w:hint="eastAsia"/>
          <w:color w:val="auto"/>
          <w:highlight w:val="none"/>
        </w:rPr>
        <w:fldChar w:fldCharType="separate"/>
      </w:r>
      <w:r>
        <w:rPr>
          <w:rFonts w:hint="eastAsia" w:ascii="宋体" w:hAnsi="宋体" w:cs="宋体"/>
          <w:color w:val="auto"/>
          <w:sz w:val="24"/>
          <w:highlight w:val="none"/>
        </w:rPr>
        <w:t>广西政采[2026]17747号-005</w:t>
      </w:r>
      <w:r>
        <w:rPr>
          <w:rFonts w:hint="eastAsia" w:ascii="宋体" w:hAnsi="宋体" w:cs="宋体"/>
          <w:color w:val="auto"/>
          <w:sz w:val="24"/>
          <w:highlight w:val="none"/>
        </w:rPr>
        <w:fldChar w:fldCharType="end"/>
      </w:r>
      <w:r>
        <w:rPr>
          <w:rFonts w:hint="eastAsia" w:ascii="宋体" w:hAnsi="宋体" w:cs="宋体"/>
          <w:color w:val="auto"/>
          <w:sz w:val="24"/>
          <w:highlight w:val="none"/>
        </w:rPr>
        <w:t>-002、</w:t>
      </w:r>
      <w:r>
        <w:rPr>
          <w:color w:val="auto"/>
          <w:highlight w:val="none"/>
        </w:rPr>
        <w:fldChar w:fldCharType="begin"/>
      </w:r>
      <w:r>
        <w:rPr>
          <w:color w:val="auto"/>
          <w:highlight w:val="none"/>
        </w:rPr>
        <w:instrText xml:space="preserve">HYPERLINK "https://middle.gcy.zfcg.gxzf.gov.cn/purchaseplan_front/" \l "/plan/list/view?id=1000000000026174559" \t "https://www.gcy.zfcg.gxzf.gov.cn/delegation-order/_procurement_/order/orderInfo/check/_blank"</w:instrText>
      </w:r>
      <w:r>
        <w:rPr>
          <w:color w:val="auto"/>
          <w:highlight w:val="none"/>
        </w:rPr>
        <w:fldChar w:fldCharType="separate"/>
      </w:r>
      <w:r>
        <w:rPr>
          <w:rFonts w:hint="eastAsia" w:ascii="宋体" w:hAnsi="宋体" w:cs="宋体"/>
          <w:color w:val="auto"/>
          <w:sz w:val="24"/>
          <w:highlight w:val="none"/>
        </w:rPr>
        <w:t>广西政采[2026]17747号-006</w:t>
      </w:r>
      <w:r>
        <w:rPr>
          <w:rFonts w:ascii="宋体" w:hAnsi="宋体" w:cs="宋体"/>
          <w:color w:val="auto"/>
          <w:sz w:val="24"/>
          <w:highlight w:val="none"/>
        </w:rPr>
        <w:fldChar w:fldCharType="end"/>
      </w:r>
      <w:r>
        <w:rPr>
          <w:rFonts w:hint="eastAsia" w:ascii="宋体" w:hAnsi="宋体" w:cs="宋体"/>
          <w:color w:val="auto"/>
          <w:sz w:val="24"/>
          <w:highlight w:val="none"/>
        </w:rPr>
        <w:t>-001、</w:t>
      </w:r>
      <w:r>
        <w:rPr>
          <w:rFonts w:hint="eastAsia"/>
          <w:color w:val="auto"/>
          <w:highlight w:val="none"/>
        </w:rPr>
        <w:fldChar w:fldCharType="begin"/>
      </w:r>
      <w:r>
        <w:rPr>
          <w:color w:val="auto"/>
          <w:highlight w:val="none"/>
        </w:rPr>
        <w:instrText xml:space="preserve"> HYPERLINK "https://middle.gcy.zfcg.gxzf.gov.cn/purchaseplan_front/" \l "/plan/list/view?id=1000000000026174559" \t "https://www.gcy.zfcg.gxzf.gov.cn/delegation-order/_procurement_/order/orderInfo/check/_blank" </w:instrText>
      </w:r>
      <w:r>
        <w:rPr>
          <w:rFonts w:hint="eastAsia"/>
          <w:color w:val="auto"/>
          <w:highlight w:val="none"/>
        </w:rPr>
        <w:fldChar w:fldCharType="separate"/>
      </w:r>
      <w:r>
        <w:rPr>
          <w:rFonts w:hint="eastAsia" w:ascii="宋体" w:hAnsi="宋体" w:cs="宋体"/>
          <w:color w:val="auto"/>
          <w:sz w:val="24"/>
          <w:highlight w:val="none"/>
        </w:rPr>
        <w:t>广西政采[2026]17747号-006</w:t>
      </w:r>
      <w:r>
        <w:rPr>
          <w:rFonts w:hint="eastAsia" w:ascii="宋体" w:hAnsi="宋体" w:cs="宋体"/>
          <w:color w:val="auto"/>
          <w:sz w:val="24"/>
          <w:highlight w:val="none"/>
        </w:rPr>
        <w:fldChar w:fldCharType="end"/>
      </w:r>
      <w:r>
        <w:rPr>
          <w:rFonts w:hint="eastAsia" w:ascii="宋体" w:hAnsi="宋体" w:cs="宋体"/>
          <w:color w:val="auto"/>
          <w:sz w:val="24"/>
          <w:highlight w:val="none"/>
        </w:rPr>
        <w:t>-002、</w:t>
      </w:r>
      <w:r>
        <w:rPr>
          <w:color w:val="auto"/>
          <w:highlight w:val="none"/>
        </w:rPr>
        <w:fldChar w:fldCharType="begin"/>
      </w:r>
      <w:r>
        <w:rPr>
          <w:color w:val="auto"/>
          <w:highlight w:val="none"/>
        </w:rPr>
        <w:instrText xml:space="preserve">HYPERLINK "https://middle.gcy.zfcg.gxzf.gov.cn/purchaseplan_front/" \l "/plan/list/view?id=1000000000026174559" \t "https://www.gcy.zfcg.gxzf.gov.cn/delegation-order/_procurement_/order/orderInfo/check/_blank"</w:instrText>
      </w:r>
      <w:r>
        <w:rPr>
          <w:color w:val="auto"/>
          <w:highlight w:val="none"/>
        </w:rPr>
        <w:fldChar w:fldCharType="separate"/>
      </w:r>
      <w:r>
        <w:rPr>
          <w:rFonts w:hint="eastAsia" w:ascii="宋体" w:hAnsi="宋体" w:cs="宋体"/>
          <w:color w:val="auto"/>
          <w:sz w:val="24"/>
          <w:highlight w:val="none"/>
        </w:rPr>
        <w:t>广西政采[2026]17747号-007</w:t>
      </w:r>
      <w:r>
        <w:rPr>
          <w:rFonts w:ascii="宋体" w:hAnsi="宋体" w:cs="宋体"/>
          <w:color w:val="auto"/>
          <w:sz w:val="24"/>
          <w:highlight w:val="none"/>
        </w:rPr>
        <w:fldChar w:fldCharType="end"/>
      </w:r>
      <w:r>
        <w:rPr>
          <w:rFonts w:hint="eastAsia" w:ascii="宋体" w:hAnsi="宋体" w:cs="宋体"/>
          <w:color w:val="auto"/>
          <w:sz w:val="24"/>
          <w:highlight w:val="none"/>
        </w:rPr>
        <w:t>-001、</w:t>
      </w:r>
      <w:r>
        <w:rPr>
          <w:rFonts w:hint="eastAsia"/>
          <w:color w:val="auto"/>
          <w:highlight w:val="none"/>
        </w:rPr>
        <w:fldChar w:fldCharType="begin"/>
      </w:r>
      <w:r>
        <w:rPr>
          <w:color w:val="auto"/>
          <w:highlight w:val="none"/>
        </w:rPr>
        <w:instrText xml:space="preserve"> HYPERLINK "https://middle.gcy.zfcg.gxzf.gov.cn/purchaseplan_front/" \l "/plan/list/view?id=1000000000026174559" \t "https://www.gcy.zfcg.gxzf.gov.cn/delegation-order/_procurement_/order/orderInfo/check/_blank" </w:instrText>
      </w:r>
      <w:r>
        <w:rPr>
          <w:rFonts w:hint="eastAsia"/>
          <w:color w:val="auto"/>
          <w:highlight w:val="none"/>
        </w:rPr>
        <w:fldChar w:fldCharType="separate"/>
      </w:r>
      <w:r>
        <w:rPr>
          <w:rFonts w:hint="eastAsia" w:ascii="宋体" w:hAnsi="宋体" w:cs="宋体"/>
          <w:color w:val="auto"/>
          <w:sz w:val="24"/>
          <w:highlight w:val="none"/>
        </w:rPr>
        <w:t>广西政采[2026]17747号-007</w:t>
      </w:r>
      <w:r>
        <w:rPr>
          <w:rFonts w:hint="eastAsia" w:ascii="宋体" w:hAnsi="宋体" w:cs="宋体"/>
          <w:color w:val="auto"/>
          <w:sz w:val="24"/>
          <w:highlight w:val="none"/>
        </w:rPr>
        <w:fldChar w:fldCharType="end"/>
      </w:r>
      <w:r>
        <w:rPr>
          <w:rFonts w:hint="eastAsia" w:ascii="宋体" w:hAnsi="宋体" w:cs="宋体"/>
          <w:color w:val="auto"/>
          <w:sz w:val="24"/>
          <w:highlight w:val="none"/>
        </w:rPr>
        <w:t>-002、</w:t>
      </w:r>
      <w:r>
        <w:rPr>
          <w:color w:val="auto"/>
          <w:highlight w:val="none"/>
        </w:rPr>
        <w:fldChar w:fldCharType="begin"/>
      </w:r>
      <w:r>
        <w:rPr>
          <w:color w:val="auto"/>
          <w:highlight w:val="none"/>
        </w:rPr>
        <w:instrText xml:space="preserve">HYPERLINK "https://middle.gcy.zfcg.gxzf.gov.cn/purchaseplan_front/" \l "/plan/list/view?id=1000000000026174559" \t "https://www.gcy.zfcg.gxzf.gov.cn/delegation-order/_procurement_/order/orderInfo/check/_blank"</w:instrText>
      </w:r>
      <w:r>
        <w:rPr>
          <w:color w:val="auto"/>
          <w:highlight w:val="none"/>
        </w:rPr>
        <w:fldChar w:fldCharType="separate"/>
      </w:r>
      <w:r>
        <w:rPr>
          <w:rFonts w:hint="eastAsia" w:ascii="宋体" w:hAnsi="宋体" w:cs="宋体"/>
          <w:color w:val="auto"/>
          <w:sz w:val="24"/>
          <w:highlight w:val="none"/>
        </w:rPr>
        <w:t>广西政采[2026]17747号-008</w:t>
      </w:r>
      <w:r>
        <w:rPr>
          <w:rFonts w:ascii="宋体" w:hAnsi="宋体" w:cs="宋体"/>
          <w:color w:val="auto"/>
          <w:sz w:val="24"/>
          <w:highlight w:val="none"/>
        </w:rPr>
        <w:fldChar w:fldCharType="end"/>
      </w:r>
      <w:r>
        <w:rPr>
          <w:rFonts w:hint="eastAsia" w:ascii="宋体" w:hAnsi="宋体" w:cs="宋体"/>
          <w:color w:val="auto"/>
          <w:sz w:val="24"/>
          <w:highlight w:val="none"/>
        </w:rPr>
        <w:t>-001、</w:t>
      </w:r>
      <w:r>
        <w:rPr>
          <w:rFonts w:hint="eastAsia"/>
          <w:color w:val="auto"/>
          <w:highlight w:val="none"/>
        </w:rPr>
        <w:fldChar w:fldCharType="begin"/>
      </w:r>
      <w:r>
        <w:rPr>
          <w:color w:val="auto"/>
          <w:highlight w:val="none"/>
        </w:rPr>
        <w:instrText xml:space="preserve"> HYPERLINK "https://middle.gcy.zfcg.gxzf.gov.cn/purchaseplan_front/" \l "/plan/list/view?id=1000000000026174559" \t "https://www.gcy.zfcg.gxzf.gov.cn/delegation-order/_procurement_/order/orderInfo/check/_blank" </w:instrText>
      </w:r>
      <w:r>
        <w:rPr>
          <w:rFonts w:hint="eastAsia"/>
          <w:color w:val="auto"/>
          <w:highlight w:val="none"/>
        </w:rPr>
        <w:fldChar w:fldCharType="separate"/>
      </w:r>
      <w:r>
        <w:rPr>
          <w:rFonts w:hint="eastAsia" w:ascii="宋体" w:hAnsi="宋体" w:cs="宋体"/>
          <w:color w:val="auto"/>
          <w:sz w:val="24"/>
          <w:highlight w:val="none"/>
        </w:rPr>
        <w:t>广西政采[2026]17747号-008</w:t>
      </w:r>
      <w:r>
        <w:rPr>
          <w:rFonts w:hint="eastAsia" w:ascii="宋体" w:hAnsi="宋体" w:cs="宋体"/>
          <w:color w:val="auto"/>
          <w:sz w:val="24"/>
          <w:highlight w:val="none"/>
        </w:rPr>
        <w:fldChar w:fldCharType="end"/>
      </w:r>
      <w:r>
        <w:rPr>
          <w:rFonts w:hint="eastAsia" w:ascii="宋体" w:hAnsi="宋体" w:cs="宋体"/>
          <w:color w:val="auto"/>
          <w:sz w:val="24"/>
          <w:highlight w:val="none"/>
        </w:rPr>
        <w:t>-002、</w:t>
      </w:r>
      <w:r>
        <w:rPr>
          <w:color w:val="auto"/>
          <w:highlight w:val="none"/>
        </w:rPr>
        <w:fldChar w:fldCharType="begin"/>
      </w:r>
      <w:r>
        <w:rPr>
          <w:color w:val="auto"/>
          <w:highlight w:val="none"/>
        </w:rPr>
        <w:instrText xml:space="preserve">HYPERLINK "https://middle.gcy.zfcg.gxzf.gov.cn/purchaseplan_front/" \l "/plan/list/view?id=1000000000026174559" \t "https://www.gcy.zfcg.gxzf.gov.cn/delegation-order/_procurement_/order/orderInfo/check/_blank"</w:instrText>
      </w:r>
      <w:r>
        <w:rPr>
          <w:color w:val="auto"/>
          <w:highlight w:val="none"/>
        </w:rPr>
        <w:fldChar w:fldCharType="separate"/>
      </w:r>
      <w:r>
        <w:rPr>
          <w:rFonts w:hint="eastAsia" w:ascii="宋体" w:hAnsi="宋体" w:cs="宋体"/>
          <w:color w:val="auto"/>
          <w:sz w:val="24"/>
          <w:highlight w:val="none"/>
        </w:rPr>
        <w:t>广西政采[2026]17747号-009</w:t>
      </w:r>
      <w:r>
        <w:rPr>
          <w:rFonts w:ascii="宋体" w:hAnsi="宋体" w:cs="宋体"/>
          <w:color w:val="auto"/>
          <w:sz w:val="24"/>
          <w:highlight w:val="none"/>
        </w:rPr>
        <w:fldChar w:fldCharType="end"/>
      </w:r>
      <w:r>
        <w:rPr>
          <w:rFonts w:hint="eastAsia" w:ascii="宋体" w:hAnsi="宋体" w:cs="宋体"/>
          <w:color w:val="auto"/>
          <w:sz w:val="24"/>
          <w:highlight w:val="none"/>
        </w:rPr>
        <w:t>-001、</w:t>
      </w:r>
      <w:r>
        <w:rPr>
          <w:rFonts w:hint="eastAsia"/>
          <w:color w:val="auto"/>
          <w:highlight w:val="none"/>
        </w:rPr>
        <w:fldChar w:fldCharType="begin"/>
      </w:r>
      <w:r>
        <w:rPr>
          <w:color w:val="auto"/>
          <w:highlight w:val="none"/>
        </w:rPr>
        <w:instrText xml:space="preserve"> HYPERLINK "https://middle.gcy.zfcg.gxzf.gov.cn/purchaseplan_front/" \l "/plan/list/view?id=1000000000026174559" \t "https://www.gcy.zfcg.gxzf.gov.cn/delegation-order/_procurement_/order/orderInfo/check/_blank" </w:instrText>
      </w:r>
      <w:r>
        <w:rPr>
          <w:rFonts w:hint="eastAsia"/>
          <w:color w:val="auto"/>
          <w:highlight w:val="none"/>
        </w:rPr>
        <w:fldChar w:fldCharType="separate"/>
      </w:r>
      <w:r>
        <w:rPr>
          <w:rFonts w:hint="eastAsia" w:ascii="宋体" w:hAnsi="宋体" w:cs="宋体"/>
          <w:color w:val="auto"/>
          <w:sz w:val="24"/>
          <w:highlight w:val="none"/>
        </w:rPr>
        <w:t>广西政采[2026]17747号-009</w:t>
      </w:r>
      <w:r>
        <w:rPr>
          <w:rFonts w:hint="eastAsia" w:ascii="宋体" w:hAnsi="宋体" w:cs="宋体"/>
          <w:color w:val="auto"/>
          <w:sz w:val="24"/>
          <w:highlight w:val="none"/>
        </w:rPr>
        <w:fldChar w:fldCharType="end"/>
      </w:r>
      <w:r>
        <w:rPr>
          <w:rFonts w:hint="eastAsia" w:ascii="宋体" w:hAnsi="宋体" w:cs="宋体"/>
          <w:color w:val="auto"/>
          <w:sz w:val="24"/>
          <w:highlight w:val="none"/>
        </w:rPr>
        <w:t>-002、</w:t>
      </w:r>
      <w:r>
        <w:rPr>
          <w:color w:val="auto"/>
          <w:highlight w:val="none"/>
        </w:rPr>
        <w:fldChar w:fldCharType="begin"/>
      </w:r>
      <w:r>
        <w:rPr>
          <w:color w:val="auto"/>
          <w:highlight w:val="none"/>
        </w:rPr>
        <w:instrText xml:space="preserve">HYPERLINK "https://middle.gcy.zfcg.gxzf.gov.cn/purchaseplan_front/" \l "/plan/list/view?id=1000000000026174559" \t "https://www.gcy.zfcg.gxzf.gov.cn/delegation-order/_procurement_/order/orderInfo/check/_blank"</w:instrText>
      </w:r>
      <w:r>
        <w:rPr>
          <w:color w:val="auto"/>
          <w:highlight w:val="none"/>
        </w:rPr>
        <w:fldChar w:fldCharType="separate"/>
      </w:r>
      <w:r>
        <w:rPr>
          <w:rFonts w:hint="eastAsia" w:ascii="宋体" w:hAnsi="宋体" w:cs="宋体"/>
          <w:color w:val="auto"/>
          <w:sz w:val="24"/>
          <w:highlight w:val="none"/>
        </w:rPr>
        <w:t>广西政采[2026]17747号-01</w:t>
      </w:r>
      <w:r>
        <w:rPr>
          <w:rFonts w:ascii="宋体" w:hAnsi="宋体" w:cs="宋体"/>
          <w:color w:val="auto"/>
          <w:sz w:val="24"/>
          <w:highlight w:val="none"/>
        </w:rPr>
        <w:fldChar w:fldCharType="end"/>
      </w:r>
      <w:r>
        <w:rPr>
          <w:rFonts w:hint="eastAsia" w:ascii="宋体" w:hAnsi="宋体" w:cs="宋体"/>
          <w:color w:val="auto"/>
          <w:sz w:val="24"/>
          <w:highlight w:val="none"/>
        </w:rPr>
        <w:t>0-001、</w:t>
      </w:r>
      <w:r>
        <w:rPr>
          <w:rFonts w:hint="eastAsia"/>
          <w:color w:val="auto"/>
          <w:highlight w:val="none"/>
        </w:rPr>
        <w:fldChar w:fldCharType="begin"/>
      </w:r>
      <w:r>
        <w:rPr>
          <w:color w:val="auto"/>
          <w:highlight w:val="none"/>
        </w:rPr>
        <w:instrText xml:space="preserve"> HYPERLINK "https://middle.gcy.zfcg.gxzf.gov.cn/purchaseplan_front/" \l "/plan/list/view?id=1000000000026174559" \t "https://www.gcy.zfcg.gxzf.gov.cn/delegation-order/_procurement_/order/orderInfo/check/_blank" </w:instrText>
      </w:r>
      <w:r>
        <w:rPr>
          <w:rFonts w:hint="eastAsia"/>
          <w:color w:val="auto"/>
          <w:highlight w:val="none"/>
        </w:rPr>
        <w:fldChar w:fldCharType="separate"/>
      </w:r>
      <w:r>
        <w:rPr>
          <w:rFonts w:hint="eastAsia" w:ascii="宋体" w:hAnsi="宋体" w:cs="宋体"/>
          <w:color w:val="auto"/>
          <w:sz w:val="24"/>
          <w:highlight w:val="none"/>
        </w:rPr>
        <w:t>广西政采[2026]17747号-01</w:t>
      </w:r>
      <w:r>
        <w:rPr>
          <w:rFonts w:hint="eastAsia" w:ascii="宋体" w:hAnsi="宋体" w:cs="宋体"/>
          <w:color w:val="auto"/>
          <w:sz w:val="24"/>
          <w:highlight w:val="none"/>
        </w:rPr>
        <w:fldChar w:fldCharType="end"/>
      </w:r>
      <w:r>
        <w:rPr>
          <w:rFonts w:hint="eastAsia" w:ascii="宋体" w:hAnsi="宋体" w:cs="宋体"/>
          <w:color w:val="auto"/>
          <w:sz w:val="24"/>
          <w:highlight w:val="none"/>
        </w:rPr>
        <w:t>0-002、</w:t>
      </w:r>
      <w:r>
        <w:rPr>
          <w:color w:val="auto"/>
          <w:highlight w:val="none"/>
        </w:rPr>
        <w:fldChar w:fldCharType="begin"/>
      </w:r>
      <w:r>
        <w:rPr>
          <w:color w:val="auto"/>
          <w:highlight w:val="none"/>
        </w:rPr>
        <w:instrText xml:space="preserve">HYPERLINK "https://middle.gcy.zfcg.gxzf.gov.cn/purchaseplan_front/" \l "/plan/list/view?id=1000000000026174559" \t "https://www.gcy.zfcg.gxzf.gov.cn/delegation-order/_procurement_/order/orderInfo/check/_blank"</w:instrText>
      </w:r>
      <w:r>
        <w:rPr>
          <w:color w:val="auto"/>
          <w:highlight w:val="none"/>
        </w:rPr>
        <w:fldChar w:fldCharType="separate"/>
      </w:r>
      <w:r>
        <w:rPr>
          <w:rFonts w:hint="eastAsia" w:ascii="宋体" w:hAnsi="宋体" w:cs="宋体"/>
          <w:color w:val="auto"/>
          <w:sz w:val="24"/>
          <w:highlight w:val="none"/>
        </w:rPr>
        <w:t>广西政采[2026]17747号-01</w:t>
      </w:r>
      <w:r>
        <w:rPr>
          <w:rFonts w:ascii="宋体" w:hAnsi="宋体" w:cs="宋体"/>
          <w:color w:val="auto"/>
          <w:sz w:val="24"/>
          <w:highlight w:val="none"/>
        </w:rPr>
        <w:fldChar w:fldCharType="end"/>
      </w:r>
      <w:r>
        <w:rPr>
          <w:rFonts w:hint="eastAsia" w:ascii="宋体" w:hAnsi="宋体" w:cs="宋体"/>
          <w:color w:val="auto"/>
          <w:sz w:val="24"/>
          <w:highlight w:val="none"/>
        </w:rPr>
        <w:t>1-001、</w:t>
      </w:r>
      <w:r>
        <w:rPr>
          <w:rFonts w:hint="eastAsia"/>
          <w:color w:val="auto"/>
          <w:highlight w:val="none"/>
        </w:rPr>
        <w:fldChar w:fldCharType="begin"/>
      </w:r>
      <w:r>
        <w:rPr>
          <w:color w:val="auto"/>
          <w:highlight w:val="none"/>
        </w:rPr>
        <w:instrText xml:space="preserve"> HYPERLINK "https://middle.gcy.zfcg.gxzf.gov.cn/purchaseplan_front/" \l "/plan/list/view?id=1000000000026174559" \t "https://www.gcy.zfcg.gxzf.gov.cn/delegation-order/_procurement_/order/orderInfo/check/_blank" </w:instrText>
      </w:r>
      <w:r>
        <w:rPr>
          <w:rFonts w:hint="eastAsia"/>
          <w:color w:val="auto"/>
          <w:highlight w:val="none"/>
        </w:rPr>
        <w:fldChar w:fldCharType="separate"/>
      </w:r>
      <w:r>
        <w:rPr>
          <w:rFonts w:hint="eastAsia" w:ascii="宋体" w:hAnsi="宋体" w:cs="宋体"/>
          <w:color w:val="auto"/>
          <w:sz w:val="24"/>
          <w:highlight w:val="none"/>
        </w:rPr>
        <w:t>广西政采[2026]17747号-01</w:t>
      </w:r>
      <w:r>
        <w:rPr>
          <w:rFonts w:hint="eastAsia" w:ascii="宋体" w:hAnsi="宋体" w:cs="宋体"/>
          <w:color w:val="auto"/>
          <w:sz w:val="24"/>
          <w:highlight w:val="none"/>
        </w:rPr>
        <w:fldChar w:fldCharType="end"/>
      </w:r>
      <w:r>
        <w:rPr>
          <w:rFonts w:hint="eastAsia" w:ascii="宋体" w:hAnsi="宋体" w:cs="宋体"/>
          <w:color w:val="auto"/>
          <w:sz w:val="24"/>
          <w:highlight w:val="none"/>
        </w:rPr>
        <w:t>1-002、</w:t>
      </w:r>
      <w:r>
        <w:rPr>
          <w:color w:val="auto"/>
          <w:highlight w:val="none"/>
        </w:rPr>
        <w:fldChar w:fldCharType="begin"/>
      </w:r>
      <w:r>
        <w:rPr>
          <w:color w:val="auto"/>
          <w:highlight w:val="none"/>
        </w:rPr>
        <w:instrText xml:space="preserve">HYPERLINK "https://middle.gcy.zfcg.gxzf.gov.cn/purchaseplan_front/" \l "/plan/list/view?id=1000000000026174559" \t "https://www.gcy.zfcg.gxzf.gov.cn/delegation-order/_procurement_/order/orderInfo/check/_blank"</w:instrText>
      </w:r>
      <w:r>
        <w:rPr>
          <w:color w:val="auto"/>
          <w:highlight w:val="none"/>
        </w:rPr>
        <w:fldChar w:fldCharType="separate"/>
      </w:r>
      <w:r>
        <w:rPr>
          <w:rFonts w:hint="eastAsia" w:ascii="宋体" w:hAnsi="宋体" w:cs="宋体"/>
          <w:color w:val="auto"/>
          <w:sz w:val="24"/>
          <w:highlight w:val="none"/>
        </w:rPr>
        <w:t>广西政采[2026]17747号-01</w:t>
      </w:r>
      <w:r>
        <w:rPr>
          <w:rFonts w:ascii="宋体" w:hAnsi="宋体" w:cs="宋体"/>
          <w:color w:val="auto"/>
          <w:sz w:val="24"/>
          <w:highlight w:val="none"/>
        </w:rPr>
        <w:fldChar w:fldCharType="end"/>
      </w:r>
      <w:r>
        <w:rPr>
          <w:rFonts w:hint="eastAsia" w:ascii="宋体" w:hAnsi="宋体" w:cs="宋体"/>
          <w:color w:val="auto"/>
          <w:sz w:val="24"/>
          <w:highlight w:val="none"/>
        </w:rPr>
        <w:t>3-001、</w:t>
      </w:r>
      <w:r>
        <w:rPr>
          <w:rFonts w:hint="eastAsia"/>
          <w:color w:val="auto"/>
          <w:highlight w:val="none"/>
        </w:rPr>
        <w:fldChar w:fldCharType="begin"/>
      </w:r>
      <w:r>
        <w:rPr>
          <w:color w:val="auto"/>
          <w:highlight w:val="none"/>
        </w:rPr>
        <w:instrText xml:space="preserve"> HYPERLINK "https://middle.gcy.zfcg.gxzf.gov.cn/purchaseplan_front/" \l "/plan/list/view?id=1000000000026174559" \t "https://www.gcy.zfcg.gxzf.gov.cn/delegation-order/_procurement_/order/orderInfo/check/_blank" </w:instrText>
      </w:r>
      <w:r>
        <w:rPr>
          <w:rFonts w:hint="eastAsia"/>
          <w:color w:val="auto"/>
          <w:highlight w:val="none"/>
        </w:rPr>
        <w:fldChar w:fldCharType="separate"/>
      </w:r>
      <w:r>
        <w:rPr>
          <w:rFonts w:hint="eastAsia" w:ascii="宋体" w:hAnsi="宋体" w:cs="宋体"/>
          <w:color w:val="auto"/>
          <w:sz w:val="24"/>
          <w:highlight w:val="none"/>
        </w:rPr>
        <w:t>广西政采[2026]17747号-01</w:t>
      </w:r>
      <w:r>
        <w:rPr>
          <w:rFonts w:hint="eastAsia" w:ascii="宋体" w:hAnsi="宋体" w:cs="宋体"/>
          <w:color w:val="auto"/>
          <w:sz w:val="24"/>
          <w:highlight w:val="none"/>
        </w:rPr>
        <w:fldChar w:fldCharType="end"/>
      </w:r>
      <w:r>
        <w:rPr>
          <w:rFonts w:hint="eastAsia" w:ascii="宋体" w:hAnsi="宋体" w:cs="宋体"/>
          <w:color w:val="auto"/>
          <w:sz w:val="24"/>
          <w:highlight w:val="none"/>
        </w:rPr>
        <w:t>3-002、</w:t>
      </w:r>
      <w:r>
        <w:rPr>
          <w:rFonts w:hint="eastAsia"/>
          <w:color w:val="auto"/>
          <w:highlight w:val="none"/>
        </w:rPr>
        <w:fldChar w:fldCharType="begin"/>
      </w:r>
      <w:r>
        <w:rPr>
          <w:color w:val="auto"/>
          <w:highlight w:val="none"/>
        </w:rPr>
        <w:instrText xml:space="preserve"> HYPERLINK "https://middle.gcy.zfcg.gxzf.gov.cn/purchaseplan_front/" \l "/plan/list/view?id=1000000000026174559" \t "https://www.gcy.zfcg.gxzf.gov.cn/delegation-order/_procurement_/order/orderInfo/check/_blank" </w:instrText>
      </w:r>
      <w:r>
        <w:rPr>
          <w:rFonts w:hint="eastAsia"/>
          <w:color w:val="auto"/>
          <w:highlight w:val="none"/>
        </w:rPr>
        <w:fldChar w:fldCharType="separate"/>
      </w:r>
      <w:r>
        <w:rPr>
          <w:rFonts w:hint="eastAsia" w:ascii="宋体" w:hAnsi="宋体" w:cs="宋体"/>
          <w:color w:val="auto"/>
          <w:sz w:val="24"/>
          <w:highlight w:val="none"/>
        </w:rPr>
        <w:t>广西政采[2026]17747号-014</w:t>
      </w:r>
      <w:r>
        <w:rPr>
          <w:rFonts w:hint="eastAsia" w:ascii="宋体" w:hAnsi="宋体" w:cs="宋体"/>
          <w:color w:val="auto"/>
          <w:sz w:val="24"/>
          <w:highlight w:val="none"/>
        </w:rPr>
        <w:fldChar w:fldCharType="end"/>
      </w:r>
      <w:r>
        <w:rPr>
          <w:rFonts w:hint="eastAsia" w:ascii="宋体" w:hAnsi="宋体" w:cs="宋体"/>
          <w:color w:val="auto"/>
          <w:sz w:val="24"/>
          <w:highlight w:val="none"/>
        </w:rPr>
        <w:t>-001、</w:t>
      </w:r>
      <w:r>
        <w:rPr>
          <w:rFonts w:hint="eastAsia"/>
          <w:color w:val="auto"/>
          <w:highlight w:val="none"/>
        </w:rPr>
        <w:fldChar w:fldCharType="begin"/>
      </w:r>
      <w:r>
        <w:rPr>
          <w:color w:val="auto"/>
          <w:highlight w:val="none"/>
        </w:rPr>
        <w:instrText xml:space="preserve"> HYPERLINK "https://middle.gcy.zfcg.gxzf.gov.cn/purchaseplan_front/" \l "/plan/list/view?id=1000000000026174559" \t "https://www.gcy.zfcg.gxzf.gov.cn/delegation-order/_procurement_/order/orderInfo/check/_blank" </w:instrText>
      </w:r>
      <w:r>
        <w:rPr>
          <w:rFonts w:hint="eastAsia"/>
          <w:color w:val="auto"/>
          <w:highlight w:val="none"/>
        </w:rPr>
        <w:fldChar w:fldCharType="separate"/>
      </w:r>
      <w:r>
        <w:rPr>
          <w:rFonts w:hint="eastAsia" w:ascii="宋体" w:hAnsi="宋体" w:cs="宋体"/>
          <w:color w:val="auto"/>
          <w:sz w:val="24"/>
          <w:highlight w:val="none"/>
        </w:rPr>
        <w:t>广西政采[2026]17747号-014</w:t>
      </w:r>
      <w:r>
        <w:rPr>
          <w:rFonts w:hint="eastAsia" w:ascii="宋体" w:hAnsi="宋体" w:cs="宋体"/>
          <w:color w:val="auto"/>
          <w:sz w:val="24"/>
          <w:highlight w:val="none"/>
        </w:rPr>
        <w:fldChar w:fldCharType="end"/>
      </w:r>
      <w:r>
        <w:rPr>
          <w:rFonts w:hint="eastAsia" w:ascii="宋体" w:hAnsi="宋体" w:cs="宋体"/>
          <w:color w:val="auto"/>
          <w:sz w:val="24"/>
          <w:highlight w:val="none"/>
        </w:rPr>
        <w:t>-002</w:t>
      </w:r>
    </w:p>
    <w:p w14:paraId="33CB8306">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预算金额（人民币）：</w:t>
      </w:r>
      <w:bookmarkStart w:id="10" w:name="_Hlk206953633"/>
      <w:r>
        <w:rPr>
          <w:rFonts w:hint="eastAsia" w:ascii="宋体" w:hAnsi="宋体" w:cs="宋体"/>
          <w:color w:val="auto"/>
          <w:sz w:val="24"/>
          <w:highlight w:val="none"/>
        </w:rPr>
        <w:t>贰佰玖拾壹万零贰佰元整（¥2910200.00）</w:t>
      </w:r>
      <w:r>
        <w:rPr>
          <w:rFonts w:hint="eastAsia" w:ascii="宋体" w:hAnsi="宋体" w:cs="宋体"/>
          <w:bCs/>
          <w:color w:val="auto"/>
          <w:sz w:val="24"/>
          <w:highlight w:val="none"/>
        </w:rPr>
        <w:t>（其中分标1预算金额：1467647.00元，分标2预算金额：1442553.00元）</w:t>
      </w:r>
    </w:p>
    <w:bookmarkEnd w:id="10"/>
    <w:p w14:paraId="21AE2540">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采购需求：</w:t>
      </w:r>
    </w:p>
    <w:p w14:paraId="261CE3F2">
      <w:pPr>
        <w:pStyle w:val="33"/>
        <w:rPr>
          <w:color w:val="auto"/>
          <w:highlight w:val="none"/>
        </w:rPr>
      </w:pPr>
      <w:r>
        <w:rPr>
          <w:rFonts w:hint="eastAsia" w:ascii="宋体" w:hAnsi="宋体" w:cs="宋体"/>
          <w:color w:val="auto"/>
          <w:sz w:val="24"/>
          <w:highlight w:val="none"/>
        </w:rPr>
        <w:t>分标1：东校园部分学生公寓无线网络改造-1</w:t>
      </w:r>
      <w:r>
        <w:rPr>
          <w:rFonts w:hint="eastAsia"/>
          <w:color w:val="auto"/>
          <w:highlight w:val="none"/>
        </w:rPr>
        <w:t xml:space="preserve"> </w:t>
      </w:r>
    </w:p>
    <w:tbl>
      <w:tblPr>
        <w:tblStyle w:val="26"/>
        <w:tblW w:w="9840" w:type="dxa"/>
        <w:jc w:val="center"/>
        <w:tblLayout w:type="fixed"/>
        <w:tblCellMar>
          <w:top w:w="0" w:type="dxa"/>
          <w:left w:w="108" w:type="dxa"/>
          <w:bottom w:w="0" w:type="dxa"/>
          <w:right w:w="108" w:type="dxa"/>
        </w:tblCellMar>
      </w:tblPr>
      <w:tblGrid>
        <w:gridCol w:w="1094"/>
        <w:gridCol w:w="2098"/>
        <w:gridCol w:w="1125"/>
        <w:gridCol w:w="930"/>
        <w:gridCol w:w="1759"/>
        <w:gridCol w:w="1417"/>
        <w:gridCol w:w="1417"/>
      </w:tblGrid>
      <w:tr w14:paraId="7AB584BD">
        <w:tblPrEx>
          <w:tblCellMar>
            <w:top w:w="0" w:type="dxa"/>
            <w:left w:w="108" w:type="dxa"/>
            <w:bottom w:w="0" w:type="dxa"/>
            <w:right w:w="108" w:type="dxa"/>
          </w:tblCellMar>
        </w:tblPrEx>
        <w:trPr>
          <w:trHeight w:val="90" w:hRule="atLeast"/>
          <w:jc w:val="center"/>
        </w:trPr>
        <w:tc>
          <w:tcPr>
            <w:tcW w:w="1094" w:type="dxa"/>
            <w:tcBorders>
              <w:top w:val="single" w:color="000000" w:sz="4" w:space="0"/>
              <w:left w:val="single" w:color="000000" w:sz="4" w:space="0"/>
              <w:bottom w:val="single" w:color="000000" w:sz="4" w:space="0"/>
              <w:right w:val="single" w:color="000000" w:sz="4" w:space="0"/>
            </w:tcBorders>
            <w:vAlign w:val="center"/>
          </w:tcPr>
          <w:p w14:paraId="30D7BAAE">
            <w:pPr>
              <w:widowControl/>
              <w:jc w:val="center"/>
              <w:textAlignment w:val="center"/>
              <w:rPr>
                <w:rFonts w:hint="eastAsia" w:ascii="宋体" w:hAnsi="宋体" w:cs="宋体"/>
                <w:bCs/>
                <w:color w:val="auto"/>
                <w:sz w:val="24"/>
                <w:highlight w:val="none"/>
              </w:rPr>
            </w:pPr>
            <w:r>
              <w:rPr>
                <w:rFonts w:hint="eastAsia" w:ascii="宋体" w:hAnsi="宋体" w:cs="宋体"/>
                <w:bCs/>
                <w:color w:val="auto"/>
                <w:kern w:val="0"/>
                <w:sz w:val="24"/>
                <w:highlight w:val="none"/>
                <w:lang w:bidi="ar"/>
              </w:rPr>
              <w:t>序号</w:t>
            </w:r>
          </w:p>
        </w:tc>
        <w:tc>
          <w:tcPr>
            <w:tcW w:w="2098" w:type="dxa"/>
            <w:tcBorders>
              <w:top w:val="single" w:color="000000" w:sz="4" w:space="0"/>
              <w:left w:val="single" w:color="000000" w:sz="4" w:space="0"/>
              <w:bottom w:val="single" w:color="000000" w:sz="4" w:space="0"/>
              <w:right w:val="single" w:color="000000" w:sz="4" w:space="0"/>
            </w:tcBorders>
            <w:vAlign w:val="center"/>
          </w:tcPr>
          <w:p w14:paraId="5F21620D">
            <w:pPr>
              <w:widowControl/>
              <w:jc w:val="center"/>
              <w:textAlignment w:val="center"/>
              <w:rPr>
                <w:rFonts w:hint="eastAsia" w:ascii="宋体" w:hAnsi="宋体" w:cs="宋体"/>
                <w:bCs/>
                <w:color w:val="auto"/>
                <w:sz w:val="24"/>
                <w:highlight w:val="none"/>
              </w:rPr>
            </w:pPr>
            <w:r>
              <w:rPr>
                <w:rFonts w:hint="eastAsia" w:ascii="宋体" w:hAnsi="宋体" w:cs="宋体"/>
                <w:bCs/>
                <w:color w:val="auto"/>
                <w:kern w:val="0"/>
                <w:sz w:val="24"/>
                <w:highlight w:val="none"/>
                <w:lang w:bidi="ar"/>
              </w:rPr>
              <w:t>货物名称</w:t>
            </w:r>
          </w:p>
        </w:tc>
        <w:tc>
          <w:tcPr>
            <w:tcW w:w="1125" w:type="dxa"/>
            <w:tcBorders>
              <w:top w:val="single" w:color="000000" w:sz="4" w:space="0"/>
              <w:left w:val="single" w:color="000000" w:sz="4" w:space="0"/>
              <w:bottom w:val="single" w:color="000000" w:sz="4" w:space="0"/>
              <w:right w:val="single" w:color="000000" w:sz="4" w:space="0"/>
            </w:tcBorders>
            <w:vAlign w:val="center"/>
          </w:tcPr>
          <w:p w14:paraId="1EBB7972">
            <w:pPr>
              <w:widowControl/>
              <w:jc w:val="center"/>
              <w:textAlignment w:val="center"/>
              <w:rPr>
                <w:rFonts w:hint="eastAsia" w:ascii="宋体" w:hAnsi="宋体" w:cs="宋体"/>
                <w:bCs/>
                <w:color w:val="auto"/>
                <w:sz w:val="24"/>
                <w:highlight w:val="none"/>
              </w:rPr>
            </w:pPr>
            <w:r>
              <w:rPr>
                <w:rFonts w:hint="eastAsia" w:ascii="宋体" w:hAnsi="宋体" w:cs="宋体"/>
                <w:bCs/>
                <w:color w:val="auto"/>
                <w:kern w:val="0"/>
                <w:sz w:val="24"/>
                <w:highlight w:val="none"/>
                <w:lang w:bidi="ar"/>
              </w:rPr>
              <w:t>数量</w:t>
            </w:r>
          </w:p>
        </w:tc>
        <w:tc>
          <w:tcPr>
            <w:tcW w:w="930" w:type="dxa"/>
            <w:tcBorders>
              <w:top w:val="single" w:color="000000" w:sz="4" w:space="0"/>
              <w:left w:val="single" w:color="000000" w:sz="4" w:space="0"/>
              <w:bottom w:val="single" w:color="000000" w:sz="4" w:space="0"/>
              <w:right w:val="single" w:color="000000" w:sz="4" w:space="0"/>
            </w:tcBorders>
            <w:vAlign w:val="center"/>
          </w:tcPr>
          <w:p w14:paraId="192ED366">
            <w:pPr>
              <w:widowControl/>
              <w:jc w:val="center"/>
              <w:textAlignment w:val="center"/>
              <w:rPr>
                <w:rFonts w:hint="eastAsia" w:ascii="宋体" w:hAnsi="宋体" w:cs="宋体"/>
                <w:bCs/>
                <w:color w:val="auto"/>
                <w:sz w:val="24"/>
                <w:highlight w:val="none"/>
              </w:rPr>
            </w:pPr>
            <w:r>
              <w:rPr>
                <w:rFonts w:hint="eastAsia" w:ascii="宋体" w:hAnsi="宋体" w:cs="宋体"/>
                <w:bCs/>
                <w:color w:val="auto"/>
                <w:kern w:val="0"/>
                <w:sz w:val="24"/>
                <w:highlight w:val="none"/>
                <w:lang w:bidi="ar"/>
              </w:rPr>
              <w:t>单位</w:t>
            </w:r>
          </w:p>
        </w:tc>
        <w:tc>
          <w:tcPr>
            <w:tcW w:w="1759" w:type="dxa"/>
            <w:tcBorders>
              <w:top w:val="single" w:color="000000" w:sz="4" w:space="0"/>
              <w:left w:val="single" w:color="000000" w:sz="4" w:space="0"/>
              <w:bottom w:val="single" w:color="000000" w:sz="4" w:space="0"/>
              <w:right w:val="single" w:color="000000" w:sz="4" w:space="0"/>
            </w:tcBorders>
            <w:vAlign w:val="center"/>
          </w:tcPr>
          <w:p w14:paraId="3470A062">
            <w:pPr>
              <w:widowControl/>
              <w:jc w:val="center"/>
              <w:textAlignment w:val="center"/>
              <w:rPr>
                <w:rFonts w:hint="eastAsia" w:ascii="宋体" w:hAnsi="宋体" w:cs="宋体"/>
                <w:bCs/>
                <w:color w:val="auto"/>
                <w:sz w:val="24"/>
                <w:highlight w:val="none"/>
              </w:rPr>
            </w:pPr>
            <w:r>
              <w:rPr>
                <w:rFonts w:hint="eastAsia" w:ascii="宋体" w:hAnsi="宋体" w:cs="宋体"/>
                <w:color w:val="auto"/>
                <w:sz w:val="24"/>
                <w:highlight w:val="none"/>
              </w:rPr>
              <w:t>技术需求摘要</w:t>
            </w:r>
          </w:p>
        </w:tc>
        <w:tc>
          <w:tcPr>
            <w:tcW w:w="1417" w:type="dxa"/>
            <w:tcBorders>
              <w:top w:val="single" w:color="000000" w:sz="4" w:space="0"/>
              <w:left w:val="single" w:color="000000" w:sz="4" w:space="0"/>
              <w:bottom w:val="single" w:color="000000" w:sz="4" w:space="0"/>
              <w:right w:val="single" w:color="000000" w:sz="4" w:space="0"/>
            </w:tcBorders>
            <w:vAlign w:val="center"/>
          </w:tcPr>
          <w:p w14:paraId="5FC5AF82">
            <w:pPr>
              <w:widowControl/>
              <w:jc w:val="center"/>
              <w:textAlignment w:val="center"/>
              <w:rPr>
                <w:rFonts w:hint="eastAsia" w:ascii="宋体" w:hAnsi="宋体" w:cs="宋体"/>
                <w:bCs/>
                <w:color w:val="auto"/>
                <w:sz w:val="24"/>
                <w:highlight w:val="none"/>
              </w:rPr>
            </w:pPr>
            <w:r>
              <w:rPr>
                <w:rFonts w:hint="eastAsia" w:ascii="宋体" w:hAnsi="宋体" w:cs="宋体"/>
                <w:bCs/>
                <w:color w:val="auto"/>
                <w:sz w:val="24"/>
                <w:highlight w:val="none"/>
              </w:rPr>
              <w:t>预算单价（万元/人民币）</w:t>
            </w:r>
          </w:p>
        </w:tc>
        <w:tc>
          <w:tcPr>
            <w:tcW w:w="1417" w:type="dxa"/>
            <w:tcBorders>
              <w:top w:val="single" w:color="000000" w:sz="4" w:space="0"/>
              <w:left w:val="single" w:color="000000" w:sz="4" w:space="0"/>
              <w:bottom w:val="single" w:color="000000" w:sz="4" w:space="0"/>
              <w:right w:val="single" w:color="000000" w:sz="4" w:space="0"/>
            </w:tcBorders>
            <w:vAlign w:val="center"/>
          </w:tcPr>
          <w:p w14:paraId="3DEAFB3F">
            <w:pPr>
              <w:widowControl/>
              <w:jc w:val="center"/>
              <w:textAlignment w:val="center"/>
              <w:rPr>
                <w:rFonts w:hint="eastAsia" w:ascii="宋体" w:hAnsi="宋体" w:cs="宋体"/>
                <w:bCs/>
                <w:color w:val="auto"/>
                <w:sz w:val="24"/>
                <w:highlight w:val="none"/>
              </w:rPr>
            </w:pPr>
            <w:r>
              <w:rPr>
                <w:rFonts w:hint="eastAsia" w:ascii="宋体" w:hAnsi="宋体" w:cs="宋体"/>
                <w:bCs/>
                <w:color w:val="auto"/>
                <w:sz w:val="24"/>
                <w:highlight w:val="none"/>
              </w:rPr>
              <w:t>单项预算合计（万元/人民币）</w:t>
            </w:r>
          </w:p>
        </w:tc>
      </w:tr>
      <w:tr w14:paraId="0C44470B">
        <w:tblPrEx>
          <w:tblCellMar>
            <w:top w:w="0" w:type="dxa"/>
            <w:left w:w="108" w:type="dxa"/>
            <w:bottom w:w="0" w:type="dxa"/>
            <w:right w:w="108" w:type="dxa"/>
          </w:tblCellMar>
        </w:tblPrEx>
        <w:trPr>
          <w:trHeight w:val="161" w:hRule="atLeast"/>
          <w:jc w:val="center"/>
        </w:trPr>
        <w:tc>
          <w:tcPr>
            <w:tcW w:w="1094" w:type="dxa"/>
            <w:tcBorders>
              <w:top w:val="single" w:color="000000" w:sz="4" w:space="0"/>
              <w:left w:val="single" w:color="000000" w:sz="4" w:space="0"/>
              <w:bottom w:val="single" w:color="000000" w:sz="4" w:space="0"/>
              <w:right w:val="single" w:color="000000" w:sz="4" w:space="0"/>
            </w:tcBorders>
            <w:vAlign w:val="center"/>
          </w:tcPr>
          <w:p w14:paraId="20B2333C">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1</w:t>
            </w:r>
          </w:p>
        </w:tc>
        <w:tc>
          <w:tcPr>
            <w:tcW w:w="2098" w:type="dxa"/>
            <w:tcBorders>
              <w:top w:val="single" w:color="000000" w:sz="4" w:space="0"/>
              <w:left w:val="single" w:color="000000" w:sz="4" w:space="0"/>
              <w:bottom w:val="single" w:color="000000" w:sz="4" w:space="0"/>
              <w:right w:val="single" w:color="000000" w:sz="4" w:space="0"/>
            </w:tcBorders>
            <w:vAlign w:val="center"/>
          </w:tcPr>
          <w:p w14:paraId="6F643FEA">
            <w:pPr>
              <w:spacing w:line="400" w:lineRule="exact"/>
              <w:jc w:val="center"/>
              <w:rPr>
                <w:rFonts w:hint="eastAsia" w:ascii="宋体" w:hAnsi="宋体" w:cs="宋体"/>
                <w:color w:val="auto"/>
                <w:kern w:val="0"/>
                <w:sz w:val="24"/>
                <w:highlight w:val="none"/>
              </w:rPr>
            </w:pPr>
            <w:r>
              <w:rPr>
                <w:rFonts w:hint="eastAsia" w:ascii="宋体" w:hAnsi="宋体" w:cs="宋体"/>
                <w:color w:val="auto"/>
                <w:sz w:val="24"/>
                <w:highlight w:val="none"/>
              </w:rPr>
              <w:t>XGS PON板卡</w:t>
            </w:r>
          </w:p>
        </w:tc>
        <w:tc>
          <w:tcPr>
            <w:tcW w:w="1125" w:type="dxa"/>
            <w:tcBorders>
              <w:top w:val="single" w:color="000000" w:sz="4" w:space="0"/>
              <w:left w:val="single" w:color="000000" w:sz="4" w:space="0"/>
              <w:bottom w:val="single" w:color="000000" w:sz="4" w:space="0"/>
              <w:right w:val="single" w:color="000000" w:sz="4" w:space="0"/>
            </w:tcBorders>
            <w:vAlign w:val="center"/>
          </w:tcPr>
          <w:p w14:paraId="73F4D9E8">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1</w:t>
            </w:r>
          </w:p>
        </w:tc>
        <w:tc>
          <w:tcPr>
            <w:tcW w:w="930" w:type="dxa"/>
            <w:tcBorders>
              <w:top w:val="single" w:color="000000" w:sz="4" w:space="0"/>
              <w:left w:val="single" w:color="000000" w:sz="4" w:space="0"/>
              <w:bottom w:val="single" w:color="000000" w:sz="4" w:space="0"/>
              <w:right w:val="single" w:color="000000" w:sz="4" w:space="0"/>
            </w:tcBorders>
            <w:vAlign w:val="center"/>
          </w:tcPr>
          <w:p w14:paraId="13589AAF">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块</w:t>
            </w:r>
          </w:p>
        </w:tc>
        <w:tc>
          <w:tcPr>
            <w:tcW w:w="1759" w:type="dxa"/>
            <w:tcBorders>
              <w:top w:val="single" w:color="000000" w:sz="4" w:space="0"/>
              <w:left w:val="single" w:color="000000" w:sz="4" w:space="0"/>
              <w:bottom w:val="single" w:color="000000" w:sz="4" w:space="0"/>
              <w:right w:val="single" w:color="000000" w:sz="4" w:space="0"/>
            </w:tcBorders>
            <w:vAlign w:val="center"/>
          </w:tcPr>
          <w:p w14:paraId="4932F9B9">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详见采购需求</w:t>
            </w:r>
          </w:p>
        </w:tc>
        <w:tc>
          <w:tcPr>
            <w:tcW w:w="1417" w:type="dxa"/>
            <w:tcBorders>
              <w:top w:val="single" w:color="000000" w:sz="4" w:space="0"/>
              <w:left w:val="single" w:color="000000" w:sz="4" w:space="0"/>
              <w:bottom w:val="single" w:color="000000" w:sz="4" w:space="0"/>
              <w:right w:val="single" w:color="000000" w:sz="4" w:space="0"/>
            </w:tcBorders>
            <w:vAlign w:val="center"/>
          </w:tcPr>
          <w:p w14:paraId="43A3195B">
            <w:pPr>
              <w:jc w:val="center"/>
              <w:rPr>
                <w:rFonts w:hint="eastAsia" w:ascii="宋体" w:hAnsi="宋体" w:cs="宋体"/>
                <w:color w:val="auto"/>
                <w:sz w:val="24"/>
                <w:highlight w:val="none"/>
              </w:rPr>
            </w:pPr>
            <w:r>
              <w:rPr>
                <w:rFonts w:hint="eastAsia" w:ascii="宋体" w:hAnsi="宋体" w:cs="宋体"/>
                <w:color w:val="auto"/>
                <w:sz w:val="24"/>
                <w:highlight w:val="none"/>
              </w:rPr>
              <w:t>9.98</w:t>
            </w:r>
          </w:p>
        </w:tc>
        <w:tc>
          <w:tcPr>
            <w:tcW w:w="1417" w:type="dxa"/>
            <w:tcBorders>
              <w:top w:val="single" w:color="000000" w:sz="4" w:space="0"/>
              <w:left w:val="single" w:color="000000" w:sz="4" w:space="0"/>
              <w:bottom w:val="single" w:color="000000" w:sz="4" w:space="0"/>
              <w:right w:val="single" w:color="000000" w:sz="4" w:space="0"/>
            </w:tcBorders>
            <w:vAlign w:val="center"/>
          </w:tcPr>
          <w:p w14:paraId="63108828">
            <w:pPr>
              <w:jc w:val="center"/>
              <w:rPr>
                <w:rFonts w:hint="eastAsia" w:ascii="宋体" w:hAnsi="宋体" w:cs="宋体"/>
                <w:color w:val="auto"/>
                <w:sz w:val="24"/>
                <w:highlight w:val="none"/>
                <w:shd w:val="clear" w:color="auto" w:fill="FFFFFF"/>
              </w:rPr>
            </w:pPr>
            <w:r>
              <w:rPr>
                <w:rFonts w:hint="eastAsia" w:ascii="宋体" w:hAnsi="宋体" w:cs="宋体"/>
                <w:color w:val="auto"/>
                <w:sz w:val="24"/>
                <w:highlight w:val="none"/>
              </w:rPr>
              <w:t>9.98</w:t>
            </w:r>
          </w:p>
        </w:tc>
      </w:tr>
      <w:tr w14:paraId="159A4C2E">
        <w:tblPrEx>
          <w:tblCellMar>
            <w:top w:w="0" w:type="dxa"/>
            <w:left w:w="108" w:type="dxa"/>
            <w:bottom w:w="0" w:type="dxa"/>
            <w:right w:w="108" w:type="dxa"/>
          </w:tblCellMar>
        </w:tblPrEx>
        <w:trPr>
          <w:trHeight w:val="90" w:hRule="atLeast"/>
          <w:jc w:val="center"/>
        </w:trPr>
        <w:tc>
          <w:tcPr>
            <w:tcW w:w="1094" w:type="dxa"/>
            <w:tcBorders>
              <w:top w:val="single" w:color="000000" w:sz="4" w:space="0"/>
              <w:left w:val="single" w:color="000000" w:sz="4" w:space="0"/>
              <w:bottom w:val="single" w:color="000000" w:sz="4" w:space="0"/>
              <w:right w:val="single" w:color="000000" w:sz="4" w:space="0"/>
            </w:tcBorders>
            <w:vAlign w:val="center"/>
          </w:tcPr>
          <w:p w14:paraId="326622AD">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2</w:t>
            </w:r>
          </w:p>
        </w:tc>
        <w:tc>
          <w:tcPr>
            <w:tcW w:w="2098" w:type="dxa"/>
            <w:tcBorders>
              <w:top w:val="single" w:color="000000" w:sz="4" w:space="0"/>
              <w:left w:val="single" w:color="000000" w:sz="4" w:space="0"/>
              <w:bottom w:val="single" w:color="000000" w:sz="4" w:space="0"/>
              <w:right w:val="single" w:color="000000" w:sz="4" w:space="0"/>
            </w:tcBorders>
            <w:vAlign w:val="center"/>
          </w:tcPr>
          <w:p w14:paraId="134D0ABC">
            <w:pPr>
              <w:spacing w:line="400" w:lineRule="exact"/>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XGS-PON ONU</w:t>
            </w:r>
          </w:p>
        </w:tc>
        <w:tc>
          <w:tcPr>
            <w:tcW w:w="1125" w:type="dxa"/>
            <w:tcBorders>
              <w:top w:val="single" w:color="000000" w:sz="4" w:space="0"/>
              <w:left w:val="single" w:color="000000" w:sz="4" w:space="0"/>
              <w:bottom w:val="single" w:color="000000" w:sz="4" w:space="0"/>
              <w:right w:val="single" w:color="000000" w:sz="4" w:space="0"/>
            </w:tcBorders>
            <w:vAlign w:val="center"/>
          </w:tcPr>
          <w:p w14:paraId="0DA19781">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593</w:t>
            </w:r>
          </w:p>
        </w:tc>
        <w:tc>
          <w:tcPr>
            <w:tcW w:w="930" w:type="dxa"/>
            <w:tcBorders>
              <w:top w:val="single" w:color="000000" w:sz="4" w:space="0"/>
              <w:left w:val="single" w:color="000000" w:sz="4" w:space="0"/>
              <w:bottom w:val="single" w:color="000000" w:sz="4" w:space="0"/>
              <w:right w:val="single" w:color="000000" w:sz="4" w:space="0"/>
            </w:tcBorders>
            <w:vAlign w:val="center"/>
          </w:tcPr>
          <w:p w14:paraId="0B3DF51A">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台</w:t>
            </w:r>
          </w:p>
        </w:tc>
        <w:tc>
          <w:tcPr>
            <w:tcW w:w="1759" w:type="dxa"/>
            <w:tcBorders>
              <w:top w:val="single" w:color="000000" w:sz="4" w:space="0"/>
              <w:left w:val="single" w:color="000000" w:sz="4" w:space="0"/>
              <w:bottom w:val="single" w:color="000000" w:sz="4" w:space="0"/>
              <w:right w:val="single" w:color="000000" w:sz="4" w:space="0"/>
            </w:tcBorders>
            <w:vAlign w:val="center"/>
          </w:tcPr>
          <w:p w14:paraId="62F093A0">
            <w:pPr>
              <w:jc w:val="center"/>
              <w:rPr>
                <w:rFonts w:hint="eastAsia" w:ascii="宋体" w:hAnsi="宋体" w:cs="宋体"/>
                <w:color w:val="auto"/>
                <w:sz w:val="24"/>
                <w:highlight w:val="none"/>
              </w:rPr>
            </w:pPr>
            <w:r>
              <w:rPr>
                <w:rFonts w:hint="eastAsia" w:ascii="宋体" w:hAnsi="宋体" w:cs="宋体"/>
                <w:color w:val="auto"/>
                <w:sz w:val="24"/>
                <w:highlight w:val="none"/>
              </w:rPr>
              <w:t>详见采购需求</w:t>
            </w:r>
          </w:p>
        </w:tc>
        <w:tc>
          <w:tcPr>
            <w:tcW w:w="1417" w:type="dxa"/>
            <w:tcBorders>
              <w:top w:val="single" w:color="000000" w:sz="4" w:space="0"/>
              <w:left w:val="single" w:color="000000" w:sz="4" w:space="0"/>
              <w:bottom w:val="single" w:color="000000" w:sz="4" w:space="0"/>
              <w:right w:val="single" w:color="000000" w:sz="4" w:space="0"/>
            </w:tcBorders>
            <w:vAlign w:val="center"/>
          </w:tcPr>
          <w:p w14:paraId="425C4F45">
            <w:pPr>
              <w:spacing w:line="520" w:lineRule="exact"/>
              <w:jc w:val="center"/>
              <w:rPr>
                <w:rFonts w:hint="eastAsia" w:ascii="宋体" w:hAnsi="宋体" w:cs="宋体"/>
                <w:color w:val="auto"/>
                <w:sz w:val="24"/>
                <w:highlight w:val="none"/>
              </w:rPr>
            </w:pPr>
            <w:r>
              <w:rPr>
                <w:rFonts w:hint="eastAsia" w:ascii="宋体" w:hAnsi="宋体" w:cs="宋体"/>
                <w:bCs/>
                <w:color w:val="auto"/>
                <w:sz w:val="24"/>
                <w:highlight w:val="none"/>
              </w:rPr>
              <w:t>0.099</w:t>
            </w:r>
          </w:p>
        </w:tc>
        <w:tc>
          <w:tcPr>
            <w:tcW w:w="1417" w:type="dxa"/>
            <w:tcBorders>
              <w:top w:val="single" w:color="000000" w:sz="4" w:space="0"/>
              <w:left w:val="single" w:color="000000" w:sz="4" w:space="0"/>
              <w:bottom w:val="single" w:color="000000" w:sz="4" w:space="0"/>
              <w:right w:val="single" w:color="000000" w:sz="4" w:space="0"/>
            </w:tcBorders>
            <w:vAlign w:val="center"/>
          </w:tcPr>
          <w:p w14:paraId="6A59E45A">
            <w:pPr>
              <w:spacing w:line="520" w:lineRule="exact"/>
              <w:jc w:val="center"/>
              <w:rPr>
                <w:rFonts w:hint="eastAsia" w:ascii="宋体" w:hAnsi="宋体" w:cs="宋体"/>
                <w:color w:val="auto"/>
                <w:sz w:val="24"/>
                <w:highlight w:val="none"/>
              </w:rPr>
            </w:pPr>
            <w:r>
              <w:rPr>
                <w:rFonts w:hint="eastAsia" w:ascii="宋体" w:hAnsi="宋体" w:cs="宋体"/>
                <w:bCs/>
                <w:color w:val="auto"/>
                <w:sz w:val="24"/>
                <w:highlight w:val="none"/>
              </w:rPr>
              <w:t>58.707</w:t>
            </w:r>
          </w:p>
        </w:tc>
      </w:tr>
      <w:tr w14:paraId="6676C0F5">
        <w:tblPrEx>
          <w:tblCellMar>
            <w:top w:w="0" w:type="dxa"/>
            <w:left w:w="108" w:type="dxa"/>
            <w:bottom w:w="0" w:type="dxa"/>
            <w:right w:w="108" w:type="dxa"/>
          </w:tblCellMar>
        </w:tblPrEx>
        <w:trPr>
          <w:trHeight w:val="90" w:hRule="atLeast"/>
          <w:jc w:val="center"/>
        </w:trPr>
        <w:tc>
          <w:tcPr>
            <w:tcW w:w="1094" w:type="dxa"/>
            <w:tcBorders>
              <w:top w:val="single" w:color="000000" w:sz="4" w:space="0"/>
              <w:left w:val="single" w:color="000000" w:sz="4" w:space="0"/>
              <w:bottom w:val="single" w:color="000000" w:sz="4" w:space="0"/>
              <w:right w:val="single" w:color="000000" w:sz="4" w:space="0"/>
            </w:tcBorders>
            <w:vAlign w:val="center"/>
          </w:tcPr>
          <w:p w14:paraId="76E527DE">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3</w:t>
            </w:r>
          </w:p>
        </w:tc>
        <w:tc>
          <w:tcPr>
            <w:tcW w:w="2098" w:type="dxa"/>
            <w:tcBorders>
              <w:top w:val="single" w:color="000000" w:sz="4" w:space="0"/>
              <w:left w:val="single" w:color="000000" w:sz="4" w:space="0"/>
              <w:bottom w:val="single" w:color="000000" w:sz="4" w:space="0"/>
              <w:right w:val="single" w:color="000000" w:sz="4" w:space="0"/>
            </w:tcBorders>
            <w:vAlign w:val="center"/>
          </w:tcPr>
          <w:p w14:paraId="792C7418">
            <w:pPr>
              <w:spacing w:line="400" w:lineRule="exact"/>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无线管理授权</w:t>
            </w:r>
          </w:p>
        </w:tc>
        <w:tc>
          <w:tcPr>
            <w:tcW w:w="1125" w:type="dxa"/>
            <w:tcBorders>
              <w:top w:val="single" w:color="000000" w:sz="4" w:space="0"/>
              <w:left w:val="single" w:color="000000" w:sz="4" w:space="0"/>
              <w:bottom w:val="single" w:color="000000" w:sz="4" w:space="0"/>
              <w:right w:val="single" w:color="000000" w:sz="4" w:space="0"/>
            </w:tcBorders>
            <w:vAlign w:val="center"/>
          </w:tcPr>
          <w:p w14:paraId="06BF3800">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1</w:t>
            </w:r>
          </w:p>
        </w:tc>
        <w:tc>
          <w:tcPr>
            <w:tcW w:w="930" w:type="dxa"/>
            <w:tcBorders>
              <w:top w:val="single" w:color="000000" w:sz="4" w:space="0"/>
              <w:left w:val="single" w:color="000000" w:sz="4" w:space="0"/>
              <w:bottom w:val="single" w:color="000000" w:sz="4" w:space="0"/>
              <w:right w:val="single" w:color="000000" w:sz="4" w:space="0"/>
            </w:tcBorders>
            <w:vAlign w:val="center"/>
          </w:tcPr>
          <w:p w14:paraId="76CB970A">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项</w:t>
            </w:r>
          </w:p>
        </w:tc>
        <w:tc>
          <w:tcPr>
            <w:tcW w:w="1759" w:type="dxa"/>
            <w:tcBorders>
              <w:top w:val="single" w:color="000000" w:sz="4" w:space="0"/>
              <w:left w:val="single" w:color="000000" w:sz="4" w:space="0"/>
              <w:bottom w:val="single" w:color="000000" w:sz="4" w:space="0"/>
              <w:right w:val="single" w:color="000000" w:sz="4" w:space="0"/>
            </w:tcBorders>
            <w:vAlign w:val="center"/>
          </w:tcPr>
          <w:p w14:paraId="3599327F">
            <w:pPr>
              <w:jc w:val="center"/>
              <w:rPr>
                <w:rFonts w:hint="eastAsia" w:ascii="宋体" w:hAnsi="宋体" w:cs="宋体"/>
                <w:color w:val="auto"/>
                <w:sz w:val="24"/>
                <w:highlight w:val="none"/>
              </w:rPr>
            </w:pPr>
            <w:r>
              <w:rPr>
                <w:rFonts w:hint="eastAsia" w:ascii="宋体" w:hAnsi="宋体" w:cs="宋体"/>
                <w:color w:val="auto"/>
                <w:sz w:val="24"/>
                <w:highlight w:val="none"/>
              </w:rPr>
              <w:t>详见采购需求</w:t>
            </w:r>
          </w:p>
        </w:tc>
        <w:tc>
          <w:tcPr>
            <w:tcW w:w="1417" w:type="dxa"/>
            <w:tcBorders>
              <w:top w:val="single" w:color="000000" w:sz="4" w:space="0"/>
              <w:left w:val="single" w:color="000000" w:sz="4" w:space="0"/>
              <w:bottom w:val="single" w:color="000000" w:sz="4" w:space="0"/>
              <w:right w:val="single" w:color="000000" w:sz="4" w:space="0"/>
            </w:tcBorders>
            <w:vAlign w:val="center"/>
          </w:tcPr>
          <w:p w14:paraId="04EE9B98">
            <w:pPr>
              <w:spacing w:line="360" w:lineRule="exact"/>
              <w:jc w:val="center"/>
              <w:rPr>
                <w:rFonts w:hint="eastAsia" w:ascii="宋体" w:hAnsi="宋体" w:cs="宋体"/>
                <w:color w:val="auto"/>
                <w:sz w:val="24"/>
                <w:highlight w:val="none"/>
              </w:rPr>
            </w:pPr>
            <w:r>
              <w:rPr>
                <w:rFonts w:hint="eastAsia" w:ascii="宋体" w:hAnsi="宋体" w:cs="宋体"/>
                <w:color w:val="auto"/>
                <w:sz w:val="24"/>
                <w:highlight w:val="none"/>
              </w:rPr>
              <w:t>18.7104</w:t>
            </w:r>
          </w:p>
        </w:tc>
        <w:tc>
          <w:tcPr>
            <w:tcW w:w="1417" w:type="dxa"/>
            <w:tcBorders>
              <w:top w:val="single" w:color="000000" w:sz="4" w:space="0"/>
              <w:left w:val="single" w:color="000000" w:sz="4" w:space="0"/>
              <w:bottom w:val="single" w:color="000000" w:sz="4" w:space="0"/>
              <w:right w:val="single" w:color="000000" w:sz="4" w:space="0"/>
            </w:tcBorders>
            <w:vAlign w:val="center"/>
          </w:tcPr>
          <w:p w14:paraId="1D028119">
            <w:pPr>
              <w:spacing w:line="360" w:lineRule="exact"/>
              <w:jc w:val="center"/>
              <w:rPr>
                <w:rFonts w:hint="eastAsia" w:ascii="宋体" w:hAnsi="宋体" w:cs="宋体"/>
                <w:color w:val="auto"/>
                <w:sz w:val="24"/>
                <w:highlight w:val="none"/>
              </w:rPr>
            </w:pPr>
            <w:r>
              <w:rPr>
                <w:rFonts w:hint="eastAsia" w:ascii="宋体" w:hAnsi="宋体" w:cs="宋体"/>
                <w:color w:val="auto"/>
                <w:sz w:val="24"/>
                <w:highlight w:val="none"/>
              </w:rPr>
              <w:t>18.7104</w:t>
            </w:r>
          </w:p>
        </w:tc>
      </w:tr>
      <w:tr w14:paraId="05C49AEA">
        <w:tblPrEx>
          <w:tblCellMar>
            <w:top w:w="0" w:type="dxa"/>
            <w:left w:w="108" w:type="dxa"/>
            <w:bottom w:w="0" w:type="dxa"/>
            <w:right w:w="108" w:type="dxa"/>
          </w:tblCellMar>
        </w:tblPrEx>
        <w:trPr>
          <w:trHeight w:val="90" w:hRule="atLeast"/>
          <w:jc w:val="center"/>
        </w:trPr>
        <w:tc>
          <w:tcPr>
            <w:tcW w:w="1094" w:type="dxa"/>
            <w:tcBorders>
              <w:top w:val="single" w:color="000000" w:sz="4" w:space="0"/>
              <w:left w:val="single" w:color="000000" w:sz="4" w:space="0"/>
              <w:bottom w:val="single" w:color="000000" w:sz="4" w:space="0"/>
              <w:right w:val="single" w:color="000000" w:sz="4" w:space="0"/>
            </w:tcBorders>
            <w:vAlign w:val="center"/>
          </w:tcPr>
          <w:p w14:paraId="103AE2B0">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4</w:t>
            </w:r>
          </w:p>
        </w:tc>
        <w:tc>
          <w:tcPr>
            <w:tcW w:w="2098" w:type="dxa"/>
            <w:tcBorders>
              <w:top w:val="single" w:color="000000" w:sz="4" w:space="0"/>
              <w:left w:val="single" w:color="000000" w:sz="4" w:space="0"/>
              <w:bottom w:val="single" w:color="000000" w:sz="4" w:space="0"/>
              <w:right w:val="single" w:color="000000" w:sz="4" w:space="0"/>
            </w:tcBorders>
            <w:vAlign w:val="center"/>
          </w:tcPr>
          <w:p w14:paraId="6EB25A02">
            <w:pPr>
              <w:spacing w:line="400" w:lineRule="exact"/>
              <w:jc w:val="center"/>
              <w:rPr>
                <w:rFonts w:hint="eastAsia" w:ascii="宋体" w:hAnsi="宋体" w:cs="宋体"/>
                <w:color w:val="auto"/>
                <w:kern w:val="0"/>
                <w:sz w:val="24"/>
                <w:highlight w:val="none"/>
              </w:rPr>
            </w:pPr>
            <w:r>
              <w:rPr>
                <w:rFonts w:hint="eastAsia" w:ascii="宋体" w:hAnsi="宋体" w:cs="宋体"/>
                <w:color w:val="auto"/>
                <w:sz w:val="24"/>
                <w:highlight w:val="none"/>
              </w:rPr>
              <w:t>光分路器</w:t>
            </w:r>
          </w:p>
        </w:tc>
        <w:tc>
          <w:tcPr>
            <w:tcW w:w="1125" w:type="dxa"/>
            <w:tcBorders>
              <w:top w:val="single" w:color="000000" w:sz="4" w:space="0"/>
              <w:left w:val="single" w:color="000000" w:sz="4" w:space="0"/>
              <w:bottom w:val="single" w:color="000000" w:sz="4" w:space="0"/>
              <w:right w:val="single" w:color="000000" w:sz="4" w:space="0"/>
            </w:tcBorders>
            <w:vAlign w:val="center"/>
          </w:tcPr>
          <w:p w14:paraId="07A76E8A">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21</w:t>
            </w:r>
          </w:p>
        </w:tc>
        <w:tc>
          <w:tcPr>
            <w:tcW w:w="930" w:type="dxa"/>
            <w:tcBorders>
              <w:top w:val="single" w:color="000000" w:sz="4" w:space="0"/>
              <w:left w:val="single" w:color="000000" w:sz="4" w:space="0"/>
              <w:bottom w:val="single" w:color="000000" w:sz="4" w:space="0"/>
              <w:right w:val="single" w:color="000000" w:sz="4" w:space="0"/>
            </w:tcBorders>
            <w:vAlign w:val="center"/>
          </w:tcPr>
          <w:p w14:paraId="5E8F6492">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个</w:t>
            </w:r>
          </w:p>
        </w:tc>
        <w:tc>
          <w:tcPr>
            <w:tcW w:w="1759" w:type="dxa"/>
            <w:tcBorders>
              <w:top w:val="single" w:color="000000" w:sz="4" w:space="0"/>
              <w:left w:val="single" w:color="000000" w:sz="4" w:space="0"/>
              <w:bottom w:val="single" w:color="000000" w:sz="4" w:space="0"/>
              <w:right w:val="single" w:color="000000" w:sz="4" w:space="0"/>
            </w:tcBorders>
            <w:vAlign w:val="center"/>
          </w:tcPr>
          <w:p w14:paraId="67B70793">
            <w:pPr>
              <w:jc w:val="center"/>
              <w:rPr>
                <w:rFonts w:hint="eastAsia" w:ascii="宋体" w:hAnsi="宋体" w:cs="宋体"/>
                <w:color w:val="auto"/>
                <w:sz w:val="24"/>
                <w:highlight w:val="none"/>
              </w:rPr>
            </w:pPr>
            <w:r>
              <w:rPr>
                <w:rFonts w:hint="eastAsia" w:ascii="宋体" w:hAnsi="宋体" w:cs="宋体"/>
                <w:color w:val="auto"/>
                <w:sz w:val="24"/>
                <w:highlight w:val="none"/>
              </w:rPr>
              <w:t>详见采购需求</w:t>
            </w:r>
          </w:p>
        </w:tc>
        <w:tc>
          <w:tcPr>
            <w:tcW w:w="1417" w:type="dxa"/>
            <w:tcBorders>
              <w:top w:val="single" w:color="000000" w:sz="4" w:space="0"/>
              <w:left w:val="single" w:color="000000" w:sz="4" w:space="0"/>
              <w:bottom w:val="single" w:color="000000" w:sz="4" w:space="0"/>
              <w:right w:val="single" w:color="000000" w:sz="4" w:space="0"/>
            </w:tcBorders>
            <w:vAlign w:val="center"/>
          </w:tcPr>
          <w:p w14:paraId="5E513F74">
            <w:pPr>
              <w:spacing w:line="360" w:lineRule="exact"/>
              <w:jc w:val="center"/>
              <w:rPr>
                <w:rFonts w:hint="eastAsia" w:ascii="宋体" w:hAnsi="宋体" w:cs="宋体"/>
                <w:color w:val="auto"/>
                <w:sz w:val="24"/>
                <w:highlight w:val="none"/>
              </w:rPr>
            </w:pPr>
            <w:r>
              <w:rPr>
                <w:rFonts w:hint="eastAsia" w:ascii="宋体" w:hAnsi="宋体" w:cs="宋体"/>
                <w:color w:val="auto"/>
                <w:sz w:val="24"/>
                <w:highlight w:val="none"/>
              </w:rPr>
              <w:t>0.097</w:t>
            </w:r>
          </w:p>
        </w:tc>
        <w:tc>
          <w:tcPr>
            <w:tcW w:w="1417" w:type="dxa"/>
            <w:tcBorders>
              <w:top w:val="single" w:color="000000" w:sz="4" w:space="0"/>
              <w:left w:val="single" w:color="000000" w:sz="4" w:space="0"/>
              <w:bottom w:val="single" w:color="000000" w:sz="4" w:space="0"/>
              <w:right w:val="single" w:color="000000" w:sz="4" w:space="0"/>
            </w:tcBorders>
            <w:vAlign w:val="center"/>
          </w:tcPr>
          <w:p w14:paraId="5A6FADAA">
            <w:pPr>
              <w:spacing w:line="360" w:lineRule="exact"/>
              <w:jc w:val="center"/>
              <w:rPr>
                <w:rFonts w:hint="eastAsia" w:ascii="宋体" w:hAnsi="宋体" w:cs="宋体"/>
                <w:color w:val="auto"/>
                <w:sz w:val="24"/>
                <w:highlight w:val="none"/>
              </w:rPr>
            </w:pPr>
            <w:r>
              <w:rPr>
                <w:rFonts w:hint="eastAsia" w:ascii="宋体" w:hAnsi="宋体" w:cs="宋体"/>
                <w:color w:val="auto"/>
                <w:sz w:val="24"/>
                <w:highlight w:val="none"/>
              </w:rPr>
              <w:t>2.037</w:t>
            </w:r>
          </w:p>
        </w:tc>
      </w:tr>
      <w:tr w14:paraId="167D471F">
        <w:tblPrEx>
          <w:tblCellMar>
            <w:top w:w="0" w:type="dxa"/>
            <w:left w:w="108" w:type="dxa"/>
            <w:bottom w:w="0" w:type="dxa"/>
            <w:right w:w="108" w:type="dxa"/>
          </w:tblCellMar>
        </w:tblPrEx>
        <w:trPr>
          <w:trHeight w:val="90" w:hRule="atLeast"/>
          <w:jc w:val="center"/>
        </w:trPr>
        <w:tc>
          <w:tcPr>
            <w:tcW w:w="1094" w:type="dxa"/>
            <w:tcBorders>
              <w:top w:val="single" w:color="000000" w:sz="4" w:space="0"/>
              <w:left w:val="single" w:color="000000" w:sz="4" w:space="0"/>
              <w:bottom w:val="single" w:color="000000" w:sz="4" w:space="0"/>
              <w:right w:val="single" w:color="000000" w:sz="4" w:space="0"/>
            </w:tcBorders>
            <w:vAlign w:val="center"/>
          </w:tcPr>
          <w:p w14:paraId="78220431">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5</w:t>
            </w:r>
          </w:p>
        </w:tc>
        <w:tc>
          <w:tcPr>
            <w:tcW w:w="2098" w:type="dxa"/>
            <w:tcBorders>
              <w:top w:val="single" w:color="000000" w:sz="4" w:space="0"/>
              <w:left w:val="single" w:color="000000" w:sz="4" w:space="0"/>
              <w:bottom w:val="single" w:color="000000" w:sz="4" w:space="0"/>
              <w:right w:val="single" w:color="000000" w:sz="4" w:space="0"/>
            </w:tcBorders>
            <w:vAlign w:val="center"/>
          </w:tcPr>
          <w:p w14:paraId="0CB882F1">
            <w:pPr>
              <w:spacing w:line="400" w:lineRule="exact"/>
              <w:jc w:val="center"/>
              <w:rPr>
                <w:rFonts w:hint="eastAsia" w:ascii="宋体" w:hAnsi="宋体" w:cs="宋体"/>
                <w:color w:val="auto"/>
                <w:kern w:val="0"/>
                <w:sz w:val="24"/>
                <w:highlight w:val="none"/>
              </w:rPr>
            </w:pPr>
            <w:r>
              <w:rPr>
                <w:rFonts w:hint="eastAsia" w:ascii="宋体" w:hAnsi="宋体" w:cs="宋体"/>
                <w:color w:val="auto"/>
                <w:sz w:val="24"/>
                <w:highlight w:val="none"/>
              </w:rPr>
              <w:t>皮线光缆</w:t>
            </w:r>
          </w:p>
        </w:tc>
        <w:tc>
          <w:tcPr>
            <w:tcW w:w="1125" w:type="dxa"/>
            <w:tcBorders>
              <w:top w:val="single" w:color="000000" w:sz="4" w:space="0"/>
              <w:left w:val="single" w:color="000000" w:sz="4" w:space="0"/>
              <w:bottom w:val="single" w:color="000000" w:sz="4" w:space="0"/>
              <w:right w:val="single" w:color="000000" w:sz="4" w:space="0"/>
            </w:tcBorders>
            <w:vAlign w:val="center"/>
          </w:tcPr>
          <w:p w14:paraId="172EA74E">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39000</w:t>
            </w:r>
          </w:p>
        </w:tc>
        <w:tc>
          <w:tcPr>
            <w:tcW w:w="930" w:type="dxa"/>
            <w:tcBorders>
              <w:top w:val="single" w:color="000000" w:sz="4" w:space="0"/>
              <w:left w:val="single" w:color="000000" w:sz="4" w:space="0"/>
              <w:bottom w:val="single" w:color="000000" w:sz="4" w:space="0"/>
              <w:right w:val="single" w:color="000000" w:sz="4" w:space="0"/>
            </w:tcBorders>
            <w:vAlign w:val="center"/>
          </w:tcPr>
          <w:p w14:paraId="0F965E55">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米</w:t>
            </w:r>
          </w:p>
        </w:tc>
        <w:tc>
          <w:tcPr>
            <w:tcW w:w="1759" w:type="dxa"/>
            <w:tcBorders>
              <w:top w:val="single" w:color="000000" w:sz="4" w:space="0"/>
              <w:left w:val="single" w:color="000000" w:sz="4" w:space="0"/>
              <w:bottom w:val="single" w:color="000000" w:sz="4" w:space="0"/>
              <w:right w:val="single" w:color="000000" w:sz="4" w:space="0"/>
            </w:tcBorders>
            <w:vAlign w:val="center"/>
          </w:tcPr>
          <w:p w14:paraId="4AED2819">
            <w:pPr>
              <w:jc w:val="center"/>
              <w:rPr>
                <w:rFonts w:hint="eastAsia" w:ascii="宋体" w:hAnsi="宋体" w:cs="宋体"/>
                <w:color w:val="auto"/>
                <w:sz w:val="24"/>
                <w:highlight w:val="none"/>
              </w:rPr>
            </w:pPr>
            <w:r>
              <w:rPr>
                <w:rFonts w:hint="eastAsia" w:ascii="宋体" w:hAnsi="宋体" w:cs="宋体"/>
                <w:color w:val="auto"/>
                <w:sz w:val="24"/>
                <w:highlight w:val="none"/>
              </w:rPr>
              <w:t>详见采购需求</w:t>
            </w:r>
          </w:p>
        </w:tc>
        <w:tc>
          <w:tcPr>
            <w:tcW w:w="1417" w:type="dxa"/>
            <w:tcBorders>
              <w:top w:val="single" w:color="000000" w:sz="4" w:space="0"/>
              <w:left w:val="single" w:color="000000" w:sz="4" w:space="0"/>
              <w:bottom w:val="single" w:color="000000" w:sz="4" w:space="0"/>
              <w:right w:val="single" w:color="000000" w:sz="4" w:space="0"/>
            </w:tcBorders>
            <w:vAlign w:val="center"/>
          </w:tcPr>
          <w:p w14:paraId="6993F6EC">
            <w:pPr>
              <w:spacing w:line="360" w:lineRule="exact"/>
              <w:jc w:val="center"/>
              <w:rPr>
                <w:rFonts w:hint="eastAsia" w:ascii="宋体" w:hAnsi="宋体" w:cs="宋体"/>
                <w:color w:val="auto"/>
                <w:sz w:val="24"/>
                <w:highlight w:val="none"/>
              </w:rPr>
            </w:pPr>
            <w:r>
              <w:rPr>
                <w:rFonts w:hint="eastAsia" w:ascii="宋体" w:hAnsi="宋体" w:cs="宋体"/>
                <w:color w:val="auto"/>
                <w:sz w:val="24"/>
                <w:highlight w:val="none"/>
              </w:rPr>
              <w:t>0.00026</w:t>
            </w:r>
          </w:p>
        </w:tc>
        <w:tc>
          <w:tcPr>
            <w:tcW w:w="1417" w:type="dxa"/>
            <w:tcBorders>
              <w:top w:val="single" w:color="000000" w:sz="4" w:space="0"/>
              <w:left w:val="single" w:color="000000" w:sz="4" w:space="0"/>
              <w:bottom w:val="single" w:color="000000" w:sz="4" w:space="0"/>
              <w:right w:val="single" w:color="000000" w:sz="4" w:space="0"/>
            </w:tcBorders>
            <w:vAlign w:val="center"/>
          </w:tcPr>
          <w:p w14:paraId="513322A5">
            <w:pPr>
              <w:spacing w:line="360" w:lineRule="exact"/>
              <w:jc w:val="center"/>
              <w:rPr>
                <w:rFonts w:hint="eastAsia" w:ascii="宋体" w:hAnsi="宋体" w:cs="宋体"/>
                <w:color w:val="auto"/>
                <w:sz w:val="24"/>
                <w:highlight w:val="none"/>
              </w:rPr>
            </w:pPr>
            <w:r>
              <w:rPr>
                <w:rFonts w:hint="eastAsia" w:ascii="宋体" w:hAnsi="宋体" w:cs="宋体"/>
                <w:color w:val="auto"/>
                <w:sz w:val="24"/>
                <w:highlight w:val="none"/>
              </w:rPr>
              <w:t>10.14</w:t>
            </w:r>
          </w:p>
        </w:tc>
      </w:tr>
      <w:tr w14:paraId="237B7BDC">
        <w:tblPrEx>
          <w:tblCellMar>
            <w:top w:w="0" w:type="dxa"/>
            <w:left w:w="108" w:type="dxa"/>
            <w:bottom w:w="0" w:type="dxa"/>
            <w:right w:w="108" w:type="dxa"/>
          </w:tblCellMar>
        </w:tblPrEx>
        <w:trPr>
          <w:trHeight w:val="90" w:hRule="atLeast"/>
          <w:jc w:val="center"/>
        </w:trPr>
        <w:tc>
          <w:tcPr>
            <w:tcW w:w="1094" w:type="dxa"/>
            <w:tcBorders>
              <w:top w:val="single" w:color="000000" w:sz="4" w:space="0"/>
              <w:left w:val="single" w:color="000000" w:sz="4" w:space="0"/>
              <w:bottom w:val="single" w:color="000000" w:sz="4" w:space="0"/>
              <w:right w:val="single" w:color="000000" w:sz="4" w:space="0"/>
            </w:tcBorders>
            <w:vAlign w:val="center"/>
          </w:tcPr>
          <w:p w14:paraId="4E28B995">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6</w:t>
            </w:r>
          </w:p>
        </w:tc>
        <w:tc>
          <w:tcPr>
            <w:tcW w:w="2098" w:type="dxa"/>
            <w:tcBorders>
              <w:top w:val="single" w:color="000000" w:sz="4" w:space="0"/>
              <w:left w:val="single" w:color="000000" w:sz="4" w:space="0"/>
              <w:bottom w:val="single" w:color="000000" w:sz="4" w:space="0"/>
              <w:right w:val="single" w:color="000000" w:sz="4" w:space="0"/>
            </w:tcBorders>
            <w:vAlign w:val="center"/>
          </w:tcPr>
          <w:p w14:paraId="5302D312">
            <w:pPr>
              <w:spacing w:line="400" w:lineRule="exact"/>
              <w:jc w:val="center"/>
              <w:rPr>
                <w:rFonts w:hint="eastAsia" w:ascii="宋体" w:hAnsi="宋体" w:cs="宋体"/>
                <w:color w:val="auto"/>
                <w:kern w:val="0"/>
                <w:sz w:val="24"/>
                <w:highlight w:val="none"/>
              </w:rPr>
            </w:pPr>
            <w:r>
              <w:rPr>
                <w:rFonts w:hint="eastAsia" w:ascii="宋体" w:hAnsi="宋体" w:cs="宋体"/>
                <w:color w:val="auto"/>
                <w:sz w:val="24"/>
                <w:highlight w:val="none"/>
              </w:rPr>
              <w:t>SC-LC光纤跳线1</w:t>
            </w:r>
          </w:p>
        </w:tc>
        <w:tc>
          <w:tcPr>
            <w:tcW w:w="1125" w:type="dxa"/>
            <w:tcBorders>
              <w:top w:val="single" w:color="000000" w:sz="4" w:space="0"/>
              <w:left w:val="single" w:color="000000" w:sz="4" w:space="0"/>
              <w:bottom w:val="single" w:color="000000" w:sz="4" w:space="0"/>
              <w:right w:val="single" w:color="000000" w:sz="4" w:space="0"/>
            </w:tcBorders>
            <w:vAlign w:val="center"/>
          </w:tcPr>
          <w:p w14:paraId="2DBD09DB">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593</w:t>
            </w:r>
          </w:p>
        </w:tc>
        <w:tc>
          <w:tcPr>
            <w:tcW w:w="930" w:type="dxa"/>
            <w:tcBorders>
              <w:top w:val="single" w:color="000000" w:sz="4" w:space="0"/>
              <w:left w:val="single" w:color="000000" w:sz="4" w:space="0"/>
              <w:bottom w:val="single" w:color="000000" w:sz="4" w:space="0"/>
              <w:right w:val="single" w:color="000000" w:sz="4" w:space="0"/>
            </w:tcBorders>
            <w:vAlign w:val="center"/>
          </w:tcPr>
          <w:p w14:paraId="267BF805">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条</w:t>
            </w:r>
          </w:p>
        </w:tc>
        <w:tc>
          <w:tcPr>
            <w:tcW w:w="1759" w:type="dxa"/>
            <w:tcBorders>
              <w:top w:val="single" w:color="000000" w:sz="4" w:space="0"/>
              <w:left w:val="single" w:color="000000" w:sz="4" w:space="0"/>
              <w:bottom w:val="single" w:color="000000" w:sz="4" w:space="0"/>
              <w:right w:val="single" w:color="000000" w:sz="4" w:space="0"/>
            </w:tcBorders>
            <w:vAlign w:val="center"/>
          </w:tcPr>
          <w:p w14:paraId="1FA4144B">
            <w:pPr>
              <w:jc w:val="center"/>
              <w:rPr>
                <w:rFonts w:hint="eastAsia" w:ascii="宋体" w:hAnsi="宋体" w:cs="宋体"/>
                <w:color w:val="auto"/>
                <w:sz w:val="24"/>
                <w:highlight w:val="none"/>
              </w:rPr>
            </w:pPr>
            <w:r>
              <w:rPr>
                <w:rFonts w:hint="eastAsia" w:ascii="宋体" w:hAnsi="宋体" w:cs="宋体"/>
                <w:color w:val="auto"/>
                <w:sz w:val="24"/>
                <w:highlight w:val="none"/>
              </w:rPr>
              <w:t>详见采购需求</w:t>
            </w:r>
          </w:p>
        </w:tc>
        <w:tc>
          <w:tcPr>
            <w:tcW w:w="1417" w:type="dxa"/>
            <w:tcBorders>
              <w:top w:val="single" w:color="000000" w:sz="4" w:space="0"/>
              <w:left w:val="single" w:color="000000" w:sz="4" w:space="0"/>
              <w:bottom w:val="single" w:color="000000" w:sz="4" w:space="0"/>
              <w:right w:val="single" w:color="000000" w:sz="4" w:space="0"/>
            </w:tcBorders>
            <w:vAlign w:val="center"/>
          </w:tcPr>
          <w:p w14:paraId="0BD74731">
            <w:pPr>
              <w:spacing w:line="360" w:lineRule="exact"/>
              <w:jc w:val="center"/>
              <w:rPr>
                <w:rFonts w:hint="eastAsia" w:ascii="宋体" w:hAnsi="宋体" w:cs="宋体"/>
                <w:color w:val="auto"/>
                <w:sz w:val="24"/>
                <w:highlight w:val="none"/>
              </w:rPr>
            </w:pPr>
            <w:r>
              <w:rPr>
                <w:rFonts w:hint="eastAsia" w:ascii="宋体" w:hAnsi="宋体" w:cs="宋体"/>
                <w:color w:val="auto"/>
                <w:sz w:val="24"/>
                <w:highlight w:val="none"/>
              </w:rPr>
              <w:t>0.0046</w:t>
            </w:r>
          </w:p>
        </w:tc>
        <w:tc>
          <w:tcPr>
            <w:tcW w:w="1417" w:type="dxa"/>
            <w:tcBorders>
              <w:top w:val="single" w:color="000000" w:sz="4" w:space="0"/>
              <w:left w:val="single" w:color="000000" w:sz="4" w:space="0"/>
              <w:bottom w:val="single" w:color="000000" w:sz="4" w:space="0"/>
              <w:right w:val="single" w:color="000000" w:sz="4" w:space="0"/>
            </w:tcBorders>
            <w:vAlign w:val="center"/>
          </w:tcPr>
          <w:p w14:paraId="72BA2973">
            <w:pPr>
              <w:spacing w:line="360" w:lineRule="exact"/>
              <w:jc w:val="center"/>
              <w:rPr>
                <w:rFonts w:hint="eastAsia" w:ascii="宋体" w:hAnsi="宋体" w:cs="宋体"/>
                <w:color w:val="auto"/>
                <w:sz w:val="24"/>
                <w:highlight w:val="none"/>
              </w:rPr>
            </w:pPr>
            <w:r>
              <w:rPr>
                <w:rFonts w:hint="eastAsia" w:ascii="宋体" w:hAnsi="宋体" w:cs="宋体"/>
                <w:color w:val="auto"/>
                <w:sz w:val="24"/>
                <w:highlight w:val="none"/>
              </w:rPr>
              <w:t>2.7278</w:t>
            </w:r>
          </w:p>
        </w:tc>
      </w:tr>
      <w:tr w14:paraId="066A3F93">
        <w:tblPrEx>
          <w:tblCellMar>
            <w:top w:w="0" w:type="dxa"/>
            <w:left w:w="108" w:type="dxa"/>
            <w:bottom w:w="0" w:type="dxa"/>
            <w:right w:w="108" w:type="dxa"/>
          </w:tblCellMar>
        </w:tblPrEx>
        <w:trPr>
          <w:trHeight w:val="90" w:hRule="atLeast"/>
          <w:jc w:val="center"/>
        </w:trPr>
        <w:tc>
          <w:tcPr>
            <w:tcW w:w="1094" w:type="dxa"/>
            <w:tcBorders>
              <w:top w:val="single" w:color="000000" w:sz="4" w:space="0"/>
              <w:left w:val="single" w:color="000000" w:sz="4" w:space="0"/>
              <w:bottom w:val="single" w:color="000000" w:sz="4" w:space="0"/>
              <w:right w:val="single" w:color="000000" w:sz="4" w:space="0"/>
            </w:tcBorders>
            <w:vAlign w:val="center"/>
          </w:tcPr>
          <w:p w14:paraId="5B629367">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7</w:t>
            </w:r>
          </w:p>
        </w:tc>
        <w:tc>
          <w:tcPr>
            <w:tcW w:w="2098" w:type="dxa"/>
            <w:tcBorders>
              <w:top w:val="single" w:color="000000" w:sz="4" w:space="0"/>
              <w:left w:val="single" w:color="000000" w:sz="4" w:space="0"/>
              <w:bottom w:val="single" w:color="000000" w:sz="4" w:space="0"/>
              <w:right w:val="single" w:color="000000" w:sz="4" w:space="0"/>
            </w:tcBorders>
            <w:vAlign w:val="center"/>
          </w:tcPr>
          <w:p w14:paraId="1EFB3DFF">
            <w:pPr>
              <w:spacing w:line="400" w:lineRule="exact"/>
              <w:jc w:val="center"/>
              <w:rPr>
                <w:rFonts w:hint="eastAsia" w:ascii="宋体" w:hAnsi="宋体" w:cs="宋体"/>
                <w:color w:val="auto"/>
                <w:kern w:val="0"/>
                <w:sz w:val="24"/>
                <w:highlight w:val="none"/>
              </w:rPr>
            </w:pPr>
            <w:r>
              <w:rPr>
                <w:rFonts w:hint="eastAsia" w:ascii="宋体" w:hAnsi="宋体" w:cs="宋体"/>
                <w:color w:val="auto"/>
                <w:sz w:val="24"/>
                <w:highlight w:val="none"/>
              </w:rPr>
              <w:t>SC-LC光纤跳线2</w:t>
            </w:r>
          </w:p>
        </w:tc>
        <w:tc>
          <w:tcPr>
            <w:tcW w:w="1125" w:type="dxa"/>
            <w:tcBorders>
              <w:top w:val="single" w:color="000000" w:sz="4" w:space="0"/>
              <w:left w:val="single" w:color="000000" w:sz="4" w:space="0"/>
              <w:bottom w:val="single" w:color="000000" w:sz="4" w:space="0"/>
              <w:right w:val="single" w:color="000000" w:sz="4" w:space="0"/>
            </w:tcBorders>
            <w:vAlign w:val="center"/>
          </w:tcPr>
          <w:p w14:paraId="6D687175">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21</w:t>
            </w:r>
          </w:p>
        </w:tc>
        <w:tc>
          <w:tcPr>
            <w:tcW w:w="930" w:type="dxa"/>
            <w:tcBorders>
              <w:top w:val="single" w:color="000000" w:sz="4" w:space="0"/>
              <w:left w:val="single" w:color="000000" w:sz="4" w:space="0"/>
              <w:bottom w:val="single" w:color="000000" w:sz="4" w:space="0"/>
              <w:right w:val="single" w:color="000000" w:sz="4" w:space="0"/>
            </w:tcBorders>
            <w:vAlign w:val="center"/>
          </w:tcPr>
          <w:p w14:paraId="238FB828">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条</w:t>
            </w:r>
          </w:p>
        </w:tc>
        <w:tc>
          <w:tcPr>
            <w:tcW w:w="1759" w:type="dxa"/>
            <w:tcBorders>
              <w:top w:val="single" w:color="000000" w:sz="4" w:space="0"/>
              <w:left w:val="single" w:color="000000" w:sz="4" w:space="0"/>
              <w:bottom w:val="single" w:color="000000" w:sz="4" w:space="0"/>
              <w:right w:val="single" w:color="000000" w:sz="4" w:space="0"/>
            </w:tcBorders>
            <w:vAlign w:val="center"/>
          </w:tcPr>
          <w:p w14:paraId="4F1DD7DE">
            <w:pPr>
              <w:jc w:val="center"/>
              <w:rPr>
                <w:rFonts w:hint="eastAsia" w:ascii="宋体" w:hAnsi="宋体" w:cs="宋体"/>
                <w:color w:val="auto"/>
                <w:sz w:val="24"/>
                <w:highlight w:val="none"/>
              </w:rPr>
            </w:pPr>
            <w:r>
              <w:rPr>
                <w:rFonts w:hint="eastAsia" w:ascii="宋体" w:hAnsi="宋体" w:cs="宋体"/>
                <w:color w:val="auto"/>
                <w:sz w:val="24"/>
                <w:highlight w:val="none"/>
              </w:rPr>
              <w:t>详见采购需求</w:t>
            </w:r>
          </w:p>
        </w:tc>
        <w:tc>
          <w:tcPr>
            <w:tcW w:w="1417" w:type="dxa"/>
            <w:tcBorders>
              <w:top w:val="single" w:color="000000" w:sz="4" w:space="0"/>
              <w:left w:val="single" w:color="000000" w:sz="4" w:space="0"/>
              <w:bottom w:val="single" w:color="000000" w:sz="4" w:space="0"/>
              <w:right w:val="single" w:color="000000" w:sz="4" w:space="0"/>
            </w:tcBorders>
            <w:vAlign w:val="center"/>
          </w:tcPr>
          <w:p w14:paraId="49A31D2F">
            <w:pPr>
              <w:spacing w:line="360" w:lineRule="exact"/>
              <w:jc w:val="center"/>
              <w:rPr>
                <w:rFonts w:hint="eastAsia" w:ascii="宋体" w:hAnsi="宋体" w:cs="宋体"/>
                <w:color w:val="auto"/>
                <w:sz w:val="24"/>
                <w:highlight w:val="none"/>
              </w:rPr>
            </w:pPr>
            <w:r>
              <w:rPr>
                <w:rFonts w:hint="eastAsia" w:ascii="宋体" w:hAnsi="宋体" w:cs="宋体"/>
                <w:color w:val="auto"/>
                <w:sz w:val="24"/>
                <w:highlight w:val="none"/>
              </w:rPr>
              <w:t>0.009</w:t>
            </w:r>
          </w:p>
        </w:tc>
        <w:tc>
          <w:tcPr>
            <w:tcW w:w="1417" w:type="dxa"/>
            <w:tcBorders>
              <w:top w:val="single" w:color="000000" w:sz="4" w:space="0"/>
              <w:left w:val="single" w:color="000000" w:sz="4" w:space="0"/>
              <w:bottom w:val="single" w:color="000000" w:sz="4" w:space="0"/>
              <w:right w:val="single" w:color="000000" w:sz="4" w:space="0"/>
            </w:tcBorders>
            <w:vAlign w:val="center"/>
          </w:tcPr>
          <w:p w14:paraId="30BCE2EA">
            <w:pPr>
              <w:spacing w:line="360" w:lineRule="exact"/>
              <w:jc w:val="center"/>
              <w:rPr>
                <w:rFonts w:hint="eastAsia" w:ascii="宋体" w:hAnsi="宋体" w:cs="宋体"/>
                <w:color w:val="auto"/>
                <w:sz w:val="24"/>
                <w:highlight w:val="none"/>
              </w:rPr>
            </w:pPr>
            <w:r>
              <w:rPr>
                <w:rFonts w:hint="eastAsia" w:ascii="宋体" w:hAnsi="宋体" w:cs="宋体"/>
                <w:color w:val="auto"/>
                <w:sz w:val="24"/>
                <w:highlight w:val="none"/>
              </w:rPr>
              <w:t>0.189</w:t>
            </w:r>
          </w:p>
        </w:tc>
      </w:tr>
      <w:tr w14:paraId="1A2FDD70">
        <w:tblPrEx>
          <w:tblCellMar>
            <w:top w:w="0" w:type="dxa"/>
            <w:left w:w="108" w:type="dxa"/>
            <w:bottom w:w="0" w:type="dxa"/>
            <w:right w:w="108" w:type="dxa"/>
          </w:tblCellMar>
        </w:tblPrEx>
        <w:trPr>
          <w:trHeight w:val="90" w:hRule="atLeast"/>
          <w:jc w:val="center"/>
        </w:trPr>
        <w:tc>
          <w:tcPr>
            <w:tcW w:w="1094" w:type="dxa"/>
            <w:tcBorders>
              <w:top w:val="single" w:color="000000" w:sz="4" w:space="0"/>
              <w:left w:val="single" w:color="000000" w:sz="4" w:space="0"/>
              <w:bottom w:val="single" w:color="000000" w:sz="4" w:space="0"/>
              <w:right w:val="single" w:color="000000" w:sz="4" w:space="0"/>
            </w:tcBorders>
            <w:vAlign w:val="center"/>
          </w:tcPr>
          <w:p w14:paraId="5A70B9DF">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8</w:t>
            </w:r>
          </w:p>
        </w:tc>
        <w:tc>
          <w:tcPr>
            <w:tcW w:w="2098" w:type="dxa"/>
            <w:tcBorders>
              <w:top w:val="single" w:color="000000" w:sz="4" w:space="0"/>
              <w:left w:val="single" w:color="000000" w:sz="4" w:space="0"/>
              <w:bottom w:val="single" w:color="000000" w:sz="4" w:space="0"/>
              <w:right w:val="single" w:color="000000" w:sz="4" w:space="0"/>
            </w:tcBorders>
            <w:vAlign w:val="center"/>
          </w:tcPr>
          <w:p w14:paraId="553FD631">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FC-FC光纤跳线</w:t>
            </w:r>
          </w:p>
        </w:tc>
        <w:tc>
          <w:tcPr>
            <w:tcW w:w="1125" w:type="dxa"/>
            <w:tcBorders>
              <w:top w:val="single" w:color="000000" w:sz="4" w:space="0"/>
              <w:left w:val="single" w:color="000000" w:sz="4" w:space="0"/>
              <w:bottom w:val="single" w:color="000000" w:sz="4" w:space="0"/>
              <w:right w:val="single" w:color="000000" w:sz="4" w:space="0"/>
            </w:tcBorders>
            <w:vAlign w:val="center"/>
          </w:tcPr>
          <w:p w14:paraId="0BD41B55">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21</w:t>
            </w:r>
          </w:p>
        </w:tc>
        <w:tc>
          <w:tcPr>
            <w:tcW w:w="930" w:type="dxa"/>
            <w:tcBorders>
              <w:top w:val="single" w:color="000000" w:sz="4" w:space="0"/>
              <w:left w:val="single" w:color="000000" w:sz="4" w:space="0"/>
              <w:bottom w:val="single" w:color="000000" w:sz="4" w:space="0"/>
              <w:right w:val="single" w:color="000000" w:sz="4" w:space="0"/>
            </w:tcBorders>
            <w:vAlign w:val="center"/>
          </w:tcPr>
          <w:p w14:paraId="49BC7C83">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条</w:t>
            </w:r>
          </w:p>
        </w:tc>
        <w:tc>
          <w:tcPr>
            <w:tcW w:w="1759" w:type="dxa"/>
            <w:tcBorders>
              <w:top w:val="single" w:color="000000" w:sz="4" w:space="0"/>
              <w:left w:val="single" w:color="000000" w:sz="4" w:space="0"/>
              <w:bottom w:val="single" w:color="000000" w:sz="4" w:space="0"/>
              <w:right w:val="single" w:color="000000" w:sz="4" w:space="0"/>
            </w:tcBorders>
            <w:vAlign w:val="center"/>
          </w:tcPr>
          <w:p w14:paraId="1EDC256E">
            <w:pPr>
              <w:jc w:val="center"/>
              <w:rPr>
                <w:rFonts w:hint="eastAsia" w:ascii="宋体" w:hAnsi="宋体" w:cs="宋体"/>
                <w:color w:val="auto"/>
                <w:sz w:val="24"/>
                <w:highlight w:val="none"/>
              </w:rPr>
            </w:pPr>
            <w:r>
              <w:rPr>
                <w:rFonts w:hint="eastAsia" w:ascii="宋体" w:hAnsi="宋体" w:cs="宋体"/>
                <w:color w:val="auto"/>
                <w:sz w:val="24"/>
                <w:highlight w:val="none"/>
              </w:rPr>
              <w:t>详见采购需求</w:t>
            </w:r>
          </w:p>
        </w:tc>
        <w:tc>
          <w:tcPr>
            <w:tcW w:w="1417" w:type="dxa"/>
            <w:tcBorders>
              <w:top w:val="single" w:color="000000" w:sz="4" w:space="0"/>
              <w:left w:val="single" w:color="000000" w:sz="4" w:space="0"/>
              <w:bottom w:val="single" w:color="000000" w:sz="4" w:space="0"/>
              <w:right w:val="single" w:color="000000" w:sz="4" w:space="0"/>
            </w:tcBorders>
            <w:vAlign w:val="center"/>
          </w:tcPr>
          <w:p w14:paraId="72F5A2D4">
            <w:pPr>
              <w:spacing w:line="360" w:lineRule="exact"/>
              <w:jc w:val="center"/>
              <w:rPr>
                <w:rFonts w:hint="eastAsia" w:ascii="宋体" w:hAnsi="宋体" w:cs="宋体"/>
                <w:color w:val="auto"/>
                <w:sz w:val="24"/>
                <w:highlight w:val="none"/>
              </w:rPr>
            </w:pPr>
            <w:r>
              <w:rPr>
                <w:rFonts w:hint="eastAsia" w:ascii="宋体" w:hAnsi="宋体" w:cs="宋体"/>
                <w:color w:val="auto"/>
                <w:sz w:val="24"/>
                <w:highlight w:val="none"/>
              </w:rPr>
              <w:t>0.005</w:t>
            </w:r>
          </w:p>
        </w:tc>
        <w:tc>
          <w:tcPr>
            <w:tcW w:w="1417" w:type="dxa"/>
            <w:tcBorders>
              <w:top w:val="single" w:color="000000" w:sz="4" w:space="0"/>
              <w:left w:val="single" w:color="000000" w:sz="4" w:space="0"/>
              <w:bottom w:val="single" w:color="000000" w:sz="4" w:space="0"/>
              <w:right w:val="single" w:color="000000" w:sz="4" w:space="0"/>
            </w:tcBorders>
            <w:vAlign w:val="center"/>
          </w:tcPr>
          <w:p w14:paraId="1A2202AD">
            <w:pPr>
              <w:spacing w:line="360" w:lineRule="exact"/>
              <w:jc w:val="center"/>
              <w:rPr>
                <w:rFonts w:hint="eastAsia" w:ascii="宋体" w:hAnsi="宋体" w:cs="宋体"/>
                <w:color w:val="auto"/>
                <w:sz w:val="24"/>
                <w:highlight w:val="none"/>
              </w:rPr>
            </w:pPr>
            <w:r>
              <w:rPr>
                <w:rFonts w:hint="eastAsia" w:ascii="宋体" w:hAnsi="宋体" w:cs="宋体"/>
                <w:color w:val="auto"/>
                <w:sz w:val="24"/>
                <w:highlight w:val="none"/>
              </w:rPr>
              <w:t>0.105</w:t>
            </w:r>
          </w:p>
        </w:tc>
      </w:tr>
      <w:tr w14:paraId="2F20E8C2">
        <w:tblPrEx>
          <w:tblCellMar>
            <w:top w:w="0" w:type="dxa"/>
            <w:left w:w="108" w:type="dxa"/>
            <w:bottom w:w="0" w:type="dxa"/>
            <w:right w:w="108" w:type="dxa"/>
          </w:tblCellMar>
        </w:tblPrEx>
        <w:trPr>
          <w:trHeight w:val="90" w:hRule="atLeast"/>
          <w:jc w:val="center"/>
        </w:trPr>
        <w:tc>
          <w:tcPr>
            <w:tcW w:w="1094" w:type="dxa"/>
            <w:tcBorders>
              <w:top w:val="single" w:color="000000" w:sz="4" w:space="0"/>
              <w:left w:val="single" w:color="000000" w:sz="4" w:space="0"/>
              <w:bottom w:val="single" w:color="000000" w:sz="4" w:space="0"/>
              <w:right w:val="single" w:color="000000" w:sz="4" w:space="0"/>
            </w:tcBorders>
            <w:vAlign w:val="center"/>
          </w:tcPr>
          <w:p w14:paraId="69A8BF1B">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9</w:t>
            </w:r>
          </w:p>
        </w:tc>
        <w:tc>
          <w:tcPr>
            <w:tcW w:w="2098" w:type="dxa"/>
            <w:tcBorders>
              <w:top w:val="single" w:color="000000" w:sz="4" w:space="0"/>
              <w:left w:val="single" w:color="000000" w:sz="4" w:space="0"/>
              <w:bottom w:val="single" w:color="000000" w:sz="4" w:space="0"/>
              <w:right w:val="single" w:color="000000" w:sz="4" w:space="0"/>
            </w:tcBorders>
            <w:vAlign w:val="center"/>
          </w:tcPr>
          <w:p w14:paraId="4EB3F358">
            <w:pPr>
              <w:spacing w:line="400" w:lineRule="exact"/>
              <w:jc w:val="center"/>
              <w:rPr>
                <w:rFonts w:hint="eastAsia" w:ascii="宋体" w:hAnsi="宋体" w:cs="宋体"/>
                <w:color w:val="auto"/>
                <w:kern w:val="0"/>
                <w:sz w:val="24"/>
                <w:highlight w:val="none"/>
              </w:rPr>
            </w:pPr>
            <w:r>
              <w:rPr>
                <w:rFonts w:hint="eastAsia" w:ascii="宋体" w:hAnsi="宋体" w:cs="宋体"/>
                <w:color w:val="auto"/>
                <w:sz w:val="24"/>
                <w:highlight w:val="none"/>
              </w:rPr>
              <w:t>FC-SC光纤跳线</w:t>
            </w:r>
          </w:p>
        </w:tc>
        <w:tc>
          <w:tcPr>
            <w:tcW w:w="1125" w:type="dxa"/>
            <w:tcBorders>
              <w:top w:val="single" w:color="000000" w:sz="4" w:space="0"/>
              <w:left w:val="single" w:color="000000" w:sz="4" w:space="0"/>
              <w:bottom w:val="single" w:color="000000" w:sz="4" w:space="0"/>
              <w:right w:val="single" w:color="000000" w:sz="4" w:space="0"/>
            </w:tcBorders>
            <w:vAlign w:val="center"/>
          </w:tcPr>
          <w:p w14:paraId="2134EA6A">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21</w:t>
            </w:r>
          </w:p>
        </w:tc>
        <w:tc>
          <w:tcPr>
            <w:tcW w:w="930" w:type="dxa"/>
            <w:tcBorders>
              <w:top w:val="single" w:color="000000" w:sz="4" w:space="0"/>
              <w:left w:val="single" w:color="000000" w:sz="4" w:space="0"/>
              <w:bottom w:val="single" w:color="000000" w:sz="4" w:space="0"/>
              <w:right w:val="single" w:color="000000" w:sz="4" w:space="0"/>
            </w:tcBorders>
            <w:vAlign w:val="center"/>
          </w:tcPr>
          <w:p w14:paraId="2C5F4A60">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条</w:t>
            </w:r>
          </w:p>
        </w:tc>
        <w:tc>
          <w:tcPr>
            <w:tcW w:w="1759" w:type="dxa"/>
            <w:tcBorders>
              <w:top w:val="single" w:color="000000" w:sz="4" w:space="0"/>
              <w:left w:val="single" w:color="000000" w:sz="4" w:space="0"/>
              <w:bottom w:val="single" w:color="000000" w:sz="4" w:space="0"/>
              <w:right w:val="single" w:color="000000" w:sz="4" w:space="0"/>
            </w:tcBorders>
            <w:vAlign w:val="center"/>
          </w:tcPr>
          <w:p w14:paraId="3CD425FC">
            <w:pPr>
              <w:jc w:val="center"/>
              <w:rPr>
                <w:rFonts w:hint="eastAsia" w:ascii="宋体" w:hAnsi="宋体" w:cs="宋体"/>
                <w:color w:val="auto"/>
                <w:sz w:val="24"/>
                <w:highlight w:val="none"/>
              </w:rPr>
            </w:pPr>
            <w:r>
              <w:rPr>
                <w:rFonts w:hint="eastAsia" w:ascii="宋体" w:hAnsi="宋体" w:cs="宋体"/>
                <w:color w:val="auto"/>
                <w:sz w:val="24"/>
                <w:highlight w:val="none"/>
              </w:rPr>
              <w:t>详见采购需求</w:t>
            </w:r>
          </w:p>
        </w:tc>
        <w:tc>
          <w:tcPr>
            <w:tcW w:w="1417" w:type="dxa"/>
            <w:tcBorders>
              <w:top w:val="single" w:color="000000" w:sz="4" w:space="0"/>
              <w:left w:val="single" w:color="000000" w:sz="4" w:space="0"/>
              <w:bottom w:val="single" w:color="000000" w:sz="4" w:space="0"/>
              <w:right w:val="single" w:color="000000" w:sz="4" w:space="0"/>
            </w:tcBorders>
            <w:vAlign w:val="center"/>
          </w:tcPr>
          <w:p w14:paraId="63C469BB">
            <w:pPr>
              <w:spacing w:line="360" w:lineRule="exact"/>
              <w:jc w:val="center"/>
              <w:rPr>
                <w:rFonts w:hint="eastAsia" w:ascii="宋体" w:hAnsi="宋体" w:cs="宋体"/>
                <w:color w:val="auto"/>
                <w:sz w:val="24"/>
                <w:highlight w:val="none"/>
              </w:rPr>
            </w:pPr>
            <w:r>
              <w:rPr>
                <w:rFonts w:hint="eastAsia" w:ascii="宋体" w:hAnsi="宋体" w:cs="宋体"/>
                <w:color w:val="auto"/>
                <w:sz w:val="24"/>
                <w:highlight w:val="none"/>
              </w:rPr>
              <w:t>0.009</w:t>
            </w:r>
          </w:p>
        </w:tc>
        <w:tc>
          <w:tcPr>
            <w:tcW w:w="1417" w:type="dxa"/>
            <w:tcBorders>
              <w:top w:val="single" w:color="000000" w:sz="4" w:space="0"/>
              <w:left w:val="single" w:color="000000" w:sz="4" w:space="0"/>
              <w:bottom w:val="single" w:color="000000" w:sz="4" w:space="0"/>
              <w:right w:val="single" w:color="000000" w:sz="4" w:space="0"/>
            </w:tcBorders>
            <w:vAlign w:val="center"/>
          </w:tcPr>
          <w:p w14:paraId="74975624">
            <w:pPr>
              <w:spacing w:line="360" w:lineRule="exact"/>
              <w:jc w:val="center"/>
              <w:rPr>
                <w:rFonts w:hint="eastAsia" w:ascii="宋体" w:hAnsi="宋体" w:cs="宋体"/>
                <w:color w:val="auto"/>
                <w:sz w:val="24"/>
                <w:highlight w:val="none"/>
              </w:rPr>
            </w:pPr>
            <w:r>
              <w:rPr>
                <w:rFonts w:hint="eastAsia" w:ascii="宋体" w:hAnsi="宋体" w:cs="宋体"/>
                <w:color w:val="auto"/>
                <w:sz w:val="24"/>
                <w:highlight w:val="none"/>
              </w:rPr>
              <w:t>0.189</w:t>
            </w:r>
          </w:p>
        </w:tc>
      </w:tr>
      <w:tr w14:paraId="29E381BD">
        <w:tblPrEx>
          <w:tblCellMar>
            <w:top w:w="0" w:type="dxa"/>
            <w:left w:w="108" w:type="dxa"/>
            <w:bottom w:w="0" w:type="dxa"/>
            <w:right w:w="108" w:type="dxa"/>
          </w:tblCellMar>
        </w:tblPrEx>
        <w:trPr>
          <w:trHeight w:val="90" w:hRule="atLeast"/>
          <w:jc w:val="center"/>
        </w:trPr>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B00F6">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10</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73E62">
            <w:pPr>
              <w:spacing w:line="400" w:lineRule="exact"/>
              <w:jc w:val="center"/>
              <w:rPr>
                <w:rFonts w:hint="eastAsia" w:ascii="宋体" w:hAnsi="宋体" w:cs="宋体"/>
                <w:color w:val="auto"/>
                <w:kern w:val="0"/>
                <w:sz w:val="24"/>
                <w:highlight w:val="none"/>
              </w:rPr>
            </w:pPr>
            <w:r>
              <w:rPr>
                <w:rFonts w:hint="eastAsia" w:ascii="宋体" w:hAnsi="宋体" w:cs="宋体"/>
                <w:color w:val="auto"/>
                <w:sz w:val="24"/>
                <w:highlight w:val="none"/>
              </w:rPr>
              <w:t>SC尾纤</w:t>
            </w:r>
          </w:p>
        </w:tc>
        <w:tc>
          <w:tcPr>
            <w:tcW w:w="1125" w:type="dxa"/>
            <w:tcBorders>
              <w:top w:val="single" w:color="000000" w:sz="4" w:space="0"/>
              <w:left w:val="single" w:color="000000" w:sz="4" w:space="0"/>
              <w:bottom w:val="single" w:color="000000" w:sz="4" w:space="0"/>
              <w:right w:val="single" w:color="000000" w:sz="4" w:space="0"/>
            </w:tcBorders>
            <w:shd w:val="clear" w:color="000000" w:fill="FFFFFF"/>
            <w:vAlign w:val="center"/>
          </w:tcPr>
          <w:p w14:paraId="5130EC04">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1194</w:t>
            </w:r>
          </w:p>
        </w:tc>
        <w:tc>
          <w:tcPr>
            <w:tcW w:w="930" w:type="dxa"/>
            <w:tcBorders>
              <w:top w:val="single" w:color="000000" w:sz="4" w:space="0"/>
              <w:left w:val="single" w:color="000000" w:sz="4" w:space="0"/>
              <w:bottom w:val="single" w:color="000000" w:sz="4" w:space="0"/>
              <w:right w:val="single" w:color="000000" w:sz="4" w:space="0"/>
            </w:tcBorders>
            <w:shd w:val="clear" w:color="000000" w:fill="FFFFFF"/>
            <w:vAlign w:val="center"/>
          </w:tcPr>
          <w:p w14:paraId="37646B55">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条</w:t>
            </w:r>
          </w:p>
        </w:tc>
        <w:tc>
          <w:tcPr>
            <w:tcW w:w="1759" w:type="dxa"/>
            <w:tcBorders>
              <w:top w:val="single" w:color="000000" w:sz="4" w:space="0"/>
              <w:left w:val="single" w:color="000000" w:sz="4" w:space="0"/>
              <w:bottom w:val="single" w:color="000000" w:sz="4" w:space="0"/>
              <w:right w:val="single" w:color="000000" w:sz="4" w:space="0"/>
            </w:tcBorders>
            <w:vAlign w:val="center"/>
          </w:tcPr>
          <w:p w14:paraId="13FE17E0">
            <w:pPr>
              <w:jc w:val="center"/>
              <w:rPr>
                <w:rFonts w:hint="eastAsia" w:ascii="宋体" w:hAnsi="宋体" w:cs="宋体"/>
                <w:color w:val="auto"/>
                <w:sz w:val="24"/>
                <w:highlight w:val="none"/>
              </w:rPr>
            </w:pPr>
            <w:r>
              <w:rPr>
                <w:rFonts w:hint="eastAsia" w:ascii="宋体" w:hAnsi="宋体" w:cs="宋体"/>
                <w:color w:val="auto"/>
                <w:sz w:val="24"/>
                <w:highlight w:val="none"/>
              </w:rPr>
              <w:t>详见采购需求</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F904A">
            <w:pPr>
              <w:spacing w:line="360" w:lineRule="exact"/>
              <w:jc w:val="center"/>
              <w:rPr>
                <w:rFonts w:hint="eastAsia" w:ascii="宋体" w:hAnsi="宋体" w:cs="宋体"/>
                <w:b/>
                <w:bCs/>
                <w:color w:val="auto"/>
                <w:sz w:val="24"/>
                <w:highlight w:val="none"/>
              </w:rPr>
            </w:pPr>
            <w:r>
              <w:rPr>
                <w:rFonts w:hint="eastAsia" w:ascii="宋体" w:hAnsi="宋体" w:cs="宋体"/>
                <w:color w:val="auto"/>
                <w:sz w:val="24"/>
                <w:highlight w:val="none"/>
              </w:rPr>
              <w:t>0.0025</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D1ADF">
            <w:pPr>
              <w:spacing w:line="360" w:lineRule="exact"/>
              <w:jc w:val="center"/>
              <w:rPr>
                <w:rFonts w:hint="eastAsia" w:ascii="宋体" w:hAnsi="宋体" w:cs="宋体"/>
                <w:b/>
                <w:bCs/>
                <w:color w:val="auto"/>
                <w:sz w:val="24"/>
                <w:highlight w:val="none"/>
              </w:rPr>
            </w:pPr>
            <w:r>
              <w:rPr>
                <w:rFonts w:hint="eastAsia" w:ascii="宋体" w:hAnsi="宋体" w:cs="宋体"/>
                <w:color w:val="auto"/>
                <w:sz w:val="24"/>
                <w:highlight w:val="none"/>
              </w:rPr>
              <w:t>2.985</w:t>
            </w:r>
          </w:p>
        </w:tc>
      </w:tr>
      <w:tr w14:paraId="7D146D5D">
        <w:tblPrEx>
          <w:tblCellMar>
            <w:top w:w="0" w:type="dxa"/>
            <w:left w:w="108" w:type="dxa"/>
            <w:bottom w:w="0" w:type="dxa"/>
            <w:right w:w="108" w:type="dxa"/>
          </w:tblCellMar>
        </w:tblPrEx>
        <w:trPr>
          <w:trHeight w:val="90" w:hRule="atLeast"/>
          <w:jc w:val="center"/>
        </w:trPr>
        <w:tc>
          <w:tcPr>
            <w:tcW w:w="1094" w:type="dxa"/>
            <w:tcBorders>
              <w:top w:val="single" w:color="000000" w:sz="4" w:space="0"/>
              <w:left w:val="single" w:color="000000" w:sz="4" w:space="0"/>
              <w:bottom w:val="single" w:color="000000" w:sz="4" w:space="0"/>
              <w:right w:val="single" w:color="000000" w:sz="4" w:space="0"/>
            </w:tcBorders>
            <w:vAlign w:val="center"/>
          </w:tcPr>
          <w:p w14:paraId="6143AD7F">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11</w:t>
            </w:r>
          </w:p>
        </w:tc>
        <w:tc>
          <w:tcPr>
            <w:tcW w:w="2098" w:type="dxa"/>
            <w:tcBorders>
              <w:top w:val="single" w:color="000000" w:sz="4" w:space="0"/>
              <w:left w:val="single" w:color="000000" w:sz="4" w:space="0"/>
              <w:bottom w:val="single" w:color="000000" w:sz="4" w:space="0"/>
              <w:right w:val="single" w:color="000000" w:sz="4" w:space="0"/>
            </w:tcBorders>
            <w:vAlign w:val="center"/>
          </w:tcPr>
          <w:p w14:paraId="064E0C7E">
            <w:pPr>
              <w:spacing w:line="400" w:lineRule="exact"/>
              <w:jc w:val="center"/>
              <w:rPr>
                <w:rFonts w:hint="eastAsia" w:ascii="宋体" w:hAnsi="宋体" w:cs="宋体"/>
                <w:color w:val="auto"/>
                <w:kern w:val="0"/>
                <w:sz w:val="24"/>
                <w:highlight w:val="none"/>
              </w:rPr>
            </w:pPr>
            <w:r>
              <w:rPr>
                <w:rFonts w:hint="eastAsia" w:ascii="宋体" w:hAnsi="宋体" w:cs="宋体"/>
                <w:color w:val="auto"/>
                <w:sz w:val="24"/>
                <w:highlight w:val="none"/>
              </w:rPr>
              <w:t>48口光纤配线架</w:t>
            </w:r>
          </w:p>
        </w:tc>
        <w:tc>
          <w:tcPr>
            <w:tcW w:w="1125" w:type="dxa"/>
            <w:tcBorders>
              <w:top w:val="single" w:color="000000" w:sz="4" w:space="0"/>
              <w:left w:val="single" w:color="000000" w:sz="4" w:space="0"/>
              <w:bottom w:val="single" w:color="000000" w:sz="4" w:space="0"/>
              <w:right w:val="single" w:color="000000" w:sz="4" w:space="0"/>
            </w:tcBorders>
            <w:vAlign w:val="center"/>
          </w:tcPr>
          <w:p w14:paraId="50314CB3">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14</w:t>
            </w:r>
          </w:p>
        </w:tc>
        <w:tc>
          <w:tcPr>
            <w:tcW w:w="930" w:type="dxa"/>
            <w:tcBorders>
              <w:top w:val="single" w:color="000000" w:sz="4" w:space="0"/>
              <w:left w:val="single" w:color="000000" w:sz="4" w:space="0"/>
              <w:bottom w:val="single" w:color="000000" w:sz="4" w:space="0"/>
              <w:right w:val="single" w:color="000000" w:sz="4" w:space="0"/>
            </w:tcBorders>
            <w:vAlign w:val="center"/>
          </w:tcPr>
          <w:p w14:paraId="74BC8EBD">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个</w:t>
            </w:r>
          </w:p>
        </w:tc>
        <w:tc>
          <w:tcPr>
            <w:tcW w:w="1759" w:type="dxa"/>
            <w:tcBorders>
              <w:top w:val="single" w:color="000000" w:sz="4" w:space="0"/>
              <w:left w:val="single" w:color="000000" w:sz="4" w:space="0"/>
              <w:bottom w:val="single" w:color="000000" w:sz="4" w:space="0"/>
              <w:right w:val="single" w:color="000000" w:sz="4" w:space="0"/>
            </w:tcBorders>
            <w:vAlign w:val="center"/>
          </w:tcPr>
          <w:p w14:paraId="35CFEBC5">
            <w:pPr>
              <w:jc w:val="center"/>
              <w:rPr>
                <w:rFonts w:hint="eastAsia" w:ascii="宋体" w:hAnsi="宋体" w:cs="宋体"/>
                <w:color w:val="auto"/>
                <w:sz w:val="24"/>
                <w:highlight w:val="none"/>
              </w:rPr>
            </w:pPr>
            <w:r>
              <w:rPr>
                <w:rFonts w:hint="eastAsia" w:ascii="宋体" w:hAnsi="宋体" w:cs="宋体"/>
                <w:color w:val="auto"/>
                <w:sz w:val="24"/>
                <w:highlight w:val="none"/>
              </w:rPr>
              <w:t>详见采购需求</w:t>
            </w:r>
          </w:p>
        </w:tc>
        <w:tc>
          <w:tcPr>
            <w:tcW w:w="1417" w:type="dxa"/>
            <w:tcBorders>
              <w:top w:val="single" w:color="000000" w:sz="4" w:space="0"/>
              <w:left w:val="single" w:color="000000" w:sz="4" w:space="0"/>
              <w:bottom w:val="single" w:color="000000" w:sz="4" w:space="0"/>
              <w:right w:val="single" w:color="000000" w:sz="4" w:space="0"/>
            </w:tcBorders>
            <w:vAlign w:val="center"/>
          </w:tcPr>
          <w:p w14:paraId="0280CA2A">
            <w:pPr>
              <w:spacing w:line="360" w:lineRule="exact"/>
              <w:jc w:val="center"/>
              <w:rPr>
                <w:rFonts w:hint="eastAsia" w:ascii="宋体" w:hAnsi="宋体" w:cs="宋体"/>
                <w:color w:val="auto"/>
                <w:sz w:val="24"/>
                <w:highlight w:val="none"/>
              </w:rPr>
            </w:pPr>
            <w:r>
              <w:rPr>
                <w:rFonts w:hint="eastAsia" w:ascii="宋体" w:hAnsi="宋体" w:cs="宋体"/>
                <w:color w:val="auto"/>
                <w:sz w:val="24"/>
                <w:highlight w:val="none"/>
              </w:rPr>
              <w:t>0.135</w:t>
            </w:r>
          </w:p>
        </w:tc>
        <w:tc>
          <w:tcPr>
            <w:tcW w:w="1417" w:type="dxa"/>
            <w:tcBorders>
              <w:top w:val="single" w:color="000000" w:sz="4" w:space="0"/>
              <w:left w:val="single" w:color="000000" w:sz="4" w:space="0"/>
              <w:bottom w:val="single" w:color="000000" w:sz="4" w:space="0"/>
              <w:right w:val="single" w:color="000000" w:sz="4" w:space="0"/>
            </w:tcBorders>
            <w:vAlign w:val="center"/>
          </w:tcPr>
          <w:p w14:paraId="613485B0">
            <w:pPr>
              <w:spacing w:line="360" w:lineRule="exact"/>
              <w:jc w:val="center"/>
              <w:rPr>
                <w:rFonts w:hint="eastAsia" w:ascii="宋体" w:hAnsi="宋体" w:cs="宋体"/>
                <w:color w:val="auto"/>
                <w:sz w:val="24"/>
                <w:highlight w:val="none"/>
              </w:rPr>
            </w:pPr>
            <w:r>
              <w:rPr>
                <w:rFonts w:hint="eastAsia" w:ascii="宋体" w:hAnsi="宋体" w:cs="宋体"/>
                <w:color w:val="auto"/>
                <w:sz w:val="24"/>
                <w:highlight w:val="none"/>
              </w:rPr>
              <w:t>1.89</w:t>
            </w:r>
          </w:p>
        </w:tc>
      </w:tr>
      <w:tr w14:paraId="22B047A4">
        <w:tblPrEx>
          <w:tblCellMar>
            <w:top w:w="0" w:type="dxa"/>
            <w:left w:w="108" w:type="dxa"/>
            <w:bottom w:w="0" w:type="dxa"/>
            <w:right w:w="108" w:type="dxa"/>
          </w:tblCellMar>
        </w:tblPrEx>
        <w:trPr>
          <w:trHeight w:val="90" w:hRule="atLeast"/>
          <w:jc w:val="center"/>
        </w:trPr>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FA75A">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12</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6F33F">
            <w:pPr>
              <w:spacing w:line="400" w:lineRule="exact"/>
              <w:jc w:val="center"/>
              <w:rPr>
                <w:rFonts w:hint="eastAsia" w:ascii="宋体" w:hAnsi="宋体" w:cs="宋体"/>
                <w:color w:val="auto"/>
                <w:kern w:val="0"/>
                <w:sz w:val="24"/>
                <w:highlight w:val="none"/>
              </w:rPr>
            </w:pPr>
            <w:r>
              <w:rPr>
                <w:rFonts w:hint="eastAsia" w:ascii="宋体" w:hAnsi="宋体" w:cs="宋体"/>
                <w:color w:val="auto"/>
                <w:sz w:val="24"/>
                <w:highlight w:val="none"/>
              </w:rPr>
              <w:t>明装ONU盒</w:t>
            </w:r>
          </w:p>
        </w:tc>
        <w:tc>
          <w:tcPr>
            <w:tcW w:w="1125" w:type="dxa"/>
            <w:tcBorders>
              <w:top w:val="single" w:color="000000" w:sz="4" w:space="0"/>
              <w:left w:val="single" w:color="000000" w:sz="4" w:space="0"/>
              <w:bottom w:val="single" w:color="000000" w:sz="4" w:space="0"/>
              <w:right w:val="single" w:color="000000" w:sz="4" w:space="0"/>
            </w:tcBorders>
            <w:shd w:val="clear" w:color="000000" w:fill="FFFFFF"/>
            <w:vAlign w:val="center"/>
          </w:tcPr>
          <w:p w14:paraId="3484CF15">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593</w:t>
            </w:r>
          </w:p>
        </w:tc>
        <w:tc>
          <w:tcPr>
            <w:tcW w:w="930" w:type="dxa"/>
            <w:tcBorders>
              <w:top w:val="single" w:color="000000" w:sz="4" w:space="0"/>
              <w:left w:val="single" w:color="000000" w:sz="4" w:space="0"/>
              <w:bottom w:val="single" w:color="000000" w:sz="4" w:space="0"/>
              <w:right w:val="single" w:color="000000" w:sz="4" w:space="0"/>
            </w:tcBorders>
            <w:shd w:val="clear" w:color="000000" w:fill="FFFFFF"/>
            <w:vAlign w:val="center"/>
          </w:tcPr>
          <w:p w14:paraId="66C8BB7A">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个</w:t>
            </w:r>
          </w:p>
        </w:tc>
        <w:tc>
          <w:tcPr>
            <w:tcW w:w="1759" w:type="dxa"/>
            <w:tcBorders>
              <w:top w:val="single" w:color="000000" w:sz="4" w:space="0"/>
              <w:left w:val="single" w:color="000000" w:sz="4" w:space="0"/>
              <w:bottom w:val="single" w:color="000000" w:sz="4" w:space="0"/>
              <w:right w:val="single" w:color="000000" w:sz="4" w:space="0"/>
            </w:tcBorders>
            <w:vAlign w:val="center"/>
          </w:tcPr>
          <w:p w14:paraId="2874C85B">
            <w:pPr>
              <w:jc w:val="center"/>
              <w:rPr>
                <w:rFonts w:hint="eastAsia" w:ascii="宋体" w:hAnsi="宋体" w:cs="宋体"/>
                <w:color w:val="auto"/>
                <w:sz w:val="24"/>
                <w:highlight w:val="none"/>
              </w:rPr>
            </w:pPr>
            <w:r>
              <w:rPr>
                <w:rFonts w:hint="eastAsia" w:ascii="宋体" w:hAnsi="宋体" w:cs="宋体"/>
                <w:color w:val="auto"/>
                <w:sz w:val="24"/>
                <w:highlight w:val="none"/>
              </w:rPr>
              <w:t>详见采购需求</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70E3D">
            <w:pPr>
              <w:spacing w:line="360" w:lineRule="exact"/>
              <w:jc w:val="center"/>
              <w:rPr>
                <w:rFonts w:hint="eastAsia" w:ascii="宋体" w:hAnsi="宋体" w:cs="宋体"/>
                <w:b/>
                <w:bCs/>
                <w:color w:val="auto"/>
                <w:sz w:val="24"/>
                <w:highlight w:val="none"/>
              </w:rPr>
            </w:pPr>
            <w:r>
              <w:rPr>
                <w:rFonts w:hint="eastAsia" w:ascii="宋体" w:hAnsi="宋体" w:cs="宋体"/>
                <w:color w:val="auto"/>
                <w:sz w:val="24"/>
                <w:highlight w:val="none"/>
              </w:rPr>
              <w:t>0.02</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D9A9E">
            <w:pPr>
              <w:spacing w:line="360" w:lineRule="exact"/>
              <w:jc w:val="center"/>
              <w:rPr>
                <w:rFonts w:hint="eastAsia" w:ascii="宋体" w:hAnsi="宋体" w:cs="宋体"/>
                <w:b/>
                <w:bCs/>
                <w:color w:val="auto"/>
                <w:sz w:val="24"/>
                <w:highlight w:val="none"/>
              </w:rPr>
            </w:pPr>
            <w:r>
              <w:rPr>
                <w:rFonts w:hint="eastAsia" w:ascii="宋体" w:hAnsi="宋体" w:cs="宋体"/>
                <w:color w:val="auto"/>
                <w:sz w:val="24"/>
                <w:highlight w:val="none"/>
              </w:rPr>
              <w:t>11.86</w:t>
            </w:r>
          </w:p>
        </w:tc>
      </w:tr>
      <w:tr w14:paraId="509569C6">
        <w:tblPrEx>
          <w:tblCellMar>
            <w:top w:w="0" w:type="dxa"/>
            <w:left w:w="108" w:type="dxa"/>
            <w:bottom w:w="0" w:type="dxa"/>
            <w:right w:w="108" w:type="dxa"/>
          </w:tblCellMar>
        </w:tblPrEx>
        <w:trPr>
          <w:trHeight w:val="90" w:hRule="atLeast"/>
          <w:jc w:val="center"/>
        </w:trPr>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D69C7">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13</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C8B69">
            <w:pPr>
              <w:spacing w:line="400" w:lineRule="exact"/>
              <w:jc w:val="center"/>
              <w:rPr>
                <w:rFonts w:hint="eastAsia" w:ascii="宋体" w:hAnsi="宋体" w:cs="宋体"/>
                <w:color w:val="auto"/>
                <w:kern w:val="0"/>
                <w:sz w:val="24"/>
                <w:highlight w:val="none"/>
              </w:rPr>
            </w:pPr>
            <w:r>
              <w:rPr>
                <w:rFonts w:hint="eastAsia" w:ascii="宋体" w:hAnsi="宋体" w:cs="宋体"/>
                <w:color w:val="auto"/>
                <w:sz w:val="24"/>
                <w:highlight w:val="none"/>
              </w:rPr>
              <w:t>ONU电源插座</w:t>
            </w:r>
          </w:p>
        </w:tc>
        <w:tc>
          <w:tcPr>
            <w:tcW w:w="1125" w:type="dxa"/>
            <w:tcBorders>
              <w:top w:val="single" w:color="000000" w:sz="4" w:space="0"/>
              <w:left w:val="single" w:color="000000" w:sz="4" w:space="0"/>
              <w:bottom w:val="single" w:color="000000" w:sz="4" w:space="0"/>
              <w:right w:val="single" w:color="000000" w:sz="4" w:space="0"/>
            </w:tcBorders>
            <w:shd w:val="clear" w:color="000000" w:fill="FFFFFF"/>
            <w:vAlign w:val="center"/>
          </w:tcPr>
          <w:p w14:paraId="00DD9A02">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593</w:t>
            </w:r>
          </w:p>
        </w:tc>
        <w:tc>
          <w:tcPr>
            <w:tcW w:w="930" w:type="dxa"/>
            <w:tcBorders>
              <w:top w:val="single" w:color="000000" w:sz="4" w:space="0"/>
              <w:left w:val="single" w:color="000000" w:sz="4" w:space="0"/>
              <w:bottom w:val="single" w:color="000000" w:sz="4" w:space="0"/>
              <w:right w:val="single" w:color="000000" w:sz="4" w:space="0"/>
            </w:tcBorders>
            <w:shd w:val="clear" w:color="000000" w:fill="FFFFFF"/>
            <w:vAlign w:val="center"/>
          </w:tcPr>
          <w:p w14:paraId="7CD41899">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个</w:t>
            </w:r>
          </w:p>
        </w:tc>
        <w:tc>
          <w:tcPr>
            <w:tcW w:w="1759" w:type="dxa"/>
            <w:tcBorders>
              <w:top w:val="single" w:color="000000" w:sz="4" w:space="0"/>
              <w:left w:val="single" w:color="000000" w:sz="4" w:space="0"/>
              <w:bottom w:val="single" w:color="000000" w:sz="4" w:space="0"/>
              <w:right w:val="single" w:color="000000" w:sz="4" w:space="0"/>
            </w:tcBorders>
            <w:vAlign w:val="center"/>
          </w:tcPr>
          <w:p w14:paraId="15549A06">
            <w:pPr>
              <w:jc w:val="center"/>
              <w:rPr>
                <w:rFonts w:hint="eastAsia" w:ascii="宋体" w:hAnsi="宋体" w:cs="宋体"/>
                <w:color w:val="auto"/>
                <w:sz w:val="24"/>
                <w:highlight w:val="none"/>
              </w:rPr>
            </w:pPr>
            <w:r>
              <w:rPr>
                <w:rFonts w:hint="eastAsia" w:ascii="宋体" w:hAnsi="宋体" w:cs="宋体"/>
                <w:color w:val="auto"/>
                <w:sz w:val="24"/>
                <w:highlight w:val="none"/>
              </w:rPr>
              <w:t>详见采购需求</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B8BC4">
            <w:pPr>
              <w:spacing w:line="360" w:lineRule="exact"/>
              <w:jc w:val="center"/>
              <w:rPr>
                <w:rFonts w:hint="eastAsia" w:ascii="宋体" w:hAnsi="宋体" w:cs="宋体"/>
                <w:b/>
                <w:bCs/>
                <w:color w:val="auto"/>
                <w:sz w:val="24"/>
                <w:highlight w:val="none"/>
              </w:rPr>
            </w:pPr>
            <w:r>
              <w:rPr>
                <w:rFonts w:hint="eastAsia" w:ascii="宋体" w:hAnsi="宋体" w:cs="宋体"/>
                <w:color w:val="auto"/>
                <w:sz w:val="24"/>
                <w:highlight w:val="none"/>
              </w:rPr>
              <w:t>0.0015</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01B5C">
            <w:pPr>
              <w:spacing w:line="360" w:lineRule="exact"/>
              <w:jc w:val="center"/>
              <w:rPr>
                <w:rFonts w:hint="eastAsia" w:ascii="宋体" w:hAnsi="宋体" w:cs="宋体"/>
                <w:b/>
                <w:bCs/>
                <w:color w:val="auto"/>
                <w:sz w:val="24"/>
                <w:highlight w:val="none"/>
              </w:rPr>
            </w:pPr>
            <w:r>
              <w:rPr>
                <w:rFonts w:hint="eastAsia" w:ascii="宋体" w:hAnsi="宋体" w:cs="宋体"/>
                <w:color w:val="auto"/>
                <w:sz w:val="24"/>
                <w:highlight w:val="none"/>
              </w:rPr>
              <w:t>0.8895</w:t>
            </w:r>
          </w:p>
        </w:tc>
      </w:tr>
      <w:tr w14:paraId="3A79A4BA">
        <w:tblPrEx>
          <w:tblCellMar>
            <w:top w:w="0" w:type="dxa"/>
            <w:left w:w="108" w:type="dxa"/>
            <w:bottom w:w="0" w:type="dxa"/>
            <w:right w:w="108" w:type="dxa"/>
          </w:tblCellMar>
        </w:tblPrEx>
        <w:trPr>
          <w:trHeight w:val="90" w:hRule="atLeast"/>
          <w:jc w:val="center"/>
        </w:trPr>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8C1F3">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14</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D136D">
            <w:pPr>
              <w:spacing w:line="400" w:lineRule="exact"/>
              <w:jc w:val="center"/>
              <w:rPr>
                <w:rFonts w:hint="eastAsia" w:ascii="宋体" w:hAnsi="宋体" w:cs="宋体"/>
                <w:color w:val="auto"/>
                <w:kern w:val="0"/>
                <w:sz w:val="24"/>
                <w:highlight w:val="none"/>
              </w:rPr>
            </w:pPr>
            <w:r>
              <w:rPr>
                <w:rFonts w:hint="eastAsia" w:ascii="宋体" w:hAnsi="宋体" w:cs="宋体"/>
                <w:color w:val="auto"/>
                <w:sz w:val="24"/>
                <w:highlight w:val="none"/>
              </w:rPr>
              <w:t>双口信息面板</w:t>
            </w:r>
          </w:p>
        </w:tc>
        <w:tc>
          <w:tcPr>
            <w:tcW w:w="1125" w:type="dxa"/>
            <w:tcBorders>
              <w:top w:val="single" w:color="000000" w:sz="4" w:space="0"/>
              <w:left w:val="single" w:color="000000" w:sz="4" w:space="0"/>
              <w:bottom w:val="single" w:color="000000" w:sz="4" w:space="0"/>
              <w:right w:val="single" w:color="000000" w:sz="4" w:space="0"/>
            </w:tcBorders>
            <w:shd w:val="clear" w:color="000000" w:fill="FFFFFF"/>
            <w:vAlign w:val="center"/>
          </w:tcPr>
          <w:p w14:paraId="7832607F">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814</w:t>
            </w:r>
          </w:p>
        </w:tc>
        <w:tc>
          <w:tcPr>
            <w:tcW w:w="930" w:type="dxa"/>
            <w:tcBorders>
              <w:top w:val="single" w:color="000000" w:sz="4" w:space="0"/>
              <w:left w:val="single" w:color="000000" w:sz="4" w:space="0"/>
              <w:bottom w:val="single" w:color="000000" w:sz="4" w:space="0"/>
              <w:right w:val="single" w:color="000000" w:sz="4" w:space="0"/>
            </w:tcBorders>
            <w:shd w:val="clear" w:color="000000" w:fill="FFFFFF"/>
            <w:vAlign w:val="center"/>
          </w:tcPr>
          <w:p w14:paraId="236D9BB4">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套</w:t>
            </w:r>
          </w:p>
        </w:tc>
        <w:tc>
          <w:tcPr>
            <w:tcW w:w="1759" w:type="dxa"/>
            <w:tcBorders>
              <w:top w:val="single" w:color="000000" w:sz="4" w:space="0"/>
              <w:left w:val="single" w:color="000000" w:sz="4" w:space="0"/>
              <w:bottom w:val="single" w:color="000000" w:sz="4" w:space="0"/>
              <w:right w:val="single" w:color="000000" w:sz="4" w:space="0"/>
            </w:tcBorders>
            <w:vAlign w:val="center"/>
          </w:tcPr>
          <w:p w14:paraId="6440B9A8">
            <w:pPr>
              <w:jc w:val="center"/>
              <w:rPr>
                <w:rFonts w:hint="eastAsia" w:ascii="宋体" w:hAnsi="宋体" w:cs="宋体"/>
                <w:color w:val="auto"/>
                <w:sz w:val="24"/>
                <w:highlight w:val="none"/>
              </w:rPr>
            </w:pPr>
            <w:r>
              <w:rPr>
                <w:rFonts w:hint="eastAsia" w:ascii="宋体" w:hAnsi="宋体" w:cs="宋体"/>
                <w:color w:val="auto"/>
                <w:sz w:val="24"/>
                <w:highlight w:val="none"/>
              </w:rPr>
              <w:t>详见采购需求</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F7CD3">
            <w:pPr>
              <w:spacing w:line="360" w:lineRule="exact"/>
              <w:jc w:val="center"/>
              <w:rPr>
                <w:rFonts w:hint="eastAsia" w:ascii="宋体" w:hAnsi="宋体" w:cs="宋体"/>
                <w:b/>
                <w:bCs/>
                <w:color w:val="auto"/>
                <w:sz w:val="24"/>
                <w:highlight w:val="none"/>
              </w:rPr>
            </w:pPr>
            <w:r>
              <w:rPr>
                <w:rFonts w:hint="eastAsia" w:ascii="宋体" w:hAnsi="宋体" w:cs="宋体"/>
                <w:color w:val="auto"/>
                <w:sz w:val="24"/>
                <w:highlight w:val="none"/>
              </w:rPr>
              <w:t>0.0055</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676C7">
            <w:pPr>
              <w:spacing w:line="360" w:lineRule="exact"/>
              <w:jc w:val="center"/>
              <w:rPr>
                <w:rFonts w:hint="eastAsia" w:ascii="宋体" w:hAnsi="宋体" w:cs="宋体"/>
                <w:b/>
                <w:bCs/>
                <w:color w:val="auto"/>
                <w:sz w:val="24"/>
                <w:highlight w:val="none"/>
              </w:rPr>
            </w:pPr>
            <w:r>
              <w:rPr>
                <w:rFonts w:hint="eastAsia" w:ascii="宋体" w:hAnsi="宋体" w:cs="宋体"/>
                <w:color w:val="auto"/>
                <w:sz w:val="24"/>
                <w:highlight w:val="none"/>
              </w:rPr>
              <w:t>4.477</w:t>
            </w:r>
          </w:p>
        </w:tc>
      </w:tr>
      <w:tr w14:paraId="3697F083">
        <w:tblPrEx>
          <w:tblCellMar>
            <w:top w:w="0" w:type="dxa"/>
            <w:left w:w="108" w:type="dxa"/>
            <w:bottom w:w="0" w:type="dxa"/>
            <w:right w:w="108" w:type="dxa"/>
          </w:tblCellMar>
        </w:tblPrEx>
        <w:trPr>
          <w:trHeight w:val="90" w:hRule="atLeast"/>
          <w:jc w:val="center"/>
        </w:trPr>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7C2F0">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15</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5E5B3">
            <w:pPr>
              <w:spacing w:line="400" w:lineRule="exact"/>
              <w:jc w:val="center"/>
              <w:rPr>
                <w:rFonts w:hint="eastAsia" w:ascii="宋体" w:hAnsi="宋体" w:cs="宋体"/>
                <w:color w:val="auto"/>
                <w:kern w:val="0"/>
                <w:sz w:val="24"/>
                <w:highlight w:val="none"/>
              </w:rPr>
            </w:pPr>
            <w:r>
              <w:rPr>
                <w:rFonts w:hint="eastAsia" w:ascii="宋体" w:hAnsi="宋体" w:cs="宋体"/>
                <w:color w:val="auto"/>
                <w:sz w:val="24"/>
                <w:highlight w:val="none"/>
              </w:rPr>
              <w:t>ONU供电线缆</w:t>
            </w:r>
          </w:p>
        </w:tc>
        <w:tc>
          <w:tcPr>
            <w:tcW w:w="1125" w:type="dxa"/>
            <w:tcBorders>
              <w:top w:val="single" w:color="000000" w:sz="4" w:space="0"/>
              <w:left w:val="single" w:color="000000" w:sz="4" w:space="0"/>
              <w:bottom w:val="single" w:color="000000" w:sz="4" w:space="0"/>
              <w:right w:val="single" w:color="000000" w:sz="4" w:space="0"/>
            </w:tcBorders>
            <w:shd w:val="clear" w:color="000000" w:fill="FFFFFF"/>
            <w:vAlign w:val="center"/>
          </w:tcPr>
          <w:p w14:paraId="4E612390">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3900</w:t>
            </w:r>
          </w:p>
        </w:tc>
        <w:tc>
          <w:tcPr>
            <w:tcW w:w="930" w:type="dxa"/>
            <w:tcBorders>
              <w:top w:val="single" w:color="000000" w:sz="4" w:space="0"/>
              <w:left w:val="single" w:color="000000" w:sz="4" w:space="0"/>
              <w:bottom w:val="single" w:color="000000" w:sz="4" w:space="0"/>
              <w:right w:val="single" w:color="000000" w:sz="4" w:space="0"/>
            </w:tcBorders>
            <w:shd w:val="clear" w:color="000000" w:fill="FFFFFF"/>
            <w:vAlign w:val="center"/>
          </w:tcPr>
          <w:p w14:paraId="12C1B2EF">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米</w:t>
            </w:r>
          </w:p>
        </w:tc>
        <w:tc>
          <w:tcPr>
            <w:tcW w:w="1759" w:type="dxa"/>
            <w:tcBorders>
              <w:top w:val="single" w:color="000000" w:sz="4" w:space="0"/>
              <w:left w:val="single" w:color="000000" w:sz="4" w:space="0"/>
              <w:bottom w:val="single" w:color="000000" w:sz="4" w:space="0"/>
              <w:right w:val="single" w:color="000000" w:sz="4" w:space="0"/>
            </w:tcBorders>
            <w:vAlign w:val="center"/>
          </w:tcPr>
          <w:p w14:paraId="24397AF9">
            <w:pPr>
              <w:jc w:val="center"/>
              <w:rPr>
                <w:rFonts w:hint="eastAsia" w:ascii="宋体" w:hAnsi="宋体" w:cs="宋体"/>
                <w:color w:val="auto"/>
                <w:sz w:val="24"/>
                <w:highlight w:val="none"/>
              </w:rPr>
            </w:pPr>
            <w:r>
              <w:rPr>
                <w:rFonts w:hint="eastAsia" w:ascii="宋体" w:hAnsi="宋体" w:cs="宋体"/>
                <w:color w:val="auto"/>
                <w:sz w:val="24"/>
                <w:highlight w:val="none"/>
              </w:rPr>
              <w:t>详见采购需求</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FB6B9">
            <w:pPr>
              <w:spacing w:line="360" w:lineRule="exact"/>
              <w:jc w:val="center"/>
              <w:rPr>
                <w:rFonts w:hint="eastAsia" w:ascii="宋体" w:hAnsi="宋体" w:cs="宋体"/>
                <w:b/>
                <w:bCs/>
                <w:color w:val="auto"/>
                <w:sz w:val="24"/>
                <w:highlight w:val="none"/>
              </w:rPr>
            </w:pPr>
            <w:r>
              <w:rPr>
                <w:rFonts w:hint="eastAsia" w:ascii="宋体" w:hAnsi="宋体" w:cs="宋体"/>
                <w:color w:val="auto"/>
                <w:sz w:val="24"/>
                <w:highlight w:val="none"/>
              </w:rPr>
              <w:t>0.00036</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B3D5F">
            <w:pPr>
              <w:spacing w:line="360" w:lineRule="exact"/>
              <w:jc w:val="center"/>
              <w:rPr>
                <w:rFonts w:hint="eastAsia" w:ascii="宋体" w:hAnsi="宋体" w:cs="宋体"/>
                <w:b/>
                <w:bCs/>
                <w:color w:val="auto"/>
                <w:sz w:val="24"/>
                <w:highlight w:val="none"/>
              </w:rPr>
            </w:pPr>
            <w:r>
              <w:rPr>
                <w:rFonts w:hint="eastAsia" w:ascii="宋体" w:hAnsi="宋体" w:cs="宋体"/>
                <w:color w:val="auto"/>
                <w:sz w:val="24"/>
                <w:highlight w:val="none"/>
              </w:rPr>
              <w:t>1.404</w:t>
            </w:r>
          </w:p>
        </w:tc>
      </w:tr>
      <w:tr w14:paraId="1D2CFD1F">
        <w:tblPrEx>
          <w:tblCellMar>
            <w:top w:w="0" w:type="dxa"/>
            <w:left w:w="108" w:type="dxa"/>
            <w:bottom w:w="0" w:type="dxa"/>
            <w:right w:w="108" w:type="dxa"/>
          </w:tblCellMar>
        </w:tblPrEx>
        <w:trPr>
          <w:trHeight w:val="90" w:hRule="atLeast"/>
          <w:jc w:val="center"/>
        </w:trPr>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974B5">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16</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01AEC">
            <w:pPr>
              <w:spacing w:line="400" w:lineRule="exact"/>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光纤测试</w:t>
            </w:r>
          </w:p>
        </w:tc>
        <w:tc>
          <w:tcPr>
            <w:tcW w:w="1125" w:type="dxa"/>
            <w:tcBorders>
              <w:top w:val="single" w:color="000000" w:sz="4" w:space="0"/>
              <w:left w:val="single" w:color="000000" w:sz="4" w:space="0"/>
              <w:bottom w:val="single" w:color="000000" w:sz="4" w:space="0"/>
              <w:right w:val="single" w:color="000000" w:sz="4" w:space="0"/>
            </w:tcBorders>
            <w:shd w:val="clear" w:color="000000" w:fill="FFFFFF"/>
            <w:vAlign w:val="center"/>
          </w:tcPr>
          <w:p w14:paraId="08152AE4">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1204</w:t>
            </w:r>
          </w:p>
        </w:tc>
        <w:tc>
          <w:tcPr>
            <w:tcW w:w="930" w:type="dxa"/>
            <w:tcBorders>
              <w:top w:val="single" w:color="000000" w:sz="4" w:space="0"/>
              <w:left w:val="single" w:color="000000" w:sz="4" w:space="0"/>
              <w:bottom w:val="single" w:color="000000" w:sz="4" w:space="0"/>
              <w:right w:val="single" w:color="000000" w:sz="4" w:space="0"/>
            </w:tcBorders>
            <w:shd w:val="clear" w:color="000000" w:fill="FFFFFF"/>
            <w:vAlign w:val="center"/>
          </w:tcPr>
          <w:p w14:paraId="509CF9F7">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链路</w:t>
            </w:r>
          </w:p>
        </w:tc>
        <w:tc>
          <w:tcPr>
            <w:tcW w:w="1759" w:type="dxa"/>
            <w:tcBorders>
              <w:top w:val="single" w:color="000000" w:sz="4" w:space="0"/>
              <w:left w:val="single" w:color="000000" w:sz="4" w:space="0"/>
              <w:bottom w:val="single" w:color="000000" w:sz="4" w:space="0"/>
              <w:right w:val="single" w:color="000000" w:sz="4" w:space="0"/>
            </w:tcBorders>
            <w:vAlign w:val="center"/>
          </w:tcPr>
          <w:p w14:paraId="0CF64AE1">
            <w:pPr>
              <w:jc w:val="center"/>
              <w:rPr>
                <w:rFonts w:hint="eastAsia" w:ascii="宋体" w:hAnsi="宋体" w:cs="宋体"/>
                <w:color w:val="auto"/>
                <w:sz w:val="24"/>
                <w:highlight w:val="none"/>
              </w:rPr>
            </w:pPr>
            <w:r>
              <w:rPr>
                <w:rFonts w:hint="eastAsia" w:ascii="宋体" w:hAnsi="宋体" w:cs="宋体"/>
                <w:color w:val="auto"/>
                <w:sz w:val="24"/>
                <w:highlight w:val="none"/>
              </w:rPr>
              <w:t>详见采购需求</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C0257">
            <w:pPr>
              <w:spacing w:line="360" w:lineRule="exact"/>
              <w:jc w:val="center"/>
              <w:rPr>
                <w:rFonts w:hint="eastAsia" w:ascii="宋体" w:hAnsi="宋体" w:cs="宋体"/>
                <w:b/>
                <w:bCs/>
                <w:color w:val="auto"/>
                <w:sz w:val="24"/>
                <w:highlight w:val="none"/>
              </w:rPr>
            </w:pPr>
            <w:r>
              <w:rPr>
                <w:rFonts w:hint="eastAsia" w:ascii="宋体" w:hAnsi="宋体" w:cs="宋体"/>
                <w:color w:val="auto"/>
                <w:sz w:val="24"/>
                <w:highlight w:val="none"/>
              </w:rPr>
              <w:t>0.0015</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67C36">
            <w:pPr>
              <w:spacing w:line="360" w:lineRule="exact"/>
              <w:jc w:val="center"/>
              <w:rPr>
                <w:rFonts w:hint="eastAsia" w:ascii="宋体" w:hAnsi="宋体" w:cs="宋体"/>
                <w:b/>
                <w:bCs/>
                <w:color w:val="auto"/>
                <w:sz w:val="24"/>
                <w:highlight w:val="none"/>
              </w:rPr>
            </w:pPr>
            <w:r>
              <w:rPr>
                <w:rFonts w:hint="eastAsia" w:ascii="宋体" w:hAnsi="宋体" w:cs="宋体"/>
                <w:color w:val="auto"/>
                <w:sz w:val="24"/>
                <w:highlight w:val="none"/>
              </w:rPr>
              <w:t>1.806</w:t>
            </w:r>
          </w:p>
        </w:tc>
      </w:tr>
      <w:tr w14:paraId="4CEF43D8">
        <w:tblPrEx>
          <w:tblCellMar>
            <w:top w:w="0" w:type="dxa"/>
            <w:left w:w="108" w:type="dxa"/>
            <w:bottom w:w="0" w:type="dxa"/>
            <w:right w:w="108" w:type="dxa"/>
          </w:tblCellMar>
        </w:tblPrEx>
        <w:trPr>
          <w:trHeight w:val="90" w:hRule="atLeast"/>
          <w:jc w:val="center"/>
        </w:trPr>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F2FB1">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17</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165A6">
            <w:pPr>
              <w:spacing w:line="400" w:lineRule="exact"/>
              <w:jc w:val="center"/>
              <w:rPr>
                <w:rFonts w:hint="eastAsia" w:ascii="宋体" w:hAnsi="宋体" w:cs="宋体"/>
                <w:color w:val="auto"/>
                <w:kern w:val="0"/>
                <w:sz w:val="24"/>
                <w:highlight w:val="none"/>
              </w:rPr>
            </w:pPr>
            <w:r>
              <w:rPr>
                <w:rFonts w:hint="eastAsia" w:ascii="宋体" w:hAnsi="宋体" w:cs="宋体"/>
                <w:color w:val="auto"/>
                <w:sz w:val="24"/>
                <w:highlight w:val="none"/>
              </w:rPr>
              <w:t>六类网线</w:t>
            </w:r>
          </w:p>
        </w:tc>
        <w:tc>
          <w:tcPr>
            <w:tcW w:w="1125" w:type="dxa"/>
            <w:tcBorders>
              <w:top w:val="single" w:color="000000" w:sz="4" w:space="0"/>
              <w:left w:val="single" w:color="000000" w:sz="4" w:space="0"/>
              <w:bottom w:val="single" w:color="000000" w:sz="4" w:space="0"/>
              <w:right w:val="single" w:color="000000" w:sz="4" w:space="0"/>
            </w:tcBorders>
            <w:shd w:val="clear" w:color="000000" w:fill="FFFFFF"/>
            <w:vAlign w:val="center"/>
          </w:tcPr>
          <w:p w14:paraId="68876083">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34</w:t>
            </w:r>
          </w:p>
        </w:tc>
        <w:tc>
          <w:tcPr>
            <w:tcW w:w="930" w:type="dxa"/>
            <w:tcBorders>
              <w:top w:val="single" w:color="000000" w:sz="4" w:space="0"/>
              <w:left w:val="single" w:color="000000" w:sz="4" w:space="0"/>
              <w:bottom w:val="single" w:color="000000" w:sz="4" w:space="0"/>
              <w:right w:val="single" w:color="000000" w:sz="4" w:space="0"/>
            </w:tcBorders>
            <w:shd w:val="clear" w:color="000000" w:fill="FFFFFF"/>
            <w:vAlign w:val="center"/>
          </w:tcPr>
          <w:p w14:paraId="78060F13">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箱</w:t>
            </w:r>
          </w:p>
        </w:tc>
        <w:tc>
          <w:tcPr>
            <w:tcW w:w="1759" w:type="dxa"/>
            <w:tcBorders>
              <w:top w:val="single" w:color="000000" w:sz="4" w:space="0"/>
              <w:left w:val="single" w:color="000000" w:sz="4" w:space="0"/>
              <w:bottom w:val="single" w:color="000000" w:sz="4" w:space="0"/>
              <w:right w:val="single" w:color="000000" w:sz="4" w:space="0"/>
            </w:tcBorders>
            <w:vAlign w:val="center"/>
          </w:tcPr>
          <w:p w14:paraId="256C5019">
            <w:pPr>
              <w:jc w:val="center"/>
              <w:rPr>
                <w:rFonts w:hint="eastAsia" w:ascii="宋体" w:hAnsi="宋体" w:cs="宋体"/>
                <w:color w:val="auto"/>
                <w:sz w:val="24"/>
                <w:highlight w:val="none"/>
              </w:rPr>
            </w:pPr>
            <w:r>
              <w:rPr>
                <w:rFonts w:hint="eastAsia" w:ascii="宋体" w:hAnsi="宋体" w:cs="宋体"/>
                <w:color w:val="auto"/>
                <w:sz w:val="24"/>
                <w:highlight w:val="none"/>
              </w:rPr>
              <w:t>详见采购需求</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ED3D2">
            <w:pPr>
              <w:spacing w:line="360" w:lineRule="exact"/>
              <w:jc w:val="center"/>
              <w:rPr>
                <w:rFonts w:hint="eastAsia" w:ascii="宋体" w:hAnsi="宋体" w:cs="宋体"/>
                <w:b/>
                <w:bCs/>
                <w:color w:val="auto"/>
                <w:sz w:val="24"/>
                <w:highlight w:val="none"/>
              </w:rPr>
            </w:pPr>
            <w:r>
              <w:rPr>
                <w:rFonts w:hint="eastAsia" w:ascii="宋体" w:hAnsi="宋体" w:cs="宋体"/>
                <w:color w:val="auto"/>
                <w:sz w:val="24"/>
                <w:highlight w:val="none"/>
              </w:rPr>
              <w:t>0.118</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FCD90">
            <w:pPr>
              <w:spacing w:line="360" w:lineRule="exact"/>
              <w:jc w:val="center"/>
              <w:rPr>
                <w:rFonts w:hint="eastAsia" w:ascii="宋体" w:hAnsi="宋体" w:cs="宋体"/>
                <w:b/>
                <w:bCs/>
                <w:color w:val="auto"/>
                <w:sz w:val="24"/>
                <w:highlight w:val="none"/>
              </w:rPr>
            </w:pPr>
            <w:r>
              <w:rPr>
                <w:rFonts w:hint="eastAsia" w:ascii="宋体" w:hAnsi="宋体" w:cs="宋体"/>
                <w:color w:val="auto"/>
                <w:sz w:val="24"/>
                <w:highlight w:val="none"/>
              </w:rPr>
              <w:t>4.012</w:t>
            </w:r>
          </w:p>
        </w:tc>
      </w:tr>
      <w:tr w14:paraId="2882794D">
        <w:tblPrEx>
          <w:tblCellMar>
            <w:top w:w="0" w:type="dxa"/>
            <w:left w:w="108" w:type="dxa"/>
            <w:bottom w:w="0" w:type="dxa"/>
            <w:right w:w="108" w:type="dxa"/>
          </w:tblCellMar>
        </w:tblPrEx>
        <w:trPr>
          <w:trHeight w:val="90" w:hRule="atLeast"/>
          <w:jc w:val="center"/>
        </w:trPr>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BAE16">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18</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B4C1F">
            <w:pPr>
              <w:spacing w:line="400" w:lineRule="exact"/>
              <w:jc w:val="center"/>
              <w:rPr>
                <w:rFonts w:hint="eastAsia" w:ascii="宋体" w:hAnsi="宋体" w:cs="宋体"/>
                <w:color w:val="auto"/>
                <w:kern w:val="0"/>
                <w:sz w:val="24"/>
                <w:highlight w:val="none"/>
              </w:rPr>
            </w:pPr>
            <w:r>
              <w:rPr>
                <w:rFonts w:hint="eastAsia" w:ascii="宋体" w:hAnsi="宋体" w:cs="宋体"/>
                <w:color w:val="auto"/>
                <w:sz w:val="24"/>
                <w:highlight w:val="none"/>
              </w:rPr>
              <w:t>光纤熔接</w:t>
            </w:r>
          </w:p>
        </w:tc>
        <w:tc>
          <w:tcPr>
            <w:tcW w:w="1125" w:type="dxa"/>
            <w:tcBorders>
              <w:top w:val="single" w:color="000000" w:sz="4" w:space="0"/>
              <w:left w:val="single" w:color="000000" w:sz="4" w:space="0"/>
              <w:bottom w:val="single" w:color="000000" w:sz="4" w:space="0"/>
              <w:right w:val="single" w:color="000000" w:sz="4" w:space="0"/>
            </w:tcBorders>
            <w:shd w:val="clear" w:color="000000" w:fill="FFFFFF"/>
            <w:vAlign w:val="center"/>
          </w:tcPr>
          <w:p w14:paraId="2B3A6885">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2388</w:t>
            </w:r>
          </w:p>
        </w:tc>
        <w:tc>
          <w:tcPr>
            <w:tcW w:w="930" w:type="dxa"/>
            <w:tcBorders>
              <w:top w:val="single" w:color="000000" w:sz="4" w:space="0"/>
              <w:left w:val="single" w:color="000000" w:sz="4" w:space="0"/>
              <w:bottom w:val="single" w:color="000000" w:sz="4" w:space="0"/>
              <w:right w:val="single" w:color="000000" w:sz="4" w:space="0"/>
            </w:tcBorders>
            <w:shd w:val="clear" w:color="000000" w:fill="FFFFFF"/>
            <w:vAlign w:val="center"/>
          </w:tcPr>
          <w:p w14:paraId="712AA9DA">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芯</w:t>
            </w:r>
          </w:p>
        </w:tc>
        <w:tc>
          <w:tcPr>
            <w:tcW w:w="1759" w:type="dxa"/>
            <w:tcBorders>
              <w:top w:val="single" w:color="000000" w:sz="4" w:space="0"/>
              <w:left w:val="single" w:color="000000" w:sz="4" w:space="0"/>
              <w:bottom w:val="single" w:color="000000" w:sz="4" w:space="0"/>
              <w:right w:val="single" w:color="000000" w:sz="4" w:space="0"/>
            </w:tcBorders>
            <w:vAlign w:val="center"/>
          </w:tcPr>
          <w:p w14:paraId="0303B896">
            <w:pPr>
              <w:jc w:val="center"/>
              <w:rPr>
                <w:rFonts w:hint="eastAsia" w:ascii="宋体" w:hAnsi="宋体" w:cs="宋体"/>
                <w:color w:val="auto"/>
                <w:sz w:val="24"/>
                <w:highlight w:val="none"/>
              </w:rPr>
            </w:pPr>
            <w:r>
              <w:rPr>
                <w:rFonts w:hint="eastAsia" w:ascii="宋体" w:hAnsi="宋体" w:cs="宋体"/>
                <w:color w:val="auto"/>
                <w:sz w:val="24"/>
                <w:highlight w:val="none"/>
              </w:rPr>
              <w:t>详见采购需求</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0F2EC">
            <w:pPr>
              <w:spacing w:line="360" w:lineRule="exact"/>
              <w:jc w:val="center"/>
              <w:rPr>
                <w:rFonts w:hint="eastAsia" w:ascii="宋体" w:hAnsi="宋体" w:cs="宋体"/>
                <w:b/>
                <w:bCs/>
                <w:color w:val="auto"/>
                <w:sz w:val="24"/>
                <w:highlight w:val="none"/>
              </w:rPr>
            </w:pPr>
            <w:r>
              <w:rPr>
                <w:rFonts w:hint="eastAsia" w:ascii="宋体" w:hAnsi="宋体" w:cs="宋体"/>
                <w:color w:val="auto"/>
                <w:sz w:val="24"/>
                <w:highlight w:val="none"/>
              </w:rPr>
              <w:t>0.0015</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1D200">
            <w:pPr>
              <w:spacing w:line="360" w:lineRule="exact"/>
              <w:jc w:val="center"/>
              <w:rPr>
                <w:rFonts w:hint="eastAsia" w:ascii="宋体" w:hAnsi="宋体" w:cs="宋体"/>
                <w:b/>
                <w:bCs/>
                <w:color w:val="auto"/>
                <w:sz w:val="24"/>
                <w:highlight w:val="none"/>
              </w:rPr>
            </w:pPr>
            <w:r>
              <w:rPr>
                <w:rFonts w:hint="eastAsia" w:ascii="宋体" w:hAnsi="宋体" w:cs="宋体"/>
                <w:color w:val="auto"/>
                <w:sz w:val="24"/>
                <w:highlight w:val="none"/>
              </w:rPr>
              <w:t>3.582</w:t>
            </w:r>
          </w:p>
        </w:tc>
      </w:tr>
      <w:tr w14:paraId="6B8EE0AA">
        <w:tblPrEx>
          <w:tblCellMar>
            <w:top w:w="0" w:type="dxa"/>
            <w:left w:w="108" w:type="dxa"/>
            <w:bottom w:w="0" w:type="dxa"/>
            <w:right w:w="108" w:type="dxa"/>
          </w:tblCellMar>
        </w:tblPrEx>
        <w:trPr>
          <w:trHeight w:val="90" w:hRule="atLeast"/>
          <w:jc w:val="center"/>
        </w:trPr>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47AD9">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19</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25C96">
            <w:pPr>
              <w:spacing w:line="400" w:lineRule="exact"/>
              <w:jc w:val="center"/>
              <w:rPr>
                <w:rFonts w:hint="eastAsia" w:ascii="宋体" w:hAnsi="宋体" w:cs="宋体"/>
                <w:color w:val="auto"/>
                <w:kern w:val="0"/>
                <w:sz w:val="24"/>
                <w:highlight w:val="none"/>
              </w:rPr>
            </w:pPr>
            <w:r>
              <w:rPr>
                <w:rFonts w:hint="eastAsia" w:ascii="宋体" w:hAnsi="宋体" w:cs="宋体"/>
                <w:color w:val="auto"/>
                <w:sz w:val="24"/>
                <w:highlight w:val="none"/>
              </w:rPr>
              <w:t>12芯光纤终端盒</w:t>
            </w:r>
          </w:p>
        </w:tc>
        <w:tc>
          <w:tcPr>
            <w:tcW w:w="1125" w:type="dxa"/>
            <w:tcBorders>
              <w:top w:val="single" w:color="000000" w:sz="4" w:space="0"/>
              <w:left w:val="single" w:color="000000" w:sz="4" w:space="0"/>
              <w:bottom w:val="single" w:color="000000" w:sz="4" w:space="0"/>
              <w:right w:val="single" w:color="000000" w:sz="4" w:space="0"/>
            </w:tcBorders>
            <w:shd w:val="clear" w:color="000000" w:fill="FFFFFF"/>
            <w:vAlign w:val="center"/>
          </w:tcPr>
          <w:p w14:paraId="0BC806FB">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3</w:t>
            </w:r>
          </w:p>
        </w:tc>
        <w:tc>
          <w:tcPr>
            <w:tcW w:w="930" w:type="dxa"/>
            <w:tcBorders>
              <w:top w:val="single" w:color="000000" w:sz="4" w:space="0"/>
              <w:left w:val="single" w:color="000000" w:sz="4" w:space="0"/>
              <w:bottom w:val="single" w:color="000000" w:sz="4" w:space="0"/>
              <w:right w:val="single" w:color="000000" w:sz="4" w:space="0"/>
            </w:tcBorders>
            <w:shd w:val="clear" w:color="000000" w:fill="FFFFFF"/>
            <w:vAlign w:val="center"/>
          </w:tcPr>
          <w:p w14:paraId="248BB7D3">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个</w:t>
            </w:r>
          </w:p>
        </w:tc>
        <w:tc>
          <w:tcPr>
            <w:tcW w:w="1759" w:type="dxa"/>
            <w:tcBorders>
              <w:top w:val="single" w:color="000000" w:sz="4" w:space="0"/>
              <w:left w:val="single" w:color="000000" w:sz="4" w:space="0"/>
              <w:bottom w:val="single" w:color="000000" w:sz="4" w:space="0"/>
              <w:right w:val="single" w:color="000000" w:sz="4" w:space="0"/>
            </w:tcBorders>
            <w:vAlign w:val="center"/>
          </w:tcPr>
          <w:p w14:paraId="5F23E3F5">
            <w:pPr>
              <w:jc w:val="center"/>
              <w:rPr>
                <w:rFonts w:hint="eastAsia" w:ascii="宋体" w:hAnsi="宋体" w:cs="宋体"/>
                <w:color w:val="auto"/>
                <w:sz w:val="24"/>
                <w:highlight w:val="none"/>
              </w:rPr>
            </w:pPr>
            <w:r>
              <w:rPr>
                <w:rFonts w:hint="eastAsia" w:ascii="宋体" w:hAnsi="宋体" w:cs="宋体"/>
                <w:color w:val="auto"/>
                <w:sz w:val="24"/>
                <w:highlight w:val="none"/>
              </w:rPr>
              <w:t>详见采购需求</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A8791">
            <w:pPr>
              <w:spacing w:line="360" w:lineRule="exact"/>
              <w:jc w:val="center"/>
              <w:rPr>
                <w:rFonts w:hint="eastAsia" w:ascii="宋体" w:hAnsi="宋体" w:cs="宋体"/>
                <w:b/>
                <w:bCs/>
                <w:color w:val="auto"/>
                <w:sz w:val="24"/>
                <w:highlight w:val="none"/>
              </w:rPr>
            </w:pPr>
            <w:r>
              <w:rPr>
                <w:rFonts w:hint="eastAsia" w:ascii="宋体" w:hAnsi="宋体" w:cs="宋体"/>
                <w:color w:val="auto"/>
                <w:sz w:val="24"/>
                <w:highlight w:val="none"/>
              </w:rPr>
              <w:t>0.028</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C48F0">
            <w:pPr>
              <w:spacing w:line="360" w:lineRule="exact"/>
              <w:jc w:val="center"/>
              <w:rPr>
                <w:rFonts w:hint="eastAsia" w:ascii="宋体" w:hAnsi="宋体" w:cs="宋体"/>
                <w:b/>
                <w:bCs/>
                <w:color w:val="auto"/>
                <w:sz w:val="24"/>
                <w:highlight w:val="none"/>
              </w:rPr>
            </w:pPr>
            <w:r>
              <w:rPr>
                <w:rFonts w:hint="eastAsia" w:ascii="宋体" w:hAnsi="宋体" w:cs="宋体"/>
                <w:color w:val="auto"/>
                <w:sz w:val="24"/>
                <w:highlight w:val="none"/>
              </w:rPr>
              <w:t>0.084</w:t>
            </w:r>
          </w:p>
        </w:tc>
      </w:tr>
      <w:tr w14:paraId="5CEB30D6">
        <w:tblPrEx>
          <w:tblCellMar>
            <w:top w:w="0" w:type="dxa"/>
            <w:left w:w="108" w:type="dxa"/>
            <w:bottom w:w="0" w:type="dxa"/>
            <w:right w:w="108" w:type="dxa"/>
          </w:tblCellMar>
        </w:tblPrEx>
        <w:trPr>
          <w:trHeight w:val="90" w:hRule="atLeast"/>
          <w:jc w:val="center"/>
        </w:trPr>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A77CA">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20</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8174C">
            <w:pPr>
              <w:spacing w:line="400" w:lineRule="exact"/>
              <w:jc w:val="center"/>
              <w:rPr>
                <w:rFonts w:hint="eastAsia" w:ascii="宋体" w:hAnsi="宋体" w:cs="宋体"/>
                <w:color w:val="auto"/>
                <w:kern w:val="0"/>
                <w:sz w:val="24"/>
                <w:highlight w:val="none"/>
              </w:rPr>
            </w:pPr>
            <w:r>
              <w:rPr>
                <w:rFonts w:hint="eastAsia" w:ascii="宋体" w:hAnsi="宋体" w:cs="宋体"/>
                <w:color w:val="auto"/>
                <w:sz w:val="24"/>
                <w:highlight w:val="none"/>
              </w:rPr>
              <w:t>壁挂机柜</w:t>
            </w:r>
          </w:p>
        </w:tc>
        <w:tc>
          <w:tcPr>
            <w:tcW w:w="1125" w:type="dxa"/>
            <w:tcBorders>
              <w:top w:val="single" w:color="000000" w:sz="4" w:space="0"/>
              <w:left w:val="single" w:color="000000" w:sz="4" w:space="0"/>
              <w:bottom w:val="single" w:color="000000" w:sz="4" w:space="0"/>
              <w:right w:val="single" w:color="000000" w:sz="4" w:space="0"/>
            </w:tcBorders>
            <w:shd w:val="clear" w:color="000000" w:fill="FFFFFF"/>
            <w:vAlign w:val="center"/>
          </w:tcPr>
          <w:p w14:paraId="3BFC66D3">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3</w:t>
            </w:r>
          </w:p>
        </w:tc>
        <w:tc>
          <w:tcPr>
            <w:tcW w:w="930" w:type="dxa"/>
            <w:tcBorders>
              <w:top w:val="single" w:color="000000" w:sz="4" w:space="0"/>
              <w:left w:val="single" w:color="000000" w:sz="4" w:space="0"/>
              <w:bottom w:val="single" w:color="000000" w:sz="4" w:space="0"/>
              <w:right w:val="single" w:color="000000" w:sz="4" w:space="0"/>
            </w:tcBorders>
            <w:shd w:val="clear" w:color="000000" w:fill="FFFFFF"/>
            <w:vAlign w:val="center"/>
          </w:tcPr>
          <w:p w14:paraId="15A88963">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个</w:t>
            </w:r>
          </w:p>
        </w:tc>
        <w:tc>
          <w:tcPr>
            <w:tcW w:w="1759" w:type="dxa"/>
            <w:tcBorders>
              <w:top w:val="single" w:color="000000" w:sz="4" w:space="0"/>
              <w:left w:val="single" w:color="000000" w:sz="4" w:space="0"/>
              <w:bottom w:val="single" w:color="000000" w:sz="4" w:space="0"/>
              <w:right w:val="single" w:color="000000" w:sz="4" w:space="0"/>
            </w:tcBorders>
            <w:vAlign w:val="center"/>
          </w:tcPr>
          <w:p w14:paraId="0A4468BB">
            <w:pPr>
              <w:jc w:val="center"/>
              <w:rPr>
                <w:rFonts w:hint="eastAsia" w:ascii="宋体" w:hAnsi="宋体" w:cs="宋体"/>
                <w:color w:val="auto"/>
                <w:sz w:val="24"/>
                <w:highlight w:val="none"/>
              </w:rPr>
            </w:pPr>
            <w:r>
              <w:rPr>
                <w:rFonts w:hint="eastAsia" w:ascii="宋体" w:hAnsi="宋体" w:cs="宋体"/>
                <w:color w:val="auto"/>
                <w:sz w:val="24"/>
                <w:highlight w:val="none"/>
              </w:rPr>
              <w:t>详见采购需求</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CF619">
            <w:pPr>
              <w:spacing w:line="360" w:lineRule="exact"/>
              <w:jc w:val="center"/>
              <w:rPr>
                <w:rFonts w:hint="eastAsia" w:ascii="宋体" w:hAnsi="宋体" w:cs="宋体"/>
                <w:b/>
                <w:bCs/>
                <w:color w:val="auto"/>
                <w:sz w:val="24"/>
                <w:highlight w:val="none"/>
              </w:rPr>
            </w:pPr>
            <w:r>
              <w:rPr>
                <w:rFonts w:hint="eastAsia" w:ascii="宋体" w:hAnsi="宋体" w:cs="宋体"/>
                <w:color w:val="auto"/>
                <w:sz w:val="24"/>
                <w:highlight w:val="none"/>
              </w:rPr>
              <w:t>0.125</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1A1AE">
            <w:pPr>
              <w:spacing w:line="360" w:lineRule="exact"/>
              <w:jc w:val="center"/>
              <w:rPr>
                <w:rFonts w:hint="eastAsia" w:ascii="宋体" w:hAnsi="宋体" w:cs="宋体"/>
                <w:b/>
                <w:bCs/>
                <w:color w:val="auto"/>
                <w:sz w:val="24"/>
                <w:highlight w:val="none"/>
              </w:rPr>
            </w:pPr>
            <w:r>
              <w:rPr>
                <w:rFonts w:hint="eastAsia" w:ascii="宋体" w:hAnsi="宋体" w:cs="宋体"/>
                <w:color w:val="auto"/>
                <w:sz w:val="24"/>
                <w:highlight w:val="none"/>
              </w:rPr>
              <w:t>0.375</w:t>
            </w:r>
          </w:p>
        </w:tc>
      </w:tr>
      <w:tr w14:paraId="5BAF50B6">
        <w:tblPrEx>
          <w:tblCellMar>
            <w:top w:w="0" w:type="dxa"/>
            <w:left w:w="108" w:type="dxa"/>
            <w:bottom w:w="0" w:type="dxa"/>
            <w:right w:w="108" w:type="dxa"/>
          </w:tblCellMar>
        </w:tblPrEx>
        <w:trPr>
          <w:trHeight w:val="90" w:hRule="atLeast"/>
          <w:jc w:val="center"/>
        </w:trPr>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54ABA">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21</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B1F1C">
            <w:pPr>
              <w:spacing w:line="400" w:lineRule="exact"/>
              <w:jc w:val="center"/>
              <w:rPr>
                <w:rFonts w:hint="eastAsia" w:ascii="宋体" w:hAnsi="宋体" w:cs="宋体"/>
                <w:color w:val="auto"/>
                <w:kern w:val="0"/>
                <w:sz w:val="24"/>
                <w:highlight w:val="none"/>
              </w:rPr>
            </w:pPr>
            <w:r>
              <w:rPr>
                <w:rFonts w:hint="eastAsia" w:ascii="宋体" w:hAnsi="宋体" w:cs="宋体"/>
                <w:color w:val="auto"/>
                <w:sz w:val="24"/>
                <w:highlight w:val="none"/>
              </w:rPr>
              <w:t>施工耗材</w:t>
            </w:r>
          </w:p>
        </w:tc>
        <w:tc>
          <w:tcPr>
            <w:tcW w:w="1125" w:type="dxa"/>
            <w:tcBorders>
              <w:top w:val="single" w:color="000000" w:sz="4" w:space="0"/>
              <w:left w:val="single" w:color="000000" w:sz="4" w:space="0"/>
              <w:bottom w:val="single" w:color="000000" w:sz="4" w:space="0"/>
              <w:right w:val="single" w:color="000000" w:sz="4" w:space="0"/>
            </w:tcBorders>
            <w:shd w:val="clear" w:color="000000" w:fill="FFFFFF"/>
            <w:vAlign w:val="center"/>
          </w:tcPr>
          <w:p w14:paraId="6BA7BEA4">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1</w:t>
            </w:r>
          </w:p>
        </w:tc>
        <w:tc>
          <w:tcPr>
            <w:tcW w:w="930" w:type="dxa"/>
            <w:tcBorders>
              <w:top w:val="single" w:color="000000" w:sz="4" w:space="0"/>
              <w:left w:val="single" w:color="000000" w:sz="4" w:space="0"/>
              <w:bottom w:val="single" w:color="000000" w:sz="4" w:space="0"/>
              <w:right w:val="single" w:color="000000" w:sz="4" w:space="0"/>
            </w:tcBorders>
            <w:shd w:val="clear" w:color="000000" w:fill="FFFFFF"/>
            <w:vAlign w:val="center"/>
          </w:tcPr>
          <w:p w14:paraId="2CF9B6E7">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项</w:t>
            </w:r>
          </w:p>
        </w:tc>
        <w:tc>
          <w:tcPr>
            <w:tcW w:w="1759" w:type="dxa"/>
            <w:tcBorders>
              <w:top w:val="single" w:color="000000" w:sz="4" w:space="0"/>
              <w:left w:val="single" w:color="000000" w:sz="4" w:space="0"/>
              <w:bottom w:val="single" w:color="000000" w:sz="4" w:space="0"/>
              <w:right w:val="single" w:color="000000" w:sz="4" w:space="0"/>
            </w:tcBorders>
            <w:vAlign w:val="center"/>
          </w:tcPr>
          <w:p w14:paraId="4570BB73">
            <w:pPr>
              <w:jc w:val="center"/>
              <w:rPr>
                <w:rFonts w:hint="eastAsia" w:ascii="宋体" w:hAnsi="宋体" w:cs="宋体"/>
                <w:color w:val="auto"/>
                <w:sz w:val="24"/>
                <w:highlight w:val="none"/>
              </w:rPr>
            </w:pPr>
            <w:r>
              <w:rPr>
                <w:rFonts w:hint="eastAsia" w:ascii="宋体" w:hAnsi="宋体" w:cs="宋体"/>
                <w:color w:val="auto"/>
                <w:sz w:val="24"/>
                <w:highlight w:val="none"/>
              </w:rPr>
              <w:t>详见采购需求</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81696">
            <w:pPr>
              <w:spacing w:line="360" w:lineRule="exact"/>
              <w:jc w:val="center"/>
              <w:rPr>
                <w:rFonts w:hint="eastAsia" w:ascii="宋体" w:hAnsi="宋体" w:cs="宋体"/>
                <w:b/>
                <w:bCs/>
                <w:color w:val="auto"/>
                <w:sz w:val="24"/>
                <w:highlight w:val="none"/>
              </w:rPr>
            </w:pPr>
            <w:r>
              <w:rPr>
                <w:rFonts w:hint="eastAsia" w:ascii="宋体" w:hAnsi="宋体" w:cs="宋体"/>
                <w:color w:val="auto"/>
                <w:sz w:val="24"/>
                <w:highlight w:val="none"/>
              </w:rPr>
              <w:t>2.415</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7840F">
            <w:pPr>
              <w:spacing w:line="360" w:lineRule="exact"/>
              <w:jc w:val="center"/>
              <w:rPr>
                <w:rFonts w:hint="eastAsia" w:ascii="宋体" w:hAnsi="宋体" w:cs="宋体"/>
                <w:b/>
                <w:bCs/>
                <w:color w:val="auto"/>
                <w:sz w:val="24"/>
                <w:highlight w:val="none"/>
              </w:rPr>
            </w:pPr>
            <w:r>
              <w:rPr>
                <w:rFonts w:hint="eastAsia" w:ascii="宋体" w:hAnsi="宋体" w:cs="宋体"/>
                <w:color w:val="auto"/>
                <w:sz w:val="24"/>
                <w:highlight w:val="none"/>
              </w:rPr>
              <w:t>2.415</w:t>
            </w:r>
          </w:p>
        </w:tc>
      </w:tr>
      <w:tr w14:paraId="59FBB41A">
        <w:tblPrEx>
          <w:tblCellMar>
            <w:top w:w="0" w:type="dxa"/>
            <w:left w:w="108" w:type="dxa"/>
            <w:bottom w:w="0" w:type="dxa"/>
            <w:right w:w="108" w:type="dxa"/>
          </w:tblCellMar>
        </w:tblPrEx>
        <w:trPr>
          <w:trHeight w:val="90" w:hRule="atLeast"/>
          <w:jc w:val="center"/>
        </w:trPr>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2F11E">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22</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73D62">
            <w:pPr>
              <w:spacing w:line="400" w:lineRule="exact"/>
              <w:jc w:val="center"/>
              <w:rPr>
                <w:rFonts w:hint="eastAsia" w:ascii="宋体" w:hAnsi="宋体" w:cs="宋体"/>
                <w:color w:val="auto"/>
                <w:kern w:val="0"/>
                <w:sz w:val="24"/>
                <w:highlight w:val="none"/>
              </w:rPr>
            </w:pPr>
            <w:r>
              <w:rPr>
                <w:rFonts w:hint="eastAsia" w:ascii="宋体" w:hAnsi="宋体" w:cs="宋体"/>
                <w:color w:val="auto"/>
                <w:sz w:val="24"/>
                <w:highlight w:val="none"/>
              </w:rPr>
              <w:t>系统集成服务</w:t>
            </w:r>
          </w:p>
        </w:tc>
        <w:tc>
          <w:tcPr>
            <w:tcW w:w="1125" w:type="dxa"/>
            <w:tcBorders>
              <w:top w:val="single" w:color="000000" w:sz="4" w:space="0"/>
              <w:left w:val="single" w:color="000000" w:sz="4" w:space="0"/>
              <w:bottom w:val="single" w:color="000000" w:sz="4" w:space="0"/>
              <w:right w:val="single" w:color="000000" w:sz="4" w:space="0"/>
            </w:tcBorders>
            <w:shd w:val="clear" w:color="000000" w:fill="FFFFFF"/>
            <w:vAlign w:val="center"/>
          </w:tcPr>
          <w:p w14:paraId="0781BF67">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1</w:t>
            </w:r>
          </w:p>
        </w:tc>
        <w:tc>
          <w:tcPr>
            <w:tcW w:w="930" w:type="dxa"/>
            <w:tcBorders>
              <w:top w:val="single" w:color="000000" w:sz="4" w:space="0"/>
              <w:left w:val="single" w:color="000000" w:sz="4" w:space="0"/>
              <w:bottom w:val="single" w:color="000000" w:sz="4" w:space="0"/>
              <w:right w:val="single" w:color="000000" w:sz="4" w:space="0"/>
            </w:tcBorders>
            <w:shd w:val="clear" w:color="000000" w:fill="FFFFFF"/>
            <w:vAlign w:val="center"/>
          </w:tcPr>
          <w:p w14:paraId="075A750C">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项</w:t>
            </w:r>
          </w:p>
        </w:tc>
        <w:tc>
          <w:tcPr>
            <w:tcW w:w="1759" w:type="dxa"/>
            <w:tcBorders>
              <w:top w:val="single" w:color="000000" w:sz="4" w:space="0"/>
              <w:left w:val="single" w:color="000000" w:sz="4" w:space="0"/>
              <w:bottom w:val="single" w:color="000000" w:sz="4" w:space="0"/>
              <w:right w:val="single" w:color="000000" w:sz="4" w:space="0"/>
            </w:tcBorders>
            <w:vAlign w:val="center"/>
          </w:tcPr>
          <w:p w14:paraId="57075B44">
            <w:pPr>
              <w:jc w:val="center"/>
              <w:rPr>
                <w:rFonts w:hint="eastAsia" w:ascii="宋体" w:hAnsi="宋体" w:cs="宋体"/>
                <w:color w:val="auto"/>
                <w:sz w:val="24"/>
                <w:highlight w:val="none"/>
              </w:rPr>
            </w:pPr>
            <w:r>
              <w:rPr>
                <w:rFonts w:hint="eastAsia" w:ascii="宋体" w:hAnsi="宋体" w:cs="宋体"/>
                <w:color w:val="auto"/>
                <w:sz w:val="24"/>
                <w:highlight w:val="none"/>
              </w:rPr>
              <w:t>详见采购需求</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D60B8">
            <w:pPr>
              <w:spacing w:line="360" w:lineRule="exact"/>
              <w:jc w:val="center"/>
              <w:rPr>
                <w:rFonts w:hint="eastAsia" w:ascii="宋体" w:hAnsi="宋体" w:cs="宋体"/>
                <w:b/>
                <w:bCs/>
                <w:color w:val="auto"/>
                <w:sz w:val="24"/>
                <w:highlight w:val="none"/>
              </w:rPr>
            </w:pPr>
            <w:r>
              <w:rPr>
                <w:rFonts w:hint="eastAsia" w:ascii="宋体" w:hAnsi="宋体" w:cs="宋体"/>
                <w:color w:val="auto"/>
                <w:sz w:val="24"/>
                <w:highlight w:val="none"/>
              </w:rPr>
              <w:t>8.2</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CE162">
            <w:pPr>
              <w:spacing w:line="360" w:lineRule="exact"/>
              <w:jc w:val="center"/>
              <w:rPr>
                <w:rFonts w:hint="eastAsia" w:ascii="宋体" w:hAnsi="宋体" w:cs="宋体"/>
                <w:b/>
                <w:bCs/>
                <w:color w:val="auto"/>
                <w:sz w:val="24"/>
                <w:highlight w:val="none"/>
              </w:rPr>
            </w:pPr>
            <w:r>
              <w:rPr>
                <w:rFonts w:hint="eastAsia" w:ascii="宋体" w:hAnsi="宋体" w:cs="宋体"/>
                <w:color w:val="auto"/>
                <w:sz w:val="24"/>
                <w:highlight w:val="none"/>
              </w:rPr>
              <w:t>8.2</w:t>
            </w:r>
          </w:p>
        </w:tc>
      </w:tr>
      <w:tr w14:paraId="3D604F62">
        <w:tblPrEx>
          <w:tblCellMar>
            <w:top w:w="0" w:type="dxa"/>
            <w:left w:w="108" w:type="dxa"/>
            <w:bottom w:w="0" w:type="dxa"/>
            <w:right w:w="108" w:type="dxa"/>
          </w:tblCellMar>
        </w:tblPrEx>
        <w:trPr>
          <w:trHeight w:val="563" w:hRule="atLeast"/>
          <w:jc w:val="center"/>
        </w:trPr>
        <w:tc>
          <w:tcPr>
            <w:tcW w:w="9840" w:type="dxa"/>
            <w:gridSpan w:val="7"/>
            <w:tcBorders>
              <w:top w:val="single" w:color="000000" w:sz="4" w:space="0"/>
              <w:left w:val="single" w:color="000000" w:sz="4" w:space="0"/>
              <w:bottom w:val="single" w:color="000000" w:sz="4" w:space="0"/>
              <w:right w:val="single" w:color="000000" w:sz="4" w:space="0"/>
            </w:tcBorders>
            <w:vAlign w:val="center"/>
          </w:tcPr>
          <w:p w14:paraId="0046F637">
            <w:pPr>
              <w:widowControl/>
              <w:jc w:val="center"/>
              <w:textAlignment w:val="center"/>
              <w:rPr>
                <w:rFonts w:hint="eastAsia" w:ascii="宋体" w:hAnsi="宋体" w:cs="宋体"/>
                <w:color w:val="auto"/>
                <w:sz w:val="24"/>
                <w:highlight w:val="none"/>
              </w:rPr>
            </w:pPr>
            <w:r>
              <w:rPr>
                <w:rFonts w:hint="eastAsia" w:ascii="宋体" w:hAnsi="宋体" w:cs="宋体"/>
                <w:color w:val="auto"/>
                <w:sz w:val="24"/>
                <w:highlight w:val="none"/>
              </w:rPr>
              <w:t>预算合计金额（人民币大写）</w:t>
            </w:r>
            <w:r>
              <w:rPr>
                <w:rFonts w:hint="eastAsia" w:ascii="宋体" w:hAnsi="宋体" w:cs="宋体"/>
                <w:color w:val="auto"/>
                <w:sz w:val="24"/>
                <w:highlight w:val="none"/>
                <w:u w:val="single"/>
              </w:rPr>
              <w:t xml:space="preserve"> 壹佰肆拾陆万柒仟陆佰肆拾柒元整（小写）¥ 1467647.00</w:t>
            </w:r>
          </w:p>
        </w:tc>
      </w:tr>
    </w:tbl>
    <w:p w14:paraId="32D22D4F">
      <w:pPr>
        <w:spacing w:line="360" w:lineRule="auto"/>
        <w:ind w:firstLine="480" w:firstLineChars="200"/>
        <w:rPr>
          <w:rFonts w:hint="eastAsia" w:ascii="宋体" w:hAnsi="宋体" w:cs="宋体"/>
          <w:color w:val="auto"/>
          <w:sz w:val="24"/>
          <w:highlight w:val="none"/>
        </w:rPr>
      </w:pPr>
      <w:r>
        <w:rPr>
          <w:rFonts w:hint="eastAsia" w:ascii="宋体" w:hAnsi="宋体" w:cs="宋体"/>
          <w:bCs/>
          <w:color w:val="auto"/>
          <w:sz w:val="24"/>
          <w:highlight w:val="none"/>
        </w:rPr>
        <w:t>详见采购需求表。</w:t>
      </w:r>
    </w:p>
    <w:p w14:paraId="4420F53C">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合同履行期限：详见采购文件。</w:t>
      </w:r>
    </w:p>
    <w:p w14:paraId="3F6CC7DA">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本标段是否接受联合体：否。</w:t>
      </w:r>
    </w:p>
    <w:p w14:paraId="7FBB7223">
      <w:pPr>
        <w:pStyle w:val="33"/>
        <w:rPr>
          <w:color w:val="auto"/>
          <w:highlight w:val="none"/>
        </w:rPr>
      </w:pPr>
      <w:r>
        <w:rPr>
          <w:rFonts w:hint="eastAsia" w:ascii="宋体" w:hAnsi="宋体" w:cs="宋体"/>
          <w:color w:val="auto"/>
          <w:sz w:val="24"/>
          <w:highlight w:val="none"/>
        </w:rPr>
        <w:t>分标2：东校园部分学生公寓无线网络改造-2</w:t>
      </w:r>
    </w:p>
    <w:tbl>
      <w:tblPr>
        <w:tblStyle w:val="26"/>
        <w:tblW w:w="9840" w:type="dxa"/>
        <w:jc w:val="center"/>
        <w:tblLayout w:type="fixed"/>
        <w:tblCellMar>
          <w:top w:w="0" w:type="dxa"/>
          <w:left w:w="108" w:type="dxa"/>
          <w:bottom w:w="0" w:type="dxa"/>
          <w:right w:w="108" w:type="dxa"/>
        </w:tblCellMar>
      </w:tblPr>
      <w:tblGrid>
        <w:gridCol w:w="1094"/>
        <w:gridCol w:w="2119"/>
        <w:gridCol w:w="1125"/>
        <w:gridCol w:w="930"/>
        <w:gridCol w:w="1738"/>
        <w:gridCol w:w="1417"/>
        <w:gridCol w:w="1417"/>
      </w:tblGrid>
      <w:tr w14:paraId="1B9A1C53">
        <w:tblPrEx>
          <w:tblCellMar>
            <w:top w:w="0" w:type="dxa"/>
            <w:left w:w="108" w:type="dxa"/>
            <w:bottom w:w="0" w:type="dxa"/>
            <w:right w:w="108" w:type="dxa"/>
          </w:tblCellMar>
        </w:tblPrEx>
        <w:trPr>
          <w:trHeight w:val="90" w:hRule="atLeast"/>
          <w:jc w:val="center"/>
        </w:trPr>
        <w:tc>
          <w:tcPr>
            <w:tcW w:w="1094" w:type="dxa"/>
            <w:tcBorders>
              <w:top w:val="single" w:color="000000" w:sz="4" w:space="0"/>
              <w:left w:val="single" w:color="000000" w:sz="4" w:space="0"/>
              <w:bottom w:val="single" w:color="000000" w:sz="4" w:space="0"/>
              <w:right w:val="single" w:color="000000" w:sz="4" w:space="0"/>
            </w:tcBorders>
            <w:vAlign w:val="center"/>
          </w:tcPr>
          <w:p w14:paraId="74586F93">
            <w:pPr>
              <w:widowControl/>
              <w:jc w:val="center"/>
              <w:textAlignment w:val="center"/>
              <w:rPr>
                <w:rFonts w:hint="eastAsia" w:ascii="宋体" w:hAnsi="宋体" w:cs="宋体"/>
                <w:bCs/>
                <w:color w:val="auto"/>
                <w:sz w:val="24"/>
                <w:highlight w:val="none"/>
              </w:rPr>
            </w:pPr>
            <w:r>
              <w:rPr>
                <w:rFonts w:hint="eastAsia" w:ascii="宋体" w:hAnsi="宋体" w:cs="宋体"/>
                <w:bCs/>
                <w:color w:val="auto"/>
                <w:kern w:val="0"/>
                <w:sz w:val="24"/>
                <w:highlight w:val="none"/>
                <w:lang w:bidi="ar"/>
              </w:rPr>
              <w:t>序号</w:t>
            </w:r>
          </w:p>
        </w:tc>
        <w:tc>
          <w:tcPr>
            <w:tcW w:w="2119" w:type="dxa"/>
            <w:tcBorders>
              <w:top w:val="single" w:color="000000" w:sz="4" w:space="0"/>
              <w:left w:val="single" w:color="000000" w:sz="4" w:space="0"/>
              <w:bottom w:val="single" w:color="000000" w:sz="4" w:space="0"/>
              <w:right w:val="single" w:color="000000" w:sz="4" w:space="0"/>
            </w:tcBorders>
            <w:vAlign w:val="center"/>
          </w:tcPr>
          <w:p w14:paraId="199B7FAF">
            <w:pPr>
              <w:widowControl/>
              <w:jc w:val="center"/>
              <w:textAlignment w:val="center"/>
              <w:rPr>
                <w:rFonts w:hint="eastAsia" w:ascii="宋体" w:hAnsi="宋体" w:cs="宋体"/>
                <w:bCs/>
                <w:color w:val="auto"/>
                <w:sz w:val="24"/>
                <w:highlight w:val="none"/>
              </w:rPr>
            </w:pPr>
            <w:r>
              <w:rPr>
                <w:rFonts w:hint="eastAsia" w:ascii="宋体" w:hAnsi="宋体" w:cs="宋体"/>
                <w:bCs/>
                <w:color w:val="auto"/>
                <w:kern w:val="0"/>
                <w:sz w:val="24"/>
                <w:highlight w:val="none"/>
                <w:lang w:bidi="ar"/>
              </w:rPr>
              <w:t>货物名称</w:t>
            </w:r>
          </w:p>
        </w:tc>
        <w:tc>
          <w:tcPr>
            <w:tcW w:w="1125" w:type="dxa"/>
            <w:tcBorders>
              <w:top w:val="single" w:color="000000" w:sz="4" w:space="0"/>
              <w:left w:val="single" w:color="000000" w:sz="4" w:space="0"/>
              <w:bottom w:val="single" w:color="000000" w:sz="4" w:space="0"/>
              <w:right w:val="single" w:color="000000" w:sz="4" w:space="0"/>
            </w:tcBorders>
            <w:vAlign w:val="center"/>
          </w:tcPr>
          <w:p w14:paraId="0533BE71">
            <w:pPr>
              <w:widowControl/>
              <w:jc w:val="center"/>
              <w:textAlignment w:val="center"/>
              <w:rPr>
                <w:rFonts w:hint="eastAsia" w:ascii="宋体" w:hAnsi="宋体" w:cs="宋体"/>
                <w:bCs/>
                <w:color w:val="auto"/>
                <w:sz w:val="24"/>
                <w:highlight w:val="none"/>
              </w:rPr>
            </w:pPr>
            <w:r>
              <w:rPr>
                <w:rFonts w:hint="eastAsia" w:ascii="宋体" w:hAnsi="宋体" w:cs="宋体"/>
                <w:bCs/>
                <w:color w:val="auto"/>
                <w:kern w:val="0"/>
                <w:sz w:val="24"/>
                <w:highlight w:val="none"/>
                <w:lang w:bidi="ar"/>
              </w:rPr>
              <w:t>数量</w:t>
            </w:r>
          </w:p>
        </w:tc>
        <w:tc>
          <w:tcPr>
            <w:tcW w:w="930" w:type="dxa"/>
            <w:tcBorders>
              <w:top w:val="single" w:color="000000" w:sz="4" w:space="0"/>
              <w:left w:val="single" w:color="000000" w:sz="4" w:space="0"/>
              <w:bottom w:val="single" w:color="000000" w:sz="4" w:space="0"/>
              <w:right w:val="single" w:color="000000" w:sz="4" w:space="0"/>
            </w:tcBorders>
            <w:vAlign w:val="center"/>
          </w:tcPr>
          <w:p w14:paraId="356BD921">
            <w:pPr>
              <w:widowControl/>
              <w:jc w:val="center"/>
              <w:textAlignment w:val="center"/>
              <w:rPr>
                <w:rFonts w:hint="eastAsia" w:ascii="宋体" w:hAnsi="宋体" w:cs="宋体"/>
                <w:bCs/>
                <w:color w:val="auto"/>
                <w:sz w:val="24"/>
                <w:highlight w:val="none"/>
              </w:rPr>
            </w:pPr>
            <w:r>
              <w:rPr>
                <w:rFonts w:hint="eastAsia" w:ascii="宋体" w:hAnsi="宋体" w:cs="宋体"/>
                <w:bCs/>
                <w:color w:val="auto"/>
                <w:kern w:val="0"/>
                <w:sz w:val="24"/>
                <w:highlight w:val="none"/>
                <w:lang w:bidi="ar"/>
              </w:rPr>
              <w:t>单位</w:t>
            </w:r>
          </w:p>
        </w:tc>
        <w:tc>
          <w:tcPr>
            <w:tcW w:w="1738" w:type="dxa"/>
            <w:tcBorders>
              <w:top w:val="single" w:color="000000" w:sz="4" w:space="0"/>
              <w:left w:val="single" w:color="000000" w:sz="4" w:space="0"/>
              <w:bottom w:val="single" w:color="000000" w:sz="4" w:space="0"/>
              <w:right w:val="single" w:color="000000" w:sz="4" w:space="0"/>
            </w:tcBorders>
            <w:vAlign w:val="center"/>
          </w:tcPr>
          <w:p w14:paraId="3795F3A7">
            <w:pPr>
              <w:widowControl/>
              <w:jc w:val="center"/>
              <w:textAlignment w:val="center"/>
              <w:rPr>
                <w:rFonts w:hint="eastAsia" w:ascii="宋体" w:hAnsi="宋体" w:cs="宋体"/>
                <w:bCs/>
                <w:color w:val="auto"/>
                <w:sz w:val="24"/>
                <w:highlight w:val="none"/>
              </w:rPr>
            </w:pPr>
            <w:r>
              <w:rPr>
                <w:rFonts w:hint="eastAsia" w:ascii="宋体" w:hAnsi="宋体" w:cs="宋体"/>
                <w:color w:val="auto"/>
                <w:sz w:val="24"/>
                <w:highlight w:val="none"/>
              </w:rPr>
              <w:t>技术需求摘要</w:t>
            </w:r>
          </w:p>
        </w:tc>
        <w:tc>
          <w:tcPr>
            <w:tcW w:w="1417" w:type="dxa"/>
            <w:tcBorders>
              <w:top w:val="single" w:color="000000" w:sz="4" w:space="0"/>
              <w:left w:val="single" w:color="000000" w:sz="4" w:space="0"/>
              <w:bottom w:val="single" w:color="000000" w:sz="4" w:space="0"/>
              <w:right w:val="single" w:color="000000" w:sz="4" w:space="0"/>
            </w:tcBorders>
            <w:vAlign w:val="center"/>
          </w:tcPr>
          <w:p w14:paraId="437F25C9">
            <w:pPr>
              <w:widowControl/>
              <w:jc w:val="center"/>
              <w:textAlignment w:val="center"/>
              <w:rPr>
                <w:rFonts w:hint="eastAsia" w:ascii="宋体" w:hAnsi="宋体" w:cs="宋体"/>
                <w:bCs/>
                <w:color w:val="auto"/>
                <w:sz w:val="24"/>
                <w:highlight w:val="none"/>
              </w:rPr>
            </w:pPr>
            <w:r>
              <w:rPr>
                <w:rFonts w:hint="eastAsia" w:ascii="宋体" w:hAnsi="宋体" w:cs="宋体"/>
                <w:bCs/>
                <w:color w:val="auto"/>
                <w:sz w:val="24"/>
                <w:highlight w:val="none"/>
              </w:rPr>
              <w:t>预算单价（万元/人民币）</w:t>
            </w:r>
          </w:p>
        </w:tc>
        <w:tc>
          <w:tcPr>
            <w:tcW w:w="1417" w:type="dxa"/>
            <w:tcBorders>
              <w:top w:val="single" w:color="000000" w:sz="4" w:space="0"/>
              <w:left w:val="single" w:color="000000" w:sz="4" w:space="0"/>
              <w:bottom w:val="single" w:color="000000" w:sz="4" w:space="0"/>
              <w:right w:val="single" w:color="000000" w:sz="4" w:space="0"/>
            </w:tcBorders>
          </w:tcPr>
          <w:p w14:paraId="5135F951">
            <w:pPr>
              <w:widowControl/>
              <w:jc w:val="center"/>
              <w:textAlignment w:val="center"/>
              <w:rPr>
                <w:rFonts w:hint="eastAsia" w:ascii="宋体" w:hAnsi="宋体" w:cs="宋体"/>
                <w:bCs/>
                <w:color w:val="auto"/>
                <w:sz w:val="24"/>
                <w:highlight w:val="none"/>
              </w:rPr>
            </w:pPr>
            <w:r>
              <w:rPr>
                <w:rFonts w:hint="eastAsia" w:ascii="宋体" w:hAnsi="宋体" w:cs="宋体"/>
                <w:bCs/>
                <w:color w:val="auto"/>
                <w:sz w:val="24"/>
                <w:highlight w:val="none"/>
              </w:rPr>
              <w:t>单项预算合计（万元/人民币）</w:t>
            </w:r>
          </w:p>
        </w:tc>
      </w:tr>
      <w:tr w14:paraId="3463BBD1">
        <w:tblPrEx>
          <w:tblCellMar>
            <w:top w:w="0" w:type="dxa"/>
            <w:left w:w="108" w:type="dxa"/>
            <w:bottom w:w="0" w:type="dxa"/>
            <w:right w:w="108" w:type="dxa"/>
          </w:tblCellMar>
        </w:tblPrEx>
        <w:trPr>
          <w:trHeight w:val="161" w:hRule="atLeast"/>
          <w:jc w:val="center"/>
        </w:trPr>
        <w:tc>
          <w:tcPr>
            <w:tcW w:w="1094" w:type="dxa"/>
            <w:tcBorders>
              <w:top w:val="single" w:color="000000" w:sz="4" w:space="0"/>
              <w:left w:val="single" w:color="000000" w:sz="4" w:space="0"/>
              <w:bottom w:val="single" w:color="000000" w:sz="4" w:space="0"/>
              <w:right w:val="single" w:color="000000" w:sz="4" w:space="0"/>
            </w:tcBorders>
            <w:vAlign w:val="center"/>
          </w:tcPr>
          <w:p w14:paraId="796C248E">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1</w:t>
            </w:r>
          </w:p>
        </w:tc>
        <w:tc>
          <w:tcPr>
            <w:tcW w:w="2119" w:type="dxa"/>
            <w:tcBorders>
              <w:top w:val="single" w:color="000000" w:sz="4" w:space="0"/>
              <w:left w:val="single" w:color="000000" w:sz="4" w:space="0"/>
              <w:bottom w:val="single" w:color="000000" w:sz="4" w:space="0"/>
              <w:right w:val="single" w:color="000000" w:sz="4" w:space="0"/>
            </w:tcBorders>
            <w:vAlign w:val="center"/>
          </w:tcPr>
          <w:p w14:paraId="2739D50D">
            <w:pPr>
              <w:spacing w:line="400" w:lineRule="exact"/>
              <w:jc w:val="center"/>
              <w:rPr>
                <w:rFonts w:hint="eastAsia" w:ascii="宋体" w:hAnsi="宋体" w:cs="宋体"/>
                <w:color w:val="auto"/>
                <w:kern w:val="0"/>
                <w:sz w:val="24"/>
                <w:highlight w:val="none"/>
              </w:rPr>
            </w:pPr>
            <w:r>
              <w:rPr>
                <w:rFonts w:hint="eastAsia" w:ascii="宋体" w:hAnsi="宋体" w:cs="宋体"/>
                <w:color w:val="auto"/>
                <w:sz w:val="24"/>
                <w:highlight w:val="none"/>
              </w:rPr>
              <w:t>XGS PON板卡</w:t>
            </w:r>
          </w:p>
        </w:tc>
        <w:tc>
          <w:tcPr>
            <w:tcW w:w="1125" w:type="dxa"/>
            <w:tcBorders>
              <w:top w:val="single" w:color="000000" w:sz="4" w:space="0"/>
              <w:left w:val="single" w:color="000000" w:sz="4" w:space="0"/>
              <w:bottom w:val="single" w:color="000000" w:sz="4" w:space="0"/>
              <w:right w:val="single" w:color="000000" w:sz="4" w:space="0"/>
            </w:tcBorders>
            <w:vAlign w:val="center"/>
          </w:tcPr>
          <w:p w14:paraId="46383766">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1</w:t>
            </w:r>
          </w:p>
        </w:tc>
        <w:tc>
          <w:tcPr>
            <w:tcW w:w="930" w:type="dxa"/>
            <w:tcBorders>
              <w:top w:val="single" w:color="000000" w:sz="4" w:space="0"/>
              <w:left w:val="single" w:color="000000" w:sz="4" w:space="0"/>
              <w:bottom w:val="single" w:color="000000" w:sz="4" w:space="0"/>
              <w:right w:val="single" w:color="000000" w:sz="4" w:space="0"/>
            </w:tcBorders>
            <w:vAlign w:val="center"/>
          </w:tcPr>
          <w:p w14:paraId="49958CC7">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块</w:t>
            </w:r>
          </w:p>
        </w:tc>
        <w:tc>
          <w:tcPr>
            <w:tcW w:w="1738" w:type="dxa"/>
            <w:tcBorders>
              <w:top w:val="single" w:color="000000" w:sz="4" w:space="0"/>
              <w:left w:val="single" w:color="000000" w:sz="4" w:space="0"/>
              <w:bottom w:val="single" w:color="000000" w:sz="4" w:space="0"/>
              <w:right w:val="single" w:color="000000" w:sz="4" w:space="0"/>
            </w:tcBorders>
            <w:vAlign w:val="center"/>
          </w:tcPr>
          <w:p w14:paraId="3C5FCFF3">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详见采购需求</w:t>
            </w:r>
          </w:p>
        </w:tc>
        <w:tc>
          <w:tcPr>
            <w:tcW w:w="1417" w:type="dxa"/>
            <w:tcBorders>
              <w:top w:val="single" w:color="000000" w:sz="4" w:space="0"/>
              <w:left w:val="single" w:color="000000" w:sz="4" w:space="0"/>
              <w:bottom w:val="single" w:color="000000" w:sz="4" w:space="0"/>
              <w:right w:val="single" w:color="000000" w:sz="4" w:space="0"/>
            </w:tcBorders>
            <w:vAlign w:val="center"/>
          </w:tcPr>
          <w:p w14:paraId="2BCBBBDD">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9.98</w:t>
            </w:r>
          </w:p>
        </w:tc>
        <w:tc>
          <w:tcPr>
            <w:tcW w:w="1417" w:type="dxa"/>
            <w:tcBorders>
              <w:top w:val="single" w:color="000000" w:sz="4" w:space="0"/>
              <w:left w:val="single" w:color="000000" w:sz="4" w:space="0"/>
              <w:bottom w:val="single" w:color="000000" w:sz="4" w:space="0"/>
              <w:right w:val="single" w:color="000000" w:sz="4" w:space="0"/>
            </w:tcBorders>
            <w:vAlign w:val="center"/>
          </w:tcPr>
          <w:p w14:paraId="1D7CECB2">
            <w:pPr>
              <w:spacing w:line="400" w:lineRule="exact"/>
              <w:jc w:val="center"/>
              <w:rPr>
                <w:rFonts w:hint="eastAsia" w:ascii="宋体" w:hAnsi="宋体" w:cs="宋体"/>
                <w:color w:val="auto"/>
                <w:sz w:val="24"/>
                <w:highlight w:val="none"/>
                <w:shd w:val="clear" w:color="auto" w:fill="FFFFFF"/>
              </w:rPr>
            </w:pPr>
            <w:r>
              <w:rPr>
                <w:rFonts w:hint="eastAsia" w:ascii="宋体" w:hAnsi="宋体" w:cs="宋体"/>
                <w:color w:val="auto"/>
                <w:sz w:val="24"/>
                <w:highlight w:val="none"/>
              </w:rPr>
              <w:t>9.98</w:t>
            </w:r>
          </w:p>
        </w:tc>
      </w:tr>
      <w:tr w14:paraId="34FDBEFA">
        <w:tblPrEx>
          <w:tblCellMar>
            <w:top w:w="0" w:type="dxa"/>
            <w:left w:w="108" w:type="dxa"/>
            <w:bottom w:w="0" w:type="dxa"/>
            <w:right w:w="108" w:type="dxa"/>
          </w:tblCellMar>
        </w:tblPrEx>
        <w:trPr>
          <w:trHeight w:val="90" w:hRule="atLeast"/>
          <w:jc w:val="center"/>
        </w:trPr>
        <w:tc>
          <w:tcPr>
            <w:tcW w:w="1094" w:type="dxa"/>
            <w:tcBorders>
              <w:top w:val="single" w:color="000000" w:sz="4" w:space="0"/>
              <w:left w:val="single" w:color="000000" w:sz="4" w:space="0"/>
              <w:bottom w:val="single" w:color="000000" w:sz="4" w:space="0"/>
              <w:right w:val="single" w:color="000000" w:sz="4" w:space="0"/>
            </w:tcBorders>
            <w:vAlign w:val="center"/>
          </w:tcPr>
          <w:p w14:paraId="53225029">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2</w:t>
            </w:r>
          </w:p>
        </w:tc>
        <w:tc>
          <w:tcPr>
            <w:tcW w:w="2119" w:type="dxa"/>
            <w:tcBorders>
              <w:top w:val="single" w:color="000000" w:sz="4" w:space="0"/>
              <w:left w:val="single" w:color="000000" w:sz="4" w:space="0"/>
              <w:bottom w:val="single" w:color="000000" w:sz="4" w:space="0"/>
              <w:right w:val="single" w:color="000000" w:sz="4" w:space="0"/>
            </w:tcBorders>
            <w:vAlign w:val="center"/>
          </w:tcPr>
          <w:p w14:paraId="5320078A">
            <w:pPr>
              <w:spacing w:line="400" w:lineRule="exact"/>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XGS-PON ONU</w:t>
            </w:r>
          </w:p>
        </w:tc>
        <w:tc>
          <w:tcPr>
            <w:tcW w:w="1125" w:type="dxa"/>
            <w:tcBorders>
              <w:top w:val="single" w:color="000000" w:sz="4" w:space="0"/>
              <w:left w:val="single" w:color="000000" w:sz="4" w:space="0"/>
              <w:bottom w:val="single" w:color="000000" w:sz="4" w:space="0"/>
              <w:right w:val="single" w:color="000000" w:sz="4" w:space="0"/>
            </w:tcBorders>
            <w:vAlign w:val="center"/>
          </w:tcPr>
          <w:p w14:paraId="2B88A64B">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543</w:t>
            </w:r>
          </w:p>
        </w:tc>
        <w:tc>
          <w:tcPr>
            <w:tcW w:w="930" w:type="dxa"/>
            <w:tcBorders>
              <w:top w:val="single" w:color="000000" w:sz="4" w:space="0"/>
              <w:left w:val="single" w:color="000000" w:sz="4" w:space="0"/>
              <w:bottom w:val="single" w:color="000000" w:sz="4" w:space="0"/>
              <w:right w:val="single" w:color="000000" w:sz="4" w:space="0"/>
            </w:tcBorders>
            <w:vAlign w:val="center"/>
          </w:tcPr>
          <w:p w14:paraId="281C4DEB">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台</w:t>
            </w:r>
          </w:p>
        </w:tc>
        <w:tc>
          <w:tcPr>
            <w:tcW w:w="1738" w:type="dxa"/>
            <w:tcBorders>
              <w:top w:val="single" w:color="000000" w:sz="4" w:space="0"/>
              <w:left w:val="single" w:color="000000" w:sz="4" w:space="0"/>
              <w:bottom w:val="single" w:color="000000" w:sz="4" w:space="0"/>
              <w:right w:val="single" w:color="000000" w:sz="4" w:space="0"/>
            </w:tcBorders>
            <w:vAlign w:val="center"/>
          </w:tcPr>
          <w:p w14:paraId="519CBCC1">
            <w:pPr>
              <w:jc w:val="center"/>
              <w:rPr>
                <w:rFonts w:hint="eastAsia" w:ascii="宋体" w:hAnsi="宋体" w:cs="宋体"/>
                <w:color w:val="auto"/>
                <w:sz w:val="24"/>
                <w:highlight w:val="none"/>
              </w:rPr>
            </w:pPr>
            <w:r>
              <w:rPr>
                <w:rFonts w:hint="eastAsia" w:ascii="宋体" w:hAnsi="宋体" w:cs="宋体"/>
                <w:color w:val="auto"/>
                <w:sz w:val="24"/>
                <w:highlight w:val="none"/>
              </w:rPr>
              <w:t>详见采购需求</w:t>
            </w:r>
          </w:p>
        </w:tc>
        <w:tc>
          <w:tcPr>
            <w:tcW w:w="1417" w:type="dxa"/>
            <w:tcBorders>
              <w:top w:val="single" w:color="000000" w:sz="4" w:space="0"/>
              <w:left w:val="single" w:color="000000" w:sz="4" w:space="0"/>
              <w:bottom w:val="single" w:color="000000" w:sz="4" w:space="0"/>
              <w:right w:val="single" w:color="000000" w:sz="4" w:space="0"/>
            </w:tcBorders>
            <w:vAlign w:val="center"/>
          </w:tcPr>
          <w:p w14:paraId="0637D718">
            <w:pPr>
              <w:spacing w:line="520" w:lineRule="exact"/>
              <w:jc w:val="center"/>
              <w:rPr>
                <w:rFonts w:hint="eastAsia" w:ascii="宋体" w:hAnsi="宋体" w:cs="宋体"/>
                <w:color w:val="auto"/>
                <w:sz w:val="24"/>
                <w:highlight w:val="none"/>
              </w:rPr>
            </w:pPr>
            <w:r>
              <w:rPr>
                <w:rFonts w:hint="eastAsia" w:ascii="宋体" w:hAnsi="宋体" w:cs="宋体"/>
                <w:bCs/>
                <w:color w:val="auto"/>
                <w:sz w:val="24"/>
                <w:highlight w:val="none"/>
              </w:rPr>
              <w:t>0.099</w:t>
            </w:r>
          </w:p>
        </w:tc>
        <w:tc>
          <w:tcPr>
            <w:tcW w:w="1417" w:type="dxa"/>
            <w:tcBorders>
              <w:top w:val="single" w:color="000000" w:sz="4" w:space="0"/>
              <w:left w:val="single" w:color="000000" w:sz="4" w:space="0"/>
              <w:bottom w:val="single" w:color="000000" w:sz="4" w:space="0"/>
              <w:right w:val="single" w:color="000000" w:sz="4" w:space="0"/>
            </w:tcBorders>
            <w:vAlign w:val="center"/>
          </w:tcPr>
          <w:p w14:paraId="19790DA7">
            <w:pPr>
              <w:spacing w:line="520" w:lineRule="exact"/>
              <w:jc w:val="center"/>
              <w:rPr>
                <w:rFonts w:hint="eastAsia" w:ascii="宋体" w:hAnsi="宋体" w:cs="宋体"/>
                <w:color w:val="auto"/>
                <w:sz w:val="24"/>
                <w:highlight w:val="none"/>
              </w:rPr>
            </w:pPr>
            <w:r>
              <w:rPr>
                <w:rFonts w:hint="eastAsia" w:ascii="宋体" w:hAnsi="宋体" w:cs="宋体"/>
                <w:bCs/>
                <w:color w:val="auto"/>
                <w:sz w:val="24"/>
                <w:highlight w:val="none"/>
              </w:rPr>
              <w:t>53.757</w:t>
            </w:r>
          </w:p>
        </w:tc>
      </w:tr>
      <w:tr w14:paraId="24EC961B">
        <w:tblPrEx>
          <w:tblCellMar>
            <w:top w:w="0" w:type="dxa"/>
            <w:left w:w="108" w:type="dxa"/>
            <w:bottom w:w="0" w:type="dxa"/>
            <w:right w:w="108" w:type="dxa"/>
          </w:tblCellMar>
        </w:tblPrEx>
        <w:trPr>
          <w:trHeight w:val="90" w:hRule="atLeast"/>
          <w:jc w:val="center"/>
        </w:trPr>
        <w:tc>
          <w:tcPr>
            <w:tcW w:w="1094" w:type="dxa"/>
            <w:tcBorders>
              <w:top w:val="single" w:color="000000" w:sz="4" w:space="0"/>
              <w:left w:val="single" w:color="000000" w:sz="4" w:space="0"/>
              <w:bottom w:val="single" w:color="000000" w:sz="4" w:space="0"/>
              <w:right w:val="single" w:color="000000" w:sz="4" w:space="0"/>
            </w:tcBorders>
            <w:vAlign w:val="center"/>
          </w:tcPr>
          <w:p w14:paraId="1C43DB13">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3</w:t>
            </w:r>
          </w:p>
        </w:tc>
        <w:tc>
          <w:tcPr>
            <w:tcW w:w="2119" w:type="dxa"/>
            <w:tcBorders>
              <w:top w:val="single" w:color="000000" w:sz="4" w:space="0"/>
              <w:left w:val="single" w:color="000000" w:sz="4" w:space="0"/>
              <w:bottom w:val="single" w:color="000000" w:sz="4" w:space="0"/>
              <w:right w:val="single" w:color="000000" w:sz="4" w:space="0"/>
            </w:tcBorders>
            <w:vAlign w:val="center"/>
          </w:tcPr>
          <w:p w14:paraId="5DA5AF23">
            <w:pPr>
              <w:spacing w:line="400" w:lineRule="exact"/>
              <w:jc w:val="center"/>
              <w:rPr>
                <w:rFonts w:hint="eastAsia" w:ascii="宋体" w:hAnsi="宋体" w:cs="宋体"/>
                <w:color w:val="auto"/>
                <w:kern w:val="0"/>
                <w:sz w:val="24"/>
                <w:highlight w:val="none"/>
              </w:rPr>
            </w:pPr>
            <w:r>
              <w:rPr>
                <w:rFonts w:hint="eastAsia" w:ascii="宋体" w:hAnsi="宋体" w:cs="宋体"/>
                <w:color w:val="auto"/>
                <w:sz w:val="24"/>
                <w:highlight w:val="none"/>
              </w:rPr>
              <w:t>光分路器</w:t>
            </w:r>
          </w:p>
        </w:tc>
        <w:tc>
          <w:tcPr>
            <w:tcW w:w="1125" w:type="dxa"/>
            <w:tcBorders>
              <w:top w:val="single" w:color="000000" w:sz="4" w:space="0"/>
              <w:left w:val="single" w:color="000000" w:sz="4" w:space="0"/>
              <w:bottom w:val="single" w:color="000000" w:sz="4" w:space="0"/>
              <w:right w:val="single" w:color="000000" w:sz="4" w:space="0"/>
            </w:tcBorders>
            <w:vAlign w:val="center"/>
          </w:tcPr>
          <w:p w14:paraId="46BF4962">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20</w:t>
            </w:r>
          </w:p>
        </w:tc>
        <w:tc>
          <w:tcPr>
            <w:tcW w:w="930" w:type="dxa"/>
            <w:tcBorders>
              <w:top w:val="single" w:color="000000" w:sz="4" w:space="0"/>
              <w:left w:val="single" w:color="000000" w:sz="4" w:space="0"/>
              <w:bottom w:val="single" w:color="000000" w:sz="4" w:space="0"/>
              <w:right w:val="single" w:color="000000" w:sz="4" w:space="0"/>
            </w:tcBorders>
            <w:vAlign w:val="center"/>
          </w:tcPr>
          <w:p w14:paraId="75C296D5">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个</w:t>
            </w:r>
          </w:p>
        </w:tc>
        <w:tc>
          <w:tcPr>
            <w:tcW w:w="1738" w:type="dxa"/>
            <w:tcBorders>
              <w:top w:val="single" w:color="000000" w:sz="4" w:space="0"/>
              <w:left w:val="single" w:color="000000" w:sz="4" w:space="0"/>
              <w:bottom w:val="single" w:color="000000" w:sz="4" w:space="0"/>
              <w:right w:val="single" w:color="000000" w:sz="4" w:space="0"/>
            </w:tcBorders>
            <w:vAlign w:val="center"/>
          </w:tcPr>
          <w:p w14:paraId="5D2A3140">
            <w:pPr>
              <w:jc w:val="center"/>
              <w:rPr>
                <w:rFonts w:hint="eastAsia" w:ascii="宋体" w:hAnsi="宋体" w:cs="宋体"/>
                <w:color w:val="auto"/>
                <w:sz w:val="24"/>
                <w:highlight w:val="none"/>
              </w:rPr>
            </w:pPr>
            <w:r>
              <w:rPr>
                <w:rFonts w:hint="eastAsia" w:ascii="宋体" w:hAnsi="宋体" w:cs="宋体"/>
                <w:color w:val="auto"/>
                <w:sz w:val="24"/>
                <w:highlight w:val="none"/>
              </w:rPr>
              <w:t>详见采购需求</w:t>
            </w:r>
          </w:p>
        </w:tc>
        <w:tc>
          <w:tcPr>
            <w:tcW w:w="1417" w:type="dxa"/>
            <w:tcBorders>
              <w:top w:val="single" w:color="000000" w:sz="4" w:space="0"/>
              <w:left w:val="single" w:color="000000" w:sz="4" w:space="0"/>
              <w:bottom w:val="single" w:color="000000" w:sz="4" w:space="0"/>
              <w:right w:val="single" w:color="000000" w:sz="4" w:space="0"/>
            </w:tcBorders>
            <w:vAlign w:val="center"/>
          </w:tcPr>
          <w:p w14:paraId="75A6FDD9">
            <w:pPr>
              <w:spacing w:line="360" w:lineRule="exact"/>
              <w:jc w:val="center"/>
              <w:rPr>
                <w:rFonts w:hint="eastAsia" w:ascii="宋体" w:hAnsi="宋体" w:cs="宋体"/>
                <w:color w:val="auto"/>
                <w:sz w:val="24"/>
                <w:highlight w:val="none"/>
              </w:rPr>
            </w:pPr>
            <w:r>
              <w:rPr>
                <w:rFonts w:hint="eastAsia" w:ascii="宋体" w:hAnsi="宋体" w:cs="宋体"/>
                <w:color w:val="auto"/>
                <w:sz w:val="24"/>
                <w:highlight w:val="none"/>
              </w:rPr>
              <w:t>0.097</w:t>
            </w:r>
          </w:p>
        </w:tc>
        <w:tc>
          <w:tcPr>
            <w:tcW w:w="1417" w:type="dxa"/>
            <w:tcBorders>
              <w:top w:val="single" w:color="000000" w:sz="4" w:space="0"/>
              <w:left w:val="single" w:color="000000" w:sz="4" w:space="0"/>
              <w:bottom w:val="single" w:color="000000" w:sz="4" w:space="0"/>
              <w:right w:val="single" w:color="000000" w:sz="4" w:space="0"/>
            </w:tcBorders>
            <w:vAlign w:val="center"/>
          </w:tcPr>
          <w:p w14:paraId="63B19074">
            <w:pPr>
              <w:spacing w:line="360" w:lineRule="exact"/>
              <w:jc w:val="center"/>
              <w:rPr>
                <w:rFonts w:hint="eastAsia" w:ascii="宋体" w:hAnsi="宋体" w:cs="宋体"/>
                <w:color w:val="auto"/>
                <w:sz w:val="24"/>
                <w:highlight w:val="none"/>
              </w:rPr>
            </w:pPr>
            <w:r>
              <w:rPr>
                <w:rFonts w:hint="eastAsia" w:ascii="宋体" w:hAnsi="宋体" w:cs="宋体"/>
                <w:color w:val="auto"/>
                <w:sz w:val="24"/>
                <w:highlight w:val="none"/>
              </w:rPr>
              <w:t>1.94</w:t>
            </w:r>
          </w:p>
        </w:tc>
      </w:tr>
      <w:tr w14:paraId="4299E13B">
        <w:tblPrEx>
          <w:tblCellMar>
            <w:top w:w="0" w:type="dxa"/>
            <w:left w:w="108" w:type="dxa"/>
            <w:bottom w:w="0" w:type="dxa"/>
            <w:right w:w="108" w:type="dxa"/>
          </w:tblCellMar>
        </w:tblPrEx>
        <w:trPr>
          <w:trHeight w:val="90" w:hRule="atLeast"/>
          <w:jc w:val="center"/>
        </w:trPr>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2C300">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4</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C230A">
            <w:pPr>
              <w:spacing w:line="400" w:lineRule="exact"/>
              <w:jc w:val="center"/>
              <w:rPr>
                <w:rFonts w:hint="eastAsia" w:ascii="宋体" w:hAnsi="宋体" w:cs="宋体"/>
                <w:color w:val="auto"/>
                <w:kern w:val="0"/>
                <w:sz w:val="24"/>
                <w:highlight w:val="none"/>
              </w:rPr>
            </w:pPr>
            <w:r>
              <w:rPr>
                <w:rFonts w:hint="eastAsia" w:ascii="宋体" w:hAnsi="宋体" w:cs="宋体"/>
                <w:color w:val="auto"/>
                <w:sz w:val="24"/>
                <w:highlight w:val="none"/>
              </w:rPr>
              <w:t>皮线光缆</w:t>
            </w:r>
          </w:p>
        </w:tc>
        <w:tc>
          <w:tcPr>
            <w:tcW w:w="1125" w:type="dxa"/>
            <w:tcBorders>
              <w:top w:val="single" w:color="000000" w:sz="4" w:space="0"/>
              <w:left w:val="single" w:color="000000" w:sz="4" w:space="0"/>
              <w:bottom w:val="single" w:color="000000" w:sz="4" w:space="0"/>
              <w:right w:val="single" w:color="000000" w:sz="4" w:space="0"/>
            </w:tcBorders>
            <w:shd w:val="clear" w:color="000000" w:fill="FFFFFF"/>
            <w:vAlign w:val="center"/>
          </w:tcPr>
          <w:p w14:paraId="773EAFDF">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36800</w:t>
            </w:r>
          </w:p>
        </w:tc>
        <w:tc>
          <w:tcPr>
            <w:tcW w:w="930" w:type="dxa"/>
            <w:tcBorders>
              <w:top w:val="single" w:color="000000" w:sz="4" w:space="0"/>
              <w:left w:val="single" w:color="000000" w:sz="4" w:space="0"/>
              <w:bottom w:val="single" w:color="000000" w:sz="4" w:space="0"/>
              <w:right w:val="single" w:color="000000" w:sz="4" w:space="0"/>
            </w:tcBorders>
            <w:shd w:val="clear" w:color="000000" w:fill="FFFFFF"/>
            <w:vAlign w:val="center"/>
          </w:tcPr>
          <w:p w14:paraId="4CE2969D">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米</w:t>
            </w:r>
          </w:p>
        </w:tc>
        <w:tc>
          <w:tcPr>
            <w:tcW w:w="1738" w:type="dxa"/>
            <w:tcBorders>
              <w:top w:val="single" w:color="000000" w:sz="4" w:space="0"/>
              <w:left w:val="single" w:color="000000" w:sz="4" w:space="0"/>
              <w:bottom w:val="single" w:color="000000" w:sz="4" w:space="0"/>
              <w:right w:val="single" w:color="000000" w:sz="4" w:space="0"/>
            </w:tcBorders>
            <w:vAlign w:val="center"/>
          </w:tcPr>
          <w:p w14:paraId="4B56E4EC">
            <w:pPr>
              <w:jc w:val="center"/>
              <w:rPr>
                <w:rFonts w:hint="eastAsia" w:ascii="宋体" w:hAnsi="宋体" w:cs="宋体"/>
                <w:color w:val="auto"/>
                <w:sz w:val="24"/>
                <w:highlight w:val="none"/>
              </w:rPr>
            </w:pPr>
            <w:r>
              <w:rPr>
                <w:rFonts w:hint="eastAsia" w:ascii="宋体" w:hAnsi="宋体" w:cs="宋体"/>
                <w:color w:val="auto"/>
                <w:sz w:val="24"/>
                <w:highlight w:val="none"/>
              </w:rPr>
              <w:t>详见采购需求</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2365F">
            <w:pPr>
              <w:spacing w:line="360" w:lineRule="exact"/>
              <w:jc w:val="center"/>
              <w:rPr>
                <w:rFonts w:hint="eastAsia" w:ascii="宋体" w:hAnsi="宋体" w:cs="宋体"/>
                <w:b/>
                <w:bCs/>
                <w:color w:val="auto"/>
                <w:sz w:val="24"/>
                <w:highlight w:val="none"/>
              </w:rPr>
            </w:pPr>
            <w:r>
              <w:rPr>
                <w:rFonts w:hint="eastAsia" w:ascii="宋体" w:hAnsi="宋体" w:cs="宋体"/>
                <w:color w:val="auto"/>
                <w:sz w:val="24"/>
                <w:highlight w:val="none"/>
              </w:rPr>
              <w:t>0.00026</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98EDE">
            <w:pPr>
              <w:spacing w:line="360" w:lineRule="exact"/>
              <w:jc w:val="center"/>
              <w:rPr>
                <w:rFonts w:hint="eastAsia" w:ascii="宋体" w:hAnsi="宋体" w:cs="宋体"/>
                <w:b/>
                <w:bCs/>
                <w:color w:val="auto"/>
                <w:sz w:val="24"/>
                <w:highlight w:val="none"/>
              </w:rPr>
            </w:pPr>
            <w:r>
              <w:rPr>
                <w:rFonts w:hint="eastAsia" w:ascii="宋体" w:hAnsi="宋体" w:cs="宋体"/>
                <w:color w:val="auto"/>
                <w:sz w:val="24"/>
                <w:highlight w:val="none"/>
              </w:rPr>
              <w:t>9.568</w:t>
            </w:r>
          </w:p>
        </w:tc>
      </w:tr>
      <w:tr w14:paraId="46EB3AAD">
        <w:tblPrEx>
          <w:tblCellMar>
            <w:top w:w="0" w:type="dxa"/>
            <w:left w:w="108" w:type="dxa"/>
            <w:bottom w:w="0" w:type="dxa"/>
            <w:right w:w="108" w:type="dxa"/>
          </w:tblCellMar>
        </w:tblPrEx>
        <w:trPr>
          <w:trHeight w:val="90" w:hRule="atLeast"/>
          <w:jc w:val="center"/>
        </w:trPr>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8B3C1">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5</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44146">
            <w:pPr>
              <w:spacing w:line="400" w:lineRule="exact"/>
              <w:jc w:val="center"/>
              <w:rPr>
                <w:rFonts w:hint="eastAsia" w:ascii="宋体" w:hAnsi="宋体" w:cs="宋体"/>
                <w:color w:val="auto"/>
                <w:kern w:val="0"/>
                <w:sz w:val="24"/>
                <w:highlight w:val="none"/>
              </w:rPr>
            </w:pPr>
            <w:r>
              <w:rPr>
                <w:rFonts w:hint="eastAsia" w:ascii="宋体" w:hAnsi="宋体" w:cs="宋体"/>
                <w:color w:val="auto"/>
                <w:sz w:val="24"/>
                <w:highlight w:val="none"/>
              </w:rPr>
              <w:t>SC-LC光纤跳线1</w:t>
            </w:r>
          </w:p>
        </w:tc>
        <w:tc>
          <w:tcPr>
            <w:tcW w:w="1125" w:type="dxa"/>
            <w:tcBorders>
              <w:top w:val="single" w:color="000000" w:sz="4" w:space="0"/>
              <w:left w:val="single" w:color="000000" w:sz="4" w:space="0"/>
              <w:bottom w:val="single" w:color="000000" w:sz="4" w:space="0"/>
              <w:right w:val="single" w:color="000000" w:sz="4" w:space="0"/>
            </w:tcBorders>
            <w:shd w:val="clear" w:color="000000" w:fill="FFFFFF"/>
            <w:vAlign w:val="center"/>
          </w:tcPr>
          <w:p w14:paraId="73A6B284">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543</w:t>
            </w:r>
          </w:p>
        </w:tc>
        <w:tc>
          <w:tcPr>
            <w:tcW w:w="930" w:type="dxa"/>
            <w:tcBorders>
              <w:top w:val="single" w:color="000000" w:sz="4" w:space="0"/>
              <w:left w:val="single" w:color="000000" w:sz="4" w:space="0"/>
              <w:bottom w:val="single" w:color="000000" w:sz="4" w:space="0"/>
              <w:right w:val="single" w:color="000000" w:sz="4" w:space="0"/>
            </w:tcBorders>
            <w:shd w:val="clear" w:color="000000" w:fill="FFFFFF"/>
            <w:vAlign w:val="center"/>
          </w:tcPr>
          <w:p w14:paraId="251D5599">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条</w:t>
            </w:r>
          </w:p>
        </w:tc>
        <w:tc>
          <w:tcPr>
            <w:tcW w:w="1738" w:type="dxa"/>
            <w:tcBorders>
              <w:top w:val="single" w:color="000000" w:sz="4" w:space="0"/>
              <w:left w:val="single" w:color="000000" w:sz="4" w:space="0"/>
              <w:bottom w:val="single" w:color="000000" w:sz="4" w:space="0"/>
              <w:right w:val="single" w:color="000000" w:sz="4" w:space="0"/>
            </w:tcBorders>
            <w:vAlign w:val="center"/>
          </w:tcPr>
          <w:p w14:paraId="1316A2B4">
            <w:pPr>
              <w:jc w:val="center"/>
              <w:rPr>
                <w:rFonts w:hint="eastAsia" w:ascii="宋体" w:hAnsi="宋体" w:cs="宋体"/>
                <w:color w:val="auto"/>
                <w:sz w:val="24"/>
                <w:highlight w:val="none"/>
              </w:rPr>
            </w:pPr>
            <w:r>
              <w:rPr>
                <w:rFonts w:hint="eastAsia" w:ascii="宋体" w:hAnsi="宋体" w:cs="宋体"/>
                <w:color w:val="auto"/>
                <w:sz w:val="24"/>
                <w:highlight w:val="none"/>
              </w:rPr>
              <w:t>详见采购需求</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CE47A">
            <w:pPr>
              <w:spacing w:line="360" w:lineRule="exact"/>
              <w:jc w:val="center"/>
              <w:rPr>
                <w:rFonts w:hint="eastAsia" w:ascii="宋体" w:hAnsi="宋体" w:cs="宋体"/>
                <w:b/>
                <w:bCs/>
                <w:color w:val="auto"/>
                <w:sz w:val="24"/>
                <w:highlight w:val="none"/>
              </w:rPr>
            </w:pPr>
            <w:r>
              <w:rPr>
                <w:rFonts w:hint="eastAsia" w:ascii="宋体" w:hAnsi="宋体" w:cs="宋体"/>
                <w:color w:val="auto"/>
                <w:sz w:val="24"/>
                <w:highlight w:val="none"/>
              </w:rPr>
              <w:t>0.0046</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F32C8">
            <w:pPr>
              <w:spacing w:line="360" w:lineRule="exact"/>
              <w:jc w:val="center"/>
              <w:rPr>
                <w:rFonts w:hint="eastAsia" w:ascii="宋体" w:hAnsi="宋体" w:cs="宋体"/>
                <w:b/>
                <w:bCs/>
                <w:color w:val="auto"/>
                <w:sz w:val="24"/>
                <w:highlight w:val="none"/>
              </w:rPr>
            </w:pPr>
            <w:r>
              <w:rPr>
                <w:rFonts w:hint="eastAsia" w:ascii="宋体" w:hAnsi="宋体" w:cs="宋体"/>
                <w:color w:val="auto"/>
                <w:sz w:val="24"/>
                <w:highlight w:val="none"/>
              </w:rPr>
              <w:t>2.4978</w:t>
            </w:r>
          </w:p>
        </w:tc>
      </w:tr>
      <w:tr w14:paraId="2FA4F2CA">
        <w:tblPrEx>
          <w:tblCellMar>
            <w:top w:w="0" w:type="dxa"/>
            <w:left w:w="108" w:type="dxa"/>
            <w:bottom w:w="0" w:type="dxa"/>
            <w:right w:w="108" w:type="dxa"/>
          </w:tblCellMar>
        </w:tblPrEx>
        <w:trPr>
          <w:trHeight w:val="90" w:hRule="atLeast"/>
          <w:jc w:val="center"/>
        </w:trPr>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7549A">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6</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55D95">
            <w:pPr>
              <w:spacing w:line="400" w:lineRule="exact"/>
              <w:jc w:val="center"/>
              <w:rPr>
                <w:rFonts w:hint="eastAsia" w:ascii="宋体" w:hAnsi="宋体" w:cs="宋体"/>
                <w:color w:val="auto"/>
                <w:kern w:val="0"/>
                <w:sz w:val="24"/>
                <w:highlight w:val="none"/>
              </w:rPr>
            </w:pPr>
            <w:r>
              <w:rPr>
                <w:rFonts w:hint="eastAsia" w:ascii="宋体" w:hAnsi="宋体" w:cs="宋体"/>
                <w:color w:val="auto"/>
                <w:sz w:val="24"/>
                <w:highlight w:val="none"/>
              </w:rPr>
              <w:t>SC-LC光纤跳线2</w:t>
            </w:r>
          </w:p>
        </w:tc>
        <w:tc>
          <w:tcPr>
            <w:tcW w:w="1125" w:type="dxa"/>
            <w:tcBorders>
              <w:top w:val="single" w:color="000000" w:sz="4" w:space="0"/>
              <w:left w:val="single" w:color="000000" w:sz="4" w:space="0"/>
              <w:bottom w:val="single" w:color="000000" w:sz="4" w:space="0"/>
              <w:right w:val="single" w:color="000000" w:sz="4" w:space="0"/>
            </w:tcBorders>
            <w:shd w:val="clear" w:color="000000" w:fill="FFFFFF"/>
            <w:vAlign w:val="center"/>
          </w:tcPr>
          <w:p w14:paraId="66ECBBA9">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20</w:t>
            </w:r>
          </w:p>
        </w:tc>
        <w:tc>
          <w:tcPr>
            <w:tcW w:w="930" w:type="dxa"/>
            <w:tcBorders>
              <w:top w:val="single" w:color="000000" w:sz="4" w:space="0"/>
              <w:left w:val="single" w:color="000000" w:sz="4" w:space="0"/>
              <w:bottom w:val="single" w:color="000000" w:sz="4" w:space="0"/>
              <w:right w:val="single" w:color="000000" w:sz="4" w:space="0"/>
            </w:tcBorders>
            <w:shd w:val="clear" w:color="000000" w:fill="FFFFFF"/>
            <w:vAlign w:val="center"/>
          </w:tcPr>
          <w:p w14:paraId="1ED18534">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条</w:t>
            </w:r>
          </w:p>
        </w:tc>
        <w:tc>
          <w:tcPr>
            <w:tcW w:w="1738" w:type="dxa"/>
            <w:tcBorders>
              <w:top w:val="single" w:color="000000" w:sz="4" w:space="0"/>
              <w:left w:val="single" w:color="000000" w:sz="4" w:space="0"/>
              <w:bottom w:val="single" w:color="000000" w:sz="4" w:space="0"/>
              <w:right w:val="single" w:color="000000" w:sz="4" w:space="0"/>
            </w:tcBorders>
            <w:vAlign w:val="center"/>
          </w:tcPr>
          <w:p w14:paraId="3E8F1CAA">
            <w:pPr>
              <w:jc w:val="center"/>
              <w:rPr>
                <w:rFonts w:hint="eastAsia" w:ascii="宋体" w:hAnsi="宋体" w:cs="宋体"/>
                <w:color w:val="auto"/>
                <w:sz w:val="24"/>
                <w:highlight w:val="none"/>
              </w:rPr>
            </w:pPr>
            <w:r>
              <w:rPr>
                <w:rFonts w:hint="eastAsia" w:ascii="宋体" w:hAnsi="宋体" w:cs="宋体"/>
                <w:color w:val="auto"/>
                <w:sz w:val="24"/>
                <w:highlight w:val="none"/>
              </w:rPr>
              <w:t>详见采购需求</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62B57">
            <w:pPr>
              <w:spacing w:line="360" w:lineRule="exact"/>
              <w:jc w:val="center"/>
              <w:rPr>
                <w:rFonts w:hint="eastAsia" w:ascii="宋体" w:hAnsi="宋体" w:cs="宋体"/>
                <w:b/>
                <w:bCs/>
                <w:color w:val="auto"/>
                <w:sz w:val="24"/>
                <w:highlight w:val="none"/>
              </w:rPr>
            </w:pPr>
            <w:r>
              <w:rPr>
                <w:rFonts w:hint="eastAsia" w:ascii="宋体" w:hAnsi="宋体" w:cs="宋体"/>
                <w:color w:val="auto"/>
                <w:sz w:val="24"/>
                <w:highlight w:val="none"/>
              </w:rPr>
              <w:t>0.009</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89F17">
            <w:pPr>
              <w:spacing w:line="360" w:lineRule="exact"/>
              <w:jc w:val="center"/>
              <w:rPr>
                <w:rFonts w:hint="eastAsia" w:ascii="宋体" w:hAnsi="宋体" w:cs="宋体"/>
                <w:b/>
                <w:bCs/>
                <w:color w:val="auto"/>
                <w:sz w:val="24"/>
                <w:highlight w:val="none"/>
              </w:rPr>
            </w:pPr>
            <w:r>
              <w:rPr>
                <w:rFonts w:hint="eastAsia" w:ascii="宋体" w:hAnsi="宋体" w:cs="宋体"/>
                <w:color w:val="auto"/>
                <w:sz w:val="24"/>
                <w:highlight w:val="none"/>
              </w:rPr>
              <w:t>0.18</w:t>
            </w:r>
          </w:p>
        </w:tc>
      </w:tr>
      <w:tr w14:paraId="1195A007">
        <w:tblPrEx>
          <w:tblCellMar>
            <w:top w:w="0" w:type="dxa"/>
            <w:left w:w="108" w:type="dxa"/>
            <w:bottom w:w="0" w:type="dxa"/>
            <w:right w:w="108" w:type="dxa"/>
          </w:tblCellMar>
        </w:tblPrEx>
        <w:trPr>
          <w:trHeight w:val="90" w:hRule="atLeast"/>
          <w:jc w:val="center"/>
        </w:trPr>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71E87">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7</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43625">
            <w:pPr>
              <w:spacing w:line="400" w:lineRule="exact"/>
              <w:jc w:val="center"/>
              <w:rPr>
                <w:rFonts w:hint="eastAsia" w:ascii="宋体" w:hAnsi="宋体" w:cs="宋体"/>
                <w:color w:val="auto"/>
                <w:kern w:val="0"/>
                <w:sz w:val="24"/>
                <w:highlight w:val="none"/>
              </w:rPr>
            </w:pPr>
            <w:r>
              <w:rPr>
                <w:rFonts w:hint="eastAsia" w:ascii="宋体" w:hAnsi="宋体" w:cs="宋体"/>
                <w:color w:val="auto"/>
                <w:sz w:val="24"/>
                <w:highlight w:val="none"/>
              </w:rPr>
              <w:t>FC-FC光纤跳线</w:t>
            </w:r>
          </w:p>
        </w:tc>
        <w:tc>
          <w:tcPr>
            <w:tcW w:w="1125" w:type="dxa"/>
            <w:tcBorders>
              <w:top w:val="single" w:color="000000" w:sz="4" w:space="0"/>
              <w:left w:val="single" w:color="000000" w:sz="4" w:space="0"/>
              <w:bottom w:val="single" w:color="000000" w:sz="4" w:space="0"/>
              <w:right w:val="single" w:color="000000" w:sz="4" w:space="0"/>
            </w:tcBorders>
            <w:shd w:val="clear" w:color="000000" w:fill="FFFFFF"/>
            <w:vAlign w:val="center"/>
          </w:tcPr>
          <w:p w14:paraId="579AE593">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20</w:t>
            </w:r>
          </w:p>
        </w:tc>
        <w:tc>
          <w:tcPr>
            <w:tcW w:w="930" w:type="dxa"/>
            <w:tcBorders>
              <w:top w:val="single" w:color="000000" w:sz="4" w:space="0"/>
              <w:left w:val="single" w:color="000000" w:sz="4" w:space="0"/>
              <w:bottom w:val="single" w:color="000000" w:sz="4" w:space="0"/>
              <w:right w:val="single" w:color="000000" w:sz="4" w:space="0"/>
            </w:tcBorders>
            <w:shd w:val="clear" w:color="000000" w:fill="FFFFFF"/>
            <w:vAlign w:val="center"/>
          </w:tcPr>
          <w:p w14:paraId="15DBD132">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条</w:t>
            </w:r>
          </w:p>
        </w:tc>
        <w:tc>
          <w:tcPr>
            <w:tcW w:w="1738" w:type="dxa"/>
            <w:tcBorders>
              <w:top w:val="single" w:color="000000" w:sz="4" w:space="0"/>
              <w:left w:val="single" w:color="000000" w:sz="4" w:space="0"/>
              <w:bottom w:val="single" w:color="000000" w:sz="4" w:space="0"/>
              <w:right w:val="single" w:color="000000" w:sz="4" w:space="0"/>
            </w:tcBorders>
            <w:vAlign w:val="center"/>
          </w:tcPr>
          <w:p w14:paraId="15813AB9">
            <w:pPr>
              <w:jc w:val="center"/>
              <w:rPr>
                <w:rFonts w:hint="eastAsia" w:ascii="宋体" w:hAnsi="宋体" w:cs="宋体"/>
                <w:color w:val="auto"/>
                <w:sz w:val="24"/>
                <w:highlight w:val="none"/>
              </w:rPr>
            </w:pPr>
            <w:r>
              <w:rPr>
                <w:rFonts w:hint="eastAsia" w:ascii="宋体" w:hAnsi="宋体" w:cs="宋体"/>
                <w:color w:val="auto"/>
                <w:sz w:val="24"/>
                <w:highlight w:val="none"/>
              </w:rPr>
              <w:t>详见采购需求</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2FAF4">
            <w:pPr>
              <w:spacing w:line="360" w:lineRule="exact"/>
              <w:jc w:val="center"/>
              <w:rPr>
                <w:rFonts w:hint="eastAsia" w:ascii="宋体" w:hAnsi="宋体" w:cs="宋体"/>
                <w:b/>
                <w:bCs/>
                <w:color w:val="auto"/>
                <w:sz w:val="24"/>
                <w:highlight w:val="none"/>
              </w:rPr>
            </w:pPr>
            <w:r>
              <w:rPr>
                <w:rFonts w:hint="eastAsia" w:ascii="宋体" w:hAnsi="宋体" w:cs="宋体"/>
                <w:color w:val="auto"/>
                <w:sz w:val="24"/>
                <w:highlight w:val="none"/>
              </w:rPr>
              <w:t>0.005</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42344">
            <w:pPr>
              <w:spacing w:line="360" w:lineRule="exact"/>
              <w:jc w:val="center"/>
              <w:rPr>
                <w:rFonts w:hint="eastAsia" w:ascii="宋体" w:hAnsi="宋体" w:cs="宋体"/>
                <w:b/>
                <w:bCs/>
                <w:color w:val="auto"/>
                <w:sz w:val="24"/>
                <w:highlight w:val="none"/>
              </w:rPr>
            </w:pPr>
            <w:r>
              <w:rPr>
                <w:rFonts w:hint="eastAsia" w:ascii="宋体" w:hAnsi="宋体" w:cs="宋体"/>
                <w:color w:val="auto"/>
                <w:sz w:val="24"/>
                <w:highlight w:val="none"/>
              </w:rPr>
              <w:t>0.1</w:t>
            </w:r>
          </w:p>
        </w:tc>
      </w:tr>
      <w:tr w14:paraId="1F3875C2">
        <w:tblPrEx>
          <w:tblCellMar>
            <w:top w:w="0" w:type="dxa"/>
            <w:left w:w="108" w:type="dxa"/>
            <w:bottom w:w="0" w:type="dxa"/>
            <w:right w:w="108" w:type="dxa"/>
          </w:tblCellMar>
        </w:tblPrEx>
        <w:trPr>
          <w:trHeight w:val="90" w:hRule="atLeast"/>
          <w:jc w:val="center"/>
        </w:trPr>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ACE42">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8</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B2F51">
            <w:pPr>
              <w:spacing w:line="400" w:lineRule="exact"/>
              <w:jc w:val="center"/>
              <w:rPr>
                <w:rFonts w:hint="eastAsia" w:ascii="宋体" w:hAnsi="宋体" w:cs="宋体"/>
                <w:color w:val="auto"/>
                <w:kern w:val="0"/>
                <w:sz w:val="24"/>
                <w:highlight w:val="none"/>
              </w:rPr>
            </w:pPr>
            <w:r>
              <w:rPr>
                <w:rFonts w:hint="eastAsia" w:ascii="宋体" w:hAnsi="宋体" w:cs="宋体"/>
                <w:color w:val="auto"/>
                <w:sz w:val="24"/>
                <w:highlight w:val="none"/>
              </w:rPr>
              <w:t>FC-SC光纤跳线</w:t>
            </w:r>
          </w:p>
        </w:tc>
        <w:tc>
          <w:tcPr>
            <w:tcW w:w="1125" w:type="dxa"/>
            <w:tcBorders>
              <w:top w:val="single" w:color="000000" w:sz="4" w:space="0"/>
              <w:left w:val="single" w:color="000000" w:sz="4" w:space="0"/>
              <w:bottom w:val="single" w:color="000000" w:sz="4" w:space="0"/>
              <w:right w:val="single" w:color="000000" w:sz="4" w:space="0"/>
            </w:tcBorders>
            <w:shd w:val="clear" w:color="000000" w:fill="FFFFFF"/>
            <w:vAlign w:val="center"/>
          </w:tcPr>
          <w:p w14:paraId="79F015B5">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20</w:t>
            </w:r>
          </w:p>
        </w:tc>
        <w:tc>
          <w:tcPr>
            <w:tcW w:w="930" w:type="dxa"/>
            <w:tcBorders>
              <w:top w:val="single" w:color="000000" w:sz="4" w:space="0"/>
              <w:left w:val="single" w:color="000000" w:sz="4" w:space="0"/>
              <w:bottom w:val="single" w:color="000000" w:sz="4" w:space="0"/>
              <w:right w:val="single" w:color="000000" w:sz="4" w:space="0"/>
            </w:tcBorders>
            <w:shd w:val="clear" w:color="000000" w:fill="FFFFFF"/>
            <w:vAlign w:val="center"/>
          </w:tcPr>
          <w:p w14:paraId="5945873C">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条</w:t>
            </w:r>
          </w:p>
        </w:tc>
        <w:tc>
          <w:tcPr>
            <w:tcW w:w="1738" w:type="dxa"/>
            <w:tcBorders>
              <w:top w:val="single" w:color="000000" w:sz="4" w:space="0"/>
              <w:left w:val="single" w:color="000000" w:sz="4" w:space="0"/>
              <w:bottom w:val="single" w:color="000000" w:sz="4" w:space="0"/>
              <w:right w:val="single" w:color="000000" w:sz="4" w:space="0"/>
            </w:tcBorders>
            <w:vAlign w:val="center"/>
          </w:tcPr>
          <w:p w14:paraId="4EB2AE09">
            <w:pPr>
              <w:jc w:val="center"/>
              <w:rPr>
                <w:rFonts w:hint="eastAsia" w:ascii="宋体" w:hAnsi="宋体" w:cs="宋体"/>
                <w:color w:val="auto"/>
                <w:sz w:val="24"/>
                <w:highlight w:val="none"/>
              </w:rPr>
            </w:pPr>
            <w:r>
              <w:rPr>
                <w:rFonts w:hint="eastAsia" w:ascii="宋体" w:hAnsi="宋体" w:cs="宋体"/>
                <w:color w:val="auto"/>
                <w:sz w:val="24"/>
                <w:highlight w:val="none"/>
              </w:rPr>
              <w:t>详见采购需求</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39103">
            <w:pPr>
              <w:spacing w:line="360" w:lineRule="exact"/>
              <w:jc w:val="center"/>
              <w:rPr>
                <w:rFonts w:hint="eastAsia" w:ascii="宋体" w:hAnsi="宋体" w:cs="宋体"/>
                <w:b/>
                <w:bCs/>
                <w:color w:val="auto"/>
                <w:sz w:val="24"/>
                <w:highlight w:val="none"/>
              </w:rPr>
            </w:pPr>
            <w:r>
              <w:rPr>
                <w:rFonts w:hint="eastAsia" w:ascii="宋体" w:hAnsi="宋体" w:cs="宋体"/>
                <w:color w:val="auto"/>
                <w:sz w:val="24"/>
                <w:highlight w:val="none"/>
              </w:rPr>
              <w:t>0.009</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93F63">
            <w:pPr>
              <w:spacing w:line="360" w:lineRule="exact"/>
              <w:jc w:val="center"/>
              <w:rPr>
                <w:rFonts w:hint="eastAsia" w:ascii="宋体" w:hAnsi="宋体" w:cs="宋体"/>
                <w:b/>
                <w:bCs/>
                <w:color w:val="auto"/>
                <w:sz w:val="24"/>
                <w:highlight w:val="none"/>
              </w:rPr>
            </w:pPr>
            <w:r>
              <w:rPr>
                <w:rFonts w:hint="eastAsia" w:ascii="宋体" w:hAnsi="宋体" w:cs="宋体"/>
                <w:color w:val="auto"/>
                <w:sz w:val="24"/>
                <w:highlight w:val="none"/>
              </w:rPr>
              <w:t>0.18</w:t>
            </w:r>
          </w:p>
        </w:tc>
      </w:tr>
      <w:tr w14:paraId="247449A4">
        <w:tblPrEx>
          <w:tblCellMar>
            <w:top w:w="0" w:type="dxa"/>
            <w:left w:w="108" w:type="dxa"/>
            <w:bottom w:w="0" w:type="dxa"/>
            <w:right w:w="108" w:type="dxa"/>
          </w:tblCellMar>
        </w:tblPrEx>
        <w:trPr>
          <w:trHeight w:val="90" w:hRule="atLeast"/>
          <w:jc w:val="center"/>
        </w:trPr>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A9A7C">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9</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364D7">
            <w:pPr>
              <w:spacing w:line="400" w:lineRule="exact"/>
              <w:jc w:val="center"/>
              <w:rPr>
                <w:rFonts w:hint="eastAsia" w:ascii="宋体" w:hAnsi="宋体" w:cs="宋体"/>
                <w:color w:val="auto"/>
                <w:kern w:val="0"/>
                <w:sz w:val="24"/>
                <w:highlight w:val="none"/>
              </w:rPr>
            </w:pPr>
            <w:r>
              <w:rPr>
                <w:rFonts w:hint="eastAsia" w:ascii="宋体" w:hAnsi="宋体" w:cs="宋体"/>
                <w:color w:val="auto"/>
                <w:sz w:val="24"/>
                <w:highlight w:val="none"/>
              </w:rPr>
              <w:t>SC尾纤</w:t>
            </w:r>
          </w:p>
        </w:tc>
        <w:tc>
          <w:tcPr>
            <w:tcW w:w="1125" w:type="dxa"/>
            <w:tcBorders>
              <w:top w:val="single" w:color="000000" w:sz="4" w:space="0"/>
              <w:left w:val="single" w:color="000000" w:sz="4" w:space="0"/>
              <w:bottom w:val="single" w:color="000000" w:sz="4" w:space="0"/>
              <w:right w:val="single" w:color="000000" w:sz="4" w:space="0"/>
            </w:tcBorders>
            <w:shd w:val="clear" w:color="000000" w:fill="FFFFFF"/>
            <w:vAlign w:val="center"/>
          </w:tcPr>
          <w:p w14:paraId="7D69E4FA">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1086</w:t>
            </w:r>
          </w:p>
        </w:tc>
        <w:tc>
          <w:tcPr>
            <w:tcW w:w="930" w:type="dxa"/>
            <w:tcBorders>
              <w:top w:val="single" w:color="000000" w:sz="4" w:space="0"/>
              <w:left w:val="single" w:color="000000" w:sz="4" w:space="0"/>
              <w:bottom w:val="single" w:color="000000" w:sz="4" w:space="0"/>
              <w:right w:val="single" w:color="000000" w:sz="4" w:space="0"/>
            </w:tcBorders>
            <w:shd w:val="clear" w:color="000000" w:fill="FFFFFF"/>
            <w:vAlign w:val="center"/>
          </w:tcPr>
          <w:p w14:paraId="17B0DF55">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条</w:t>
            </w:r>
          </w:p>
        </w:tc>
        <w:tc>
          <w:tcPr>
            <w:tcW w:w="1738" w:type="dxa"/>
            <w:tcBorders>
              <w:top w:val="single" w:color="000000" w:sz="4" w:space="0"/>
              <w:left w:val="single" w:color="000000" w:sz="4" w:space="0"/>
              <w:bottom w:val="single" w:color="000000" w:sz="4" w:space="0"/>
              <w:right w:val="single" w:color="000000" w:sz="4" w:space="0"/>
            </w:tcBorders>
            <w:vAlign w:val="center"/>
          </w:tcPr>
          <w:p w14:paraId="6277A3C9">
            <w:pPr>
              <w:jc w:val="center"/>
              <w:rPr>
                <w:rFonts w:hint="eastAsia" w:ascii="宋体" w:hAnsi="宋体" w:cs="宋体"/>
                <w:color w:val="auto"/>
                <w:sz w:val="24"/>
                <w:highlight w:val="none"/>
              </w:rPr>
            </w:pPr>
            <w:r>
              <w:rPr>
                <w:rFonts w:hint="eastAsia" w:ascii="宋体" w:hAnsi="宋体" w:cs="宋体"/>
                <w:color w:val="auto"/>
                <w:sz w:val="24"/>
                <w:highlight w:val="none"/>
              </w:rPr>
              <w:t>详见采购需求</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EAE90">
            <w:pPr>
              <w:spacing w:line="360" w:lineRule="exact"/>
              <w:jc w:val="center"/>
              <w:rPr>
                <w:rFonts w:hint="eastAsia" w:ascii="宋体" w:hAnsi="宋体" w:cs="宋体"/>
                <w:b/>
                <w:bCs/>
                <w:color w:val="auto"/>
                <w:sz w:val="24"/>
                <w:highlight w:val="none"/>
              </w:rPr>
            </w:pPr>
            <w:r>
              <w:rPr>
                <w:rFonts w:hint="eastAsia" w:ascii="宋体" w:hAnsi="宋体" w:cs="宋体"/>
                <w:color w:val="auto"/>
                <w:sz w:val="24"/>
                <w:highlight w:val="none"/>
              </w:rPr>
              <w:t>0.0025</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E3F89">
            <w:pPr>
              <w:spacing w:line="360" w:lineRule="exact"/>
              <w:jc w:val="center"/>
              <w:rPr>
                <w:rFonts w:hint="eastAsia" w:ascii="宋体" w:hAnsi="宋体" w:cs="宋体"/>
                <w:b/>
                <w:bCs/>
                <w:color w:val="auto"/>
                <w:sz w:val="24"/>
                <w:highlight w:val="none"/>
              </w:rPr>
            </w:pPr>
            <w:r>
              <w:rPr>
                <w:rFonts w:hint="eastAsia" w:ascii="宋体" w:hAnsi="宋体" w:cs="宋体"/>
                <w:color w:val="auto"/>
                <w:sz w:val="24"/>
                <w:highlight w:val="none"/>
              </w:rPr>
              <w:t>2.715</w:t>
            </w:r>
          </w:p>
        </w:tc>
      </w:tr>
      <w:tr w14:paraId="1CEFD3A3">
        <w:tblPrEx>
          <w:tblCellMar>
            <w:top w:w="0" w:type="dxa"/>
            <w:left w:w="108" w:type="dxa"/>
            <w:bottom w:w="0" w:type="dxa"/>
            <w:right w:w="108" w:type="dxa"/>
          </w:tblCellMar>
        </w:tblPrEx>
        <w:trPr>
          <w:trHeight w:val="90" w:hRule="atLeast"/>
          <w:jc w:val="center"/>
        </w:trPr>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E3C02">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10</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54A1A">
            <w:pPr>
              <w:spacing w:line="400" w:lineRule="exact"/>
              <w:jc w:val="center"/>
              <w:rPr>
                <w:rFonts w:hint="eastAsia" w:ascii="宋体" w:hAnsi="宋体" w:cs="宋体"/>
                <w:color w:val="auto"/>
                <w:kern w:val="0"/>
                <w:sz w:val="24"/>
                <w:highlight w:val="none"/>
              </w:rPr>
            </w:pPr>
            <w:r>
              <w:rPr>
                <w:rFonts w:hint="eastAsia" w:ascii="宋体" w:hAnsi="宋体" w:cs="宋体"/>
                <w:color w:val="auto"/>
                <w:sz w:val="24"/>
                <w:highlight w:val="none"/>
              </w:rPr>
              <w:t>48口光纤配线架</w:t>
            </w:r>
          </w:p>
        </w:tc>
        <w:tc>
          <w:tcPr>
            <w:tcW w:w="1125" w:type="dxa"/>
            <w:tcBorders>
              <w:top w:val="single" w:color="000000" w:sz="4" w:space="0"/>
              <w:left w:val="single" w:color="000000" w:sz="4" w:space="0"/>
              <w:bottom w:val="single" w:color="000000" w:sz="4" w:space="0"/>
              <w:right w:val="single" w:color="000000" w:sz="4" w:space="0"/>
            </w:tcBorders>
            <w:shd w:val="clear" w:color="000000" w:fill="FFFFFF"/>
            <w:vAlign w:val="center"/>
          </w:tcPr>
          <w:p w14:paraId="3AE66B96">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13</w:t>
            </w:r>
          </w:p>
        </w:tc>
        <w:tc>
          <w:tcPr>
            <w:tcW w:w="930" w:type="dxa"/>
            <w:tcBorders>
              <w:top w:val="single" w:color="000000" w:sz="4" w:space="0"/>
              <w:left w:val="single" w:color="000000" w:sz="4" w:space="0"/>
              <w:bottom w:val="single" w:color="000000" w:sz="4" w:space="0"/>
              <w:right w:val="single" w:color="000000" w:sz="4" w:space="0"/>
            </w:tcBorders>
            <w:shd w:val="clear" w:color="000000" w:fill="FFFFFF"/>
            <w:vAlign w:val="center"/>
          </w:tcPr>
          <w:p w14:paraId="7355D662">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个</w:t>
            </w:r>
          </w:p>
        </w:tc>
        <w:tc>
          <w:tcPr>
            <w:tcW w:w="1738" w:type="dxa"/>
            <w:tcBorders>
              <w:top w:val="single" w:color="000000" w:sz="4" w:space="0"/>
              <w:left w:val="single" w:color="000000" w:sz="4" w:space="0"/>
              <w:bottom w:val="single" w:color="000000" w:sz="4" w:space="0"/>
              <w:right w:val="single" w:color="000000" w:sz="4" w:space="0"/>
            </w:tcBorders>
            <w:vAlign w:val="center"/>
          </w:tcPr>
          <w:p w14:paraId="48D879AE">
            <w:pPr>
              <w:jc w:val="center"/>
              <w:rPr>
                <w:rFonts w:hint="eastAsia" w:ascii="宋体" w:hAnsi="宋体" w:cs="宋体"/>
                <w:color w:val="auto"/>
                <w:sz w:val="24"/>
                <w:highlight w:val="none"/>
              </w:rPr>
            </w:pPr>
            <w:r>
              <w:rPr>
                <w:rFonts w:hint="eastAsia" w:ascii="宋体" w:hAnsi="宋体" w:cs="宋体"/>
                <w:color w:val="auto"/>
                <w:sz w:val="24"/>
                <w:highlight w:val="none"/>
              </w:rPr>
              <w:t>详见采购需求</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65826">
            <w:pPr>
              <w:spacing w:line="360" w:lineRule="exact"/>
              <w:jc w:val="center"/>
              <w:rPr>
                <w:rFonts w:hint="eastAsia" w:ascii="宋体" w:hAnsi="宋体" w:cs="宋体"/>
                <w:b/>
                <w:bCs/>
                <w:color w:val="auto"/>
                <w:sz w:val="24"/>
                <w:highlight w:val="none"/>
              </w:rPr>
            </w:pPr>
            <w:r>
              <w:rPr>
                <w:rFonts w:hint="eastAsia" w:ascii="宋体" w:hAnsi="宋体" w:cs="宋体"/>
                <w:color w:val="auto"/>
                <w:sz w:val="24"/>
                <w:highlight w:val="none"/>
              </w:rPr>
              <w:t>0.135</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55BE4">
            <w:pPr>
              <w:spacing w:line="360" w:lineRule="exact"/>
              <w:jc w:val="center"/>
              <w:rPr>
                <w:rFonts w:hint="eastAsia" w:ascii="宋体" w:hAnsi="宋体" w:cs="宋体"/>
                <w:b/>
                <w:bCs/>
                <w:color w:val="auto"/>
                <w:sz w:val="24"/>
                <w:highlight w:val="none"/>
              </w:rPr>
            </w:pPr>
            <w:r>
              <w:rPr>
                <w:rFonts w:hint="eastAsia" w:ascii="宋体" w:hAnsi="宋体" w:cs="宋体"/>
                <w:color w:val="auto"/>
                <w:sz w:val="24"/>
                <w:highlight w:val="none"/>
              </w:rPr>
              <w:t>1.755</w:t>
            </w:r>
          </w:p>
        </w:tc>
      </w:tr>
      <w:tr w14:paraId="3A59E64F">
        <w:tblPrEx>
          <w:tblCellMar>
            <w:top w:w="0" w:type="dxa"/>
            <w:left w:w="108" w:type="dxa"/>
            <w:bottom w:w="0" w:type="dxa"/>
            <w:right w:w="108" w:type="dxa"/>
          </w:tblCellMar>
        </w:tblPrEx>
        <w:trPr>
          <w:trHeight w:val="90" w:hRule="atLeast"/>
          <w:jc w:val="center"/>
        </w:trPr>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08448">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11</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14071">
            <w:pPr>
              <w:spacing w:line="400" w:lineRule="exact"/>
              <w:jc w:val="center"/>
              <w:rPr>
                <w:rFonts w:hint="eastAsia" w:ascii="宋体" w:hAnsi="宋体" w:cs="宋体"/>
                <w:color w:val="auto"/>
                <w:kern w:val="0"/>
                <w:sz w:val="24"/>
                <w:highlight w:val="none"/>
              </w:rPr>
            </w:pPr>
            <w:r>
              <w:rPr>
                <w:rFonts w:hint="eastAsia" w:ascii="宋体" w:hAnsi="宋体" w:cs="宋体"/>
                <w:color w:val="auto"/>
                <w:sz w:val="24"/>
                <w:highlight w:val="none"/>
              </w:rPr>
              <w:t>明装ONU盒</w:t>
            </w:r>
          </w:p>
        </w:tc>
        <w:tc>
          <w:tcPr>
            <w:tcW w:w="1125" w:type="dxa"/>
            <w:tcBorders>
              <w:top w:val="single" w:color="000000" w:sz="4" w:space="0"/>
              <w:left w:val="single" w:color="000000" w:sz="4" w:space="0"/>
              <w:bottom w:val="single" w:color="000000" w:sz="4" w:space="0"/>
              <w:right w:val="single" w:color="000000" w:sz="4" w:space="0"/>
            </w:tcBorders>
            <w:shd w:val="clear" w:color="000000" w:fill="FFFFFF"/>
            <w:vAlign w:val="center"/>
          </w:tcPr>
          <w:p w14:paraId="673CE537">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543</w:t>
            </w:r>
          </w:p>
        </w:tc>
        <w:tc>
          <w:tcPr>
            <w:tcW w:w="930" w:type="dxa"/>
            <w:tcBorders>
              <w:top w:val="single" w:color="000000" w:sz="4" w:space="0"/>
              <w:left w:val="single" w:color="000000" w:sz="4" w:space="0"/>
              <w:bottom w:val="single" w:color="000000" w:sz="4" w:space="0"/>
              <w:right w:val="single" w:color="000000" w:sz="4" w:space="0"/>
            </w:tcBorders>
            <w:shd w:val="clear" w:color="000000" w:fill="FFFFFF"/>
            <w:vAlign w:val="center"/>
          </w:tcPr>
          <w:p w14:paraId="5E8243A4">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个</w:t>
            </w:r>
          </w:p>
        </w:tc>
        <w:tc>
          <w:tcPr>
            <w:tcW w:w="1738" w:type="dxa"/>
            <w:tcBorders>
              <w:top w:val="single" w:color="000000" w:sz="4" w:space="0"/>
              <w:left w:val="single" w:color="000000" w:sz="4" w:space="0"/>
              <w:bottom w:val="single" w:color="000000" w:sz="4" w:space="0"/>
              <w:right w:val="single" w:color="000000" w:sz="4" w:space="0"/>
            </w:tcBorders>
            <w:vAlign w:val="center"/>
          </w:tcPr>
          <w:p w14:paraId="09136A66">
            <w:pPr>
              <w:jc w:val="center"/>
              <w:rPr>
                <w:rFonts w:hint="eastAsia" w:ascii="宋体" w:hAnsi="宋体" w:cs="宋体"/>
                <w:color w:val="auto"/>
                <w:sz w:val="24"/>
                <w:highlight w:val="none"/>
              </w:rPr>
            </w:pPr>
            <w:r>
              <w:rPr>
                <w:rFonts w:hint="eastAsia" w:ascii="宋体" w:hAnsi="宋体" w:cs="宋体"/>
                <w:color w:val="auto"/>
                <w:sz w:val="24"/>
                <w:highlight w:val="none"/>
              </w:rPr>
              <w:t>详见采购需求</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DBB17">
            <w:pPr>
              <w:spacing w:line="360" w:lineRule="exact"/>
              <w:jc w:val="center"/>
              <w:rPr>
                <w:rFonts w:hint="eastAsia" w:ascii="宋体" w:hAnsi="宋体" w:cs="宋体"/>
                <w:b/>
                <w:bCs/>
                <w:color w:val="auto"/>
                <w:sz w:val="24"/>
                <w:highlight w:val="none"/>
              </w:rPr>
            </w:pPr>
            <w:r>
              <w:rPr>
                <w:rFonts w:hint="eastAsia" w:ascii="宋体" w:hAnsi="宋体" w:cs="宋体"/>
                <w:color w:val="auto"/>
                <w:sz w:val="24"/>
                <w:highlight w:val="none"/>
              </w:rPr>
              <w:t>0.02</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09E17">
            <w:pPr>
              <w:spacing w:line="360" w:lineRule="exact"/>
              <w:jc w:val="center"/>
              <w:rPr>
                <w:rFonts w:hint="eastAsia" w:ascii="宋体" w:hAnsi="宋体" w:cs="宋体"/>
                <w:b/>
                <w:bCs/>
                <w:color w:val="auto"/>
                <w:sz w:val="24"/>
                <w:highlight w:val="none"/>
              </w:rPr>
            </w:pPr>
            <w:r>
              <w:rPr>
                <w:rFonts w:hint="eastAsia" w:ascii="宋体" w:hAnsi="宋体" w:cs="宋体"/>
                <w:color w:val="auto"/>
                <w:sz w:val="24"/>
                <w:highlight w:val="none"/>
              </w:rPr>
              <w:t>10.86</w:t>
            </w:r>
          </w:p>
        </w:tc>
      </w:tr>
      <w:tr w14:paraId="1896D6B8">
        <w:tblPrEx>
          <w:tblCellMar>
            <w:top w:w="0" w:type="dxa"/>
            <w:left w:w="108" w:type="dxa"/>
            <w:bottom w:w="0" w:type="dxa"/>
            <w:right w:w="108" w:type="dxa"/>
          </w:tblCellMar>
        </w:tblPrEx>
        <w:trPr>
          <w:trHeight w:val="90" w:hRule="atLeast"/>
          <w:jc w:val="center"/>
        </w:trPr>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E9910">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12</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12005">
            <w:pPr>
              <w:spacing w:line="400" w:lineRule="exact"/>
              <w:jc w:val="center"/>
              <w:rPr>
                <w:rFonts w:hint="eastAsia" w:ascii="宋体" w:hAnsi="宋体" w:cs="宋体"/>
                <w:color w:val="auto"/>
                <w:kern w:val="0"/>
                <w:sz w:val="24"/>
                <w:highlight w:val="none"/>
              </w:rPr>
            </w:pPr>
            <w:r>
              <w:rPr>
                <w:rFonts w:hint="eastAsia" w:ascii="宋体" w:hAnsi="宋体" w:cs="宋体"/>
                <w:color w:val="auto"/>
                <w:sz w:val="24"/>
                <w:highlight w:val="none"/>
              </w:rPr>
              <w:t>ONU电源插座</w:t>
            </w:r>
          </w:p>
        </w:tc>
        <w:tc>
          <w:tcPr>
            <w:tcW w:w="1125" w:type="dxa"/>
            <w:tcBorders>
              <w:top w:val="single" w:color="000000" w:sz="4" w:space="0"/>
              <w:left w:val="single" w:color="000000" w:sz="4" w:space="0"/>
              <w:bottom w:val="single" w:color="000000" w:sz="4" w:space="0"/>
              <w:right w:val="single" w:color="000000" w:sz="4" w:space="0"/>
            </w:tcBorders>
            <w:shd w:val="clear" w:color="000000" w:fill="FFFFFF"/>
            <w:vAlign w:val="center"/>
          </w:tcPr>
          <w:p w14:paraId="245904C7">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543</w:t>
            </w:r>
          </w:p>
        </w:tc>
        <w:tc>
          <w:tcPr>
            <w:tcW w:w="930" w:type="dxa"/>
            <w:tcBorders>
              <w:top w:val="single" w:color="000000" w:sz="4" w:space="0"/>
              <w:left w:val="single" w:color="000000" w:sz="4" w:space="0"/>
              <w:bottom w:val="single" w:color="000000" w:sz="4" w:space="0"/>
              <w:right w:val="single" w:color="000000" w:sz="4" w:space="0"/>
            </w:tcBorders>
            <w:shd w:val="clear" w:color="000000" w:fill="FFFFFF"/>
            <w:vAlign w:val="center"/>
          </w:tcPr>
          <w:p w14:paraId="2540F50A">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个</w:t>
            </w:r>
          </w:p>
        </w:tc>
        <w:tc>
          <w:tcPr>
            <w:tcW w:w="1738" w:type="dxa"/>
            <w:tcBorders>
              <w:top w:val="single" w:color="000000" w:sz="4" w:space="0"/>
              <w:left w:val="single" w:color="000000" w:sz="4" w:space="0"/>
              <w:bottom w:val="single" w:color="000000" w:sz="4" w:space="0"/>
              <w:right w:val="single" w:color="000000" w:sz="4" w:space="0"/>
            </w:tcBorders>
            <w:vAlign w:val="center"/>
          </w:tcPr>
          <w:p w14:paraId="4296C096">
            <w:pPr>
              <w:jc w:val="center"/>
              <w:rPr>
                <w:rFonts w:hint="eastAsia" w:ascii="宋体" w:hAnsi="宋体" w:cs="宋体"/>
                <w:color w:val="auto"/>
                <w:sz w:val="24"/>
                <w:highlight w:val="none"/>
              </w:rPr>
            </w:pPr>
            <w:r>
              <w:rPr>
                <w:rFonts w:hint="eastAsia" w:ascii="宋体" w:hAnsi="宋体" w:cs="宋体"/>
                <w:color w:val="auto"/>
                <w:sz w:val="24"/>
                <w:highlight w:val="none"/>
              </w:rPr>
              <w:t>详见采购需求</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E4DE8">
            <w:pPr>
              <w:spacing w:line="360" w:lineRule="exact"/>
              <w:jc w:val="center"/>
              <w:rPr>
                <w:rFonts w:hint="eastAsia" w:ascii="宋体" w:hAnsi="宋体" w:cs="宋体"/>
                <w:b/>
                <w:bCs/>
                <w:color w:val="auto"/>
                <w:sz w:val="24"/>
                <w:highlight w:val="none"/>
              </w:rPr>
            </w:pPr>
            <w:r>
              <w:rPr>
                <w:rFonts w:hint="eastAsia" w:ascii="宋体" w:hAnsi="宋体" w:cs="宋体"/>
                <w:color w:val="auto"/>
                <w:sz w:val="24"/>
                <w:highlight w:val="none"/>
              </w:rPr>
              <w:t>0.0015</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F5DBD">
            <w:pPr>
              <w:spacing w:line="360" w:lineRule="exact"/>
              <w:jc w:val="center"/>
              <w:rPr>
                <w:rFonts w:hint="eastAsia" w:ascii="宋体" w:hAnsi="宋体" w:cs="宋体"/>
                <w:b/>
                <w:bCs/>
                <w:color w:val="auto"/>
                <w:sz w:val="24"/>
                <w:highlight w:val="none"/>
              </w:rPr>
            </w:pPr>
            <w:r>
              <w:rPr>
                <w:rFonts w:hint="eastAsia" w:ascii="宋体" w:hAnsi="宋体" w:cs="宋体"/>
                <w:color w:val="auto"/>
                <w:sz w:val="24"/>
                <w:highlight w:val="none"/>
              </w:rPr>
              <w:t>0.8145</w:t>
            </w:r>
          </w:p>
        </w:tc>
      </w:tr>
      <w:tr w14:paraId="26FF827B">
        <w:tblPrEx>
          <w:tblCellMar>
            <w:top w:w="0" w:type="dxa"/>
            <w:left w:w="108" w:type="dxa"/>
            <w:bottom w:w="0" w:type="dxa"/>
            <w:right w:w="108" w:type="dxa"/>
          </w:tblCellMar>
        </w:tblPrEx>
        <w:trPr>
          <w:trHeight w:val="90" w:hRule="atLeast"/>
          <w:jc w:val="center"/>
        </w:trPr>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39C71">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13</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00B8A">
            <w:pPr>
              <w:spacing w:line="400" w:lineRule="exact"/>
              <w:jc w:val="center"/>
              <w:rPr>
                <w:rFonts w:hint="eastAsia" w:ascii="宋体" w:hAnsi="宋体" w:cs="宋体"/>
                <w:color w:val="auto"/>
                <w:kern w:val="0"/>
                <w:sz w:val="24"/>
                <w:highlight w:val="none"/>
              </w:rPr>
            </w:pPr>
            <w:r>
              <w:rPr>
                <w:rFonts w:hint="eastAsia" w:ascii="宋体" w:hAnsi="宋体" w:cs="宋体"/>
                <w:color w:val="auto"/>
                <w:sz w:val="24"/>
                <w:highlight w:val="none"/>
              </w:rPr>
              <w:t>双口信息面板</w:t>
            </w:r>
          </w:p>
        </w:tc>
        <w:tc>
          <w:tcPr>
            <w:tcW w:w="1125" w:type="dxa"/>
            <w:tcBorders>
              <w:top w:val="single" w:color="000000" w:sz="4" w:space="0"/>
              <w:left w:val="single" w:color="000000" w:sz="4" w:space="0"/>
              <w:bottom w:val="single" w:color="000000" w:sz="4" w:space="0"/>
              <w:right w:val="single" w:color="000000" w:sz="4" w:space="0"/>
            </w:tcBorders>
            <w:shd w:val="clear" w:color="000000" w:fill="FFFFFF"/>
            <w:vAlign w:val="center"/>
          </w:tcPr>
          <w:p w14:paraId="05412649">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1086</w:t>
            </w:r>
          </w:p>
        </w:tc>
        <w:tc>
          <w:tcPr>
            <w:tcW w:w="930" w:type="dxa"/>
            <w:tcBorders>
              <w:top w:val="single" w:color="000000" w:sz="4" w:space="0"/>
              <w:left w:val="single" w:color="000000" w:sz="4" w:space="0"/>
              <w:bottom w:val="single" w:color="000000" w:sz="4" w:space="0"/>
              <w:right w:val="single" w:color="000000" w:sz="4" w:space="0"/>
            </w:tcBorders>
            <w:shd w:val="clear" w:color="000000" w:fill="FFFFFF"/>
            <w:vAlign w:val="center"/>
          </w:tcPr>
          <w:p w14:paraId="1E575AE3">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套</w:t>
            </w:r>
          </w:p>
        </w:tc>
        <w:tc>
          <w:tcPr>
            <w:tcW w:w="1738" w:type="dxa"/>
            <w:tcBorders>
              <w:top w:val="single" w:color="000000" w:sz="4" w:space="0"/>
              <w:left w:val="single" w:color="000000" w:sz="4" w:space="0"/>
              <w:bottom w:val="single" w:color="000000" w:sz="4" w:space="0"/>
              <w:right w:val="single" w:color="000000" w:sz="4" w:space="0"/>
            </w:tcBorders>
            <w:vAlign w:val="center"/>
          </w:tcPr>
          <w:p w14:paraId="01D6A9F1">
            <w:pPr>
              <w:jc w:val="center"/>
              <w:rPr>
                <w:rFonts w:hint="eastAsia" w:ascii="宋体" w:hAnsi="宋体" w:cs="宋体"/>
                <w:color w:val="auto"/>
                <w:sz w:val="24"/>
                <w:highlight w:val="none"/>
              </w:rPr>
            </w:pPr>
            <w:r>
              <w:rPr>
                <w:rFonts w:hint="eastAsia" w:ascii="宋体" w:hAnsi="宋体" w:cs="宋体"/>
                <w:color w:val="auto"/>
                <w:sz w:val="24"/>
                <w:highlight w:val="none"/>
              </w:rPr>
              <w:t>详见采购需求</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140A9">
            <w:pPr>
              <w:spacing w:line="360" w:lineRule="exact"/>
              <w:jc w:val="center"/>
              <w:rPr>
                <w:rFonts w:hint="eastAsia" w:ascii="宋体" w:hAnsi="宋体" w:cs="宋体"/>
                <w:b/>
                <w:bCs/>
                <w:color w:val="auto"/>
                <w:sz w:val="24"/>
                <w:highlight w:val="none"/>
              </w:rPr>
            </w:pPr>
            <w:r>
              <w:rPr>
                <w:rFonts w:hint="eastAsia" w:ascii="宋体" w:hAnsi="宋体" w:cs="宋体"/>
                <w:color w:val="auto"/>
                <w:sz w:val="24"/>
                <w:highlight w:val="none"/>
              </w:rPr>
              <w:t>0.0055</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9F720">
            <w:pPr>
              <w:spacing w:line="360" w:lineRule="exact"/>
              <w:jc w:val="center"/>
              <w:rPr>
                <w:rFonts w:hint="eastAsia" w:ascii="宋体" w:hAnsi="宋体" w:cs="宋体"/>
                <w:b/>
                <w:bCs/>
                <w:color w:val="auto"/>
                <w:sz w:val="24"/>
                <w:highlight w:val="none"/>
              </w:rPr>
            </w:pPr>
            <w:r>
              <w:rPr>
                <w:rFonts w:hint="eastAsia" w:ascii="宋体" w:hAnsi="宋体" w:cs="宋体"/>
                <w:color w:val="auto"/>
                <w:sz w:val="24"/>
                <w:highlight w:val="none"/>
              </w:rPr>
              <w:t>5.973</w:t>
            </w:r>
          </w:p>
        </w:tc>
      </w:tr>
      <w:tr w14:paraId="4E70D6E7">
        <w:tblPrEx>
          <w:tblCellMar>
            <w:top w:w="0" w:type="dxa"/>
            <w:left w:w="108" w:type="dxa"/>
            <w:bottom w:w="0" w:type="dxa"/>
            <w:right w:w="108" w:type="dxa"/>
          </w:tblCellMar>
        </w:tblPrEx>
        <w:trPr>
          <w:trHeight w:val="90" w:hRule="atLeast"/>
          <w:jc w:val="center"/>
        </w:trPr>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056DA">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14</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05A49">
            <w:pPr>
              <w:spacing w:line="400" w:lineRule="exact"/>
              <w:jc w:val="center"/>
              <w:rPr>
                <w:rFonts w:hint="eastAsia" w:ascii="宋体" w:hAnsi="宋体" w:cs="宋体"/>
                <w:color w:val="auto"/>
                <w:kern w:val="0"/>
                <w:sz w:val="24"/>
                <w:highlight w:val="none"/>
              </w:rPr>
            </w:pPr>
            <w:r>
              <w:rPr>
                <w:rFonts w:hint="eastAsia" w:ascii="宋体" w:hAnsi="宋体" w:cs="宋体"/>
                <w:color w:val="auto"/>
                <w:sz w:val="24"/>
                <w:highlight w:val="none"/>
              </w:rPr>
              <w:t>ONU供电线缆</w:t>
            </w:r>
          </w:p>
        </w:tc>
        <w:tc>
          <w:tcPr>
            <w:tcW w:w="1125" w:type="dxa"/>
            <w:tcBorders>
              <w:top w:val="single" w:color="000000" w:sz="4" w:space="0"/>
              <w:left w:val="single" w:color="000000" w:sz="4" w:space="0"/>
              <w:bottom w:val="single" w:color="000000" w:sz="4" w:space="0"/>
              <w:right w:val="single" w:color="000000" w:sz="4" w:space="0"/>
            </w:tcBorders>
            <w:shd w:val="clear" w:color="000000" w:fill="FFFFFF"/>
            <w:vAlign w:val="center"/>
          </w:tcPr>
          <w:p w14:paraId="1EF696FB">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4300</w:t>
            </w:r>
          </w:p>
        </w:tc>
        <w:tc>
          <w:tcPr>
            <w:tcW w:w="930" w:type="dxa"/>
            <w:tcBorders>
              <w:top w:val="single" w:color="000000" w:sz="4" w:space="0"/>
              <w:left w:val="single" w:color="000000" w:sz="4" w:space="0"/>
              <w:bottom w:val="single" w:color="000000" w:sz="4" w:space="0"/>
              <w:right w:val="single" w:color="000000" w:sz="4" w:space="0"/>
            </w:tcBorders>
            <w:shd w:val="clear" w:color="000000" w:fill="FFFFFF"/>
            <w:vAlign w:val="center"/>
          </w:tcPr>
          <w:p w14:paraId="6FDBEEAE">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米</w:t>
            </w:r>
          </w:p>
        </w:tc>
        <w:tc>
          <w:tcPr>
            <w:tcW w:w="1738" w:type="dxa"/>
            <w:tcBorders>
              <w:top w:val="single" w:color="000000" w:sz="4" w:space="0"/>
              <w:left w:val="single" w:color="000000" w:sz="4" w:space="0"/>
              <w:bottom w:val="single" w:color="000000" w:sz="4" w:space="0"/>
              <w:right w:val="single" w:color="000000" w:sz="4" w:space="0"/>
            </w:tcBorders>
            <w:vAlign w:val="center"/>
          </w:tcPr>
          <w:p w14:paraId="28E2CCC2">
            <w:pPr>
              <w:jc w:val="center"/>
              <w:rPr>
                <w:rFonts w:hint="eastAsia" w:ascii="宋体" w:hAnsi="宋体" w:cs="宋体"/>
                <w:color w:val="auto"/>
                <w:sz w:val="24"/>
                <w:highlight w:val="none"/>
              </w:rPr>
            </w:pPr>
            <w:r>
              <w:rPr>
                <w:rFonts w:hint="eastAsia" w:ascii="宋体" w:hAnsi="宋体" w:cs="宋体"/>
                <w:color w:val="auto"/>
                <w:sz w:val="24"/>
                <w:highlight w:val="none"/>
              </w:rPr>
              <w:t>详见采购需求</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5C983">
            <w:pPr>
              <w:spacing w:line="360" w:lineRule="exact"/>
              <w:jc w:val="center"/>
              <w:rPr>
                <w:rFonts w:hint="eastAsia" w:ascii="宋体" w:hAnsi="宋体" w:cs="宋体"/>
                <w:b/>
                <w:bCs/>
                <w:color w:val="auto"/>
                <w:sz w:val="24"/>
                <w:highlight w:val="none"/>
              </w:rPr>
            </w:pPr>
            <w:r>
              <w:rPr>
                <w:rFonts w:hint="eastAsia" w:ascii="宋体" w:hAnsi="宋体" w:cs="宋体"/>
                <w:color w:val="auto"/>
                <w:sz w:val="24"/>
                <w:highlight w:val="none"/>
              </w:rPr>
              <w:t>0.00036</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4ED42">
            <w:pPr>
              <w:spacing w:line="360" w:lineRule="exact"/>
              <w:jc w:val="center"/>
              <w:rPr>
                <w:rFonts w:hint="eastAsia" w:ascii="宋体" w:hAnsi="宋体" w:cs="宋体"/>
                <w:b/>
                <w:bCs/>
                <w:color w:val="auto"/>
                <w:sz w:val="24"/>
                <w:highlight w:val="none"/>
              </w:rPr>
            </w:pPr>
            <w:r>
              <w:rPr>
                <w:rFonts w:hint="eastAsia" w:ascii="宋体" w:hAnsi="宋体" w:cs="宋体"/>
                <w:color w:val="auto"/>
                <w:sz w:val="24"/>
                <w:highlight w:val="none"/>
              </w:rPr>
              <w:t>1.548</w:t>
            </w:r>
          </w:p>
        </w:tc>
      </w:tr>
      <w:tr w14:paraId="0F1C3DF2">
        <w:tblPrEx>
          <w:tblCellMar>
            <w:top w:w="0" w:type="dxa"/>
            <w:left w:w="108" w:type="dxa"/>
            <w:bottom w:w="0" w:type="dxa"/>
            <w:right w:w="108" w:type="dxa"/>
          </w:tblCellMar>
        </w:tblPrEx>
        <w:trPr>
          <w:trHeight w:val="90" w:hRule="atLeast"/>
          <w:jc w:val="center"/>
        </w:trPr>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FE804">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15</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2A68B">
            <w:pPr>
              <w:spacing w:line="400" w:lineRule="exact"/>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光纤测试</w:t>
            </w:r>
          </w:p>
        </w:tc>
        <w:tc>
          <w:tcPr>
            <w:tcW w:w="1125" w:type="dxa"/>
            <w:tcBorders>
              <w:top w:val="single" w:color="000000" w:sz="4" w:space="0"/>
              <w:left w:val="single" w:color="000000" w:sz="4" w:space="0"/>
              <w:bottom w:val="single" w:color="000000" w:sz="4" w:space="0"/>
              <w:right w:val="single" w:color="000000" w:sz="4" w:space="0"/>
            </w:tcBorders>
            <w:shd w:val="clear" w:color="000000" w:fill="FFFFFF"/>
            <w:vAlign w:val="center"/>
          </w:tcPr>
          <w:p w14:paraId="16AD6C0A">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1166</w:t>
            </w:r>
          </w:p>
        </w:tc>
        <w:tc>
          <w:tcPr>
            <w:tcW w:w="930" w:type="dxa"/>
            <w:tcBorders>
              <w:top w:val="single" w:color="000000" w:sz="4" w:space="0"/>
              <w:left w:val="single" w:color="000000" w:sz="4" w:space="0"/>
              <w:bottom w:val="single" w:color="000000" w:sz="4" w:space="0"/>
              <w:right w:val="single" w:color="000000" w:sz="4" w:space="0"/>
            </w:tcBorders>
            <w:shd w:val="clear" w:color="000000" w:fill="FFFFFF"/>
            <w:vAlign w:val="center"/>
          </w:tcPr>
          <w:p w14:paraId="4934C768">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链路</w:t>
            </w:r>
          </w:p>
        </w:tc>
        <w:tc>
          <w:tcPr>
            <w:tcW w:w="1738" w:type="dxa"/>
            <w:tcBorders>
              <w:top w:val="single" w:color="000000" w:sz="4" w:space="0"/>
              <w:left w:val="single" w:color="000000" w:sz="4" w:space="0"/>
              <w:bottom w:val="single" w:color="000000" w:sz="4" w:space="0"/>
              <w:right w:val="single" w:color="000000" w:sz="4" w:space="0"/>
            </w:tcBorders>
            <w:vAlign w:val="center"/>
          </w:tcPr>
          <w:p w14:paraId="7ADCD7B5">
            <w:pPr>
              <w:jc w:val="center"/>
              <w:rPr>
                <w:rFonts w:hint="eastAsia" w:ascii="宋体" w:hAnsi="宋体" w:cs="宋体"/>
                <w:color w:val="auto"/>
                <w:sz w:val="24"/>
                <w:highlight w:val="none"/>
              </w:rPr>
            </w:pPr>
            <w:r>
              <w:rPr>
                <w:rFonts w:hint="eastAsia" w:ascii="宋体" w:hAnsi="宋体" w:cs="宋体"/>
                <w:color w:val="auto"/>
                <w:sz w:val="24"/>
                <w:highlight w:val="none"/>
              </w:rPr>
              <w:t>详见采购需求</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33486">
            <w:pPr>
              <w:spacing w:line="360" w:lineRule="exact"/>
              <w:jc w:val="center"/>
              <w:rPr>
                <w:rFonts w:hint="eastAsia" w:ascii="宋体" w:hAnsi="宋体" w:cs="宋体"/>
                <w:b/>
                <w:bCs/>
                <w:color w:val="auto"/>
                <w:sz w:val="24"/>
                <w:highlight w:val="none"/>
              </w:rPr>
            </w:pPr>
            <w:r>
              <w:rPr>
                <w:rFonts w:hint="eastAsia" w:ascii="宋体" w:hAnsi="宋体" w:cs="宋体"/>
                <w:color w:val="auto"/>
                <w:sz w:val="24"/>
                <w:highlight w:val="none"/>
              </w:rPr>
              <w:t>0.0015</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21CFA">
            <w:pPr>
              <w:spacing w:line="360" w:lineRule="exact"/>
              <w:jc w:val="center"/>
              <w:rPr>
                <w:rFonts w:hint="eastAsia" w:ascii="宋体" w:hAnsi="宋体" w:cs="宋体"/>
                <w:b/>
                <w:bCs/>
                <w:color w:val="auto"/>
                <w:sz w:val="24"/>
                <w:highlight w:val="none"/>
              </w:rPr>
            </w:pPr>
            <w:r>
              <w:rPr>
                <w:rFonts w:hint="eastAsia" w:ascii="宋体" w:hAnsi="宋体" w:cs="宋体"/>
                <w:color w:val="auto"/>
                <w:sz w:val="24"/>
                <w:highlight w:val="none"/>
              </w:rPr>
              <w:t>1.749</w:t>
            </w:r>
          </w:p>
        </w:tc>
      </w:tr>
      <w:tr w14:paraId="5EF4B706">
        <w:tblPrEx>
          <w:tblCellMar>
            <w:top w:w="0" w:type="dxa"/>
            <w:left w:w="108" w:type="dxa"/>
            <w:bottom w:w="0" w:type="dxa"/>
            <w:right w:w="108" w:type="dxa"/>
          </w:tblCellMar>
        </w:tblPrEx>
        <w:trPr>
          <w:trHeight w:val="90" w:hRule="atLeast"/>
          <w:jc w:val="center"/>
        </w:trPr>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2C056">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16</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B3363">
            <w:pPr>
              <w:spacing w:line="400" w:lineRule="exact"/>
              <w:jc w:val="center"/>
              <w:rPr>
                <w:rFonts w:hint="eastAsia" w:ascii="宋体" w:hAnsi="宋体" w:cs="宋体"/>
                <w:color w:val="auto"/>
                <w:kern w:val="0"/>
                <w:sz w:val="24"/>
                <w:highlight w:val="none"/>
              </w:rPr>
            </w:pPr>
            <w:r>
              <w:rPr>
                <w:rFonts w:hint="eastAsia" w:ascii="宋体" w:hAnsi="宋体" w:cs="宋体"/>
                <w:color w:val="auto"/>
                <w:sz w:val="24"/>
                <w:highlight w:val="none"/>
              </w:rPr>
              <w:t>六类网线</w:t>
            </w:r>
          </w:p>
        </w:tc>
        <w:tc>
          <w:tcPr>
            <w:tcW w:w="1125" w:type="dxa"/>
            <w:tcBorders>
              <w:top w:val="single" w:color="000000" w:sz="4" w:space="0"/>
              <w:left w:val="single" w:color="000000" w:sz="4" w:space="0"/>
              <w:bottom w:val="single" w:color="000000" w:sz="4" w:space="0"/>
              <w:right w:val="single" w:color="000000" w:sz="4" w:space="0"/>
            </w:tcBorders>
            <w:shd w:val="clear" w:color="000000" w:fill="FFFFFF"/>
            <w:vAlign w:val="center"/>
          </w:tcPr>
          <w:p w14:paraId="45640677">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52</w:t>
            </w:r>
          </w:p>
        </w:tc>
        <w:tc>
          <w:tcPr>
            <w:tcW w:w="930" w:type="dxa"/>
            <w:tcBorders>
              <w:top w:val="single" w:color="000000" w:sz="4" w:space="0"/>
              <w:left w:val="single" w:color="000000" w:sz="4" w:space="0"/>
              <w:bottom w:val="single" w:color="000000" w:sz="4" w:space="0"/>
              <w:right w:val="single" w:color="000000" w:sz="4" w:space="0"/>
            </w:tcBorders>
            <w:shd w:val="clear" w:color="000000" w:fill="FFFFFF"/>
            <w:vAlign w:val="center"/>
          </w:tcPr>
          <w:p w14:paraId="19936019">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箱</w:t>
            </w:r>
          </w:p>
        </w:tc>
        <w:tc>
          <w:tcPr>
            <w:tcW w:w="1738" w:type="dxa"/>
            <w:tcBorders>
              <w:top w:val="single" w:color="000000" w:sz="4" w:space="0"/>
              <w:left w:val="single" w:color="000000" w:sz="4" w:space="0"/>
              <w:bottom w:val="single" w:color="000000" w:sz="4" w:space="0"/>
              <w:right w:val="single" w:color="000000" w:sz="4" w:space="0"/>
            </w:tcBorders>
            <w:vAlign w:val="center"/>
          </w:tcPr>
          <w:p w14:paraId="741E1484">
            <w:pPr>
              <w:jc w:val="center"/>
              <w:rPr>
                <w:rFonts w:hint="eastAsia" w:ascii="宋体" w:hAnsi="宋体" w:cs="宋体"/>
                <w:color w:val="auto"/>
                <w:sz w:val="24"/>
                <w:highlight w:val="none"/>
              </w:rPr>
            </w:pPr>
            <w:r>
              <w:rPr>
                <w:rFonts w:hint="eastAsia" w:ascii="宋体" w:hAnsi="宋体" w:cs="宋体"/>
                <w:color w:val="auto"/>
                <w:sz w:val="24"/>
                <w:highlight w:val="none"/>
              </w:rPr>
              <w:t>详见采购需求</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60EDB">
            <w:pPr>
              <w:spacing w:line="360" w:lineRule="exact"/>
              <w:jc w:val="center"/>
              <w:rPr>
                <w:rFonts w:hint="eastAsia" w:ascii="宋体" w:hAnsi="宋体" w:cs="宋体"/>
                <w:b/>
                <w:bCs/>
                <w:color w:val="auto"/>
                <w:sz w:val="24"/>
                <w:highlight w:val="none"/>
              </w:rPr>
            </w:pPr>
            <w:r>
              <w:rPr>
                <w:rFonts w:hint="eastAsia" w:ascii="宋体" w:hAnsi="宋体" w:cs="宋体"/>
                <w:color w:val="auto"/>
                <w:sz w:val="24"/>
                <w:highlight w:val="none"/>
              </w:rPr>
              <w:t>0.118</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19C02">
            <w:pPr>
              <w:spacing w:line="360" w:lineRule="exact"/>
              <w:jc w:val="center"/>
              <w:rPr>
                <w:rFonts w:hint="eastAsia" w:ascii="宋体" w:hAnsi="宋体" w:cs="宋体"/>
                <w:b/>
                <w:bCs/>
                <w:color w:val="auto"/>
                <w:sz w:val="24"/>
                <w:highlight w:val="none"/>
              </w:rPr>
            </w:pPr>
            <w:r>
              <w:rPr>
                <w:rFonts w:hint="eastAsia" w:ascii="宋体" w:hAnsi="宋体" w:cs="宋体"/>
                <w:color w:val="auto"/>
                <w:sz w:val="24"/>
                <w:highlight w:val="none"/>
              </w:rPr>
              <w:t>6.136</w:t>
            </w:r>
          </w:p>
        </w:tc>
      </w:tr>
      <w:tr w14:paraId="4D8EDBA9">
        <w:tblPrEx>
          <w:tblCellMar>
            <w:top w:w="0" w:type="dxa"/>
            <w:left w:w="108" w:type="dxa"/>
            <w:bottom w:w="0" w:type="dxa"/>
            <w:right w:w="108" w:type="dxa"/>
          </w:tblCellMar>
        </w:tblPrEx>
        <w:trPr>
          <w:trHeight w:val="90" w:hRule="atLeast"/>
          <w:jc w:val="center"/>
        </w:trPr>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F6B1D">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17</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591F0">
            <w:pPr>
              <w:spacing w:line="400" w:lineRule="exact"/>
              <w:jc w:val="center"/>
              <w:rPr>
                <w:rFonts w:hint="eastAsia" w:ascii="宋体" w:hAnsi="宋体" w:cs="宋体"/>
                <w:color w:val="auto"/>
                <w:kern w:val="0"/>
                <w:sz w:val="24"/>
                <w:highlight w:val="none"/>
              </w:rPr>
            </w:pPr>
            <w:r>
              <w:rPr>
                <w:rFonts w:hint="eastAsia" w:ascii="宋体" w:hAnsi="宋体" w:cs="宋体"/>
                <w:color w:val="auto"/>
                <w:sz w:val="24"/>
                <w:highlight w:val="none"/>
              </w:rPr>
              <w:t>光纤熔接</w:t>
            </w:r>
          </w:p>
        </w:tc>
        <w:tc>
          <w:tcPr>
            <w:tcW w:w="1125" w:type="dxa"/>
            <w:tcBorders>
              <w:top w:val="single" w:color="000000" w:sz="4" w:space="0"/>
              <w:left w:val="single" w:color="000000" w:sz="4" w:space="0"/>
              <w:bottom w:val="single" w:color="000000" w:sz="4" w:space="0"/>
              <w:right w:val="single" w:color="000000" w:sz="4" w:space="0"/>
            </w:tcBorders>
            <w:shd w:val="clear" w:color="000000" w:fill="FFFFFF"/>
            <w:vAlign w:val="center"/>
          </w:tcPr>
          <w:p w14:paraId="593B0695">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2332</w:t>
            </w:r>
          </w:p>
        </w:tc>
        <w:tc>
          <w:tcPr>
            <w:tcW w:w="930" w:type="dxa"/>
            <w:tcBorders>
              <w:top w:val="single" w:color="000000" w:sz="4" w:space="0"/>
              <w:left w:val="single" w:color="000000" w:sz="4" w:space="0"/>
              <w:bottom w:val="single" w:color="000000" w:sz="4" w:space="0"/>
              <w:right w:val="single" w:color="000000" w:sz="4" w:space="0"/>
            </w:tcBorders>
            <w:shd w:val="clear" w:color="000000" w:fill="FFFFFF"/>
            <w:vAlign w:val="center"/>
          </w:tcPr>
          <w:p w14:paraId="3F0EC888">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芯</w:t>
            </w:r>
          </w:p>
        </w:tc>
        <w:tc>
          <w:tcPr>
            <w:tcW w:w="1738" w:type="dxa"/>
            <w:tcBorders>
              <w:top w:val="single" w:color="000000" w:sz="4" w:space="0"/>
              <w:left w:val="single" w:color="000000" w:sz="4" w:space="0"/>
              <w:bottom w:val="single" w:color="000000" w:sz="4" w:space="0"/>
              <w:right w:val="single" w:color="000000" w:sz="4" w:space="0"/>
            </w:tcBorders>
            <w:vAlign w:val="center"/>
          </w:tcPr>
          <w:p w14:paraId="25E007D2">
            <w:pPr>
              <w:jc w:val="center"/>
              <w:rPr>
                <w:rFonts w:hint="eastAsia" w:ascii="宋体" w:hAnsi="宋体" w:cs="宋体"/>
                <w:color w:val="auto"/>
                <w:sz w:val="24"/>
                <w:highlight w:val="none"/>
              </w:rPr>
            </w:pPr>
            <w:r>
              <w:rPr>
                <w:rFonts w:hint="eastAsia" w:ascii="宋体" w:hAnsi="宋体" w:cs="宋体"/>
                <w:color w:val="auto"/>
                <w:sz w:val="24"/>
                <w:highlight w:val="none"/>
              </w:rPr>
              <w:t>详见采购需求</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20922">
            <w:pPr>
              <w:spacing w:line="360" w:lineRule="exact"/>
              <w:jc w:val="center"/>
              <w:rPr>
                <w:rFonts w:hint="eastAsia" w:ascii="宋体" w:hAnsi="宋体" w:cs="宋体"/>
                <w:b/>
                <w:bCs/>
                <w:color w:val="auto"/>
                <w:sz w:val="24"/>
                <w:highlight w:val="none"/>
              </w:rPr>
            </w:pPr>
            <w:r>
              <w:rPr>
                <w:rFonts w:hint="eastAsia" w:ascii="宋体" w:hAnsi="宋体" w:cs="宋体"/>
                <w:color w:val="auto"/>
                <w:sz w:val="24"/>
                <w:highlight w:val="none"/>
              </w:rPr>
              <w:t>0.0015</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53099">
            <w:pPr>
              <w:spacing w:line="360" w:lineRule="exact"/>
              <w:jc w:val="center"/>
              <w:rPr>
                <w:rFonts w:hint="eastAsia" w:ascii="宋体" w:hAnsi="宋体" w:cs="宋体"/>
                <w:b/>
                <w:bCs/>
                <w:color w:val="auto"/>
                <w:sz w:val="24"/>
                <w:highlight w:val="none"/>
              </w:rPr>
            </w:pPr>
            <w:r>
              <w:rPr>
                <w:rFonts w:hint="eastAsia" w:ascii="宋体" w:hAnsi="宋体" w:cs="宋体"/>
                <w:color w:val="auto"/>
                <w:sz w:val="24"/>
                <w:highlight w:val="none"/>
              </w:rPr>
              <w:t>3.498</w:t>
            </w:r>
          </w:p>
        </w:tc>
      </w:tr>
      <w:tr w14:paraId="6FC9F089">
        <w:tblPrEx>
          <w:tblCellMar>
            <w:top w:w="0" w:type="dxa"/>
            <w:left w:w="108" w:type="dxa"/>
            <w:bottom w:w="0" w:type="dxa"/>
            <w:right w:w="108" w:type="dxa"/>
          </w:tblCellMar>
        </w:tblPrEx>
        <w:trPr>
          <w:trHeight w:val="90" w:hRule="atLeast"/>
          <w:jc w:val="center"/>
        </w:trPr>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A9324">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18</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9F40E">
            <w:pPr>
              <w:spacing w:line="400" w:lineRule="exact"/>
              <w:jc w:val="center"/>
              <w:rPr>
                <w:rFonts w:hint="eastAsia" w:ascii="宋体" w:hAnsi="宋体" w:cs="宋体"/>
                <w:color w:val="auto"/>
                <w:kern w:val="0"/>
                <w:sz w:val="24"/>
                <w:highlight w:val="none"/>
              </w:rPr>
            </w:pPr>
            <w:r>
              <w:rPr>
                <w:rFonts w:hint="eastAsia" w:ascii="宋体" w:hAnsi="宋体" w:cs="宋体"/>
                <w:color w:val="auto"/>
                <w:sz w:val="24"/>
                <w:highlight w:val="none"/>
              </w:rPr>
              <w:t>12芯光纤终端盒</w:t>
            </w:r>
          </w:p>
        </w:tc>
        <w:tc>
          <w:tcPr>
            <w:tcW w:w="1125" w:type="dxa"/>
            <w:tcBorders>
              <w:top w:val="single" w:color="000000" w:sz="4" w:space="0"/>
              <w:left w:val="single" w:color="000000" w:sz="4" w:space="0"/>
              <w:bottom w:val="single" w:color="000000" w:sz="4" w:space="0"/>
              <w:right w:val="single" w:color="000000" w:sz="4" w:space="0"/>
            </w:tcBorders>
            <w:shd w:val="clear" w:color="000000" w:fill="FFFFFF"/>
            <w:vAlign w:val="center"/>
          </w:tcPr>
          <w:p w14:paraId="19790F84">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6</w:t>
            </w:r>
          </w:p>
        </w:tc>
        <w:tc>
          <w:tcPr>
            <w:tcW w:w="930" w:type="dxa"/>
            <w:tcBorders>
              <w:top w:val="single" w:color="000000" w:sz="4" w:space="0"/>
              <w:left w:val="single" w:color="000000" w:sz="4" w:space="0"/>
              <w:bottom w:val="single" w:color="000000" w:sz="4" w:space="0"/>
              <w:right w:val="single" w:color="000000" w:sz="4" w:space="0"/>
            </w:tcBorders>
            <w:shd w:val="clear" w:color="000000" w:fill="FFFFFF"/>
            <w:vAlign w:val="center"/>
          </w:tcPr>
          <w:p w14:paraId="2BD59B5C">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个</w:t>
            </w:r>
          </w:p>
        </w:tc>
        <w:tc>
          <w:tcPr>
            <w:tcW w:w="1738" w:type="dxa"/>
            <w:tcBorders>
              <w:top w:val="single" w:color="000000" w:sz="4" w:space="0"/>
              <w:left w:val="single" w:color="000000" w:sz="4" w:space="0"/>
              <w:bottom w:val="single" w:color="000000" w:sz="4" w:space="0"/>
              <w:right w:val="single" w:color="000000" w:sz="4" w:space="0"/>
            </w:tcBorders>
            <w:vAlign w:val="center"/>
          </w:tcPr>
          <w:p w14:paraId="0E6C6D5E">
            <w:pPr>
              <w:jc w:val="center"/>
              <w:rPr>
                <w:rFonts w:hint="eastAsia" w:ascii="宋体" w:hAnsi="宋体" w:cs="宋体"/>
                <w:color w:val="auto"/>
                <w:sz w:val="24"/>
                <w:highlight w:val="none"/>
              </w:rPr>
            </w:pPr>
            <w:r>
              <w:rPr>
                <w:rFonts w:hint="eastAsia" w:ascii="宋体" w:hAnsi="宋体" w:cs="宋体"/>
                <w:color w:val="auto"/>
                <w:sz w:val="24"/>
                <w:highlight w:val="none"/>
              </w:rPr>
              <w:t>详见采购需求</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C58E1">
            <w:pPr>
              <w:spacing w:line="360" w:lineRule="exact"/>
              <w:jc w:val="center"/>
              <w:rPr>
                <w:rFonts w:hint="eastAsia" w:ascii="宋体" w:hAnsi="宋体" w:cs="宋体"/>
                <w:b/>
                <w:bCs/>
                <w:color w:val="auto"/>
                <w:sz w:val="24"/>
                <w:highlight w:val="none"/>
              </w:rPr>
            </w:pPr>
            <w:r>
              <w:rPr>
                <w:rFonts w:hint="eastAsia" w:ascii="宋体" w:hAnsi="宋体" w:cs="宋体"/>
                <w:color w:val="auto"/>
                <w:sz w:val="24"/>
                <w:highlight w:val="none"/>
              </w:rPr>
              <w:t>0.028</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78E0D">
            <w:pPr>
              <w:spacing w:line="360" w:lineRule="exact"/>
              <w:jc w:val="center"/>
              <w:rPr>
                <w:rFonts w:hint="eastAsia" w:ascii="宋体" w:hAnsi="宋体" w:cs="宋体"/>
                <w:b/>
                <w:bCs/>
                <w:color w:val="auto"/>
                <w:sz w:val="24"/>
                <w:highlight w:val="none"/>
              </w:rPr>
            </w:pPr>
            <w:r>
              <w:rPr>
                <w:rFonts w:hint="eastAsia" w:ascii="宋体" w:hAnsi="宋体" w:cs="宋体"/>
                <w:color w:val="auto"/>
                <w:sz w:val="24"/>
                <w:highlight w:val="none"/>
              </w:rPr>
              <w:t>0.168</w:t>
            </w:r>
          </w:p>
        </w:tc>
      </w:tr>
      <w:tr w14:paraId="4AC209BD">
        <w:tblPrEx>
          <w:tblCellMar>
            <w:top w:w="0" w:type="dxa"/>
            <w:left w:w="108" w:type="dxa"/>
            <w:bottom w:w="0" w:type="dxa"/>
            <w:right w:w="108" w:type="dxa"/>
          </w:tblCellMar>
        </w:tblPrEx>
        <w:trPr>
          <w:trHeight w:val="90" w:hRule="atLeast"/>
          <w:jc w:val="center"/>
        </w:trPr>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B69C2">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19</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D3873">
            <w:pPr>
              <w:spacing w:line="400" w:lineRule="exact"/>
              <w:jc w:val="center"/>
              <w:rPr>
                <w:rFonts w:hint="eastAsia" w:ascii="宋体" w:hAnsi="宋体" w:cs="宋体"/>
                <w:color w:val="auto"/>
                <w:kern w:val="0"/>
                <w:sz w:val="24"/>
                <w:highlight w:val="none"/>
              </w:rPr>
            </w:pPr>
            <w:r>
              <w:rPr>
                <w:rFonts w:hint="eastAsia" w:ascii="宋体" w:hAnsi="宋体" w:cs="宋体"/>
                <w:color w:val="auto"/>
                <w:sz w:val="24"/>
                <w:highlight w:val="none"/>
              </w:rPr>
              <w:t>壁挂机柜</w:t>
            </w:r>
          </w:p>
        </w:tc>
        <w:tc>
          <w:tcPr>
            <w:tcW w:w="1125" w:type="dxa"/>
            <w:tcBorders>
              <w:top w:val="single" w:color="000000" w:sz="4" w:space="0"/>
              <w:left w:val="single" w:color="000000" w:sz="4" w:space="0"/>
              <w:bottom w:val="single" w:color="000000" w:sz="4" w:space="0"/>
              <w:right w:val="single" w:color="000000" w:sz="4" w:space="0"/>
            </w:tcBorders>
            <w:shd w:val="clear" w:color="000000" w:fill="FFFFFF"/>
            <w:vAlign w:val="center"/>
          </w:tcPr>
          <w:p w14:paraId="245C6B2C">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4</w:t>
            </w:r>
          </w:p>
        </w:tc>
        <w:tc>
          <w:tcPr>
            <w:tcW w:w="930" w:type="dxa"/>
            <w:tcBorders>
              <w:top w:val="single" w:color="000000" w:sz="4" w:space="0"/>
              <w:left w:val="single" w:color="000000" w:sz="4" w:space="0"/>
              <w:bottom w:val="single" w:color="000000" w:sz="4" w:space="0"/>
              <w:right w:val="single" w:color="000000" w:sz="4" w:space="0"/>
            </w:tcBorders>
            <w:shd w:val="clear" w:color="000000" w:fill="FFFFFF"/>
            <w:vAlign w:val="center"/>
          </w:tcPr>
          <w:p w14:paraId="4588893E">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个</w:t>
            </w:r>
          </w:p>
        </w:tc>
        <w:tc>
          <w:tcPr>
            <w:tcW w:w="1738" w:type="dxa"/>
            <w:tcBorders>
              <w:top w:val="single" w:color="000000" w:sz="4" w:space="0"/>
              <w:left w:val="single" w:color="000000" w:sz="4" w:space="0"/>
              <w:bottom w:val="single" w:color="000000" w:sz="4" w:space="0"/>
              <w:right w:val="single" w:color="000000" w:sz="4" w:space="0"/>
            </w:tcBorders>
            <w:vAlign w:val="center"/>
          </w:tcPr>
          <w:p w14:paraId="4BC1B147">
            <w:pPr>
              <w:jc w:val="center"/>
              <w:rPr>
                <w:rFonts w:hint="eastAsia" w:ascii="宋体" w:hAnsi="宋体" w:cs="宋体"/>
                <w:color w:val="auto"/>
                <w:sz w:val="24"/>
                <w:highlight w:val="none"/>
              </w:rPr>
            </w:pPr>
            <w:r>
              <w:rPr>
                <w:rFonts w:hint="eastAsia" w:ascii="宋体" w:hAnsi="宋体" w:cs="宋体"/>
                <w:color w:val="auto"/>
                <w:sz w:val="24"/>
                <w:highlight w:val="none"/>
              </w:rPr>
              <w:t>详见采购需求</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916A6">
            <w:pPr>
              <w:spacing w:line="360" w:lineRule="exact"/>
              <w:jc w:val="center"/>
              <w:rPr>
                <w:rFonts w:hint="eastAsia" w:ascii="宋体" w:hAnsi="宋体" w:cs="宋体"/>
                <w:b/>
                <w:bCs/>
                <w:color w:val="auto"/>
                <w:sz w:val="24"/>
                <w:highlight w:val="none"/>
              </w:rPr>
            </w:pPr>
            <w:r>
              <w:rPr>
                <w:rFonts w:hint="eastAsia" w:ascii="宋体" w:hAnsi="宋体" w:cs="宋体"/>
                <w:color w:val="auto"/>
                <w:sz w:val="24"/>
                <w:highlight w:val="none"/>
              </w:rPr>
              <w:t>0.125</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987E1">
            <w:pPr>
              <w:spacing w:line="360" w:lineRule="exact"/>
              <w:jc w:val="center"/>
              <w:rPr>
                <w:rFonts w:hint="eastAsia" w:ascii="宋体" w:hAnsi="宋体" w:cs="宋体"/>
                <w:b/>
                <w:bCs/>
                <w:color w:val="auto"/>
                <w:sz w:val="24"/>
                <w:highlight w:val="none"/>
              </w:rPr>
            </w:pPr>
            <w:r>
              <w:rPr>
                <w:rFonts w:hint="eastAsia" w:ascii="宋体" w:hAnsi="宋体" w:cs="宋体"/>
                <w:color w:val="auto"/>
                <w:sz w:val="24"/>
                <w:highlight w:val="none"/>
              </w:rPr>
              <w:t>0.5</w:t>
            </w:r>
          </w:p>
        </w:tc>
      </w:tr>
      <w:tr w14:paraId="23545551">
        <w:tblPrEx>
          <w:tblCellMar>
            <w:top w:w="0" w:type="dxa"/>
            <w:left w:w="108" w:type="dxa"/>
            <w:bottom w:w="0" w:type="dxa"/>
            <w:right w:w="108" w:type="dxa"/>
          </w:tblCellMar>
        </w:tblPrEx>
        <w:trPr>
          <w:trHeight w:val="90" w:hRule="atLeast"/>
          <w:jc w:val="center"/>
        </w:trPr>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50C5A">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20</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03DC1">
            <w:pPr>
              <w:spacing w:line="400" w:lineRule="exact"/>
              <w:jc w:val="center"/>
              <w:rPr>
                <w:rFonts w:hint="eastAsia" w:ascii="宋体" w:hAnsi="宋体" w:cs="宋体"/>
                <w:color w:val="auto"/>
                <w:kern w:val="0"/>
                <w:sz w:val="24"/>
                <w:highlight w:val="none"/>
              </w:rPr>
            </w:pPr>
            <w:r>
              <w:rPr>
                <w:rFonts w:hint="eastAsia" w:ascii="宋体" w:hAnsi="宋体" w:cs="宋体"/>
                <w:color w:val="auto"/>
                <w:sz w:val="24"/>
                <w:highlight w:val="none"/>
              </w:rPr>
              <w:t>施工耗材</w:t>
            </w:r>
          </w:p>
        </w:tc>
        <w:tc>
          <w:tcPr>
            <w:tcW w:w="1125" w:type="dxa"/>
            <w:tcBorders>
              <w:top w:val="single" w:color="000000" w:sz="4" w:space="0"/>
              <w:left w:val="single" w:color="000000" w:sz="4" w:space="0"/>
              <w:bottom w:val="single" w:color="000000" w:sz="4" w:space="0"/>
              <w:right w:val="single" w:color="000000" w:sz="4" w:space="0"/>
            </w:tcBorders>
            <w:shd w:val="clear" w:color="000000" w:fill="FFFFFF"/>
            <w:vAlign w:val="center"/>
          </w:tcPr>
          <w:p w14:paraId="34D17472">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1</w:t>
            </w:r>
          </w:p>
        </w:tc>
        <w:tc>
          <w:tcPr>
            <w:tcW w:w="930" w:type="dxa"/>
            <w:tcBorders>
              <w:top w:val="single" w:color="000000" w:sz="4" w:space="0"/>
              <w:left w:val="single" w:color="000000" w:sz="4" w:space="0"/>
              <w:bottom w:val="single" w:color="000000" w:sz="4" w:space="0"/>
              <w:right w:val="single" w:color="000000" w:sz="4" w:space="0"/>
            </w:tcBorders>
            <w:shd w:val="clear" w:color="000000" w:fill="FFFFFF"/>
            <w:vAlign w:val="center"/>
          </w:tcPr>
          <w:p w14:paraId="270FBF4C">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项</w:t>
            </w:r>
          </w:p>
        </w:tc>
        <w:tc>
          <w:tcPr>
            <w:tcW w:w="1738" w:type="dxa"/>
            <w:tcBorders>
              <w:top w:val="single" w:color="000000" w:sz="4" w:space="0"/>
              <w:left w:val="single" w:color="000000" w:sz="4" w:space="0"/>
              <w:bottom w:val="single" w:color="000000" w:sz="4" w:space="0"/>
              <w:right w:val="single" w:color="000000" w:sz="4" w:space="0"/>
            </w:tcBorders>
            <w:vAlign w:val="center"/>
          </w:tcPr>
          <w:p w14:paraId="0F95B7EA">
            <w:pPr>
              <w:jc w:val="center"/>
              <w:rPr>
                <w:rFonts w:hint="eastAsia" w:ascii="宋体" w:hAnsi="宋体" w:cs="宋体"/>
                <w:color w:val="auto"/>
                <w:sz w:val="24"/>
                <w:highlight w:val="none"/>
              </w:rPr>
            </w:pPr>
            <w:r>
              <w:rPr>
                <w:rFonts w:hint="eastAsia" w:ascii="宋体" w:hAnsi="宋体" w:cs="宋体"/>
                <w:color w:val="auto"/>
                <w:sz w:val="24"/>
                <w:highlight w:val="none"/>
              </w:rPr>
              <w:t>详见采购需求</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F1681">
            <w:pPr>
              <w:spacing w:line="360" w:lineRule="exact"/>
              <w:jc w:val="center"/>
              <w:rPr>
                <w:rFonts w:hint="eastAsia" w:ascii="宋体" w:hAnsi="宋体" w:cs="宋体"/>
                <w:b/>
                <w:bCs/>
                <w:color w:val="auto"/>
                <w:sz w:val="24"/>
                <w:highlight w:val="none"/>
              </w:rPr>
            </w:pPr>
            <w:r>
              <w:rPr>
                <w:rFonts w:hint="eastAsia" w:ascii="宋体" w:hAnsi="宋体" w:cs="宋体"/>
                <w:color w:val="auto"/>
                <w:sz w:val="24"/>
                <w:highlight w:val="none"/>
              </w:rPr>
              <w:t>2.211</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38584">
            <w:pPr>
              <w:spacing w:line="360" w:lineRule="exact"/>
              <w:jc w:val="center"/>
              <w:rPr>
                <w:rFonts w:hint="eastAsia" w:ascii="宋体" w:hAnsi="宋体" w:cs="宋体"/>
                <w:b/>
                <w:bCs/>
                <w:color w:val="auto"/>
                <w:sz w:val="24"/>
                <w:highlight w:val="none"/>
              </w:rPr>
            </w:pPr>
            <w:r>
              <w:rPr>
                <w:rFonts w:hint="eastAsia" w:ascii="宋体" w:hAnsi="宋体" w:cs="宋体"/>
                <w:color w:val="auto"/>
                <w:sz w:val="24"/>
                <w:highlight w:val="none"/>
              </w:rPr>
              <w:t>2.211</w:t>
            </w:r>
          </w:p>
        </w:tc>
      </w:tr>
      <w:tr w14:paraId="45BCB7F2">
        <w:tblPrEx>
          <w:tblCellMar>
            <w:top w:w="0" w:type="dxa"/>
            <w:left w:w="108" w:type="dxa"/>
            <w:bottom w:w="0" w:type="dxa"/>
            <w:right w:w="108" w:type="dxa"/>
          </w:tblCellMar>
        </w:tblPrEx>
        <w:trPr>
          <w:trHeight w:val="90" w:hRule="atLeast"/>
          <w:jc w:val="center"/>
        </w:trPr>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74B8C">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21</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2F6A9">
            <w:pPr>
              <w:spacing w:line="400" w:lineRule="exact"/>
              <w:jc w:val="center"/>
              <w:rPr>
                <w:rFonts w:hint="eastAsia" w:ascii="宋体" w:hAnsi="宋体" w:cs="宋体"/>
                <w:color w:val="auto"/>
                <w:kern w:val="0"/>
                <w:sz w:val="24"/>
                <w:highlight w:val="none"/>
              </w:rPr>
            </w:pPr>
            <w:r>
              <w:rPr>
                <w:rFonts w:hint="eastAsia" w:ascii="宋体" w:hAnsi="宋体" w:cs="宋体"/>
                <w:color w:val="auto"/>
                <w:sz w:val="24"/>
                <w:highlight w:val="none"/>
              </w:rPr>
              <w:t>系统集成服务</w:t>
            </w:r>
          </w:p>
        </w:tc>
        <w:tc>
          <w:tcPr>
            <w:tcW w:w="1125" w:type="dxa"/>
            <w:tcBorders>
              <w:top w:val="single" w:color="000000" w:sz="4" w:space="0"/>
              <w:left w:val="single" w:color="000000" w:sz="4" w:space="0"/>
              <w:bottom w:val="single" w:color="000000" w:sz="4" w:space="0"/>
              <w:right w:val="single" w:color="000000" w:sz="4" w:space="0"/>
            </w:tcBorders>
            <w:shd w:val="clear" w:color="000000" w:fill="FFFFFF"/>
            <w:vAlign w:val="center"/>
          </w:tcPr>
          <w:p w14:paraId="1CAE3D9B">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1</w:t>
            </w:r>
          </w:p>
        </w:tc>
        <w:tc>
          <w:tcPr>
            <w:tcW w:w="930" w:type="dxa"/>
            <w:tcBorders>
              <w:top w:val="single" w:color="000000" w:sz="4" w:space="0"/>
              <w:left w:val="single" w:color="000000" w:sz="4" w:space="0"/>
              <w:bottom w:val="single" w:color="000000" w:sz="4" w:space="0"/>
              <w:right w:val="single" w:color="000000" w:sz="4" w:space="0"/>
            </w:tcBorders>
            <w:shd w:val="clear" w:color="000000" w:fill="FFFFFF"/>
            <w:vAlign w:val="center"/>
          </w:tcPr>
          <w:p w14:paraId="636C754A">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项</w:t>
            </w:r>
          </w:p>
        </w:tc>
        <w:tc>
          <w:tcPr>
            <w:tcW w:w="1738" w:type="dxa"/>
            <w:tcBorders>
              <w:top w:val="single" w:color="000000" w:sz="4" w:space="0"/>
              <w:left w:val="single" w:color="000000" w:sz="4" w:space="0"/>
              <w:bottom w:val="single" w:color="000000" w:sz="4" w:space="0"/>
              <w:right w:val="single" w:color="000000" w:sz="4" w:space="0"/>
            </w:tcBorders>
            <w:vAlign w:val="center"/>
          </w:tcPr>
          <w:p w14:paraId="546AE9D1">
            <w:pPr>
              <w:jc w:val="center"/>
              <w:rPr>
                <w:rFonts w:hint="eastAsia" w:ascii="宋体" w:hAnsi="宋体" w:cs="宋体"/>
                <w:color w:val="auto"/>
                <w:sz w:val="24"/>
                <w:highlight w:val="none"/>
              </w:rPr>
            </w:pPr>
            <w:r>
              <w:rPr>
                <w:rFonts w:hint="eastAsia" w:ascii="宋体" w:hAnsi="宋体" w:cs="宋体"/>
                <w:color w:val="auto"/>
                <w:sz w:val="24"/>
                <w:highlight w:val="none"/>
              </w:rPr>
              <w:t>详见采购需求</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EA449">
            <w:pPr>
              <w:spacing w:line="360" w:lineRule="exact"/>
              <w:jc w:val="center"/>
              <w:rPr>
                <w:rFonts w:hint="eastAsia" w:ascii="宋体" w:hAnsi="宋体" w:cs="宋体"/>
                <w:b/>
                <w:bCs/>
                <w:color w:val="auto"/>
                <w:sz w:val="24"/>
                <w:highlight w:val="none"/>
              </w:rPr>
            </w:pPr>
            <w:r>
              <w:rPr>
                <w:rFonts w:hint="eastAsia" w:ascii="宋体" w:hAnsi="宋体" w:cs="宋体"/>
                <w:color w:val="auto"/>
                <w:sz w:val="24"/>
                <w:highlight w:val="none"/>
              </w:rPr>
              <w:t>8.125</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6A2D0">
            <w:pPr>
              <w:spacing w:line="360" w:lineRule="exact"/>
              <w:jc w:val="center"/>
              <w:rPr>
                <w:rFonts w:hint="eastAsia" w:ascii="宋体" w:hAnsi="宋体" w:cs="宋体"/>
                <w:b/>
                <w:bCs/>
                <w:color w:val="auto"/>
                <w:sz w:val="24"/>
                <w:highlight w:val="none"/>
              </w:rPr>
            </w:pPr>
            <w:r>
              <w:rPr>
                <w:rFonts w:hint="eastAsia" w:ascii="宋体" w:hAnsi="宋体" w:cs="宋体"/>
                <w:color w:val="auto"/>
                <w:sz w:val="24"/>
                <w:highlight w:val="none"/>
              </w:rPr>
              <w:t>8.125</w:t>
            </w:r>
          </w:p>
        </w:tc>
      </w:tr>
      <w:tr w14:paraId="2D7DF982">
        <w:tblPrEx>
          <w:tblCellMar>
            <w:top w:w="0" w:type="dxa"/>
            <w:left w:w="108" w:type="dxa"/>
            <w:bottom w:w="0" w:type="dxa"/>
            <w:right w:w="108" w:type="dxa"/>
          </w:tblCellMar>
        </w:tblPrEx>
        <w:trPr>
          <w:trHeight w:val="90" w:hRule="atLeast"/>
          <w:jc w:val="center"/>
        </w:trPr>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46255">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22</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20C55">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驻场服务</w:t>
            </w:r>
          </w:p>
        </w:tc>
        <w:tc>
          <w:tcPr>
            <w:tcW w:w="1125" w:type="dxa"/>
            <w:tcBorders>
              <w:top w:val="single" w:color="000000" w:sz="4" w:space="0"/>
              <w:left w:val="single" w:color="000000" w:sz="4" w:space="0"/>
              <w:bottom w:val="single" w:color="000000" w:sz="4" w:space="0"/>
              <w:right w:val="single" w:color="000000" w:sz="4" w:space="0"/>
            </w:tcBorders>
            <w:shd w:val="clear" w:color="000000" w:fill="FFFFFF"/>
            <w:vAlign w:val="center"/>
          </w:tcPr>
          <w:p w14:paraId="3070690B">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1</w:t>
            </w:r>
          </w:p>
        </w:tc>
        <w:tc>
          <w:tcPr>
            <w:tcW w:w="930" w:type="dxa"/>
            <w:tcBorders>
              <w:top w:val="single" w:color="000000" w:sz="4" w:space="0"/>
              <w:left w:val="single" w:color="000000" w:sz="4" w:space="0"/>
              <w:bottom w:val="single" w:color="000000" w:sz="4" w:space="0"/>
              <w:right w:val="single" w:color="000000" w:sz="4" w:space="0"/>
            </w:tcBorders>
            <w:shd w:val="clear" w:color="000000" w:fill="FFFFFF"/>
            <w:vAlign w:val="center"/>
          </w:tcPr>
          <w:p w14:paraId="65F86984">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项</w:t>
            </w:r>
          </w:p>
        </w:tc>
        <w:tc>
          <w:tcPr>
            <w:tcW w:w="1738" w:type="dxa"/>
            <w:tcBorders>
              <w:top w:val="single" w:color="000000" w:sz="4" w:space="0"/>
              <w:left w:val="single" w:color="000000" w:sz="4" w:space="0"/>
              <w:bottom w:val="single" w:color="000000" w:sz="4" w:space="0"/>
              <w:right w:val="single" w:color="000000" w:sz="4" w:space="0"/>
            </w:tcBorders>
            <w:vAlign w:val="center"/>
          </w:tcPr>
          <w:p w14:paraId="4B0B0CC8">
            <w:pPr>
              <w:jc w:val="center"/>
              <w:rPr>
                <w:rFonts w:hint="eastAsia" w:ascii="宋体" w:hAnsi="宋体" w:cs="宋体"/>
                <w:color w:val="auto"/>
                <w:sz w:val="24"/>
                <w:highlight w:val="none"/>
              </w:rPr>
            </w:pPr>
            <w:r>
              <w:rPr>
                <w:rFonts w:hint="eastAsia" w:ascii="宋体" w:hAnsi="宋体" w:cs="宋体"/>
                <w:color w:val="auto"/>
                <w:sz w:val="24"/>
                <w:highlight w:val="none"/>
              </w:rPr>
              <w:t>详见采购需求</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E0965">
            <w:pPr>
              <w:spacing w:line="360" w:lineRule="exact"/>
              <w:jc w:val="center"/>
              <w:rPr>
                <w:rFonts w:hint="eastAsia" w:ascii="宋体" w:hAnsi="宋体" w:cs="宋体"/>
                <w:color w:val="auto"/>
                <w:sz w:val="24"/>
                <w:highlight w:val="none"/>
              </w:rPr>
            </w:pPr>
            <w:r>
              <w:rPr>
                <w:rFonts w:hint="eastAsia" w:ascii="宋体" w:hAnsi="宋体" w:cs="宋体"/>
                <w:color w:val="auto"/>
                <w:sz w:val="24"/>
                <w:highlight w:val="none"/>
              </w:rPr>
              <w:t>20</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D06FC">
            <w:pPr>
              <w:spacing w:line="360" w:lineRule="exact"/>
              <w:jc w:val="center"/>
              <w:rPr>
                <w:rFonts w:hint="eastAsia" w:ascii="宋体" w:hAnsi="宋体" w:cs="宋体"/>
                <w:color w:val="auto"/>
                <w:sz w:val="24"/>
                <w:highlight w:val="none"/>
              </w:rPr>
            </w:pPr>
            <w:r>
              <w:rPr>
                <w:rFonts w:hint="eastAsia" w:ascii="宋体" w:hAnsi="宋体" w:cs="宋体"/>
                <w:color w:val="auto"/>
                <w:sz w:val="24"/>
                <w:highlight w:val="none"/>
              </w:rPr>
              <w:t>20</w:t>
            </w:r>
          </w:p>
        </w:tc>
      </w:tr>
      <w:tr w14:paraId="0D0A5323">
        <w:tblPrEx>
          <w:tblCellMar>
            <w:top w:w="0" w:type="dxa"/>
            <w:left w:w="108" w:type="dxa"/>
            <w:bottom w:w="0" w:type="dxa"/>
            <w:right w:w="108" w:type="dxa"/>
          </w:tblCellMar>
        </w:tblPrEx>
        <w:trPr>
          <w:trHeight w:val="563" w:hRule="atLeast"/>
          <w:jc w:val="center"/>
        </w:trPr>
        <w:tc>
          <w:tcPr>
            <w:tcW w:w="9840" w:type="dxa"/>
            <w:gridSpan w:val="7"/>
            <w:tcBorders>
              <w:top w:val="single" w:color="000000" w:sz="4" w:space="0"/>
              <w:left w:val="single" w:color="000000" w:sz="4" w:space="0"/>
              <w:bottom w:val="single" w:color="000000" w:sz="4" w:space="0"/>
              <w:right w:val="single" w:color="000000" w:sz="4" w:space="0"/>
            </w:tcBorders>
            <w:vAlign w:val="center"/>
          </w:tcPr>
          <w:p w14:paraId="1665CB5B">
            <w:pPr>
              <w:widowControl/>
              <w:jc w:val="left"/>
              <w:textAlignment w:val="center"/>
              <w:rPr>
                <w:rFonts w:hint="eastAsia" w:ascii="宋体" w:hAnsi="宋体" w:cs="宋体"/>
                <w:color w:val="auto"/>
                <w:sz w:val="24"/>
                <w:highlight w:val="none"/>
              </w:rPr>
            </w:pPr>
            <w:r>
              <w:rPr>
                <w:rFonts w:hint="eastAsia" w:ascii="宋体" w:hAnsi="宋体" w:cs="宋体"/>
                <w:color w:val="auto"/>
                <w:sz w:val="24"/>
                <w:highlight w:val="none"/>
              </w:rPr>
              <w:t>预算合计金额（人民币大写）</w:t>
            </w:r>
            <w:r>
              <w:rPr>
                <w:rFonts w:hint="eastAsia" w:ascii="宋体" w:hAnsi="宋体" w:cs="宋体"/>
                <w:color w:val="auto"/>
                <w:sz w:val="24"/>
                <w:highlight w:val="none"/>
                <w:u w:val="single"/>
              </w:rPr>
              <w:t xml:space="preserve"> 壹佰肆拾肆万贰仟伍佰伍拾叁元整（小写）¥ 1442553.00 </w:t>
            </w:r>
          </w:p>
        </w:tc>
      </w:tr>
    </w:tbl>
    <w:p w14:paraId="4860E427">
      <w:pPr>
        <w:spacing w:line="360" w:lineRule="auto"/>
        <w:ind w:firstLine="480" w:firstLineChars="200"/>
        <w:rPr>
          <w:rFonts w:hint="eastAsia" w:ascii="宋体" w:hAnsi="宋体" w:cs="宋体"/>
          <w:color w:val="auto"/>
          <w:sz w:val="24"/>
          <w:highlight w:val="none"/>
        </w:rPr>
      </w:pPr>
      <w:r>
        <w:rPr>
          <w:rFonts w:hint="eastAsia" w:ascii="宋体" w:hAnsi="宋体" w:cs="宋体"/>
          <w:bCs/>
          <w:color w:val="auto"/>
          <w:sz w:val="24"/>
          <w:highlight w:val="none"/>
        </w:rPr>
        <w:t>详见采购需求表。</w:t>
      </w:r>
    </w:p>
    <w:p w14:paraId="6055C0A6">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合同履行期限：详见采购文件。</w:t>
      </w:r>
    </w:p>
    <w:p w14:paraId="7C1ED262">
      <w:pPr>
        <w:spacing w:line="360" w:lineRule="auto"/>
        <w:ind w:firstLine="480" w:firstLineChars="200"/>
        <w:rPr>
          <w:rFonts w:hint="eastAsia" w:ascii="宋体" w:hAnsi="宋体" w:cs="宋体"/>
          <w:b/>
          <w:bCs/>
          <w:color w:val="auto"/>
          <w:sz w:val="24"/>
          <w:highlight w:val="none"/>
        </w:rPr>
      </w:pPr>
      <w:r>
        <w:rPr>
          <w:rFonts w:hint="eastAsia" w:ascii="宋体" w:hAnsi="宋体" w:cs="宋体"/>
          <w:color w:val="auto"/>
          <w:sz w:val="24"/>
          <w:highlight w:val="none"/>
        </w:rPr>
        <w:t>本标段是否接受联合体：否。</w:t>
      </w:r>
    </w:p>
    <w:p w14:paraId="4B3BD3DB">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二、申请人的资格条件：</w:t>
      </w:r>
    </w:p>
    <w:p w14:paraId="513B5458">
      <w:pPr>
        <w:spacing w:line="360" w:lineRule="auto"/>
        <w:ind w:firstLine="480" w:firstLineChars="200"/>
        <w:rPr>
          <w:rFonts w:hint="eastAsia" w:ascii="宋体" w:hAnsi="宋体" w:cs="宋体"/>
          <w:color w:val="auto"/>
          <w:sz w:val="24"/>
          <w:highlight w:val="none"/>
        </w:rPr>
      </w:pPr>
      <w:bookmarkStart w:id="11" w:name="_Hlk51746371"/>
      <w:r>
        <w:rPr>
          <w:rFonts w:hint="eastAsia" w:ascii="宋体" w:hAnsi="宋体" w:cs="宋体"/>
          <w:color w:val="auto"/>
          <w:sz w:val="24"/>
          <w:highlight w:val="none"/>
        </w:rPr>
        <w:t>1.满足《中华人民共和国政府采购法》第二十二条规定；</w:t>
      </w:r>
    </w:p>
    <w:p w14:paraId="6C1FA15D">
      <w:pPr>
        <w:spacing w:line="360" w:lineRule="auto"/>
        <w:ind w:firstLine="480" w:firstLineChars="200"/>
        <w:rPr>
          <w:rFonts w:hint="eastAsia" w:ascii="宋体" w:hAnsi="宋体"/>
          <w:color w:val="auto"/>
          <w:sz w:val="24"/>
          <w:highlight w:val="none"/>
        </w:rPr>
      </w:pPr>
      <w:r>
        <w:rPr>
          <w:rFonts w:hint="eastAsia" w:ascii="宋体" w:hAnsi="宋体" w:cs="宋体"/>
          <w:color w:val="auto"/>
          <w:sz w:val="24"/>
          <w:highlight w:val="none"/>
        </w:rPr>
        <w:t>2.落实政府采购政策需满足的资格要求：</w:t>
      </w:r>
      <w:r>
        <w:rPr>
          <w:rFonts w:hint="eastAsia" w:ascii="宋体" w:hAnsi="宋体"/>
          <w:color w:val="auto"/>
          <w:sz w:val="24"/>
          <w:highlight w:val="none"/>
        </w:rPr>
        <w:t>专门面向中小企业采购（</w:t>
      </w:r>
      <w:r>
        <w:rPr>
          <w:rFonts w:hint="eastAsia" w:ascii="宋体" w:hAnsi="宋体"/>
          <w:color w:val="auto"/>
          <w:sz w:val="24"/>
          <w:highlight w:val="none"/>
        </w:rPr>
        <w:sym w:font="Wingdings" w:char="00A8"/>
      </w:r>
      <w:r>
        <w:rPr>
          <w:rFonts w:hint="eastAsia" w:ascii="宋体" w:hAnsi="宋体"/>
          <w:color w:val="auto"/>
          <w:sz w:val="24"/>
          <w:highlight w:val="none"/>
        </w:rPr>
        <w:t>是</w:t>
      </w:r>
      <w:r>
        <w:rPr>
          <w:rFonts w:hint="eastAsia" w:ascii="宋体" w:hAnsi="宋体"/>
          <w:color w:val="auto"/>
          <w:sz w:val="24"/>
          <w:highlight w:val="none"/>
        </w:rPr>
        <w:sym w:font="Wingdings" w:char="00FE"/>
      </w:r>
      <w:r>
        <w:rPr>
          <w:rFonts w:hint="eastAsia" w:ascii="宋体" w:hAnsi="宋体"/>
          <w:color w:val="auto"/>
          <w:sz w:val="24"/>
          <w:highlight w:val="none"/>
        </w:rPr>
        <w:t>否）；</w:t>
      </w:r>
    </w:p>
    <w:p w14:paraId="147E4E1F">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3.本项目的特定资格要求：</w:t>
      </w:r>
      <w:bookmarkEnd w:id="11"/>
      <w:r>
        <w:rPr>
          <w:rFonts w:hint="eastAsia" w:ascii="宋体" w:hAnsi="宋体" w:cs="宋体"/>
          <w:color w:val="auto"/>
          <w:sz w:val="24"/>
          <w:highlight w:val="none"/>
        </w:rPr>
        <w:t>无。</w:t>
      </w:r>
    </w:p>
    <w:p w14:paraId="4C87ACF0">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三、获取竞争性谈判采购文件</w:t>
      </w:r>
    </w:p>
    <w:p w14:paraId="0C025D70">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时间：</w:t>
      </w:r>
      <w:bookmarkStart w:id="12" w:name="_Hlk207211505"/>
      <w:r>
        <w:rPr>
          <w:rFonts w:hint="eastAsia" w:ascii="宋体" w:hAnsi="宋体" w:cs="宋体"/>
          <w:color w:val="auto"/>
          <w:sz w:val="24"/>
          <w:highlight w:val="none"/>
        </w:rPr>
        <w:t>2026年</w:t>
      </w:r>
      <w:r>
        <w:rPr>
          <w:rFonts w:hint="eastAsia" w:ascii="宋体" w:hAnsi="宋体" w:cs="宋体"/>
          <w:color w:val="auto"/>
          <w:sz w:val="24"/>
          <w:highlight w:val="none"/>
          <w:lang w:val="en-US" w:eastAsia="zh-CN"/>
        </w:rPr>
        <w:t>9</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11</w:t>
      </w:r>
      <w:r>
        <w:rPr>
          <w:rFonts w:hint="eastAsia" w:ascii="宋体" w:hAnsi="宋体" w:cs="宋体"/>
          <w:color w:val="auto"/>
          <w:sz w:val="24"/>
          <w:highlight w:val="none"/>
        </w:rPr>
        <w:t>日</w:t>
      </w:r>
      <w:r>
        <w:rPr>
          <w:rFonts w:hint="eastAsia" w:ascii="宋体" w:hAnsi="宋体" w:cs="宋体"/>
          <w:color w:val="auto"/>
          <w:sz w:val="24"/>
          <w:highlight w:val="none"/>
        </w:rPr>
        <w:t>至2026年</w:t>
      </w:r>
      <w:r>
        <w:rPr>
          <w:rFonts w:hint="eastAsia" w:ascii="宋体" w:hAnsi="宋体" w:cs="宋体"/>
          <w:color w:val="auto"/>
          <w:sz w:val="24"/>
          <w:highlight w:val="none"/>
          <w:lang w:val="en-US" w:eastAsia="zh-CN"/>
        </w:rPr>
        <w:t>9</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15</w:t>
      </w:r>
      <w:r>
        <w:rPr>
          <w:rFonts w:hint="eastAsia" w:ascii="宋体" w:hAnsi="宋体" w:cs="宋体"/>
          <w:color w:val="auto"/>
          <w:sz w:val="24"/>
          <w:highlight w:val="none"/>
        </w:rPr>
        <w:t>日</w:t>
      </w:r>
      <w:bookmarkEnd w:id="12"/>
      <w:r>
        <w:rPr>
          <w:rFonts w:hint="eastAsia" w:ascii="宋体" w:hAnsi="宋体" w:cs="宋体"/>
          <w:color w:val="auto"/>
          <w:sz w:val="24"/>
          <w:highlight w:val="none"/>
        </w:rPr>
        <w:t>，每天上午00:00至12:00 ，下午12:00至23:59（北京时间，法定节假日除外）</w:t>
      </w:r>
    </w:p>
    <w:p w14:paraId="51C75AE4">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地点：广西政府采购云平台（https://www.gcy.zfcg.gxzf.gov.cn/）。</w:t>
      </w:r>
    </w:p>
    <w:p w14:paraId="67F6C86C">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方式：网上下载。本项目不发放纸质文件，供应商应自行在</w:t>
      </w:r>
      <w:r>
        <w:rPr>
          <w:color w:val="auto"/>
          <w:highlight w:val="none"/>
        </w:rPr>
        <w:fldChar w:fldCharType="begin"/>
      </w:r>
      <w:r>
        <w:rPr>
          <w:color w:val="auto"/>
          <w:highlight w:val="none"/>
        </w:rPr>
        <w:instrText xml:space="preserve"> HYPERLINK </w:instrText>
      </w:r>
      <w:r>
        <w:rPr>
          <w:color w:val="auto"/>
          <w:highlight w:val="none"/>
        </w:rPr>
        <w:fldChar w:fldCharType="separate"/>
      </w:r>
      <w:r>
        <w:rPr>
          <w:color w:val="auto"/>
          <w:highlight w:val="none"/>
        </w:rPr>
        <w:fldChar w:fldCharType="end"/>
      </w:r>
      <w:r>
        <w:rPr>
          <w:rFonts w:hint="eastAsia" w:ascii="宋体" w:hAnsi="宋体" w:cs="宋体"/>
          <w:color w:val="auto"/>
          <w:sz w:val="24"/>
          <w:highlight w:val="none"/>
        </w:rPr>
        <w:t>广西政府采购云平台（https://www.gcy.zfcg.gxzf.gov.cn/）下载竞争性谈判采购文件（操作路径：登录广西政府采购云平台-项目采购-获取采购文件-找到本项目-点击“申请获取采购文件”），电子响应文件制作需要基于广西政府采购云平台获取的竞争性谈判采购文件编制。</w:t>
      </w:r>
    </w:p>
    <w:p w14:paraId="0173D126">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售价：0元。</w:t>
      </w:r>
    </w:p>
    <w:p w14:paraId="532B4039">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四、响应文件提交</w:t>
      </w:r>
    </w:p>
    <w:p w14:paraId="3D4BA4FF">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1.首次响应文件提交截止时间：</w:t>
      </w:r>
      <w:bookmarkStart w:id="13" w:name="_Hlk206953726"/>
      <w:r>
        <w:rPr>
          <w:rFonts w:hint="eastAsia" w:ascii="宋体" w:hAnsi="宋体" w:cs="宋体"/>
          <w:color w:val="auto"/>
          <w:sz w:val="24"/>
          <w:highlight w:val="none"/>
        </w:rPr>
        <w:t>2026年</w:t>
      </w:r>
      <w:r>
        <w:rPr>
          <w:rFonts w:hint="eastAsia" w:ascii="宋体" w:hAnsi="宋体" w:cs="宋体"/>
          <w:color w:val="auto"/>
          <w:sz w:val="24"/>
          <w:highlight w:val="none"/>
          <w:lang w:val="en-US" w:eastAsia="zh-CN"/>
        </w:rPr>
        <w:t>9</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16</w:t>
      </w:r>
      <w:r>
        <w:rPr>
          <w:rFonts w:hint="eastAsia" w:ascii="宋体" w:hAnsi="宋体" w:cs="宋体"/>
          <w:color w:val="auto"/>
          <w:sz w:val="24"/>
          <w:highlight w:val="none"/>
        </w:rPr>
        <w:t>日</w:t>
      </w:r>
      <w:r>
        <w:rPr>
          <w:rFonts w:hint="eastAsia" w:ascii="宋体" w:hAnsi="宋体" w:cs="宋体"/>
          <w:color w:val="auto"/>
          <w:sz w:val="24"/>
          <w:highlight w:val="none"/>
          <w:lang w:val="en-US" w:eastAsia="zh-CN"/>
        </w:rPr>
        <w:t>09</w:t>
      </w:r>
      <w:r>
        <w:rPr>
          <w:rFonts w:hint="eastAsia" w:ascii="宋体" w:hAnsi="宋体" w:cs="宋体"/>
          <w:color w:val="auto"/>
          <w:sz w:val="24"/>
          <w:highlight w:val="none"/>
        </w:rPr>
        <w:t>点</w:t>
      </w:r>
      <w:r>
        <w:rPr>
          <w:rFonts w:hint="eastAsia" w:ascii="宋体" w:hAnsi="宋体" w:cs="宋体"/>
          <w:color w:val="auto"/>
          <w:sz w:val="24"/>
          <w:highlight w:val="none"/>
          <w:lang w:val="en-US" w:eastAsia="zh-CN"/>
        </w:rPr>
        <w:t>30</w:t>
      </w:r>
      <w:r>
        <w:rPr>
          <w:rFonts w:hint="eastAsia" w:ascii="宋体" w:hAnsi="宋体" w:cs="宋体"/>
          <w:color w:val="auto"/>
          <w:sz w:val="24"/>
          <w:highlight w:val="none"/>
        </w:rPr>
        <w:t>分</w:t>
      </w:r>
      <w:r>
        <w:rPr>
          <w:rFonts w:hint="eastAsia" w:ascii="宋体" w:hAnsi="宋体" w:cs="宋体"/>
          <w:color w:val="auto"/>
          <w:sz w:val="24"/>
          <w:highlight w:val="none"/>
        </w:rPr>
        <w:t>（北京时间）</w:t>
      </w:r>
      <w:bookmarkEnd w:id="13"/>
    </w:p>
    <w:p w14:paraId="1A05AB39">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2.地点：通过广西政府采购云平台在线提交。</w:t>
      </w:r>
    </w:p>
    <w:p w14:paraId="1D3A45F4">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本项目为全流程电子化项目，没有现场递交响应文件及现场开标环节，通过广西政府采购云平台（https://www.gcy.zfcg.gxzf.gov.cn/）实行在线电子投标，供应商应先安装“广西政府采购云平台投标客户端”（请自行前往广西政府采购云平台进行下载），并按照本项目采购文件和广西政府采购云平台的要求使用CA认证编制、加密响应文件后在首次响应文件提交截止时间前上传至广西政府采购云平台，供应商在广西政府采购云平台提交电子版响应文件时，请填写参加远程开标活动经办人联系方式，如在谈判评审过程中有电子询标，应在规定的时间内对电子询标函进行澄清回复。</w:t>
      </w:r>
    </w:p>
    <w:p w14:paraId="6686625A">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五、开启</w:t>
      </w:r>
    </w:p>
    <w:p w14:paraId="4C77FCD2">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1.首次响应文件开启时间：2026年</w:t>
      </w:r>
      <w:r>
        <w:rPr>
          <w:rFonts w:hint="eastAsia" w:ascii="宋体" w:hAnsi="宋体" w:cs="宋体"/>
          <w:color w:val="auto"/>
          <w:sz w:val="24"/>
          <w:highlight w:val="none"/>
          <w:lang w:val="en-US" w:eastAsia="zh-CN"/>
        </w:rPr>
        <w:t>9</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16</w:t>
      </w:r>
      <w:r>
        <w:rPr>
          <w:rFonts w:hint="eastAsia" w:ascii="宋体" w:hAnsi="宋体" w:cs="宋体"/>
          <w:color w:val="auto"/>
          <w:sz w:val="24"/>
          <w:highlight w:val="none"/>
        </w:rPr>
        <w:t>日</w:t>
      </w:r>
      <w:r>
        <w:rPr>
          <w:rFonts w:hint="eastAsia" w:ascii="宋体" w:hAnsi="宋体" w:cs="宋体"/>
          <w:color w:val="auto"/>
          <w:sz w:val="24"/>
          <w:highlight w:val="none"/>
          <w:lang w:val="en-US" w:eastAsia="zh-CN"/>
        </w:rPr>
        <w:t>09</w:t>
      </w:r>
      <w:r>
        <w:rPr>
          <w:rFonts w:hint="eastAsia" w:ascii="宋体" w:hAnsi="宋体" w:cs="宋体"/>
          <w:color w:val="auto"/>
          <w:sz w:val="24"/>
          <w:highlight w:val="none"/>
        </w:rPr>
        <w:t>点</w:t>
      </w:r>
      <w:r>
        <w:rPr>
          <w:rFonts w:hint="eastAsia" w:ascii="宋体" w:hAnsi="宋体" w:cs="宋体"/>
          <w:color w:val="auto"/>
          <w:sz w:val="24"/>
          <w:highlight w:val="none"/>
          <w:lang w:val="en-US" w:eastAsia="zh-CN"/>
        </w:rPr>
        <w:t>3</w:t>
      </w:r>
      <w:r>
        <w:rPr>
          <w:rFonts w:hint="eastAsia" w:ascii="宋体" w:hAnsi="宋体" w:cs="宋体"/>
          <w:color w:val="auto"/>
          <w:sz w:val="24"/>
          <w:highlight w:val="none"/>
        </w:rPr>
        <w:t>0分</w:t>
      </w:r>
      <w:r>
        <w:rPr>
          <w:rFonts w:hint="eastAsia" w:ascii="宋体" w:hAnsi="宋体" w:cs="宋体"/>
          <w:color w:val="auto"/>
          <w:sz w:val="24"/>
          <w:highlight w:val="none"/>
        </w:rPr>
        <w:t>（北京时间）</w:t>
      </w:r>
    </w:p>
    <w:p w14:paraId="322AF43C">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2.地点：本项目将在广西政府采购云平台电子开标大厅解密、开启。</w:t>
      </w:r>
    </w:p>
    <w:p w14:paraId="34E86383">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六、公告期限</w:t>
      </w:r>
    </w:p>
    <w:p w14:paraId="523E5787">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自本公告发布之日起3个工作日。</w:t>
      </w:r>
    </w:p>
    <w:p w14:paraId="71F21D9C">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七、其他补充事宜</w:t>
      </w:r>
    </w:p>
    <w:p w14:paraId="1CF26C2C">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1.竞标保证金</w:t>
      </w:r>
      <w:r>
        <w:rPr>
          <w:rFonts w:hint="eastAsia" w:ascii="宋体" w:hAnsi="宋体" w:cs="宋体"/>
          <w:color w:val="auto"/>
          <w:kern w:val="0"/>
          <w:sz w:val="24"/>
          <w:highlight w:val="none"/>
        </w:rPr>
        <w:t>（人民币）：</w:t>
      </w:r>
      <w:r>
        <w:rPr>
          <w:rFonts w:hint="eastAsia" w:ascii="宋体" w:hAnsi="宋体" w:cs="宋体"/>
          <w:color w:val="auto"/>
          <w:sz w:val="24"/>
          <w:highlight w:val="none"/>
        </w:rPr>
        <w:t>分标1:10000元；分标2:10000元</w:t>
      </w:r>
    </w:p>
    <w:p w14:paraId="7066E2E7">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361BB43A">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3.根据财政部《关于在政府采购活动中查询及使用信用记录有关问题的通知》（财库〔2016〕125号）的规定，对在“信用中国”网站(www.creditchina.gov.cn)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2CBD4549">
      <w:pPr>
        <w:spacing w:line="360" w:lineRule="auto"/>
        <w:ind w:left="420" w:leftChars="200"/>
        <w:rPr>
          <w:rFonts w:hint="eastAsia" w:ascii="宋体" w:hAnsi="宋体" w:cs="宋体"/>
          <w:color w:val="auto"/>
          <w:sz w:val="24"/>
          <w:highlight w:val="none"/>
        </w:rPr>
      </w:pPr>
      <w:r>
        <w:rPr>
          <w:rFonts w:hint="eastAsia" w:ascii="宋体" w:hAnsi="宋体" w:cs="宋体"/>
          <w:color w:val="auto"/>
          <w:sz w:val="24"/>
          <w:highlight w:val="none"/>
        </w:rPr>
        <w:t>4.网上查询地址：</w:t>
      </w:r>
    </w:p>
    <w:p w14:paraId="0933CDB5">
      <w:pPr>
        <w:spacing w:line="360" w:lineRule="auto"/>
        <w:ind w:left="420" w:leftChars="200"/>
        <w:rPr>
          <w:rFonts w:hint="eastAsia" w:ascii="宋体" w:hAnsi="宋体" w:cs="宋体"/>
          <w:color w:val="auto"/>
          <w:sz w:val="24"/>
          <w:highlight w:val="none"/>
        </w:rPr>
      </w:pPr>
      <w:bookmarkStart w:id="14" w:name="_Hlk207211567"/>
      <w:r>
        <w:rPr>
          <w:rFonts w:hint="eastAsia" w:ascii="宋体" w:hAnsi="宋体" w:cs="宋体"/>
          <w:color w:val="auto"/>
          <w:sz w:val="24"/>
          <w:highlight w:val="none"/>
        </w:rPr>
        <w:t>（1）中国政府采购网（</w:t>
      </w:r>
      <w:r>
        <w:rPr>
          <w:color w:val="auto"/>
          <w:highlight w:val="none"/>
        </w:rPr>
        <w:fldChar w:fldCharType="begin"/>
      </w:r>
      <w:r>
        <w:rPr>
          <w:color w:val="auto"/>
          <w:highlight w:val="none"/>
        </w:rPr>
        <w:instrText xml:space="preserve">HYPERLINK "http://www.ccgp.gov.cn"</w:instrText>
      </w:r>
      <w:r>
        <w:rPr>
          <w:color w:val="auto"/>
          <w:highlight w:val="none"/>
        </w:rPr>
        <w:fldChar w:fldCharType="separate"/>
      </w:r>
      <w:r>
        <w:rPr>
          <w:rStyle w:val="31"/>
          <w:rFonts w:hint="eastAsia" w:ascii="宋体" w:hAnsi="宋体" w:cs="宋体"/>
          <w:color w:val="auto"/>
          <w:sz w:val="24"/>
          <w:highlight w:val="none"/>
        </w:rPr>
        <w:t>www.ccgp.gov.cn</w:t>
      </w:r>
      <w:r>
        <w:rPr>
          <w:rStyle w:val="31"/>
          <w:rFonts w:ascii="宋体" w:hAnsi="宋体" w:cs="宋体"/>
          <w:color w:val="auto"/>
          <w:sz w:val="24"/>
          <w:highlight w:val="none"/>
        </w:rPr>
        <w:fldChar w:fldCharType="end"/>
      </w:r>
      <w:r>
        <w:rPr>
          <w:rFonts w:hint="eastAsia" w:ascii="宋体" w:hAnsi="宋体" w:cs="宋体"/>
          <w:color w:val="auto"/>
          <w:sz w:val="24"/>
          <w:highlight w:val="none"/>
        </w:rPr>
        <w:t>）</w:t>
      </w:r>
    </w:p>
    <w:p w14:paraId="4908C831">
      <w:pPr>
        <w:spacing w:line="360" w:lineRule="auto"/>
        <w:ind w:left="420" w:leftChars="200"/>
        <w:rPr>
          <w:rFonts w:hint="eastAsia" w:ascii="宋体" w:hAnsi="宋体" w:cs="宋体"/>
          <w:color w:val="auto"/>
          <w:sz w:val="24"/>
          <w:highlight w:val="none"/>
        </w:rPr>
      </w:pPr>
      <w:r>
        <w:rPr>
          <w:rFonts w:hint="eastAsia" w:ascii="宋体" w:hAnsi="宋体" w:cs="宋体"/>
          <w:color w:val="auto"/>
          <w:sz w:val="24"/>
          <w:highlight w:val="none"/>
        </w:rPr>
        <w:t>（2）广西政府采购网（zfcg.gxzf.gov.cn）</w:t>
      </w:r>
    </w:p>
    <w:p w14:paraId="5FDDD5BB">
      <w:pPr>
        <w:spacing w:line="360" w:lineRule="auto"/>
        <w:ind w:left="420" w:leftChars="200"/>
        <w:rPr>
          <w:rFonts w:hint="eastAsia" w:ascii="宋体" w:hAnsi="宋体" w:cs="宋体"/>
          <w:color w:val="auto"/>
          <w:sz w:val="24"/>
          <w:highlight w:val="none"/>
        </w:rPr>
      </w:pPr>
      <w:r>
        <w:rPr>
          <w:rFonts w:hint="eastAsia" w:ascii="宋体" w:hAnsi="宋体" w:cs="宋体"/>
          <w:color w:val="auto"/>
          <w:sz w:val="24"/>
          <w:highlight w:val="none"/>
        </w:rPr>
        <w:t>（</w:t>
      </w:r>
      <w:r>
        <w:rPr>
          <w:rFonts w:ascii="宋体" w:hAnsi="宋体" w:cs="宋体"/>
          <w:color w:val="auto"/>
          <w:sz w:val="24"/>
          <w:highlight w:val="none"/>
        </w:rPr>
        <w:t>3</w:t>
      </w:r>
      <w:r>
        <w:rPr>
          <w:rFonts w:hint="eastAsia" w:ascii="宋体" w:hAnsi="宋体" w:cs="宋体"/>
          <w:color w:val="auto"/>
          <w:sz w:val="24"/>
          <w:highlight w:val="none"/>
        </w:rPr>
        <w:t>）中国招标投标公共服务平台（http://www.cebpubservice.com）</w:t>
      </w:r>
      <w:r>
        <w:rPr>
          <w:rFonts w:hint="eastAsia" w:ascii="宋体" w:hAnsi="宋体" w:cs="宋体"/>
          <w:color w:val="auto"/>
          <w:sz w:val="24"/>
          <w:highlight w:val="none"/>
        </w:rPr>
        <w:br w:type="textWrapping"/>
      </w:r>
      <w:r>
        <w:rPr>
          <w:rFonts w:hint="eastAsia" w:ascii="宋体" w:hAnsi="宋体" w:cs="宋体"/>
          <w:color w:val="auto"/>
          <w:sz w:val="24"/>
          <w:highlight w:val="none"/>
        </w:rPr>
        <w:t>（</w:t>
      </w:r>
      <w:r>
        <w:rPr>
          <w:rFonts w:ascii="宋体" w:hAnsi="宋体" w:cs="宋体"/>
          <w:color w:val="auto"/>
          <w:sz w:val="24"/>
          <w:highlight w:val="none"/>
        </w:rPr>
        <w:t>4</w:t>
      </w:r>
      <w:r>
        <w:rPr>
          <w:rFonts w:hint="eastAsia" w:ascii="宋体" w:hAnsi="宋体" w:cs="宋体"/>
          <w:color w:val="auto"/>
          <w:sz w:val="24"/>
          <w:highlight w:val="none"/>
        </w:rPr>
        <w:t>）广西壮族自治区招标投标公共服务平台（http://zbtb.gxi.gov.cn:9000）</w:t>
      </w:r>
    </w:p>
    <w:bookmarkEnd w:id="14"/>
    <w:p w14:paraId="5C5D5DC5">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5.本项目需要落实的政府采购政策：</w:t>
      </w:r>
    </w:p>
    <w:p w14:paraId="04E32B8E">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（1）政府采购促进中小企业发展。</w:t>
      </w:r>
    </w:p>
    <w:p w14:paraId="1A0AAA06">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（2）政府采购支持采用本国产品的政策。</w:t>
      </w:r>
    </w:p>
    <w:p w14:paraId="26296DF1">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（3）强制采购节能产品；优先采购节能产品、环境标志产品。</w:t>
      </w:r>
    </w:p>
    <w:p w14:paraId="1E6B6E26">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（4）政府采购促进残疾人就业政策。</w:t>
      </w:r>
    </w:p>
    <w:p w14:paraId="1A6D791B">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（5）政府采购支持监狱企业发展。</w:t>
      </w:r>
    </w:p>
    <w:p w14:paraId="74CBB75A">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（6）扶持不发达地区和少数民族地区政策。</w:t>
      </w:r>
    </w:p>
    <w:p w14:paraId="464600E4">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6.谈判注意事项：</w:t>
      </w:r>
    </w:p>
    <w:p w14:paraId="069CF4C9">
      <w:pPr>
        <w:spacing w:line="360" w:lineRule="auto"/>
        <w:ind w:firstLine="480" w:firstLineChars="200"/>
        <w:rPr>
          <w:rFonts w:hint="eastAsia" w:ascii="宋体" w:hAnsi="宋体" w:cs="宋体"/>
          <w:b/>
          <w:color w:val="auto"/>
          <w:sz w:val="24"/>
          <w:highlight w:val="none"/>
        </w:rPr>
      </w:pPr>
      <w:r>
        <w:rPr>
          <w:rFonts w:hint="eastAsia" w:ascii="宋体" w:hAnsi="宋体" w:cs="宋体"/>
          <w:color w:val="auto"/>
          <w:sz w:val="24"/>
          <w:highlight w:val="none"/>
        </w:rPr>
        <w:t>（1）响应文件提交方式：本项目为全流程电子化政府采购项目，通过广西政府采购云平台（https://www.gcy.zfcg.gxzf.gov.cn/）实行在线电子竞争性谈判，供应商应先安装“广西政府采购云平台电子交易客户端”（请自行前往广西政府采购云平台进行下载），并按照本项目竞争性谈判采购文件和广西政府采购云平台的要求编制、加密后在首次响应文件提交截止时间前通过网络上传至广西政府采购云平台，</w:t>
      </w:r>
      <w:r>
        <w:rPr>
          <w:rFonts w:hint="eastAsia" w:ascii="宋体" w:hAnsi="宋体" w:cs="宋体"/>
          <w:b/>
          <w:color w:val="auto"/>
          <w:sz w:val="24"/>
          <w:highlight w:val="none"/>
        </w:rPr>
        <w:t>供应商在广西政府采购云平台提交电子版响应文件时，请填写参加远程开标活动经办人联系方式。</w:t>
      </w:r>
    </w:p>
    <w:p w14:paraId="5BB24030">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本项目为全流程电子化项目，没有现场递交响应文件及现场开标环节，通过广西政府采购云平台（https://www.gcy.zfcg.gxzf.gov.cn/）实行在线电子投标，供应商应先安装“广西政府采购云平台投标客户端”（请自行前往广西政府采购云平台进行下载），并按照本项目采购文件和广西政府采购云平台的要求使用CA认证编制、加密响应文件后在首次响应文件提交截止时间前上传至广西政府采购云平台，供应商在广西政府采购云平台提交电子版响应文件时，请填写参加远程开标活动经办人联系方式，如在谈判评审过程中有电子询标，应在规定的时间内对电子询标函进行澄清回复。</w:t>
      </w:r>
    </w:p>
    <w:p w14:paraId="3BE6EFEC">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供应商应及时熟悉掌握电子标系统操作指南（见广西政府采购云平台电子卖场首页右上角—服务中心—帮助文档—项目采购）；及时完成CA申领和绑定（见广西壮族自治区政府采购网—办事服务—下载专区-广西政府采购云平台CA证书办理操作指南）。</w:t>
      </w:r>
    </w:p>
    <w:p w14:paraId="73D4C550">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未进行网上注册并办理数字证书（CA认证）的供应商将无法参与本项目政府采购活动，潜在供应商应当在首次响应文件提交截止时间前，完成电子交易平台上的CA数字证书办理及响应文件的提交。完成CA数字证书办理预计7日左右，供应商只需办理其中一家CA数字证书及签章，建议各供应商抓紧时间办理。</w:t>
      </w:r>
    </w:p>
    <w:p w14:paraId="44A27FF4">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（4）为确保网上操作合法、有效和安全，请供应商确保在参与电子竞争性谈判过程中能够对相关数据电文进行加密和使用电子签章，妥善保管CA数字证书并使用有效的CA数字证书参与整个采购活动。</w:t>
      </w:r>
    </w:p>
    <w:p w14:paraId="29139114">
      <w:pPr>
        <w:spacing w:line="360" w:lineRule="auto"/>
        <w:ind w:firstLine="482" w:firstLineChars="200"/>
        <w:rPr>
          <w:rFonts w:hint="eastAsia" w:ascii="楷体" w:hAnsi="楷体" w:eastAsia="楷体" w:cs="宋体"/>
          <w:b/>
          <w:color w:val="auto"/>
          <w:sz w:val="24"/>
          <w:highlight w:val="none"/>
        </w:rPr>
      </w:pPr>
      <w:r>
        <w:rPr>
          <w:rFonts w:hint="eastAsia" w:ascii="楷体" w:hAnsi="楷体" w:eastAsia="楷体" w:cs="宋体"/>
          <w:b/>
          <w:color w:val="auto"/>
          <w:sz w:val="24"/>
          <w:highlight w:val="none"/>
        </w:rPr>
        <w:t>注：供应商应当在首次响应文件提交截止时间前完成电子响应文件的上传、递交，首次响应文件提交截止时间前可以补充、修改或者撤回响应文件。补充或者修改响应文件的，应当先行撤回原文件，补充、修改后重新上传、递交。首次响应文件提交截止时间前未完成上传、递交的，视为撤回响应文件。首次响应文件提交截止时间以后上传递交的响应文件，广西政府采购云平台将予以拒收。</w:t>
      </w:r>
    </w:p>
    <w:p w14:paraId="6EB17325">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7.CA证书在线解密：首次响应文件开启时，须要供应商携带制作响应文件时用来加密的有效数字证书（CA认证）登录广西政府采购云平台电子开标大厅现场按规定时间对加密的响应文件进行解密，否则后果自负。</w:t>
      </w:r>
    </w:p>
    <w:p w14:paraId="289B4C34">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8.供应商需要在具备有摄像头及语音功能且互联网网络状况良好的电脑登录广西政府采购云平台远程开标大厅参与本次谈判，否则后果自负。</w:t>
      </w:r>
    </w:p>
    <w:p w14:paraId="68C720CF">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9.若对项目采购电子交易系统操作有疑问，可登录广西政府采购云平台（https://www.gcy.zfcg.gxzf.gov.cn/），点击右侧咨询小采，获取采小蜜智能服务管家帮助，或拨打广西政府采购云平台服务热线</w:t>
      </w:r>
      <w:r>
        <w:rPr>
          <w:rFonts w:ascii="宋体" w:hAnsi="宋体" w:cs="宋体"/>
          <w:color w:val="auto"/>
          <w:sz w:val="24"/>
          <w:highlight w:val="none"/>
        </w:rPr>
        <w:t>95763</w:t>
      </w:r>
      <w:r>
        <w:rPr>
          <w:rFonts w:hint="eastAsia" w:ascii="宋体" w:hAnsi="宋体" w:cs="宋体"/>
          <w:color w:val="auto"/>
          <w:sz w:val="24"/>
          <w:highlight w:val="none"/>
        </w:rPr>
        <w:t>获取热线服务帮助。</w:t>
      </w:r>
    </w:p>
    <w:p w14:paraId="781A547C">
      <w:pPr>
        <w:spacing w:line="360" w:lineRule="auto"/>
        <w:ind w:firstLine="361" w:firstLineChars="150"/>
        <w:rPr>
          <w:rFonts w:hint="eastAsia" w:ascii="宋体" w:hAnsi="宋体" w:cs="宋体"/>
          <w:b/>
          <w:bCs/>
          <w:color w:val="auto"/>
          <w:sz w:val="24"/>
          <w:highlight w:val="none"/>
        </w:rPr>
      </w:pPr>
      <w:r>
        <w:rPr>
          <w:rFonts w:hint="eastAsia" w:ascii="宋体" w:hAnsi="宋体" w:cs="宋体"/>
          <w:b/>
          <w:bCs/>
          <w:color w:val="auto"/>
          <w:sz w:val="24"/>
          <w:highlight w:val="none"/>
        </w:rPr>
        <w:t>10.本项目接受供应商对多个分标进行投标，每个供应商只允许中一个分标，评标顺序为：分标1—分标2，分标2成交供应商不推荐为分标1的成交供应商。若供应商投标多个分标的，须就不同的标段分别单独投标。</w:t>
      </w:r>
    </w:p>
    <w:p w14:paraId="3A428EB3">
      <w:pPr>
        <w:spacing w:line="360" w:lineRule="auto"/>
        <w:ind w:firstLine="361" w:firstLineChars="150"/>
        <w:rPr>
          <w:rFonts w:hint="eastAsia" w:ascii="宋体" w:hAnsi="宋体" w:cs="宋体"/>
          <w:b/>
          <w:bCs/>
          <w:color w:val="auto"/>
          <w:sz w:val="24"/>
          <w:highlight w:val="none"/>
        </w:rPr>
      </w:pPr>
      <w:r>
        <w:rPr>
          <w:rFonts w:hint="eastAsia" w:ascii="宋体" w:hAnsi="宋体" w:cs="宋体"/>
          <w:b/>
          <w:bCs/>
          <w:color w:val="auto"/>
          <w:sz w:val="24"/>
          <w:highlight w:val="none"/>
        </w:rPr>
        <w:t>八、凡对本次采购提出询问，请按以下方式联系。</w:t>
      </w:r>
      <w:bookmarkEnd w:id="4"/>
      <w:bookmarkEnd w:id="5"/>
      <w:bookmarkEnd w:id="6"/>
      <w:bookmarkEnd w:id="7"/>
      <w:bookmarkEnd w:id="8"/>
      <w:bookmarkEnd w:id="9"/>
    </w:p>
    <w:p w14:paraId="26693947">
      <w:pPr>
        <w:spacing w:line="360" w:lineRule="auto"/>
        <w:ind w:firstLine="482" w:firstLineChars="200"/>
        <w:rPr>
          <w:rFonts w:hint="eastAsia" w:ascii="宋体" w:hAnsi="宋体" w:cs="宋体"/>
          <w:b/>
          <w:bCs/>
          <w:color w:val="auto"/>
          <w:sz w:val="24"/>
          <w:highlight w:val="none"/>
        </w:rPr>
      </w:pPr>
      <w:bookmarkStart w:id="15" w:name="_Toc35393806"/>
      <w:bookmarkStart w:id="16" w:name="_Toc28359096"/>
      <w:bookmarkStart w:id="17" w:name="_Toc35393637"/>
      <w:bookmarkStart w:id="18" w:name="_Toc28359019"/>
      <w:r>
        <w:rPr>
          <w:rFonts w:hint="eastAsia" w:ascii="宋体" w:hAnsi="宋体" w:cs="宋体"/>
          <w:b/>
          <w:bCs/>
          <w:color w:val="auto"/>
          <w:sz w:val="24"/>
          <w:highlight w:val="none"/>
        </w:rPr>
        <w:t>1.采购人信息</w:t>
      </w:r>
    </w:p>
    <w:p w14:paraId="2DC720E0">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名 称：广西大学</w:t>
      </w:r>
    </w:p>
    <w:p w14:paraId="4B45012C">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地址：广西壮族自治区南宁市大学东路100号</w:t>
      </w:r>
    </w:p>
    <w:p w14:paraId="314ADFFC">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联系人：谢振宁</w:t>
      </w:r>
      <w:r>
        <w:rPr>
          <w:rFonts w:ascii="宋体" w:hAnsi="宋体" w:cs="宋体"/>
          <w:color w:val="auto"/>
          <w:sz w:val="24"/>
          <w:highlight w:val="none"/>
        </w:rPr>
        <w:t xml:space="preserve"> </w:t>
      </w:r>
      <w:r>
        <w:rPr>
          <w:rFonts w:hint="eastAsia" w:ascii="宋体" w:hAnsi="宋体" w:cs="宋体"/>
          <w:color w:val="auto"/>
          <w:sz w:val="24"/>
          <w:highlight w:val="none"/>
        </w:rPr>
        <w:t>，联系电话：0771-3272161</w:t>
      </w:r>
      <w:r>
        <w:rPr>
          <w:rFonts w:ascii="宋体" w:hAnsi="宋体" w:cs="宋体"/>
          <w:color w:val="auto"/>
          <w:sz w:val="24"/>
          <w:highlight w:val="none"/>
        </w:rPr>
        <w:t xml:space="preserve">  </w:t>
      </w:r>
      <w:r>
        <w:rPr>
          <w:rFonts w:hint="eastAsia" w:ascii="宋体" w:hAnsi="宋体" w:cs="宋体"/>
          <w:color w:val="auto"/>
          <w:sz w:val="24"/>
          <w:highlight w:val="none"/>
        </w:rPr>
        <w:t xml:space="preserve">　　　　　　　 </w:t>
      </w:r>
    </w:p>
    <w:p w14:paraId="207F88B6">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2.采购代理机构信息</w:t>
      </w:r>
    </w:p>
    <w:p w14:paraId="57AC7081">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名 称：广西冠宁工程咨询有限公司</w:t>
      </w:r>
      <w:r>
        <w:rPr>
          <w:rFonts w:ascii="宋体" w:hAnsi="宋体" w:cs="宋体"/>
          <w:color w:val="auto"/>
          <w:sz w:val="24"/>
          <w:highlight w:val="none"/>
        </w:rPr>
        <w:t xml:space="preserve"> </w:t>
      </w:r>
    </w:p>
    <w:p w14:paraId="0D64DC28">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地　址：广西壮族自治区南宁市青秀区茶花园路6-1号南湖翠苑0431A、0431B、0431C室</w:t>
      </w:r>
    </w:p>
    <w:p w14:paraId="715EB575">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联系人：杨启运   联系电话：0771-5725583 </w:t>
      </w:r>
      <w:r>
        <w:rPr>
          <w:rFonts w:ascii="宋体" w:hAnsi="宋体" w:cs="宋体"/>
          <w:color w:val="auto"/>
          <w:sz w:val="24"/>
          <w:highlight w:val="none"/>
        </w:rPr>
        <w:t xml:space="preserve">  </w:t>
      </w:r>
    </w:p>
    <w:p w14:paraId="59643BEB">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3.项目联系方式</w:t>
      </w:r>
    </w:p>
    <w:p w14:paraId="755B8E4B">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项目联系人：杨启运   联系电话：0771-5725583</w:t>
      </w:r>
      <w:r>
        <w:rPr>
          <w:rFonts w:ascii="宋体" w:hAnsi="宋体" w:cs="宋体"/>
          <w:color w:val="auto"/>
          <w:sz w:val="24"/>
          <w:highlight w:val="none"/>
        </w:rPr>
        <w:t xml:space="preserve">  </w:t>
      </w:r>
    </w:p>
    <w:p w14:paraId="039B7456">
      <w:pPr>
        <w:spacing w:line="360" w:lineRule="auto"/>
        <w:ind w:firstLine="5460" w:firstLineChars="2275"/>
        <w:jc w:val="right"/>
        <w:rPr>
          <w:rFonts w:hint="eastAsia" w:ascii="宋体" w:hAnsi="宋体" w:cs="宋体"/>
          <w:color w:val="auto"/>
          <w:sz w:val="24"/>
          <w:highlight w:val="none"/>
        </w:rPr>
      </w:pPr>
    </w:p>
    <w:p w14:paraId="7EEB8357">
      <w:pPr>
        <w:spacing w:line="360" w:lineRule="auto"/>
        <w:ind w:firstLine="5460" w:firstLineChars="2275"/>
        <w:jc w:val="right"/>
        <w:rPr>
          <w:rFonts w:hint="eastAsia" w:ascii="宋体" w:hAnsi="宋体" w:cs="宋体"/>
          <w:color w:val="auto"/>
          <w:sz w:val="24"/>
          <w:highlight w:val="none"/>
        </w:rPr>
      </w:pPr>
      <w:r>
        <w:rPr>
          <w:rFonts w:hint="eastAsia" w:ascii="宋体" w:hAnsi="宋体" w:cs="宋体"/>
          <w:color w:val="auto"/>
          <w:sz w:val="24"/>
          <w:highlight w:val="none"/>
        </w:rPr>
        <w:t>　　　　　　　　　　　</w:t>
      </w:r>
      <w:bookmarkEnd w:id="15"/>
      <w:bookmarkEnd w:id="16"/>
      <w:bookmarkEnd w:id="17"/>
      <w:bookmarkEnd w:id="18"/>
      <w:r>
        <w:rPr>
          <w:rFonts w:hint="eastAsia" w:ascii="宋体" w:hAnsi="宋体" w:cs="宋体"/>
          <w:color w:val="auto"/>
          <w:sz w:val="24"/>
          <w:highlight w:val="none"/>
        </w:rPr>
        <w:t xml:space="preserve"> </w:t>
      </w:r>
      <w:r>
        <w:rPr>
          <w:rFonts w:ascii="宋体" w:hAnsi="宋体" w:cs="宋体"/>
          <w:color w:val="auto"/>
          <w:sz w:val="24"/>
          <w:highlight w:val="none"/>
        </w:rPr>
        <w:t xml:space="preserve">         </w:t>
      </w:r>
      <w:bookmarkEnd w:id="1"/>
    </w:p>
    <w:p w14:paraId="24F336E8">
      <w:pPr>
        <w:spacing w:line="360" w:lineRule="auto"/>
        <w:ind w:firstLine="5460" w:firstLineChars="2275"/>
        <w:rPr>
          <w:rFonts w:hint="eastAsia" w:ascii="宋体" w:hAnsi="宋体" w:cs="宋体"/>
          <w:color w:val="auto"/>
          <w:sz w:val="24"/>
          <w:highlight w:val="none"/>
        </w:rPr>
      </w:pPr>
      <w:bookmarkStart w:id="19" w:name="_Hlk207211693"/>
      <w:r>
        <w:rPr>
          <w:rFonts w:hint="eastAsia" w:ascii="宋体" w:hAnsi="宋体" w:cs="宋体"/>
          <w:color w:val="auto"/>
          <w:sz w:val="24"/>
          <w:highlight w:val="none"/>
        </w:rPr>
        <w:t>代理机构：广西冠宁工程咨询有限公司</w:t>
      </w:r>
    </w:p>
    <w:p w14:paraId="218E27D1">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 xml:space="preserve">                                        2026年</w:t>
      </w:r>
      <w:r>
        <w:rPr>
          <w:rFonts w:hint="eastAsia" w:ascii="宋体" w:hAnsi="宋体" w:cs="宋体"/>
          <w:color w:val="auto"/>
          <w:sz w:val="24"/>
          <w:highlight w:val="none"/>
          <w:lang w:val="en-US" w:eastAsia="zh-CN"/>
        </w:rPr>
        <w:t>9</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10</w:t>
      </w:r>
      <w:r>
        <w:rPr>
          <w:rFonts w:hint="eastAsia" w:ascii="宋体" w:hAnsi="宋体" w:cs="宋体"/>
          <w:color w:val="auto"/>
          <w:sz w:val="24"/>
          <w:highlight w:val="none"/>
        </w:rPr>
        <w:t>日</w:t>
      </w:r>
    </w:p>
    <w:bookmarkEnd w:id="19"/>
    <w:p w14:paraId="3A686F4D">
      <w:pPr>
        <w:rPr>
          <w:rFonts w:hint="eastAsia" w:ascii="宋体" w:hAnsi="宋体" w:cs="宋体"/>
          <w:color w:val="auto"/>
          <w:highlight w:val="none"/>
        </w:rPr>
      </w:pPr>
      <w:r>
        <w:rPr>
          <w:rFonts w:hint="eastAsia" w:ascii="宋体" w:hAnsi="宋体" w:cs="宋体"/>
          <w:color w:val="auto"/>
          <w:highlight w:val="none"/>
        </w:rPr>
        <w:br w:type="page"/>
      </w:r>
    </w:p>
    <w:p w14:paraId="45166F28">
      <w:pPr>
        <w:pStyle w:val="2"/>
        <w:spacing w:before="0" w:after="0" w:line="360" w:lineRule="auto"/>
        <w:jc w:val="center"/>
        <w:rPr>
          <w:color w:val="auto"/>
          <w:highlight w:val="none"/>
        </w:rPr>
      </w:pPr>
      <w:bookmarkStart w:id="20" w:name="_Toc7871"/>
      <w:r>
        <w:rPr>
          <w:rFonts w:hint="eastAsia" w:ascii="宋体" w:hAnsi="宋体" w:cs="宋体"/>
          <w:color w:val="auto"/>
          <w:highlight w:val="none"/>
        </w:rPr>
        <w:t>第二章 供应商须知</w:t>
      </w:r>
      <w:bookmarkEnd w:id="20"/>
    </w:p>
    <w:p w14:paraId="67EC38AF">
      <w:pPr>
        <w:spacing w:line="40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供应商须知前附表</w:t>
      </w:r>
    </w:p>
    <w:tbl>
      <w:tblPr>
        <w:tblStyle w:val="26"/>
        <w:tblW w:w="917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1"/>
        <w:gridCol w:w="8181"/>
      </w:tblGrid>
      <w:tr w14:paraId="2C2F4D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3" w:hRule="atLeast"/>
          <w:jc w:val="center"/>
        </w:trPr>
        <w:tc>
          <w:tcPr>
            <w:tcW w:w="991" w:type="dxa"/>
            <w:vAlign w:val="center"/>
          </w:tcPr>
          <w:p w14:paraId="6C478244">
            <w:pPr>
              <w:spacing w:line="500" w:lineRule="exact"/>
              <w:jc w:val="center"/>
              <w:rPr>
                <w:rFonts w:hint="eastAsia" w:ascii="宋体" w:hAnsi="宋体" w:cs="宋体"/>
                <w:b/>
                <w:color w:val="auto"/>
                <w:sz w:val="24"/>
                <w:highlight w:val="none"/>
              </w:rPr>
            </w:pPr>
            <w:r>
              <w:rPr>
                <w:rFonts w:hint="eastAsia" w:ascii="宋体" w:hAnsi="宋体" w:cs="宋体"/>
                <w:b/>
                <w:color w:val="auto"/>
                <w:sz w:val="24"/>
                <w:highlight w:val="none"/>
              </w:rPr>
              <w:t>条款号</w:t>
            </w:r>
          </w:p>
        </w:tc>
        <w:tc>
          <w:tcPr>
            <w:tcW w:w="8181" w:type="dxa"/>
            <w:vAlign w:val="center"/>
          </w:tcPr>
          <w:p w14:paraId="0E5D4BBD">
            <w:pPr>
              <w:spacing w:line="500" w:lineRule="exact"/>
              <w:jc w:val="center"/>
              <w:rPr>
                <w:rFonts w:hint="eastAsia" w:ascii="宋体" w:hAnsi="宋体" w:cs="宋体"/>
                <w:b/>
                <w:color w:val="auto"/>
                <w:sz w:val="24"/>
                <w:highlight w:val="none"/>
              </w:rPr>
            </w:pPr>
            <w:r>
              <w:rPr>
                <w:rFonts w:hint="eastAsia" w:ascii="宋体" w:hAnsi="宋体" w:cs="宋体"/>
                <w:b/>
                <w:color w:val="auto"/>
                <w:sz w:val="24"/>
                <w:highlight w:val="none"/>
              </w:rPr>
              <w:t>内    容</w:t>
            </w:r>
          </w:p>
        </w:tc>
      </w:tr>
      <w:tr w14:paraId="3F8A44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3" w:hRule="atLeast"/>
          <w:jc w:val="center"/>
        </w:trPr>
        <w:tc>
          <w:tcPr>
            <w:tcW w:w="991" w:type="dxa"/>
            <w:vAlign w:val="center"/>
          </w:tcPr>
          <w:p w14:paraId="2DC99263">
            <w:pPr>
              <w:spacing w:line="500" w:lineRule="exact"/>
              <w:jc w:val="center"/>
              <w:rPr>
                <w:rFonts w:hint="eastAsia" w:ascii="宋体" w:hAnsi="宋体" w:cs="宋体"/>
                <w:color w:val="auto"/>
                <w:sz w:val="24"/>
                <w:highlight w:val="none"/>
              </w:rPr>
            </w:pPr>
            <w:r>
              <w:rPr>
                <w:rFonts w:hint="eastAsia" w:ascii="宋体" w:hAnsi="宋体" w:cs="宋体"/>
                <w:color w:val="auto"/>
                <w:sz w:val="24"/>
                <w:highlight w:val="none"/>
              </w:rPr>
              <w:t>3</w:t>
            </w:r>
          </w:p>
        </w:tc>
        <w:tc>
          <w:tcPr>
            <w:tcW w:w="8181" w:type="dxa"/>
            <w:vAlign w:val="center"/>
          </w:tcPr>
          <w:p w14:paraId="2901A7AC">
            <w:pPr>
              <w:spacing w:line="500" w:lineRule="exact"/>
              <w:rPr>
                <w:rFonts w:hint="eastAsia" w:ascii="宋体" w:hAnsi="宋体" w:cs="宋体"/>
                <w:color w:val="auto"/>
                <w:sz w:val="24"/>
                <w:highlight w:val="none"/>
              </w:rPr>
            </w:pPr>
            <w:r>
              <w:rPr>
                <w:rFonts w:hint="eastAsia" w:ascii="宋体" w:hAnsi="宋体" w:cs="宋体"/>
                <w:color w:val="auto"/>
                <w:sz w:val="24"/>
                <w:highlight w:val="none"/>
              </w:rPr>
              <w:t>供应商的资格条件：详见竞争性谈判公告</w:t>
            </w:r>
          </w:p>
        </w:tc>
      </w:tr>
      <w:tr w14:paraId="79334A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3" w:hRule="atLeast"/>
          <w:jc w:val="center"/>
        </w:trPr>
        <w:tc>
          <w:tcPr>
            <w:tcW w:w="991" w:type="dxa"/>
            <w:vAlign w:val="center"/>
          </w:tcPr>
          <w:p w14:paraId="367E6C14">
            <w:pPr>
              <w:spacing w:line="500" w:lineRule="exact"/>
              <w:jc w:val="center"/>
              <w:rPr>
                <w:rFonts w:hint="eastAsia" w:ascii="宋体" w:hAnsi="宋体" w:cs="宋体"/>
                <w:color w:val="auto"/>
                <w:sz w:val="24"/>
                <w:highlight w:val="none"/>
              </w:rPr>
            </w:pPr>
            <w:r>
              <w:rPr>
                <w:rFonts w:hint="eastAsia" w:ascii="宋体" w:hAnsi="宋体" w:cs="宋体"/>
                <w:color w:val="auto"/>
                <w:sz w:val="24"/>
                <w:highlight w:val="none"/>
              </w:rPr>
              <w:t>5.1</w:t>
            </w:r>
          </w:p>
        </w:tc>
        <w:tc>
          <w:tcPr>
            <w:tcW w:w="8181" w:type="dxa"/>
            <w:vAlign w:val="center"/>
          </w:tcPr>
          <w:p w14:paraId="2B04FB8E">
            <w:pPr>
              <w:spacing w:line="500" w:lineRule="exact"/>
              <w:rPr>
                <w:rFonts w:hint="eastAsia" w:ascii="宋体" w:hAnsi="宋体" w:cs="宋体"/>
                <w:color w:val="auto"/>
                <w:sz w:val="24"/>
                <w:highlight w:val="none"/>
              </w:rPr>
            </w:pPr>
            <w:r>
              <w:rPr>
                <w:rFonts w:hint="eastAsia" w:ascii="宋体" w:hAnsi="宋体" w:cs="宋体"/>
                <w:color w:val="auto"/>
                <w:sz w:val="24"/>
                <w:highlight w:val="none"/>
              </w:rPr>
              <w:t>是否接受联合体参与: 详见竞争性谈判公告</w:t>
            </w:r>
          </w:p>
        </w:tc>
      </w:tr>
      <w:tr w14:paraId="021C7F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91" w:type="dxa"/>
            <w:vAlign w:val="center"/>
          </w:tcPr>
          <w:p w14:paraId="3FC1015B">
            <w:pPr>
              <w:spacing w:line="500" w:lineRule="exact"/>
              <w:jc w:val="center"/>
              <w:rPr>
                <w:rFonts w:hint="eastAsia" w:ascii="宋体" w:hAnsi="宋体" w:cs="宋体"/>
                <w:color w:val="auto"/>
                <w:sz w:val="24"/>
                <w:highlight w:val="none"/>
              </w:rPr>
            </w:pPr>
            <w:r>
              <w:rPr>
                <w:rFonts w:hint="eastAsia" w:ascii="宋体" w:hAnsi="宋体" w:cs="宋体"/>
                <w:color w:val="auto"/>
                <w:sz w:val="24"/>
                <w:highlight w:val="none"/>
              </w:rPr>
              <w:t>5.2</w:t>
            </w:r>
          </w:p>
        </w:tc>
        <w:tc>
          <w:tcPr>
            <w:tcW w:w="8181" w:type="dxa"/>
            <w:vAlign w:val="center"/>
          </w:tcPr>
          <w:p w14:paraId="6A5DE7FB">
            <w:pPr>
              <w:spacing w:line="500" w:lineRule="exact"/>
              <w:rPr>
                <w:rFonts w:hint="eastAsia" w:ascii="宋体" w:hAnsi="宋体" w:cs="宋体"/>
                <w:color w:val="auto"/>
                <w:sz w:val="24"/>
                <w:highlight w:val="none"/>
              </w:rPr>
            </w:pPr>
            <w:r>
              <w:rPr>
                <w:rFonts w:hint="eastAsia" w:ascii="宋体" w:hAnsi="宋体" w:cs="宋体"/>
                <w:color w:val="auto"/>
                <w:sz w:val="24"/>
                <w:highlight w:val="none"/>
              </w:rPr>
              <w:t>如接受联合体参与，要求如下：</w:t>
            </w:r>
          </w:p>
          <w:p w14:paraId="2F9985EA">
            <w:pPr>
              <w:autoSpaceDE w:val="0"/>
              <w:autoSpaceDN w:val="0"/>
              <w:snapToGrid w:val="0"/>
              <w:spacing w:line="500" w:lineRule="exact"/>
              <w:textAlignment w:val="bottom"/>
              <w:rPr>
                <w:rFonts w:hint="eastAsia"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bCs/>
                <w:color w:val="auto"/>
                <w:sz w:val="24"/>
                <w:highlight w:val="none"/>
              </w:rPr>
              <w:t>.</w:t>
            </w:r>
            <w:r>
              <w:rPr>
                <w:rFonts w:hint="eastAsia" w:ascii="宋体" w:hAnsi="宋体" w:cs="宋体"/>
                <w:color w:val="auto"/>
                <w:sz w:val="24"/>
                <w:highlight w:val="none"/>
              </w:rPr>
              <w:t>两个以上供应商可以组成一个联合体，以一个供应商的身份共同参与竞争性谈判，联合体供应商的名称应统一按“XXX 公司与 XXX 公司的联合体”的规则填写。</w:t>
            </w:r>
            <w:r>
              <w:rPr>
                <w:rFonts w:hint="eastAsia" w:ascii="宋体" w:hAnsi="宋体" w:cs="宋体"/>
                <w:color w:val="auto"/>
                <w:sz w:val="24"/>
                <w:highlight w:val="none"/>
              </w:rPr>
              <w:tab/>
            </w:r>
          </w:p>
          <w:p w14:paraId="2FB333E8">
            <w:pPr>
              <w:autoSpaceDE w:val="0"/>
              <w:autoSpaceDN w:val="0"/>
              <w:snapToGrid w:val="0"/>
              <w:spacing w:line="500" w:lineRule="exact"/>
              <w:textAlignment w:val="bottom"/>
              <w:rPr>
                <w:rFonts w:hint="eastAsia"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bCs/>
                <w:color w:val="auto"/>
                <w:sz w:val="24"/>
                <w:highlight w:val="none"/>
              </w:rPr>
              <w:t>.</w:t>
            </w:r>
            <w:r>
              <w:rPr>
                <w:rFonts w:hint="eastAsia" w:ascii="宋体" w:hAnsi="宋体" w:cs="宋体"/>
                <w:color w:val="auto"/>
                <w:sz w:val="24"/>
                <w:highlight w:val="none"/>
              </w:rPr>
              <w:t>以联合体形式参与竞争性谈判的，联合体各方均必须具备《中华人民共和国政府采购法》第二十二条第一款规定的基本条件（涉及行政许可范围的内容，联合体各方均应具备相应资质）。本项目有特殊要求规定供应商特定条件的，联合体各方中至少有一方必须符合本项目竞争性谈判公告“申请人的资格条件”第3点 “3、本项目的特定资格要求”的要求。</w:t>
            </w:r>
          </w:p>
          <w:p w14:paraId="08DB1337">
            <w:pPr>
              <w:autoSpaceDE w:val="0"/>
              <w:autoSpaceDN w:val="0"/>
              <w:snapToGrid w:val="0"/>
              <w:spacing w:line="500" w:lineRule="exact"/>
              <w:textAlignment w:val="bottom"/>
              <w:rPr>
                <w:rFonts w:hint="eastAsia" w:ascii="宋体" w:hAnsi="宋体" w:cs="宋体"/>
                <w:color w:val="auto"/>
                <w:sz w:val="24"/>
                <w:highlight w:val="none"/>
              </w:rPr>
            </w:pPr>
            <w:r>
              <w:rPr>
                <w:rFonts w:hint="eastAsia" w:ascii="宋体" w:hAnsi="宋体" w:cs="宋体"/>
                <w:color w:val="auto"/>
                <w:sz w:val="24"/>
                <w:highlight w:val="none"/>
              </w:rPr>
              <w:t>3</w:t>
            </w:r>
            <w:r>
              <w:rPr>
                <w:rFonts w:hint="eastAsia" w:ascii="宋体" w:hAnsi="宋体" w:cs="宋体"/>
                <w:bCs/>
                <w:color w:val="auto"/>
                <w:sz w:val="24"/>
                <w:highlight w:val="none"/>
              </w:rPr>
              <w:t>.</w:t>
            </w:r>
            <w:r>
              <w:rPr>
                <w:rFonts w:hint="eastAsia" w:ascii="宋体" w:hAnsi="宋体" w:cs="宋体"/>
                <w:color w:val="auto"/>
                <w:sz w:val="24"/>
                <w:highlight w:val="none"/>
              </w:rPr>
              <w:t>联合体参与竞争性谈判的，须提供《联合体参与竞争性谈判协议书》（格式后附），协议书必须明确主体方（或者牵头方）并明确约定联合体各方承担的工作和相应的责任（各方承担责任与义务的分工必须符合采购需求，否则，联合体响应无效），并将《联合体参与竞争性谈判协议书》放入响应文件。联合体各方必须共同与采购人签订采购合同，就采购合同约定的事项对采购人承担连带责任。</w:t>
            </w:r>
            <w:r>
              <w:rPr>
                <w:rFonts w:hint="eastAsia" w:ascii="宋体" w:hAnsi="宋体" w:cs="宋体"/>
                <w:color w:val="auto"/>
                <w:sz w:val="24"/>
                <w:highlight w:val="none"/>
              </w:rPr>
              <w:tab/>
            </w:r>
          </w:p>
          <w:p w14:paraId="577CE6D7">
            <w:pPr>
              <w:autoSpaceDE w:val="0"/>
              <w:autoSpaceDN w:val="0"/>
              <w:snapToGrid w:val="0"/>
              <w:spacing w:line="500" w:lineRule="exact"/>
              <w:textAlignment w:val="bottom"/>
              <w:rPr>
                <w:rFonts w:hint="eastAsia" w:ascii="宋体" w:hAnsi="宋体" w:cs="宋体"/>
                <w:color w:val="auto"/>
                <w:sz w:val="24"/>
                <w:highlight w:val="none"/>
              </w:rPr>
            </w:pPr>
            <w:r>
              <w:rPr>
                <w:rFonts w:hint="eastAsia" w:ascii="宋体" w:hAnsi="宋体" w:cs="宋体"/>
                <w:color w:val="auto"/>
                <w:sz w:val="24"/>
                <w:highlight w:val="none"/>
              </w:rPr>
              <w:t>4</w:t>
            </w:r>
            <w:r>
              <w:rPr>
                <w:rFonts w:hint="eastAsia" w:ascii="宋体" w:hAnsi="宋体" w:cs="宋体"/>
                <w:bCs/>
                <w:color w:val="auto"/>
                <w:sz w:val="24"/>
                <w:highlight w:val="none"/>
              </w:rPr>
              <w:t>.</w:t>
            </w:r>
            <w:r>
              <w:rPr>
                <w:rFonts w:hint="eastAsia" w:ascii="宋体" w:hAnsi="宋体" w:cs="宋体"/>
                <w:color w:val="auto"/>
                <w:sz w:val="24"/>
                <w:highlight w:val="none"/>
              </w:rPr>
              <w:t>以联合体形式参加政府采购活动的，联合体各方不得再单独参加或者与其他供应商另外组成联合体参加同一合同项下的政府采购活动，否则与之相关的响应文件作废。</w:t>
            </w:r>
            <w:r>
              <w:rPr>
                <w:rFonts w:hint="eastAsia" w:ascii="宋体" w:hAnsi="宋体" w:cs="宋体"/>
                <w:color w:val="auto"/>
                <w:sz w:val="24"/>
                <w:highlight w:val="none"/>
              </w:rPr>
              <w:tab/>
            </w:r>
            <w:r>
              <w:rPr>
                <w:rFonts w:hint="eastAsia" w:ascii="宋体" w:hAnsi="宋体" w:cs="宋体"/>
                <w:color w:val="auto"/>
                <w:sz w:val="24"/>
                <w:highlight w:val="none"/>
              </w:rPr>
              <w:tab/>
            </w:r>
          </w:p>
          <w:p w14:paraId="6DB0B958">
            <w:pPr>
              <w:autoSpaceDE w:val="0"/>
              <w:autoSpaceDN w:val="0"/>
              <w:snapToGrid w:val="0"/>
              <w:spacing w:line="500" w:lineRule="exact"/>
              <w:textAlignment w:val="bottom"/>
              <w:rPr>
                <w:rFonts w:hint="eastAsia" w:ascii="宋体" w:hAnsi="宋体" w:cs="宋体"/>
                <w:color w:val="auto"/>
                <w:sz w:val="24"/>
                <w:highlight w:val="none"/>
              </w:rPr>
            </w:pPr>
            <w:r>
              <w:rPr>
                <w:rFonts w:hint="eastAsia" w:ascii="宋体" w:hAnsi="宋体" w:cs="宋体"/>
                <w:color w:val="auto"/>
                <w:sz w:val="24"/>
                <w:highlight w:val="none"/>
              </w:rPr>
              <w:t>5</w:t>
            </w:r>
            <w:r>
              <w:rPr>
                <w:rFonts w:hint="eastAsia" w:ascii="宋体" w:hAnsi="宋体" w:cs="宋体"/>
                <w:bCs/>
                <w:color w:val="auto"/>
                <w:sz w:val="24"/>
                <w:highlight w:val="none"/>
              </w:rPr>
              <w:t>.</w:t>
            </w:r>
            <w:r>
              <w:rPr>
                <w:rFonts w:hint="eastAsia" w:ascii="宋体" w:hAnsi="宋体" w:cs="宋体"/>
                <w:color w:val="auto"/>
                <w:sz w:val="24"/>
                <w:highlight w:val="none"/>
              </w:rPr>
              <w:t>联合体中有同类资质的供应商按照联合体分工承担相同工作的，应当按照资质等级较低的供应商确定资质等级。</w:t>
            </w:r>
            <w:r>
              <w:rPr>
                <w:rFonts w:hint="eastAsia" w:ascii="宋体" w:hAnsi="宋体" w:cs="宋体"/>
                <w:color w:val="auto"/>
                <w:sz w:val="24"/>
                <w:highlight w:val="none"/>
              </w:rPr>
              <w:tab/>
            </w:r>
            <w:r>
              <w:rPr>
                <w:rFonts w:hint="eastAsia" w:ascii="宋体" w:hAnsi="宋体" w:cs="宋体"/>
                <w:color w:val="auto"/>
                <w:sz w:val="24"/>
                <w:highlight w:val="none"/>
              </w:rPr>
              <w:tab/>
            </w:r>
          </w:p>
          <w:p w14:paraId="2FC34CBF">
            <w:pPr>
              <w:autoSpaceDE w:val="0"/>
              <w:autoSpaceDN w:val="0"/>
              <w:snapToGrid w:val="0"/>
              <w:spacing w:line="500" w:lineRule="exact"/>
              <w:textAlignment w:val="bottom"/>
              <w:rPr>
                <w:rFonts w:hint="eastAsia" w:ascii="宋体" w:hAnsi="宋体" w:cs="宋体"/>
                <w:color w:val="auto"/>
                <w:sz w:val="24"/>
                <w:highlight w:val="none"/>
              </w:rPr>
            </w:pPr>
            <w:r>
              <w:rPr>
                <w:rFonts w:hint="eastAsia" w:ascii="宋体" w:hAnsi="宋体" w:cs="宋体"/>
                <w:color w:val="auto"/>
                <w:sz w:val="24"/>
                <w:highlight w:val="none"/>
              </w:rPr>
              <w:t>6</w:t>
            </w:r>
            <w:r>
              <w:rPr>
                <w:rFonts w:hint="eastAsia" w:ascii="宋体" w:hAnsi="宋体" w:cs="宋体"/>
                <w:bCs/>
                <w:color w:val="auto"/>
                <w:sz w:val="24"/>
                <w:highlight w:val="none"/>
              </w:rPr>
              <w:t>.</w:t>
            </w:r>
            <w:r>
              <w:rPr>
                <w:rFonts w:hint="eastAsia" w:ascii="宋体" w:hAnsi="宋体" w:cs="宋体"/>
                <w:color w:val="auto"/>
                <w:sz w:val="24"/>
                <w:highlight w:val="none"/>
              </w:rPr>
              <w:t>联合体参与竞争性谈判的业绩、履约能力按照联合体各方其中较高的一方认定并计算（竞争性谈判采购文件另有规定的除外）。</w:t>
            </w:r>
            <w:r>
              <w:rPr>
                <w:rFonts w:hint="eastAsia" w:ascii="宋体" w:hAnsi="宋体" w:cs="宋体"/>
                <w:color w:val="auto"/>
                <w:sz w:val="24"/>
                <w:highlight w:val="none"/>
              </w:rPr>
              <w:tab/>
            </w:r>
            <w:r>
              <w:rPr>
                <w:rFonts w:hint="eastAsia" w:ascii="宋体" w:hAnsi="宋体" w:cs="宋体"/>
                <w:color w:val="auto"/>
                <w:sz w:val="24"/>
                <w:highlight w:val="none"/>
              </w:rPr>
              <w:tab/>
            </w:r>
            <w:r>
              <w:rPr>
                <w:rFonts w:hint="eastAsia" w:ascii="宋体" w:hAnsi="宋体" w:cs="宋体"/>
                <w:color w:val="auto"/>
                <w:sz w:val="24"/>
                <w:highlight w:val="none"/>
              </w:rPr>
              <w:tab/>
            </w:r>
          </w:p>
          <w:p w14:paraId="726404E3">
            <w:pPr>
              <w:spacing w:line="500" w:lineRule="exact"/>
              <w:rPr>
                <w:rFonts w:hint="eastAsia" w:ascii="宋体" w:hAnsi="宋体" w:cs="宋体"/>
                <w:color w:val="auto"/>
                <w:sz w:val="24"/>
                <w:highlight w:val="none"/>
              </w:rPr>
            </w:pPr>
            <w:r>
              <w:rPr>
                <w:rFonts w:hint="eastAsia" w:ascii="宋体" w:hAnsi="宋体" w:cs="宋体"/>
                <w:color w:val="auto"/>
                <w:sz w:val="24"/>
                <w:highlight w:val="none"/>
              </w:rPr>
              <w:t>7</w:t>
            </w:r>
            <w:r>
              <w:rPr>
                <w:rFonts w:hint="eastAsia" w:ascii="宋体" w:hAnsi="宋体" w:cs="宋体"/>
                <w:bCs/>
                <w:color w:val="auto"/>
                <w:sz w:val="24"/>
                <w:highlight w:val="none"/>
              </w:rPr>
              <w:t>.</w:t>
            </w:r>
            <w:r>
              <w:rPr>
                <w:rFonts w:hint="eastAsia" w:ascii="宋体" w:hAnsi="宋体" w:cs="宋体"/>
                <w:color w:val="auto"/>
                <w:sz w:val="24"/>
                <w:highlight w:val="none"/>
              </w:rPr>
              <w:t>联合体各方均应按照竞争性谈判采购文件的规定提交资格证明文件。</w:t>
            </w:r>
          </w:p>
        </w:tc>
      </w:tr>
      <w:tr w14:paraId="0EDDBE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12" w:hRule="atLeast"/>
          <w:jc w:val="center"/>
        </w:trPr>
        <w:tc>
          <w:tcPr>
            <w:tcW w:w="991" w:type="dxa"/>
            <w:vAlign w:val="center"/>
          </w:tcPr>
          <w:p w14:paraId="1A64DD40">
            <w:pPr>
              <w:spacing w:line="500" w:lineRule="exact"/>
              <w:jc w:val="center"/>
              <w:rPr>
                <w:rFonts w:hint="eastAsia" w:ascii="宋体" w:hAnsi="宋体" w:cs="宋体"/>
                <w:color w:val="auto"/>
                <w:sz w:val="24"/>
                <w:highlight w:val="none"/>
              </w:rPr>
            </w:pPr>
            <w:r>
              <w:rPr>
                <w:rFonts w:hint="eastAsia" w:ascii="宋体" w:hAnsi="宋体" w:cs="宋体"/>
                <w:color w:val="auto"/>
                <w:sz w:val="24"/>
                <w:highlight w:val="none"/>
              </w:rPr>
              <w:t>6.2</w:t>
            </w:r>
          </w:p>
        </w:tc>
        <w:tc>
          <w:tcPr>
            <w:tcW w:w="8181" w:type="dxa"/>
            <w:vAlign w:val="center"/>
          </w:tcPr>
          <w:p w14:paraId="2A88A989">
            <w:pPr>
              <w:pStyle w:val="8"/>
              <w:spacing w:line="500" w:lineRule="exact"/>
              <w:jc w:val="both"/>
              <w:rPr>
                <w:rFonts w:hint="eastAsia" w:ascii="宋体" w:hAnsi="宋体" w:cs="宋体"/>
                <w:color w:val="auto"/>
                <w:sz w:val="24"/>
                <w:highlight w:val="none"/>
              </w:rPr>
            </w:pPr>
            <w:r>
              <w:rPr>
                <w:rFonts w:hint="eastAsia" w:ascii="宋体" w:hAnsi="宋体" w:cs="宋体"/>
                <w:color w:val="auto"/>
                <w:sz w:val="24"/>
                <w:highlight w:val="none"/>
              </w:rPr>
              <w:sym w:font="Wingdings" w:char="00FE"/>
            </w:r>
            <w:r>
              <w:rPr>
                <w:rFonts w:hint="eastAsia" w:ascii="宋体" w:hAnsi="宋体" w:cs="宋体"/>
                <w:color w:val="auto"/>
                <w:sz w:val="24"/>
                <w:highlight w:val="none"/>
              </w:rPr>
              <w:t>本项目不允许分包。</w:t>
            </w:r>
          </w:p>
          <w:p w14:paraId="57DCA99C">
            <w:pPr>
              <w:pStyle w:val="8"/>
              <w:spacing w:line="500" w:lineRule="exact"/>
              <w:jc w:val="both"/>
              <w:rPr>
                <w:rFonts w:hint="eastAsia" w:ascii="宋体" w:hAnsi="宋体" w:cs="宋体"/>
                <w:color w:val="auto"/>
                <w:sz w:val="24"/>
                <w:highlight w:val="none"/>
              </w:rPr>
            </w:pPr>
            <w:r>
              <w:rPr>
                <w:rFonts w:hint="eastAsia" w:ascii="宋体" w:hAnsi="宋体" w:cs="宋体"/>
                <w:color w:val="auto"/>
                <w:sz w:val="24"/>
                <w:highlight w:val="none"/>
              </w:rPr>
              <w:sym w:font="Wingdings" w:char="00A8"/>
            </w:r>
            <w:r>
              <w:rPr>
                <w:rFonts w:hint="eastAsia" w:ascii="宋体" w:hAnsi="宋体" w:cs="宋体"/>
                <w:color w:val="auto"/>
                <w:sz w:val="24"/>
                <w:highlight w:val="none"/>
              </w:rPr>
              <w:t>本项目允许分包：</w:t>
            </w:r>
          </w:p>
          <w:p w14:paraId="4763B265">
            <w:pPr>
              <w:pStyle w:val="8"/>
              <w:spacing w:line="500" w:lineRule="exact"/>
              <w:jc w:val="both"/>
              <w:rPr>
                <w:rFonts w:hint="eastAsia" w:ascii="宋体" w:hAnsi="宋体" w:cs="宋体"/>
                <w:color w:val="auto"/>
                <w:sz w:val="24"/>
                <w:highlight w:val="none"/>
                <w:u w:val="single"/>
              </w:rPr>
            </w:pPr>
            <w:r>
              <w:rPr>
                <w:rFonts w:hint="eastAsia" w:ascii="宋体" w:hAnsi="宋体" w:cs="宋体"/>
                <w:color w:val="auto"/>
                <w:sz w:val="24"/>
                <w:highlight w:val="none"/>
              </w:rPr>
              <w:t>分包内容：</w:t>
            </w:r>
            <w:r>
              <w:rPr>
                <w:rFonts w:hint="eastAsia" w:ascii="宋体" w:hAnsi="宋体" w:cs="宋体"/>
                <w:color w:val="auto"/>
                <w:sz w:val="24"/>
                <w:highlight w:val="none"/>
                <w:u w:val="single"/>
              </w:rPr>
              <w:t>/</w:t>
            </w:r>
          </w:p>
          <w:p w14:paraId="56BF95AC">
            <w:pPr>
              <w:pStyle w:val="8"/>
              <w:spacing w:line="500" w:lineRule="exact"/>
              <w:jc w:val="both"/>
              <w:rPr>
                <w:rFonts w:hint="eastAsia" w:ascii="宋体" w:hAnsi="宋体" w:cs="宋体"/>
                <w:color w:val="auto"/>
                <w:sz w:val="24"/>
                <w:highlight w:val="none"/>
                <w:u w:val="single"/>
              </w:rPr>
            </w:pPr>
            <w:r>
              <w:rPr>
                <w:rFonts w:hint="eastAsia" w:ascii="宋体" w:hAnsi="宋体" w:cs="宋体"/>
                <w:color w:val="auto"/>
                <w:sz w:val="24"/>
                <w:highlight w:val="none"/>
              </w:rPr>
              <w:t>分包金额或者比例：</w:t>
            </w:r>
            <w:r>
              <w:rPr>
                <w:rFonts w:hint="eastAsia" w:ascii="宋体" w:hAnsi="宋体" w:cs="宋体"/>
                <w:color w:val="auto"/>
                <w:sz w:val="24"/>
                <w:highlight w:val="none"/>
                <w:u w:val="single"/>
              </w:rPr>
              <w:t>/</w:t>
            </w:r>
          </w:p>
        </w:tc>
      </w:tr>
      <w:tr w14:paraId="7EA0CA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89" w:hRule="atLeast"/>
          <w:jc w:val="center"/>
        </w:trPr>
        <w:tc>
          <w:tcPr>
            <w:tcW w:w="991" w:type="dxa"/>
            <w:vAlign w:val="center"/>
          </w:tcPr>
          <w:p w14:paraId="6BD5A441">
            <w:pPr>
              <w:spacing w:line="500" w:lineRule="exact"/>
              <w:jc w:val="center"/>
              <w:rPr>
                <w:rFonts w:hint="eastAsia" w:ascii="宋体" w:hAnsi="宋体" w:cs="宋体"/>
                <w:color w:val="auto"/>
                <w:sz w:val="24"/>
                <w:highlight w:val="none"/>
              </w:rPr>
            </w:pPr>
            <w:r>
              <w:rPr>
                <w:rFonts w:hint="eastAsia" w:ascii="宋体" w:hAnsi="宋体" w:cs="宋体"/>
                <w:color w:val="auto"/>
                <w:sz w:val="24"/>
                <w:highlight w:val="none"/>
              </w:rPr>
              <w:t>12.1.1</w:t>
            </w:r>
          </w:p>
        </w:tc>
        <w:tc>
          <w:tcPr>
            <w:tcW w:w="8181" w:type="dxa"/>
            <w:vAlign w:val="center"/>
          </w:tcPr>
          <w:p w14:paraId="7E0B3EA1">
            <w:pPr>
              <w:snapToGrid w:val="0"/>
              <w:spacing w:line="500" w:lineRule="exact"/>
              <w:rPr>
                <w:rFonts w:hint="eastAsia" w:ascii="宋体" w:hAnsi="宋体" w:cs="宋体"/>
                <w:b/>
                <w:color w:val="auto"/>
                <w:sz w:val="24"/>
                <w:highlight w:val="none"/>
              </w:rPr>
            </w:pPr>
            <w:r>
              <w:rPr>
                <w:rFonts w:hint="eastAsia" w:ascii="宋体" w:hAnsi="宋体" w:cs="宋体"/>
                <w:b/>
                <w:color w:val="auto"/>
                <w:sz w:val="24"/>
                <w:highlight w:val="none"/>
              </w:rPr>
              <w:t>资格证明文件</w:t>
            </w:r>
          </w:p>
          <w:p w14:paraId="106EB1C9">
            <w:pPr>
              <w:snapToGrid w:val="0"/>
              <w:spacing w:line="500" w:lineRule="exact"/>
              <w:rPr>
                <w:rFonts w:hint="eastAsia"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bCs/>
                <w:color w:val="auto"/>
                <w:sz w:val="24"/>
                <w:highlight w:val="none"/>
              </w:rPr>
              <w:t>.</w:t>
            </w:r>
            <w:r>
              <w:rPr>
                <w:rFonts w:hint="eastAsia" w:ascii="宋体" w:hAnsi="宋体" w:cs="宋体"/>
                <w:color w:val="auto"/>
                <w:sz w:val="24"/>
                <w:highlight w:val="none"/>
              </w:rPr>
              <w:t>供应商为法人或者其他组织的，证明文件为其营业执照复印件（如营业执照或者事业单位法人证书或者执业许可证等）；供应商为自然人的，证明文件为其身份证复印件；（</w:t>
            </w:r>
            <w:r>
              <w:rPr>
                <w:rFonts w:hint="eastAsia" w:ascii="宋体" w:hAnsi="宋体" w:cs="宋体"/>
                <w:b/>
                <w:color w:val="auto"/>
                <w:sz w:val="24"/>
                <w:highlight w:val="none"/>
              </w:rPr>
              <w:t>必须提供，否则响应文件按无效响应处理</w:t>
            </w:r>
            <w:r>
              <w:rPr>
                <w:rFonts w:hint="eastAsia" w:ascii="宋体" w:hAnsi="宋体" w:cs="宋体"/>
                <w:color w:val="auto"/>
                <w:sz w:val="24"/>
                <w:highlight w:val="none"/>
              </w:rPr>
              <w:t>）</w:t>
            </w:r>
          </w:p>
          <w:p w14:paraId="01A712E9">
            <w:pPr>
              <w:spacing w:line="500" w:lineRule="exact"/>
              <w:contextualSpacing/>
              <w:rPr>
                <w:rFonts w:hint="eastAsia"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bCs/>
                <w:color w:val="auto"/>
                <w:sz w:val="24"/>
                <w:highlight w:val="none"/>
              </w:rPr>
              <w:t>.</w:t>
            </w:r>
            <w:r>
              <w:rPr>
                <w:rFonts w:hint="eastAsia" w:ascii="宋体" w:hAnsi="宋体" w:cs="宋体"/>
                <w:color w:val="auto"/>
                <w:sz w:val="24"/>
                <w:highlight w:val="none"/>
              </w:rPr>
              <w:t>供应商依法缴纳税收的相关材料（截至首次响应文件提交截止之日半年内连续三个月的依法缴纳税收的凭据复印件；依法免税的，必须提供相应文件证明。从成立之日起到首次响应文件提交截止之日不足要求月数的，只需提供从成立之日起的依法缴纳税收相应证明文件）；（</w:t>
            </w:r>
            <w:r>
              <w:rPr>
                <w:rFonts w:hint="eastAsia" w:ascii="宋体" w:hAnsi="宋体" w:cs="宋体"/>
                <w:b/>
                <w:color w:val="auto"/>
                <w:sz w:val="24"/>
                <w:highlight w:val="none"/>
              </w:rPr>
              <w:t>必须提供，否则响应文件按无效响应处理</w:t>
            </w:r>
            <w:r>
              <w:rPr>
                <w:rFonts w:hint="eastAsia" w:ascii="宋体" w:hAnsi="宋体" w:cs="宋体"/>
                <w:color w:val="auto"/>
                <w:sz w:val="24"/>
                <w:highlight w:val="none"/>
              </w:rPr>
              <w:t>）</w:t>
            </w:r>
          </w:p>
          <w:p w14:paraId="018D328A">
            <w:pPr>
              <w:spacing w:line="500" w:lineRule="exact"/>
              <w:contextualSpacing/>
              <w:rPr>
                <w:rFonts w:hint="eastAsia" w:ascii="宋体" w:hAnsi="宋体" w:cs="宋体"/>
                <w:color w:val="auto"/>
                <w:sz w:val="24"/>
                <w:highlight w:val="none"/>
              </w:rPr>
            </w:pPr>
            <w:r>
              <w:rPr>
                <w:rFonts w:hint="eastAsia" w:ascii="宋体" w:hAnsi="宋体" w:cs="宋体"/>
                <w:color w:val="auto"/>
                <w:sz w:val="24"/>
                <w:highlight w:val="none"/>
              </w:rPr>
              <w:t>3</w:t>
            </w:r>
            <w:r>
              <w:rPr>
                <w:rFonts w:hint="eastAsia" w:ascii="宋体" w:hAnsi="宋体" w:cs="宋体"/>
                <w:bCs/>
                <w:color w:val="auto"/>
                <w:sz w:val="24"/>
                <w:highlight w:val="none"/>
              </w:rPr>
              <w:t>.</w:t>
            </w:r>
            <w:r>
              <w:rPr>
                <w:rFonts w:hint="eastAsia" w:ascii="宋体" w:hAnsi="宋体" w:cs="宋体"/>
                <w:color w:val="auto"/>
                <w:sz w:val="24"/>
                <w:highlight w:val="none"/>
              </w:rPr>
              <w:t>供应商依法缴纳社会保障资金的相关材料（截至首次响应文件提交截止之日半年内连续三个月的依法缴纳社会保障资金的缴费凭证（专用收据或者社会保险缴纳清单）复印件；依法不需要缴纳社会保障资金的，必须提供相应文件证明。从成立之日起到首次响应文件提交截止之日不足要求月数的只需提供从成立之日起一个月的依法缴纳社会保障资金的相应证明文件）；（</w:t>
            </w:r>
            <w:r>
              <w:rPr>
                <w:rFonts w:hint="eastAsia" w:ascii="宋体" w:hAnsi="宋体" w:cs="宋体"/>
                <w:b/>
                <w:color w:val="auto"/>
                <w:sz w:val="24"/>
                <w:highlight w:val="none"/>
              </w:rPr>
              <w:t>必须提供，否则响应文件按无效响应处理</w:t>
            </w:r>
            <w:r>
              <w:rPr>
                <w:rFonts w:hint="eastAsia" w:ascii="宋体" w:hAnsi="宋体" w:cs="宋体"/>
                <w:color w:val="auto"/>
                <w:sz w:val="24"/>
                <w:highlight w:val="none"/>
              </w:rPr>
              <w:t>）</w:t>
            </w:r>
          </w:p>
          <w:p w14:paraId="20D88CF6">
            <w:pPr>
              <w:spacing w:line="500" w:lineRule="exact"/>
              <w:contextualSpacing/>
              <w:rPr>
                <w:rFonts w:hint="eastAsia" w:ascii="宋体" w:hAnsi="宋体" w:cs="宋体"/>
                <w:b/>
                <w:color w:val="auto"/>
                <w:sz w:val="24"/>
                <w:highlight w:val="none"/>
              </w:rPr>
            </w:pPr>
            <w:r>
              <w:rPr>
                <w:rFonts w:hint="eastAsia" w:ascii="宋体" w:hAnsi="宋体" w:cs="宋体"/>
                <w:color w:val="auto"/>
                <w:sz w:val="24"/>
                <w:highlight w:val="none"/>
              </w:rPr>
              <w:t>4</w:t>
            </w:r>
            <w:r>
              <w:rPr>
                <w:rFonts w:hint="eastAsia" w:ascii="宋体" w:hAnsi="宋体" w:cs="宋体"/>
                <w:bCs/>
                <w:color w:val="auto"/>
                <w:sz w:val="24"/>
                <w:highlight w:val="none"/>
              </w:rPr>
              <w:t>.</w:t>
            </w:r>
            <w:r>
              <w:rPr>
                <w:rFonts w:hint="eastAsia" w:ascii="宋体" w:hAnsi="宋体" w:cs="宋体"/>
                <w:color w:val="auto"/>
                <w:sz w:val="24"/>
                <w:highlight w:val="none"/>
              </w:rPr>
              <w:t>供应商财务状况报告（提供2025年财务状况报告复印件，或者银行出具的资信证明（资信证明应在有效期内，未注明有效期的，银行出具时间至首次响应文件提交截止之日不超过一年）；</w:t>
            </w:r>
            <w:r>
              <w:rPr>
                <w:rFonts w:hint="eastAsia" w:ascii="宋体" w:hAnsi="宋体"/>
                <w:color w:val="auto"/>
                <w:sz w:val="24"/>
                <w:highlight w:val="none"/>
              </w:rPr>
              <w:t>供应商成立不满一年的应按提供首次响应文件提交截止之日上一个月的财务状况报告复印件</w:t>
            </w:r>
            <w:r>
              <w:rPr>
                <w:rFonts w:hint="eastAsia" w:ascii="宋体" w:hAnsi="宋体" w:cs="宋体"/>
                <w:color w:val="auto"/>
                <w:sz w:val="24"/>
                <w:highlight w:val="none"/>
              </w:rPr>
              <w:t>）</w:t>
            </w:r>
            <w:r>
              <w:rPr>
                <w:rFonts w:hint="eastAsia" w:ascii="宋体" w:hAnsi="宋体" w:cs="宋体"/>
                <w:bCs/>
                <w:color w:val="auto"/>
                <w:sz w:val="24"/>
                <w:highlight w:val="none"/>
              </w:rPr>
              <w:t>（</w:t>
            </w:r>
            <w:r>
              <w:rPr>
                <w:rFonts w:hint="eastAsia" w:ascii="宋体" w:hAnsi="宋体" w:cs="宋体"/>
                <w:b/>
                <w:color w:val="auto"/>
                <w:sz w:val="24"/>
                <w:highlight w:val="none"/>
              </w:rPr>
              <w:t>除自然人外必须提供，否则响应文件按无效响应处理</w:t>
            </w:r>
            <w:r>
              <w:rPr>
                <w:rFonts w:hint="eastAsia" w:ascii="宋体" w:hAnsi="宋体" w:cs="宋体"/>
                <w:bCs/>
                <w:color w:val="auto"/>
                <w:sz w:val="24"/>
                <w:highlight w:val="none"/>
              </w:rPr>
              <w:t>）</w:t>
            </w:r>
          </w:p>
          <w:p w14:paraId="2EA47A84">
            <w:pPr>
              <w:snapToGrid w:val="0"/>
              <w:spacing w:line="500" w:lineRule="exact"/>
              <w:rPr>
                <w:rFonts w:hint="eastAsia" w:ascii="宋体" w:hAnsi="宋体" w:cs="宋体"/>
                <w:color w:val="auto"/>
                <w:sz w:val="24"/>
                <w:highlight w:val="none"/>
              </w:rPr>
            </w:pPr>
            <w:r>
              <w:rPr>
                <w:rFonts w:hint="eastAsia" w:ascii="宋体" w:hAnsi="宋体" w:cs="宋体"/>
                <w:color w:val="auto"/>
                <w:sz w:val="24"/>
                <w:highlight w:val="none"/>
              </w:rPr>
              <w:t>5</w:t>
            </w:r>
            <w:r>
              <w:rPr>
                <w:rFonts w:hint="eastAsia" w:ascii="宋体" w:hAnsi="宋体" w:cs="宋体"/>
                <w:bCs/>
                <w:color w:val="auto"/>
                <w:sz w:val="24"/>
                <w:highlight w:val="none"/>
              </w:rPr>
              <w:t>.</w:t>
            </w:r>
            <w:r>
              <w:rPr>
                <w:rFonts w:hint="eastAsia" w:ascii="宋体" w:hAnsi="宋体" w:cs="宋体"/>
                <w:color w:val="auto"/>
                <w:sz w:val="24"/>
                <w:highlight w:val="none"/>
              </w:rPr>
              <w:t>供应商直接控股、管理关系信息表（格式后附）；（</w:t>
            </w:r>
            <w:r>
              <w:rPr>
                <w:rFonts w:hint="eastAsia" w:ascii="宋体" w:hAnsi="宋体" w:cs="宋体"/>
                <w:b/>
                <w:color w:val="auto"/>
                <w:sz w:val="24"/>
                <w:highlight w:val="none"/>
              </w:rPr>
              <w:t>必须提供，否则响应文件按无效响应处理</w:t>
            </w:r>
            <w:r>
              <w:rPr>
                <w:rFonts w:hint="eastAsia" w:ascii="宋体" w:hAnsi="宋体" w:cs="宋体"/>
                <w:color w:val="auto"/>
                <w:sz w:val="24"/>
                <w:highlight w:val="none"/>
              </w:rPr>
              <w:t>）</w:t>
            </w:r>
          </w:p>
          <w:p w14:paraId="76FCED88">
            <w:pPr>
              <w:snapToGrid w:val="0"/>
              <w:spacing w:line="500" w:lineRule="exact"/>
              <w:rPr>
                <w:rFonts w:hint="eastAsia" w:ascii="宋体" w:hAnsi="宋体" w:cs="宋体"/>
                <w:color w:val="auto"/>
                <w:sz w:val="24"/>
                <w:highlight w:val="none"/>
              </w:rPr>
            </w:pPr>
            <w:r>
              <w:rPr>
                <w:rFonts w:hint="eastAsia" w:ascii="宋体" w:hAnsi="宋体" w:cs="宋体"/>
                <w:color w:val="auto"/>
                <w:sz w:val="24"/>
                <w:highlight w:val="none"/>
              </w:rPr>
              <w:t>6</w:t>
            </w:r>
            <w:r>
              <w:rPr>
                <w:rFonts w:hint="eastAsia" w:ascii="宋体" w:hAnsi="宋体" w:cs="宋体"/>
                <w:bCs/>
                <w:color w:val="auto"/>
                <w:sz w:val="24"/>
                <w:highlight w:val="none"/>
              </w:rPr>
              <w:t>.</w:t>
            </w:r>
            <w:r>
              <w:rPr>
                <w:rFonts w:hint="eastAsia" w:ascii="宋体" w:hAnsi="宋体" w:cs="宋体"/>
                <w:color w:val="auto"/>
                <w:sz w:val="24"/>
                <w:highlight w:val="none"/>
              </w:rPr>
              <w:t>参与竞争性谈判声明（格式后附）；（</w:t>
            </w:r>
            <w:r>
              <w:rPr>
                <w:rFonts w:hint="eastAsia" w:ascii="宋体" w:hAnsi="宋体" w:cs="宋体"/>
                <w:b/>
                <w:color w:val="auto"/>
                <w:sz w:val="24"/>
                <w:highlight w:val="none"/>
              </w:rPr>
              <w:t>必须提供，否则响应文件按无效响应处理</w:t>
            </w:r>
            <w:r>
              <w:rPr>
                <w:rFonts w:hint="eastAsia" w:ascii="宋体" w:hAnsi="宋体" w:cs="宋体"/>
                <w:color w:val="auto"/>
                <w:sz w:val="24"/>
                <w:highlight w:val="none"/>
              </w:rPr>
              <w:t>）</w:t>
            </w:r>
          </w:p>
          <w:p w14:paraId="60317F37">
            <w:pPr>
              <w:snapToGrid w:val="0"/>
              <w:spacing w:line="500" w:lineRule="exact"/>
              <w:rPr>
                <w:rFonts w:hint="eastAsia" w:ascii="宋体" w:hAnsi="宋体" w:cs="宋体"/>
                <w:color w:val="auto"/>
                <w:sz w:val="24"/>
                <w:highlight w:val="none"/>
              </w:rPr>
            </w:pPr>
            <w:r>
              <w:rPr>
                <w:rFonts w:hint="eastAsia" w:ascii="宋体" w:hAnsi="宋体" w:cs="宋体"/>
                <w:color w:val="auto"/>
                <w:sz w:val="24"/>
                <w:highlight w:val="none"/>
              </w:rPr>
              <w:t>7</w:t>
            </w:r>
            <w:r>
              <w:rPr>
                <w:rFonts w:hint="eastAsia" w:ascii="宋体" w:hAnsi="宋体" w:cs="宋体"/>
                <w:bCs/>
                <w:color w:val="auto"/>
                <w:sz w:val="24"/>
                <w:highlight w:val="none"/>
              </w:rPr>
              <w:t>.</w:t>
            </w:r>
            <w:r>
              <w:rPr>
                <w:rFonts w:hint="eastAsia" w:ascii="宋体" w:hAnsi="宋体" w:cs="宋体"/>
                <w:color w:val="auto"/>
                <w:sz w:val="24"/>
                <w:highlight w:val="none"/>
              </w:rPr>
              <w:t>联合体参与竞争性谈判协议书（格式后附）；（</w:t>
            </w:r>
            <w:r>
              <w:rPr>
                <w:rFonts w:hint="eastAsia" w:ascii="宋体" w:hAnsi="宋体" w:cs="宋体"/>
                <w:b/>
                <w:color w:val="auto"/>
                <w:sz w:val="24"/>
                <w:highlight w:val="none"/>
              </w:rPr>
              <w:t>联合体</w:t>
            </w:r>
            <w:r>
              <w:rPr>
                <w:rFonts w:hint="eastAsia" w:ascii="宋体" w:hAnsi="宋体" w:cs="宋体"/>
                <w:color w:val="auto"/>
                <w:sz w:val="24"/>
                <w:highlight w:val="none"/>
              </w:rPr>
              <w:t>参与竞争性谈判</w:t>
            </w:r>
            <w:r>
              <w:rPr>
                <w:rFonts w:hint="eastAsia" w:ascii="宋体" w:hAnsi="宋体" w:cs="宋体"/>
                <w:b/>
                <w:color w:val="auto"/>
                <w:sz w:val="24"/>
                <w:highlight w:val="none"/>
              </w:rPr>
              <w:t>时必须提供，否则响应文件按无效响应处理</w:t>
            </w:r>
            <w:r>
              <w:rPr>
                <w:rFonts w:hint="eastAsia" w:ascii="宋体" w:hAnsi="宋体" w:cs="宋体"/>
                <w:color w:val="auto"/>
                <w:sz w:val="24"/>
                <w:highlight w:val="none"/>
              </w:rPr>
              <w:t>）</w:t>
            </w:r>
          </w:p>
          <w:p w14:paraId="65EA4C80">
            <w:pPr>
              <w:snapToGrid w:val="0"/>
              <w:spacing w:line="500" w:lineRule="exact"/>
              <w:rPr>
                <w:rFonts w:hint="eastAsia" w:ascii="宋体" w:hAnsi="宋体" w:cs="宋体"/>
                <w:color w:val="auto"/>
                <w:sz w:val="24"/>
                <w:highlight w:val="none"/>
              </w:rPr>
            </w:pPr>
            <w:r>
              <w:rPr>
                <w:rFonts w:hint="eastAsia" w:ascii="宋体" w:hAnsi="宋体" w:cs="宋体"/>
                <w:color w:val="auto"/>
                <w:sz w:val="24"/>
                <w:highlight w:val="none"/>
              </w:rPr>
              <w:t>8</w:t>
            </w:r>
            <w:r>
              <w:rPr>
                <w:rFonts w:hint="eastAsia" w:ascii="宋体" w:hAnsi="宋体" w:cs="宋体"/>
                <w:bCs/>
                <w:color w:val="auto"/>
                <w:sz w:val="24"/>
                <w:highlight w:val="none"/>
              </w:rPr>
              <w:t>.</w:t>
            </w:r>
            <w:r>
              <w:rPr>
                <w:rFonts w:hint="eastAsia" w:ascii="宋体" w:hAnsi="宋体" w:cs="宋体"/>
                <w:color w:val="auto"/>
                <w:sz w:val="24"/>
                <w:highlight w:val="none"/>
              </w:rPr>
              <w:t>竞争性谈判公告中特定资格要求的资格证明材料；（</w:t>
            </w:r>
            <w:r>
              <w:rPr>
                <w:rFonts w:hint="eastAsia" w:ascii="宋体" w:hAnsi="宋体" w:cs="宋体"/>
                <w:b/>
                <w:bCs/>
                <w:color w:val="auto"/>
                <w:sz w:val="24"/>
                <w:highlight w:val="none"/>
              </w:rPr>
              <w:t>公告如有则必</w:t>
            </w:r>
            <w:r>
              <w:rPr>
                <w:rFonts w:hint="eastAsia" w:ascii="宋体" w:hAnsi="宋体" w:cs="宋体"/>
                <w:b/>
                <w:color w:val="auto"/>
                <w:sz w:val="24"/>
                <w:highlight w:val="none"/>
              </w:rPr>
              <w:t>须提供，否则响应文件按无效响应处理</w:t>
            </w:r>
            <w:r>
              <w:rPr>
                <w:rFonts w:hint="eastAsia" w:ascii="宋体" w:hAnsi="宋体" w:cs="宋体"/>
                <w:color w:val="auto"/>
                <w:sz w:val="24"/>
                <w:highlight w:val="none"/>
              </w:rPr>
              <w:t>）</w:t>
            </w:r>
          </w:p>
          <w:p w14:paraId="6885BD70">
            <w:pPr>
              <w:snapToGrid w:val="0"/>
              <w:spacing w:line="500" w:lineRule="exact"/>
              <w:rPr>
                <w:rFonts w:hint="eastAsia" w:ascii="宋体" w:hAnsi="宋体" w:cs="宋体"/>
                <w:color w:val="auto"/>
                <w:sz w:val="24"/>
                <w:highlight w:val="none"/>
              </w:rPr>
            </w:pPr>
            <w:r>
              <w:rPr>
                <w:rFonts w:hint="eastAsia" w:ascii="宋体" w:hAnsi="宋体" w:cs="宋体"/>
                <w:color w:val="auto"/>
                <w:sz w:val="24"/>
                <w:highlight w:val="none"/>
              </w:rPr>
              <w:t>9</w:t>
            </w:r>
            <w:r>
              <w:rPr>
                <w:rFonts w:hint="eastAsia" w:ascii="宋体" w:hAnsi="宋体" w:cs="宋体"/>
                <w:bCs/>
                <w:color w:val="auto"/>
                <w:sz w:val="24"/>
                <w:highlight w:val="none"/>
              </w:rPr>
              <w:t>.</w:t>
            </w:r>
            <w:r>
              <w:rPr>
                <w:rFonts w:hint="eastAsia" w:ascii="宋体" w:hAnsi="宋体" w:cs="宋体"/>
                <w:color w:val="auto"/>
                <w:sz w:val="24"/>
                <w:highlight w:val="none"/>
              </w:rPr>
              <w:t>除谈判文件规定必须提供以外，供应商认为需要提供的其他证明材料。</w:t>
            </w:r>
          </w:p>
          <w:p w14:paraId="2F24618E">
            <w:pPr>
              <w:snapToGrid w:val="0"/>
              <w:spacing w:line="500" w:lineRule="exact"/>
              <w:rPr>
                <w:rFonts w:hint="eastAsia" w:ascii="楷体" w:hAnsi="楷体" w:eastAsia="楷体" w:cs="宋体"/>
                <w:bCs/>
                <w:color w:val="auto"/>
                <w:sz w:val="24"/>
                <w:highlight w:val="none"/>
              </w:rPr>
            </w:pPr>
            <w:r>
              <w:rPr>
                <w:rFonts w:hint="eastAsia" w:ascii="楷体" w:hAnsi="楷体" w:eastAsia="楷体" w:cs="宋体"/>
                <w:b/>
                <w:bCs/>
                <w:color w:val="auto"/>
                <w:sz w:val="24"/>
                <w:highlight w:val="none"/>
              </w:rPr>
              <w:t>【注】</w:t>
            </w:r>
            <w:r>
              <w:rPr>
                <w:rFonts w:ascii="楷体" w:hAnsi="楷体" w:eastAsia="楷体" w:cs="宋体"/>
                <w:bCs/>
                <w:color w:val="auto"/>
                <w:sz w:val="24"/>
                <w:highlight w:val="none"/>
              </w:rPr>
              <w:t>1.以上标明“必须提供”的材料属于复印件的，必须加盖供应商公章，否则响应文件按无效响应处理。</w:t>
            </w:r>
          </w:p>
          <w:p w14:paraId="21BF5D3A">
            <w:pPr>
              <w:snapToGrid w:val="0"/>
              <w:spacing w:line="500" w:lineRule="exact"/>
              <w:rPr>
                <w:rFonts w:hint="eastAsia" w:ascii="楷体" w:hAnsi="楷体" w:eastAsia="楷体" w:cs="宋体"/>
                <w:bCs/>
                <w:color w:val="auto"/>
                <w:sz w:val="24"/>
                <w:highlight w:val="none"/>
              </w:rPr>
            </w:pPr>
            <w:r>
              <w:rPr>
                <w:rFonts w:ascii="楷体" w:hAnsi="楷体" w:eastAsia="楷体" w:cs="宋体"/>
                <w:bCs/>
                <w:color w:val="auto"/>
                <w:sz w:val="24"/>
                <w:highlight w:val="none"/>
              </w:rPr>
              <w:t>2.</w:t>
            </w:r>
            <w:r>
              <w:rPr>
                <w:rFonts w:hint="eastAsia" w:ascii="楷体" w:hAnsi="楷体" w:eastAsia="楷体" w:cs="宋体"/>
                <w:bCs/>
                <w:color w:val="auto"/>
                <w:sz w:val="24"/>
                <w:highlight w:val="none"/>
              </w:rPr>
              <w:t>参与竞争性谈判</w:t>
            </w:r>
            <w:r>
              <w:rPr>
                <w:rFonts w:ascii="楷体" w:hAnsi="楷体" w:eastAsia="楷体" w:cs="宋体"/>
                <w:bCs/>
                <w:color w:val="auto"/>
                <w:sz w:val="24"/>
                <w:highlight w:val="none"/>
              </w:rPr>
              <w:t>声明必须由法定代表人在规定签章处逐一签字并加盖供应商公章，否则响应文件按无效响应处理。</w:t>
            </w:r>
          </w:p>
          <w:p w14:paraId="45684F57">
            <w:pPr>
              <w:snapToGrid w:val="0"/>
              <w:spacing w:line="500" w:lineRule="exact"/>
              <w:rPr>
                <w:rFonts w:hint="eastAsia" w:ascii="楷体" w:hAnsi="楷体" w:eastAsia="楷体" w:cs="宋体"/>
                <w:bCs/>
                <w:color w:val="auto"/>
                <w:sz w:val="24"/>
                <w:highlight w:val="none"/>
              </w:rPr>
            </w:pPr>
            <w:r>
              <w:rPr>
                <w:rFonts w:ascii="楷体" w:hAnsi="楷体" w:eastAsia="楷体" w:cs="宋体"/>
                <w:bCs/>
                <w:color w:val="auto"/>
                <w:sz w:val="24"/>
                <w:highlight w:val="none"/>
              </w:rPr>
              <w:t>3.供应商直接控股、管理关系信息表必须由法定代表人或者委托代理人在规定签章处逐一签字并加盖供应商公章，否则响应文件按无效响应处理。</w:t>
            </w:r>
          </w:p>
          <w:p w14:paraId="4DB88B34">
            <w:pPr>
              <w:snapToGrid w:val="0"/>
              <w:spacing w:line="500" w:lineRule="exact"/>
              <w:rPr>
                <w:rFonts w:hint="eastAsia" w:ascii="楷体" w:hAnsi="楷体" w:eastAsia="楷体" w:cs="宋体"/>
                <w:bCs/>
                <w:color w:val="auto"/>
                <w:sz w:val="24"/>
                <w:highlight w:val="none"/>
              </w:rPr>
            </w:pPr>
            <w:r>
              <w:rPr>
                <w:rFonts w:ascii="楷体" w:hAnsi="楷体" w:eastAsia="楷体" w:cs="宋体"/>
                <w:bCs/>
                <w:color w:val="auto"/>
                <w:sz w:val="24"/>
                <w:highlight w:val="none"/>
              </w:rPr>
              <w:t>4.联合体</w:t>
            </w:r>
            <w:r>
              <w:rPr>
                <w:rFonts w:hint="eastAsia" w:ascii="楷体" w:hAnsi="楷体" w:eastAsia="楷体" w:cs="宋体"/>
                <w:bCs/>
                <w:color w:val="auto"/>
                <w:sz w:val="24"/>
                <w:highlight w:val="none"/>
              </w:rPr>
              <w:t>参与竞争性谈判</w:t>
            </w:r>
            <w:r>
              <w:rPr>
                <w:rFonts w:ascii="楷体" w:hAnsi="楷体" w:eastAsia="楷体" w:cs="宋体"/>
                <w:bCs/>
                <w:color w:val="auto"/>
                <w:sz w:val="24"/>
                <w:highlight w:val="none"/>
              </w:rPr>
              <w:t>时，</w:t>
            </w:r>
            <w:r>
              <w:rPr>
                <w:rFonts w:hint="eastAsia" w:ascii="楷体" w:hAnsi="楷体" w:eastAsia="楷体" w:cs="宋体"/>
                <w:bCs/>
                <w:color w:val="auto"/>
                <w:sz w:val="24"/>
                <w:highlight w:val="none"/>
              </w:rPr>
              <w:t>以上第</w:t>
            </w:r>
            <w:r>
              <w:rPr>
                <w:rFonts w:ascii="楷体" w:hAnsi="楷体" w:eastAsia="楷体" w:cs="宋体"/>
                <w:bCs/>
                <w:color w:val="auto"/>
                <w:sz w:val="24"/>
                <w:highlight w:val="none"/>
              </w:rPr>
              <w:t>1-5项资格证明文件联合体各方均必须分别提供，联合体各方分别按格式要求盖章或签字，否则响应文件按无效响应处理。</w:t>
            </w:r>
          </w:p>
          <w:p w14:paraId="3BC1387C">
            <w:pPr>
              <w:snapToGrid w:val="0"/>
              <w:spacing w:line="500" w:lineRule="exact"/>
              <w:rPr>
                <w:rFonts w:hint="eastAsia" w:ascii="宋体" w:hAnsi="宋体" w:cs="宋体"/>
                <w:b/>
                <w:color w:val="auto"/>
                <w:sz w:val="24"/>
                <w:highlight w:val="none"/>
              </w:rPr>
            </w:pPr>
            <w:r>
              <w:rPr>
                <w:rFonts w:ascii="楷体" w:hAnsi="楷体" w:eastAsia="楷体" w:cs="宋体"/>
                <w:bCs/>
                <w:color w:val="auto"/>
                <w:sz w:val="24"/>
                <w:highlight w:val="none"/>
              </w:rPr>
              <w:t>5.分公司参加</w:t>
            </w:r>
            <w:r>
              <w:rPr>
                <w:rFonts w:hint="eastAsia" w:ascii="楷体" w:hAnsi="楷体" w:eastAsia="楷体" w:cs="宋体"/>
                <w:bCs/>
                <w:color w:val="auto"/>
                <w:sz w:val="24"/>
                <w:highlight w:val="none"/>
              </w:rPr>
              <w:t>参与竞争性谈判</w:t>
            </w:r>
            <w:r>
              <w:rPr>
                <w:rFonts w:ascii="楷体" w:hAnsi="楷体" w:eastAsia="楷体" w:cs="宋体"/>
                <w:bCs/>
                <w:color w:val="auto"/>
                <w:sz w:val="24"/>
                <w:highlight w:val="none"/>
              </w:rPr>
              <w:t>的，应当取得总公司授权，否则响应文件按无效响应处理</w:t>
            </w:r>
            <w:r>
              <w:rPr>
                <w:rFonts w:hint="eastAsia" w:ascii="楷体" w:hAnsi="楷体" w:eastAsia="楷体" w:cs="宋体"/>
                <w:b/>
                <w:color w:val="auto"/>
                <w:sz w:val="24"/>
                <w:highlight w:val="none"/>
              </w:rPr>
              <w:t>。</w:t>
            </w:r>
          </w:p>
        </w:tc>
      </w:tr>
      <w:tr w14:paraId="25316A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89" w:hRule="atLeast"/>
          <w:jc w:val="center"/>
        </w:trPr>
        <w:tc>
          <w:tcPr>
            <w:tcW w:w="991" w:type="dxa"/>
            <w:vMerge w:val="restart"/>
            <w:vAlign w:val="center"/>
          </w:tcPr>
          <w:p w14:paraId="79903D69">
            <w:pPr>
              <w:spacing w:line="500" w:lineRule="exact"/>
              <w:jc w:val="center"/>
              <w:rPr>
                <w:rFonts w:hint="eastAsia" w:ascii="宋体" w:hAnsi="宋体" w:cs="宋体"/>
                <w:color w:val="auto"/>
                <w:sz w:val="24"/>
                <w:highlight w:val="none"/>
              </w:rPr>
            </w:pPr>
            <w:r>
              <w:rPr>
                <w:rFonts w:hint="eastAsia" w:ascii="宋体" w:hAnsi="宋体" w:cs="宋体"/>
                <w:color w:val="auto"/>
                <w:sz w:val="24"/>
                <w:highlight w:val="none"/>
              </w:rPr>
              <w:t>12.1.2</w:t>
            </w:r>
          </w:p>
        </w:tc>
        <w:tc>
          <w:tcPr>
            <w:tcW w:w="8181" w:type="dxa"/>
            <w:vAlign w:val="center"/>
          </w:tcPr>
          <w:p w14:paraId="2D90CE92">
            <w:pPr>
              <w:spacing w:line="500" w:lineRule="exact"/>
              <w:rPr>
                <w:rFonts w:hint="eastAsia" w:ascii="宋体" w:hAnsi="宋体" w:cs="宋体"/>
                <w:color w:val="auto"/>
                <w:sz w:val="24"/>
                <w:highlight w:val="none"/>
              </w:rPr>
            </w:pPr>
            <w:r>
              <w:rPr>
                <w:rFonts w:hint="eastAsia" w:ascii="宋体" w:hAnsi="宋体" w:cs="宋体"/>
                <w:b/>
                <w:color w:val="auto"/>
                <w:sz w:val="24"/>
                <w:highlight w:val="none"/>
              </w:rPr>
              <w:t>报价文件</w:t>
            </w:r>
          </w:p>
          <w:p w14:paraId="27518065">
            <w:pPr>
              <w:spacing w:line="500" w:lineRule="exact"/>
              <w:rPr>
                <w:rFonts w:hint="eastAsia"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bCs/>
                <w:color w:val="auto"/>
                <w:sz w:val="24"/>
                <w:highlight w:val="none"/>
              </w:rPr>
              <w:t>.</w:t>
            </w:r>
            <w:r>
              <w:rPr>
                <w:rFonts w:hint="eastAsia" w:ascii="宋体" w:hAnsi="宋体" w:cs="宋体"/>
                <w:color w:val="auto"/>
                <w:sz w:val="24"/>
                <w:highlight w:val="none"/>
              </w:rPr>
              <w:t>无串通参与竞争性谈判行为的承诺函（格式后附）；（</w:t>
            </w:r>
            <w:r>
              <w:rPr>
                <w:rFonts w:hint="eastAsia" w:ascii="宋体" w:hAnsi="宋体" w:cs="宋体"/>
                <w:b/>
                <w:color w:val="auto"/>
                <w:sz w:val="24"/>
                <w:highlight w:val="none"/>
              </w:rPr>
              <w:t>必须提供，否则响应文件按无效响应处理</w:t>
            </w:r>
            <w:r>
              <w:rPr>
                <w:rFonts w:hint="eastAsia" w:ascii="宋体" w:hAnsi="宋体" w:cs="宋体"/>
                <w:color w:val="auto"/>
                <w:sz w:val="24"/>
                <w:highlight w:val="none"/>
              </w:rPr>
              <w:t>）</w:t>
            </w:r>
          </w:p>
          <w:p w14:paraId="39FC2332">
            <w:pPr>
              <w:spacing w:line="500" w:lineRule="exact"/>
              <w:rPr>
                <w:rFonts w:hint="eastAsia"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bCs/>
                <w:color w:val="auto"/>
                <w:sz w:val="24"/>
                <w:highlight w:val="none"/>
              </w:rPr>
              <w:t>.</w:t>
            </w:r>
            <w:r>
              <w:rPr>
                <w:rFonts w:hint="eastAsia" w:ascii="宋体" w:hAnsi="宋体" w:cs="宋体"/>
                <w:color w:val="auto"/>
                <w:sz w:val="24"/>
                <w:highlight w:val="none"/>
              </w:rPr>
              <w:t>竞争性谈判报价表（格式后附）；（</w:t>
            </w:r>
            <w:r>
              <w:rPr>
                <w:rFonts w:hint="eastAsia" w:ascii="宋体" w:hAnsi="宋体" w:cs="宋体"/>
                <w:b/>
                <w:color w:val="auto"/>
                <w:sz w:val="24"/>
                <w:highlight w:val="none"/>
              </w:rPr>
              <w:t>必须提供，否则响应文件按无效响应处理</w:t>
            </w:r>
            <w:r>
              <w:rPr>
                <w:rFonts w:hint="eastAsia" w:ascii="宋体" w:hAnsi="宋体" w:cs="宋体"/>
                <w:color w:val="auto"/>
                <w:sz w:val="24"/>
                <w:highlight w:val="none"/>
              </w:rPr>
              <w:t>）</w:t>
            </w:r>
          </w:p>
          <w:p w14:paraId="1C24F29F">
            <w:pPr>
              <w:spacing w:line="500" w:lineRule="exact"/>
              <w:rPr>
                <w:rFonts w:hint="eastAsia" w:ascii="宋体" w:hAnsi="宋体" w:cs="宋体"/>
                <w:color w:val="auto"/>
                <w:sz w:val="24"/>
                <w:highlight w:val="none"/>
              </w:rPr>
            </w:pPr>
            <w:r>
              <w:rPr>
                <w:rFonts w:hint="eastAsia" w:ascii="宋体" w:hAnsi="宋体" w:cs="宋体"/>
                <w:color w:val="auto"/>
                <w:sz w:val="24"/>
                <w:highlight w:val="none"/>
              </w:rPr>
              <w:t>3</w:t>
            </w:r>
            <w:r>
              <w:rPr>
                <w:rFonts w:hint="eastAsia" w:ascii="宋体" w:hAnsi="宋体" w:cs="宋体"/>
                <w:bCs/>
                <w:color w:val="auto"/>
                <w:sz w:val="24"/>
                <w:highlight w:val="none"/>
              </w:rPr>
              <w:t>.</w:t>
            </w:r>
            <w:r>
              <w:rPr>
                <w:rFonts w:hint="eastAsia" w:ascii="宋体" w:hAnsi="宋体" w:cs="宋体"/>
                <w:color w:val="auto"/>
                <w:sz w:val="24"/>
                <w:highlight w:val="none"/>
              </w:rPr>
              <w:t>中小企业声明函（或残疾人福利性单位声明函或监狱企业声明函，残疾人福利性单位或监狱企业视同小微企业）（格式后附）；</w:t>
            </w:r>
          </w:p>
          <w:p w14:paraId="1CAE580E">
            <w:pPr>
              <w:spacing w:line="500" w:lineRule="exact"/>
              <w:rPr>
                <w:rFonts w:hint="eastAsia" w:ascii="宋体" w:hAnsi="宋体" w:cs="宋体"/>
                <w:color w:val="auto"/>
                <w:sz w:val="24"/>
                <w:highlight w:val="none"/>
              </w:rPr>
            </w:pPr>
            <w:r>
              <w:rPr>
                <w:rFonts w:hint="eastAsia" w:ascii="宋体" w:hAnsi="宋体" w:cs="宋体"/>
                <w:color w:val="auto"/>
                <w:sz w:val="24"/>
                <w:highlight w:val="none"/>
              </w:rPr>
              <w:t>4.《关于符合本国产品标准的声明函》（供应商根据自身响应情况出具）（格式后附）；</w:t>
            </w:r>
          </w:p>
          <w:p w14:paraId="3E9F70EC">
            <w:pPr>
              <w:spacing w:line="500" w:lineRule="exact"/>
              <w:rPr>
                <w:rFonts w:hint="eastAsia" w:ascii="宋体" w:hAnsi="宋体" w:cs="宋体"/>
                <w:color w:val="auto"/>
                <w:sz w:val="24"/>
                <w:highlight w:val="none"/>
              </w:rPr>
            </w:pPr>
            <w:r>
              <w:rPr>
                <w:rFonts w:ascii="宋体" w:hAnsi="宋体" w:cs="宋体"/>
                <w:color w:val="auto"/>
                <w:sz w:val="24"/>
                <w:highlight w:val="none"/>
              </w:rPr>
              <w:t>5</w:t>
            </w:r>
            <w:r>
              <w:rPr>
                <w:rFonts w:hint="eastAsia" w:ascii="宋体" w:hAnsi="宋体" w:cs="宋体"/>
                <w:bCs/>
                <w:color w:val="auto"/>
                <w:sz w:val="24"/>
                <w:highlight w:val="none"/>
              </w:rPr>
              <w:t>.供应商</w:t>
            </w:r>
            <w:r>
              <w:rPr>
                <w:rFonts w:hint="eastAsia" w:ascii="宋体" w:hAnsi="宋体" w:cs="宋体"/>
                <w:color w:val="auto"/>
                <w:sz w:val="24"/>
                <w:highlight w:val="none"/>
              </w:rPr>
              <w:t>针对报价需要说明的其他文件和说明（格式自拟）。</w:t>
            </w:r>
          </w:p>
          <w:p w14:paraId="7CB775DC">
            <w:pPr>
              <w:spacing w:line="500" w:lineRule="exact"/>
              <w:rPr>
                <w:rFonts w:hint="eastAsia" w:ascii="楷体" w:hAnsi="楷体" w:eastAsia="楷体" w:cs="宋体"/>
                <w:bCs/>
                <w:color w:val="auto"/>
                <w:sz w:val="24"/>
                <w:highlight w:val="none"/>
              </w:rPr>
            </w:pPr>
            <w:r>
              <w:rPr>
                <w:rFonts w:hint="eastAsia" w:ascii="楷体" w:hAnsi="楷体" w:eastAsia="楷体" w:cs="宋体"/>
                <w:b/>
                <w:color w:val="auto"/>
                <w:sz w:val="24"/>
                <w:highlight w:val="none"/>
              </w:rPr>
              <w:t>注</w:t>
            </w:r>
            <w:r>
              <w:rPr>
                <w:rFonts w:hint="eastAsia" w:ascii="楷体" w:hAnsi="楷体" w:eastAsia="楷体" w:cs="宋体"/>
                <w:color w:val="auto"/>
                <w:sz w:val="24"/>
                <w:highlight w:val="none"/>
              </w:rPr>
              <w:t>：以上标明“必须提供”材料复印件的，必须加盖供应商公章，否则响应文件按无效响应处理。</w:t>
            </w:r>
          </w:p>
        </w:tc>
      </w:tr>
      <w:tr w14:paraId="510148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6" w:hRule="atLeast"/>
          <w:jc w:val="center"/>
        </w:trPr>
        <w:tc>
          <w:tcPr>
            <w:tcW w:w="991" w:type="dxa"/>
            <w:vMerge w:val="continue"/>
            <w:vAlign w:val="center"/>
          </w:tcPr>
          <w:p w14:paraId="73D2EB75">
            <w:pPr>
              <w:spacing w:line="500" w:lineRule="exact"/>
              <w:jc w:val="center"/>
              <w:rPr>
                <w:rFonts w:hint="eastAsia" w:ascii="宋体" w:hAnsi="宋体" w:cs="宋体"/>
                <w:color w:val="auto"/>
                <w:sz w:val="24"/>
                <w:highlight w:val="none"/>
              </w:rPr>
            </w:pPr>
          </w:p>
        </w:tc>
        <w:tc>
          <w:tcPr>
            <w:tcW w:w="8181" w:type="dxa"/>
            <w:vAlign w:val="center"/>
          </w:tcPr>
          <w:p w14:paraId="7D9FE814">
            <w:pPr>
              <w:spacing w:line="500" w:lineRule="exact"/>
              <w:rPr>
                <w:rFonts w:hint="eastAsia" w:ascii="宋体" w:hAnsi="宋体" w:cs="宋体"/>
                <w:color w:val="auto"/>
                <w:sz w:val="24"/>
                <w:highlight w:val="none"/>
              </w:rPr>
            </w:pPr>
            <w:r>
              <w:rPr>
                <w:rFonts w:hint="eastAsia" w:ascii="宋体" w:hAnsi="宋体" w:cs="宋体"/>
                <w:b/>
                <w:color w:val="auto"/>
                <w:sz w:val="24"/>
                <w:highlight w:val="none"/>
              </w:rPr>
              <w:t>商务技术文件</w:t>
            </w:r>
          </w:p>
          <w:p w14:paraId="7A973BC7">
            <w:pPr>
              <w:snapToGrid w:val="0"/>
              <w:spacing w:line="500" w:lineRule="exact"/>
              <w:rPr>
                <w:rFonts w:hint="eastAsia"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bCs/>
                <w:color w:val="auto"/>
                <w:sz w:val="24"/>
                <w:highlight w:val="none"/>
              </w:rPr>
              <w:t>.</w:t>
            </w:r>
            <w:r>
              <w:rPr>
                <w:rFonts w:hint="eastAsia" w:ascii="宋体" w:hAnsi="宋体" w:cs="宋体"/>
                <w:color w:val="auto"/>
                <w:sz w:val="24"/>
                <w:highlight w:val="none"/>
              </w:rPr>
              <w:t>法定代表人身份证明及法定代表人有效身份证正反面复印件（格式后附）；（</w:t>
            </w:r>
            <w:r>
              <w:rPr>
                <w:rFonts w:hint="eastAsia" w:ascii="宋体" w:hAnsi="宋体" w:cs="宋体"/>
                <w:b/>
                <w:color w:val="auto"/>
                <w:sz w:val="24"/>
                <w:highlight w:val="none"/>
              </w:rPr>
              <w:t>必须提供，否则响应文件按无效响应处理</w:t>
            </w:r>
            <w:r>
              <w:rPr>
                <w:rFonts w:hint="eastAsia" w:ascii="宋体" w:hAnsi="宋体" w:cs="宋体"/>
                <w:color w:val="auto"/>
                <w:sz w:val="24"/>
                <w:highlight w:val="none"/>
              </w:rPr>
              <w:t>）</w:t>
            </w:r>
          </w:p>
          <w:p w14:paraId="16DD2C85">
            <w:pPr>
              <w:spacing w:line="500" w:lineRule="exact"/>
              <w:rPr>
                <w:rFonts w:hint="eastAsia" w:ascii="宋体" w:hAnsi="宋体" w:cs="宋体"/>
                <w:b/>
                <w:color w:val="auto"/>
                <w:sz w:val="24"/>
                <w:highlight w:val="none"/>
              </w:rPr>
            </w:pPr>
            <w:r>
              <w:rPr>
                <w:rFonts w:hint="eastAsia" w:ascii="宋体" w:hAnsi="宋体" w:cs="宋体"/>
                <w:color w:val="auto"/>
                <w:sz w:val="24"/>
                <w:highlight w:val="none"/>
              </w:rPr>
              <w:t>2</w:t>
            </w:r>
            <w:r>
              <w:rPr>
                <w:rFonts w:hint="eastAsia" w:ascii="宋体" w:hAnsi="宋体" w:cs="宋体"/>
                <w:bCs/>
                <w:color w:val="auto"/>
                <w:sz w:val="24"/>
                <w:highlight w:val="none"/>
              </w:rPr>
              <w:t>.</w:t>
            </w:r>
            <w:r>
              <w:rPr>
                <w:rFonts w:hint="eastAsia" w:ascii="宋体" w:hAnsi="宋体" w:cs="宋体"/>
                <w:color w:val="auto"/>
                <w:sz w:val="24"/>
                <w:highlight w:val="none"/>
              </w:rPr>
              <w:t>授权委托书及委托代理人有效身份证正反面复印件（格式后附）；（</w:t>
            </w:r>
            <w:r>
              <w:rPr>
                <w:rFonts w:hint="eastAsia" w:ascii="宋体" w:hAnsi="宋体" w:cs="宋体"/>
                <w:b/>
                <w:color w:val="auto"/>
                <w:sz w:val="24"/>
                <w:highlight w:val="none"/>
              </w:rPr>
              <w:t>委托时必须提供，否则响应文件按无效响应处理</w:t>
            </w:r>
            <w:r>
              <w:rPr>
                <w:rFonts w:hint="eastAsia" w:ascii="宋体" w:hAnsi="宋体" w:cs="宋体"/>
                <w:color w:val="auto"/>
                <w:sz w:val="24"/>
                <w:highlight w:val="none"/>
              </w:rPr>
              <w:t>）</w:t>
            </w:r>
          </w:p>
          <w:p w14:paraId="3E019B18">
            <w:pPr>
              <w:spacing w:line="500" w:lineRule="exact"/>
              <w:rPr>
                <w:rFonts w:hint="eastAsia" w:ascii="宋体" w:hAnsi="宋体" w:cs="宋体"/>
                <w:color w:val="auto"/>
                <w:sz w:val="24"/>
                <w:highlight w:val="none"/>
              </w:rPr>
            </w:pPr>
            <w:r>
              <w:rPr>
                <w:rFonts w:hint="eastAsia" w:ascii="宋体" w:hAnsi="宋体" w:cs="宋体"/>
                <w:color w:val="auto"/>
                <w:sz w:val="24"/>
                <w:highlight w:val="none"/>
              </w:rPr>
              <w:t>3</w:t>
            </w:r>
            <w:r>
              <w:rPr>
                <w:rFonts w:hint="eastAsia" w:ascii="宋体" w:hAnsi="宋体" w:cs="宋体"/>
                <w:bCs/>
                <w:color w:val="auto"/>
                <w:sz w:val="24"/>
                <w:highlight w:val="none"/>
              </w:rPr>
              <w:t>.</w:t>
            </w:r>
            <w:r>
              <w:rPr>
                <w:rFonts w:hint="eastAsia" w:ascii="宋体" w:hAnsi="宋体" w:cs="宋体"/>
                <w:color w:val="auto"/>
                <w:sz w:val="24"/>
                <w:highlight w:val="none"/>
              </w:rPr>
              <w:t>谈判保证金提交凭证；（</w:t>
            </w:r>
            <w:r>
              <w:rPr>
                <w:rFonts w:hint="eastAsia" w:ascii="宋体" w:hAnsi="宋体" w:cs="宋体"/>
                <w:b/>
                <w:bCs/>
                <w:color w:val="auto"/>
                <w:sz w:val="24"/>
                <w:highlight w:val="none"/>
              </w:rPr>
              <w:t>如要求提交谈判保证金的则必须提供</w:t>
            </w:r>
            <w:r>
              <w:rPr>
                <w:rFonts w:hint="eastAsia" w:ascii="宋体" w:hAnsi="宋体" w:cs="宋体"/>
                <w:b/>
                <w:color w:val="auto"/>
                <w:sz w:val="24"/>
                <w:highlight w:val="none"/>
              </w:rPr>
              <w:t>，否则响应文件按无效响应处理</w:t>
            </w:r>
            <w:r>
              <w:rPr>
                <w:rFonts w:hint="eastAsia" w:ascii="宋体" w:hAnsi="宋体" w:cs="宋体"/>
                <w:color w:val="auto"/>
                <w:sz w:val="24"/>
                <w:highlight w:val="none"/>
              </w:rPr>
              <w:t>）</w:t>
            </w:r>
          </w:p>
          <w:p w14:paraId="5EA7CB12">
            <w:pPr>
              <w:spacing w:line="500" w:lineRule="exact"/>
              <w:rPr>
                <w:rFonts w:hint="eastAsia" w:ascii="宋体" w:hAnsi="宋体" w:cs="宋体"/>
                <w:color w:val="auto"/>
                <w:sz w:val="24"/>
                <w:highlight w:val="none"/>
              </w:rPr>
            </w:pPr>
            <w:r>
              <w:rPr>
                <w:rFonts w:hint="eastAsia" w:ascii="宋体" w:hAnsi="宋体" w:cs="宋体"/>
                <w:color w:val="auto"/>
                <w:sz w:val="24"/>
                <w:highlight w:val="none"/>
              </w:rPr>
              <w:t>4</w:t>
            </w:r>
            <w:r>
              <w:rPr>
                <w:rFonts w:hint="eastAsia" w:ascii="宋体" w:hAnsi="宋体" w:cs="宋体"/>
                <w:bCs/>
                <w:color w:val="auto"/>
                <w:sz w:val="24"/>
                <w:highlight w:val="none"/>
              </w:rPr>
              <w:t>.</w:t>
            </w:r>
            <w:r>
              <w:rPr>
                <w:rFonts w:hint="eastAsia" w:ascii="宋体" w:hAnsi="宋体" w:cs="宋体"/>
                <w:color w:val="auto"/>
                <w:sz w:val="24"/>
                <w:highlight w:val="none"/>
              </w:rPr>
              <w:t>商务要求偏离表（格式后附）；（</w:t>
            </w:r>
            <w:r>
              <w:rPr>
                <w:rFonts w:hint="eastAsia" w:ascii="宋体" w:hAnsi="宋体" w:cs="宋体"/>
                <w:b/>
                <w:color w:val="auto"/>
                <w:sz w:val="24"/>
                <w:highlight w:val="none"/>
              </w:rPr>
              <w:t>必须提供，否则响应文件按无效响应处理</w:t>
            </w:r>
            <w:r>
              <w:rPr>
                <w:rFonts w:hint="eastAsia" w:ascii="宋体" w:hAnsi="宋体" w:cs="宋体"/>
                <w:color w:val="auto"/>
                <w:sz w:val="24"/>
                <w:highlight w:val="none"/>
              </w:rPr>
              <w:t>）</w:t>
            </w:r>
          </w:p>
          <w:p w14:paraId="66266C32">
            <w:pPr>
              <w:spacing w:line="500" w:lineRule="exact"/>
              <w:rPr>
                <w:rFonts w:hint="eastAsia" w:ascii="宋体" w:hAnsi="宋体" w:cs="宋体"/>
                <w:color w:val="auto"/>
                <w:sz w:val="24"/>
                <w:highlight w:val="none"/>
              </w:rPr>
            </w:pPr>
            <w:r>
              <w:rPr>
                <w:rFonts w:hint="eastAsia" w:ascii="宋体" w:hAnsi="宋体" w:cs="宋体"/>
                <w:color w:val="auto"/>
                <w:sz w:val="24"/>
                <w:highlight w:val="none"/>
              </w:rPr>
              <w:t>5</w:t>
            </w:r>
            <w:r>
              <w:rPr>
                <w:rFonts w:hint="eastAsia" w:ascii="宋体" w:hAnsi="宋体" w:cs="宋体"/>
                <w:bCs/>
                <w:color w:val="auto"/>
                <w:sz w:val="24"/>
                <w:highlight w:val="none"/>
              </w:rPr>
              <w:t>.</w:t>
            </w:r>
            <w:r>
              <w:rPr>
                <w:rFonts w:hint="eastAsia" w:ascii="宋体" w:hAnsi="宋体" w:cs="宋体"/>
                <w:color w:val="auto"/>
                <w:sz w:val="24"/>
                <w:highlight w:val="none"/>
              </w:rPr>
              <w:t>售后服务承诺（格式自拟）；（</w:t>
            </w:r>
            <w:r>
              <w:rPr>
                <w:rFonts w:hint="eastAsia" w:ascii="宋体" w:hAnsi="宋体" w:cs="宋体"/>
                <w:b/>
                <w:color w:val="auto"/>
                <w:sz w:val="24"/>
                <w:highlight w:val="none"/>
              </w:rPr>
              <w:t>必须提供，否则响应文件按无效响应处理</w:t>
            </w:r>
            <w:r>
              <w:rPr>
                <w:rFonts w:hint="eastAsia" w:ascii="宋体" w:hAnsi="宋体" w:cs="宋体"/>
                <w:color w:val="auto"/>
                <w:sz w:val="24"/>
                <w:highlight w:val="none"/>
              </w:rPr>
              <w:t>）</w:t>
            </w:r>
          </w:p>
          <w:p w14:paraId="6B11A143">
            <w:pPr>
              <w:spacing w:line="500" w:lineRule="exact"/>
              <w:rPr>
                <w:rFonts w:hint="eastAsia" w:ascii="宋体" w:hAnsi="宋体" w:cs="宋体"/>
                <w:color w:val="auto"/>
                <w:sz w:val="24"/>
                <w:highlight w:val="none"/>
              </w:rPr>
            </w:pPr>
            <w:r>
              <w:rPr>
                <w:rFonts w:hint="eastAsia" w:ascii="宋体" w:hAnsi="宋体" w:cs="宋体"/>
                <w:color w:val="auto"/>
                <w:sz w:val="24"/>
                <w:highlight w:val="none"/>
              </w:rPr>
              <w:t>6</w:t>
            </w:r>
            <w:r>
              <w:rPr>
                <w:rFonts w:hint="eastAsia" w:ascii="宋体" w:hAnsi="宋体" w:cs="宋体"/>
                <w:bCs/>
                <w:color w:val="auto"/>
                <w:sz w:val="24"/>
                <w:highlight w:val="none"/>
              </w:rPr>
              <w:t>.</w:t>
            </w:r>
            <w:r>
              <w:rPr>
                <w:rFonts w:hint="eastAsia" w:ascii="宋体" w:hAnsi="宋体" w:cs="宋体"/>
                <w:color w:val="auto"/>
                <w:sz w:val="24"/>
                <w:highlight w:val="none"/>
              </w:rPr>
              <w:t>货物配置清单（均不含报价）（格式后附）；（</w:t>
            </w:r>
            <w:r>
              <w:rPr>
                <w:rFonts w:hint="eastAsia" w:ascii="宋体" w:hAnsi="宋体" w:cs="宋体"/>
                <w:b/>
                <w:color w:val="auto"/>
                <w:sz w:val="24"/>
                <w:highlight w:val="none"/>
              </w:rPr>
              <w:t>必须提供，否则响应文件按无效响应处理</w:t>
            </w:r>
            <w:r>
              <w:rPr>
                <w:rFonts w:hint="eastAsia" w:ascii="宋体" w:hAnsi="宋体" w:cs="宋体"/>
                <w:color w:val="auto"/>
                <w:sz w:val="24"/>
                <w:highlight w:val="none"/>
              </w:rPr>
              <w:t>）</w:t>
            </w:r>
          </w:p>
          <w:p w14:paraId="1E648526">
            <w:pPr>
              <w:spacing w:line="500" w:lineRule="exact"/>
              <w:rPr>
                <w:rFonts w:hint="eastAsia" w:ascii="宋体" w:hAnsi="宋体" w:cs="宋体"/>
                <w:color w:val="auto"/>
                <w:sz w:val="24"/>
                <w:highlight w:val="none"/>
              </w:rPr>
            </w:pPr>
            <w:r>
              <w:rPr>
                <w:rFonts w:hint="eastAsia" w:ascii="宋体" w:hAnsi="宋体" w:cs="宋体"/>
                <w:color w:val="auto"/>
                <w:sz w:val="24"/>
                <w:highlight w:val="none"/>
              </w:rPr>
              <w:t>7</w:t>
            </w:r>
            <w:r>
              <w:rPr>
                <w:rFonts w:hint="eastAsia" w:ascii="宋体" w:hAnsi="宋体" w:cs="宋体"/>
                <w:bCs/>
                <w:color w:val="auto"/>
                <w:sz w:val="24"/>
                <w:highlight w:val="none"/>
              </w:rPr>
              <w:t>.</w:t>
            </w:r>
            <w:r>
              <w:rPr>
                <w:rFonts w:hint="eastAsia" w:ascii="宋体" w:hAnsi="宋体" w:cs="宋体"/>
                <w:color w:val="auto"/>
                <w:sz w:val="24"/>
                <w:highlight w:val="none"/>
              </w:rPr>
              <w:t>技术偏离表（格式后附）；（</w:t>
            </w:r>
            <w:r>
              <w:rPr>
                <w:rFonts w:hint="eastAsia" w:ascii="宋体" w:hAnsi="宋体" w:cs="宋体"/>
                <w:b/>
                <w:color w:val="auto"/>
                <w:sz w:val="24"/>
                <w:highlight w:val="none"/>
              </w:rPr>
              <w:t>必须提供，否则响应文件按无效响应处理</w:t>
            </w:r>
            <w:r>
              <w:rPr>
                <w:rFonts w:hint="eastAsia" w:ascii="宋体" w:hAnsi="宋体" w:cs="宋体"/>
                <w:color w:val="auto"/>
                <w:sz w:val="24"/>
                <w:highlight w:val="none"/>
              </w:rPr>
              <w:t>）</w:t>
            </w:r>
          </w:p>
          <w:p w14:paraId="1154B562">
            <w:pPr>
              <w:spacing w:line="500" w:lineRule="exact"/>
              <w:rPr>
                <w:rFonts w:hint="eastAsia" w:ascii="宋体" w:hAnsi="宋体" w:cs="宋体"/>
                <w:color w:val="auto"/>
                <w:sz w:val="24"/>
                <w:highlight w:val="none"/>
              </w:rPr>
            </w:pPr>
            <w:r>
              <w:rPr>
                <w:rFonts w:hint="eastAsia" w:ascii="宋体" w:hAnsi="宋体" w:cs="宋体"/>
                <w:color w:val="auto"/>
                <w:sz w:val="24"/>
                <w:highlight w:val="none"/>
              </w:rPr>
              <w:t>8</w:t>
            </w:r>
            <w:r>
              <w:rPr>
                <w:rFonts w:hint="eastAsia" w:ascii="宋体" w:hAnsi="宋体" w:cs="宋体"/>
                <w:bCs/>
                <w:color w:val="auto"/>
                <w:sz w:val="24"/>
                <w:highlight w:val="none"/>
              </w:rPr>
              <w:t>.</w:t>
            </w:r>
            <w:r>
              <w:rPr>
                <w:rFonts w:hint="eastAsia" w:ascii="宋体" w:hAnsi="宋体" w:cs="宋体"/>
                <w:color w:val="auto"/>
                <w:sz w:val="24"/>
                <w:highlight w:val="none"/>
              </w:rPr>
              <w:t>对应采购需求的技术要求、商务要求提供的其他文件资料（格式自拟）；</w:t>
            </w:r>
          </w:p>
          <w:p w14:paraId="79BF3B60">
            <w:pPr>
              <w:spacing w:line="500" w:lineRule="exact"/>
              <w:rPr>
                <w:rFonts w:hint="eastAsia" w:ascii="宋体" w:hAnsi="宋体" w:cs="宋体"/>
                <w:color w:val="auto"/>
                <w:sz w:val="24"/>
                <w:highlight w:val="none"/>
              </w:rPr>
            </w:pPr>
            <w:r>
              <w:rPr>
                <w:rFonts w:hint="eastAsia" w:ascii="宋体" w:hAnsi="宋体" w:cs="宋体"/>
                <w:color w:val="auto"/>
                <w:sz w:val="24"/>
                <w:highlight w:val="none"/>
              </w:rPr>
              <w:t>9</w:t>
            </w:r>
            <w:r>
              <w:rPr>
                <w:rFonts w:hint="eastAsia" w:ascii="宋体" w:hAnsi="宋体" w:cs="宋体"/>
                <w:bCs/>
                <w:color w:val="auto"/>
                <w:sz w:val="24"/>
                <w:highlight w:val="none"/>
              </w:rPr>
              <w:t>.</w:t>
            </w:r>
            <w:r>
              <w:rPr>
                <w:rFonts w:hint="eastAsia" w:ascii="宋体" w:hAnsi="宋体" w:cs="宋体"/>
                <w:color w:val="auto"/>
                <w:sz w:val="24"/>
                <w:highlight w:val="none"/>
              </w:rPr>
              <w:t>供应商认为需要提供的其他有关资料。</w:t>
            </w:r>
          </w:p>
          <w:p w14:paraId="14112340">
            <w:pPr>
              <w:spacing w:line="500" w:lineRule="exact"/>
              <w:rPr>
                <w:rFonts w:hint="eastAsia" w:ascii="楷体" w:hAnsi="楷体" w:eastAsia="楷体" w:cs="宋体"/>
                <w:color w:val="auto"/>
                <w:sz w:val="24"/>
                <w:highlight w:val="none"/>
              </w:rPr>
            </w:pPr>
            <w:r>
              <w:rPr>
                <w:rFonts w:hint="eastAsia" w:ascii="楷体" w:hAnsi="楷体" w:eastAsia="楷体" w:cs="宋体"/>
                <w:b/>
                <w:bCs/>
                <w:color w:val="auto"/>
                <w:sz w:val="24"/>
                <w:highlight w:val="none"/>
              </w:rPr>
              <w:t>【注】</w:t>
            </w:r>
            <w:r>
              <w:rPr>
                <w:rFonts w:ascii="楷体" w:hAnsi="楷体" w:eastAsia="楷体" w:cs="宋体"/>
                <w:color w:val="auto"/>
                <w:sz w:val="24"/>
                <w:highlight w:val="none"/>
              </w:rPr>
              <w:t>1.法定代表人授权委托书必须由法定代表人及委托代理人签字，并加盖</w:t>
            </w:r>
            <w:r>
              <w:rPr>
                <w:rFonts w:hint="eastAsia" w:ascii="楷体" w:hAnsi="楷体" w:eastAsia="楷体" w:cs="宋体"/>
                <w:color w:val="auto"/>
                <w:sz w:val="24"/>
                <w:highlight w:val="none"/>
              </w:rPr>
              <w:t>供应商公章，否则做无效响应处理。</w:t>
            </w:r>
          </w:p>
          <w:p w14:paraId="3855DCB8">
            <w:pPr>
              <w:spacing w:line="500" w:lineRule="exact"/>
              <w:rPr>
                <w:rFonts w:hint="eastAsia" w:ascii="宋体" w:hAnsi="宋体" w:cs="宋体"/>
                <w:b/>
                <w:color w:val="auto"/>
                <w:sz w:val="24"/>
                <w:highlight w:val="none"/>
              </w:rPr>
            </w:pPr>
            <w:r>
              <w:rPr>
                <w:rFonts w:ascii="楷体" w:hAnsi="楷体" w:eastAsia="楷体" w:cs="宋体"/>
                <w:color w:val="auto"/>
                <w:sz w:val="24"/>
                <w:highlight w:val="none"/>
              </w:rPr>
              <w:t>2.</w:t>
            </w:r>
            <w:r>
              <w:rPr>
                <w:rFonts w:hint="eastAsia" w:ascii="楷体" w:hAnsi="楷体" w:eastAsia="楷体" w:cs="宋体"/>
                <w:color w:val="auto"/>
                <w:sz w:val="24"/>
                <w:highlight w:val="none"/>
              </w:rPr>
              <w:t>以上标明“必须提供”材料复印件的，必须加盖供应商公章，否则响应文件按无效响应处理。</w:t>
            </w:r>
          </w:p>
        </w:tc>
      </w:tr>
      <w:tr w14:paraId="02EEA3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89" w:hRule="atLeast"/>
          <w:jc w:val="center"/>
        </w:trPr>
        <w:tc>
          <w:tcPr>
            <w:tcW w:w="991" w:type="dxa"/>
            <w:vAlign w:val="center"/>
          </w:tcPr>
          <w:p w14:paraId="394CDEEC">
            <w:pPr>
              <w:spacing w:line="500" w:lineRule="exact"/>
              <w:jc w:val="center"/>
              <w:rPr>
                <w:rFonts w:hint="eastAsia" w:ascii="宋体" w:hAnsi="宋体" w:cs="宋体"/>
                <w:color w:val="auto"/>
                <w:sz w:val="24"/>
                <w:highlight w:val="none"/>
              </w:rPr>
            </w:pPr>
            <w:r>
              <w:rPr>
                <w:rFonts w:hint="eastAsia" w:ascii="宋体" w:hAnsi="宋体" w:cs="宋体"/>
                <w:color w:val="auto"/>
                <w:sz w:val="24"/>
                <w:highlight w:val="none"/>
              </w:rPr>
              <w:t>15.2</w:t>
            </w:r>
          </w:p>
        </w:tc>
        <w:tc>
          <w:tcPr>
            <w:tcW w:w="8181" w:type="dxa"/>
            <w:vAlign w:val="center"/>
          </w:tcPr>
          <w:p w14:paraId="5510DCAC">
            <w:pPr>
              <w:spacing w:line="500" w:lineRule="exact"/>
              <w:rPr>
                <w:rFonts w:hint="eastAsia" w:ascii="宋体" w:hAnsi="宋体" w:cs="宋体"/>
                <w:color w:val="auto"/>
                <w:sz w:val="24"/>
                <w:highlight w:val="none"/>
              </w:rPr>
            </w:pPr>
            <w:r>
              <w:rPr>
                <w:rFonts w:hint="eastAsia" w:ascii="宋体" w:hAnsi="宋体" w:cs="宋体"/>
                <w:color w:val="auto"/>
                <w:sz w:val="24"/>
                <w:highlight w:val="none"/>
              </w:rPr>
              <w:t>竞争性谈判报价合计金额包括货物价款、配套软件、标准附件、随配附件、备品备件、辅助材料、专用工具、包装、运抵指定交货地点、运输、装卸、完工清场清洁、货到就位、安装、调试、检验、技术培训、技术资料、售后服务、保险、投标费用、预验收及履约验收及售后服务、人工费、一切税费等全部费用。税费因政策等原因发生变化的，由成交供应商承担。合同履行过程中，采购人不再支付合同以外的其他费用。（采购需求另有约定的，从其约定）</w:t>
            </w:r>
          </w:p>
        </w:tc>
      </w:tr>
      <w:tr w14:paraId="509557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3" w:hRule="atLeast"/>
          <w:jc w:val="center"/>
        </w:trPr>
        <w:tc>
          <w:tcPr>
            <w:tcW w:w="991" w:type="dxa"/>
            <w:vAlign w:val="center"/>
          </w:tcPr>
          <w:p w14:paraId="1808159B">
            <w:pPr>
              <w:spacing w:line="500" w:lineRule="exact"/>
              <w:jc w:val="center"/>
              <w:rPr>
                <w:rFonts w:hint="eastAsia" w:ascii="宋体" w:hAnsi="宋体" w:cs="宋体"/>
                <w:color w:val="auto"/>
                <w:sz w:val="24"/>
                <w:highlight w:val="none"/>
              </w:rPr>
            </w:pPr>
            <w:r>
              <w:rPr>
                <w:rFonts w:hint="eastAsia" w:ascii="宋体" w:hAnsi="宋体" w:cs="宋体"/>
                <w:color w:val="auto"/>
                <w:sz w:val="24"/>
                <w:highlight w:val="none"/>
              </w:rPr>
              <w:t>16.2</w:t>
            </w:r>
          </w:p>
        </w:tc>
        <w:tc>
          <w:tcPr>
            <w:tcW w:w="8181" w:type="dxa"/>
            <w:vAlign w:val="center"/>
          </w:tcPr>
          <w:p w14:paraId="0931A50B">
            <w:pPr>
              <w:pStyle w:val="7"/>
              <w:widowControl w:val="0"/>
              <w:tabs>
                <w:tab w:val="clear" w:pos="454"/>
              </w:tabs>
              <w:snapToGrid w:val="0"/>
              <w:spacing w:after="0" w:afterLines="0" w:line="500" w:lineRule="exact"/>
              <w:ind w:left="324" w:hanging="324" w:hangingChars="135"/>
              <w:jc w:val="both"/>
              <w:rPr>
                <w:rFonts w:hint="eastAsia" w:ascii="宋体" w:hAnsi="宋体" w:cs="宋体"/>
                <w:color w:val="auto"/>
                <w:kern w:val="2"/>
                <w:szCs w:val="24"/>
                <w:highlight w:val="none"/>
              </w:rPr>
            </w:pPr>
            <w:r>
              <w:rPr>
                <w:rFonts w:hint="eastAsia" w:ascii="宋体" w:hAnsi="宋体" w:cs="宋体"/>
                <w:color w:val="auto"/>
                <w:kern w:val="2"/>
                <w:szCs w:val="24"/>
                <w:highlight w:val="none"/>
              </w:rPr>
              <w:t xml:space="preserve">竞争性谈判有效期：首次响应文件提交截止之日起60天内。 </w:t>
            </w:r>
          </w:p>
        </w:tc>
      </w:tr>
      <w:tr w14:paraId="0AB432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64" w:hRule="atLeast"/>
          <w:jc w:val="center"/>
        </w:trPr>
        <w:tc>
          <w:tcPr>
            <w:tcW w:w="991" w:type="dxa"/>
            <w:vAlign w:val="center"/>
          </w:tcPr>
          <w:p w14:paraId="0C425F85">
            <w:pPr>
              <w:spacing w:line="500" w:lineRule="exact"/>
              <w:jc w:val="center"/>
              <w:rPr>
                <w:rFonts w:hint="eastAsia" w:ascii="宋体" w:hAnsi="宋体" w:cs="宋体"/>
                <w:color w:val="auto"/>
                <w:sz w:val="24"/>
                <w:highlight w:val="none"/>
              </w:rPr>
            </w:pPr>
            <w:r>
              <w:rPr>
                <w:rFonts w:hint="eastAsia" w:ascii="宋体" w:hAnsi="宋体" w:cs="宋体"/>
                <w:color w:val="auto"/>
                <w:sz w:val="24"/>
                <w:highlight w:val="none"/>
              </w:rPr>
              <w:t>17.1</w:t>
            </w:r>
          </w:p>
        </w:tc>
        <w:tc>
          <w:tcPr>
            <w:tcW w:w="8181" w:type="dxa"/>
            <w:vAlign w:val="center"/>
          </w:tcPr>
          <w:p w14:paraId="6957162E">
            <w:pPr>
              <w:autoSpaceDE w:val="0"/>
              <w:autoSpaceDN w:val="0"/>
              <w:snapToGrid w:val="0"/>
              <w:spacing w:line="500" w:lineRule="exact"/>
              <w:textAlignment w:val="bottom"/>
              <w:rPr>
                <w:rFonts w:hint="eastAsia" w:ascii="宋体" w:hAnsi="宋体" w:cs="宋体"/>
                <w:color w:val="auto"/>
                <w:sz w:val="24"/>
                <w:highlight w:val="none"/>
              </w:rPr>
            </w:pPr>
            <w:r>
              <w:rPr>
                <w:rFonts w:hint="eastAsia" w:ascii="宋体" w:hAnsi="宋体" w:cs="宋体"/>
                <w:color w:val="auto"/>
                <w:sz w:val="24"/>
                <w:highlight w:val="none"/>
              </w:rPr>
              <w:sym w:font="Wingdings" w:char="00A8"/>
            </w:r>
            <w:r>
              <w:rPr>
                <w:rFonts w:hint="eastAsia" w:ascii="宋体" w:hAnsi="宋体" w:cs="宋体"/>
                <w:color w:val="auto"/>
                <w:sz w:val="24"/>
                <w:highlight w:val="none"/>
              </w:rPr>
              <w:t>本项目不收取谈判保证金。</w:t>
            </w:r>
          </w:p>
          <w:p w14:paraId="4CFACAA3">
            <w:pPr>
              <w:spacing w:line="500" w:lineRule="exact"/>
              <w:rPr>
                <w:rFonts w:hint="eastAsia" w:ascii="宋体" w:hAnsi="宋体" w:cs="宋体"/>
                <w:color w:val="auto"/>
                <w:sz w:val="24"/>
                <w:highlight w:val="none"/>
              </w:rPr>
            </w:pPr>
            <w:r>
              <w:rPr>
                <w:rFonts w:hint="eastAsia" w:ascii="宋体" w:hAnsi="宋体" w:cs="宋体"/>
                <w:color w:val="auto"/>
                <w:sz w:val="24"/>
                <w:highlight w:val="none"/>
              </w:rPr>
              <w:sym w:font="Wingdings" w:char="00FE"/>
            </w:r>
            <w:r>
              <w:rPr>
                <w:rFonts w:hint="eastAsia" w:ascii="宋体" w:hAnsi="宋体" w:cs="宋体"/>
                <w:color w:val="auto"/>
                <w:sz w:val="24"/>
                <w:highlight w:val="none"/>
              </w:rPr>
              <w:t>本项目收取谈判保证金。</w:t>
            </w:r>
          </w:p>
          <w:p w14:paraId="65C48E94">
            <w:pPr>
              <w:pStyle w:val="74"/>
              <w:jc w:val="left"/>
              <w:rPr>
                <w:rFonts w:hint="eastAsia" w:ascii="宋体" w:hAnsi="宋体" w:eastAsia="宋体" w:cs="宋体"/>
                <w:b w:val="0"/>
                <w:color w:val="auto"/>
                <w:kern w:val="0"/>
                <w:sz w:val="24"/>
                <w:highlight w:val="none"/>
              </w:rPr>
            </w:pPr>
            <w:bookmarkStart w:id="21" w:name="_Toc31344"/>
            <w:bookmarkStart w:id="22" w:name="_Toc7382"/>
            <w:r>
              <w:rPr>
                <w:rFonts w:hint="eastAsia" w:ascii="宋体" w:hAnsi="宋体" w:eastAsia="宋体" w:cs="宋体"/>
                <w:b w:val="0"/>
                <w:color w:val="auto"/>
                <w:kern w:val="0"/>
                <w:sz w:val="24"/>
                <w:highlight w:val="none"/>
              </w:rPr>
              <w:t>谈判保证金（人民币）：</w:t>
            </w:r>
            <w:r>
              <w:rPr>
                <w:rFonts w:hint="eastAsia" w:ascii="宋体" w:hAnsi="宋体" w:eastAsia="宋体" w:cs="宋体"/>
                <w:b w:val="0"/>
                <w:color w:val="auto"/>
                <w:sz w:val="24"/>
                <w:highlight w:val="none"/>
              </w:rPr>
              <w:t>分标1:10000元；分标2:10000元</w:t>
            </w:r>
            <w:bookmarkEnd w:id="21"/>
            <w:bookmarkEnd w:id="22"/>
          </w:p>
          <w:p w14:paraId="409E9E0E">
            <w:pPr>
              <w:spacing w:line="360" w:lineRule="auto"/>
              <w:jc w:val="left"/>
              <w:rPr>
                <w:rFonts w:hint="eastAsia" w:ascii="宋体" w:hAnsi="宋体" w:cs="宋体"/>
                <w:color w:val="auto"/>
                <w:sz w:val="24"/>
                <w:highlight w:val="none"/>
              </w:rPr>
            </w:pPr>
            <w:r>
              <w:rPr>
                <w:rFonts w:hint="eastAsia" w:ascii="宋体" w:hAnsi="宋体" w:cs="宋体"/>
                <w:color w:val="auto"/>
                <w:sz w:val="24"/>
                <w:highlight w:val="none"/>
              </w:rPr>
              <w:t>保证金专用银行账号：</w:t>
            </w:r>
          </w:p>
          <w:p w14:paraId="0334BF58">
            <w:pPr>
              <w:snapToGrid w:val="0"/>
              <w:spacing w:line="360" w:lineRule="auto"/>
              <w:rPr>
                <w:rFonts w:hint="eastAsia" w:ascii="宋体" w:hAnsi="宋体" w:cs="宋体"/>
                <w:color w:val="auto"/>
                <w:kern w:val="0"/>
                <w:sz w:val="24"/>
                <w:highlight w:val="none"/>
              </w:rPr>
            </w:pPr>
            <w:r>
              <w:rPr>
                <w:rFonts w:hint="eastAsia" w:ascii="宋体" w:hAnsi="宋体" w:cs="宋体"/>
                <w:color w:val="auto"/>
                <w:kern w:val="0"/>
                <w:sz w:val="24"/>
                <w:highlight w:val="none"/>
              </w:rPr>
              <w:t>开户名称：广西冠宁工程咨询有限公司</w:t>
            </w:r>
          </w:p>
          <w:p w14:paraId="12D7D451">
            <w:pPr>
              <w:snapToGrid w:val="0"/>
              <w:spacing w:line="360" w:lineRule="auto"/>
              <w:rPr>
                <w:rFonts w:hint="eastAsia" w:ascii="宋体" w:hAnsi="宋体" w:cs="宋体"/>
                <w:color w:val="auto"/>
                <w:kern w:val="0"/>
                <w:sz w:val="24"/>
                <w:highlight w:val="none"/>
              </w:rPr>
            </w:pPr>
            <w:r>
              <w:rPr>
                <w:rFonts w:hint="eastAsia" w:ascii="宋体" w:hAnsi="宋体" w:cs="宋体"/>
                <w:color w:val="auto"/>
                <w:kern w:val="0"/>
                <w:sz w:val="24"/>
                <w:highlight w:val="none"/>
              </w:rPr>
              <w:t>开户银行：中国建设银行南宁望园路支行</w:t>
            </w:r>
            <w:r>
              <w:rPr>
                <w:rFonts w:hint="eastAsia" w:ascii="宋体" w:hAnsi="宋体" w:cs="宋体"/>
                <w:color w:val="auto"/>
                <w:kern w:val="0"/>
                <w:sz w:val="24"/>
                <w:highlight w:val="none"/>
              </w:rPr>
              <w:tab/>
            </w:r>
          </w:p>
          <w:p w14:paraId="0668576C">
            <w:pPr>
              <w:spacing w:line="360" w:lineRule="auto"/>
              <w:jc w:val="left"/>
              <w:rPr>
                <w:color w:val="auto"/>
                <w:highlight w:val="none"/>
              </w:rPr>
            </w:pPr>
            <w:r>
              <w:rPr>
                <w:rFonts w:hint="eastAsia" w:ascii="宋体" w:hAnsi="宋体" w:cs="宋体"/>
                <w:color w:val="auto"/>
                <w:kern w:val="0"/>
                <w:sz w:val="24"/>
                <w:highlight w:val="none"/>
              </w:rPr>
              <w:t>银行账号：45050160466109599699</w:t>
            </w:r>
            <w:r>
              <w:rPr>
                <w:rFonts w:ascii="宋体" w:hAnsi="宋体" w:cs="宋体"/>
                <w:color w:val="auto"/>
                <w:sz w:val="24"/>
                <w:highlight w:val="none"/>
              </w:rPr>
              <w:t xml:space="preserve"> </w:t>
            </w:r>
          </w:p>
          <w:p w14:paraId="4C3CA695">
            <w:pPr>
              <w:snapToGrid w:val="0"/>
              <w:spacing w:line="500" w:lineRule="exact"/>
              <w:rPr>
                <w:rFonts w:hint="eastAsia" w:ascii="宋体" w:hAnsi="宋体" w:cs="宋体"/>
                <w:color w:val="auto"/>
                <w:kern w:val="0"/>
                <w:sz w:val="24"/>
                <w:highlight w:val="none"/>
              </w:rPr>
            </w:pPr>
            <w:r>
              <w:rPr>
                <w:rFonts w:hint="eastAsia" w:ascii="宋体" w:hAnsi="宋体" w:cs="宋体"/>
                <w:color w:val="auto"/>
                <w:kern w:val="0"/>
                <w:sz w:val="24"/>
                <w:highlight w:val="none"/>
              </w:rPr>
              <w:t>谈判保证金的交纳方式：</w:t>
            </w:r>
            <w:r>
              <w:rPr>
                <w:rFonts w:hint="eastAsia" w:ascii="宋体" w:hAnsi="宋体" w:cs="宋体"/>
                <w:color w:val="auto"/>
                <w:sz w:val="24"/>
                <w:highlight w:val="none"/>
              </w:rPr>
              <w:t>银行转账、保函等非现金方式</w:t>
            </w:r>
            <w:r>
              <w:rPr>
                <w:rFonts w:hint="eastAsia" w:ascii="宋体" w:hAnsi="宋体" w:cs="宋体"/>
                <w:color w:val="auto"/>
                <w:kern w:val="0"/>
                <w:sz w:val="24"/>
                <w:highlight w:val="none"/>
              </w:rPr>
              <w:t>，禁止采用现钞方式。采用银行转账方式的，在响应文件提交截止时间前交至指定账户并且到账；采用支票、汇票、本票或者保函方式的，在响应文件提交截止时间前，供应商必须提交支票、汇票、本票或者保函原件。否则视为无效谈判保证金。</w:t>
            </w:r>
          </w:p>
          <w:p w14:paraId="4DCF7406">
            <w:pPr>
              <w:snapToGrid w:val="0"/>
              <w:spacing w:line="500" w:lineRule="exact"/>
              <w:rPr>
                <w:rFonts w:hint="eastAsia" w:ascii="宋体" w:hAnsi="宋体" w:cs="宋体"/>
                <w:color w:val="auto"/>
                <w:sz w:val="24"/>
                <w:highlight w:val="none"/>
              </w:rPr>
            </w:pPr>
            <w:r>
              <w:rPr>
                <w:rFonts w:hint="eastAsia" w:ascii="宋体" w:hAnsi="宋体" w:cs="宋体"/>
                <w:color w:val="auto"/>
                <w:sz w:val="24"/>
                <w:highlight w:val="none"/>
              </w:rPr>
              <w:t>相关要求：</w:t>
            </w:r>
          </w:p>
          <w:p w14:paraId="2AA2F87A">
            <w:pPr>
              <w:snapToGrid w:val="0"/>
              <w:spacing w:line="500" w:lineRule="exact"/>
              <w:rPr>
                <w:rFonts w:hint="eastAsia" w:ascii="宋体" w:hAnsi="宋体" w:cs="宋体"/>
                <w:color w:val="auto"/>
                <w:sz w:val="24"/>
                <w:highlight w:val="none"/>
              </w:rPr>
            </w:pPr>
            <w:r>
              <w:rPr>
                <w:rFonts w:hint="eastAsia" w:ascii="宋体" w:hAnsi="宋体" w:cs="宋体"/>
                <w:color w:val="auto"/>
                <w:sz w:val="24"/>
                <w:highlight w:val="none"/>
              </w:rPr>
              <w:t>1.谈判保证金采用银行转账交纳方式的，在响应文件提交截止时间前交至指定账户并且到账，供应商应将银行转账底单的复印件作为谈判保证金提交凭证，放置于报价商务技术文件中，</w:t>
            </w:r>
            <w:r>
              <w:rPr>
                <w:rFonts w:hint="eastAsia" w:ascii="宋体" w:hAnsi="宋体" w:cs="宋体"/>
                <w:b/>
                <w:color w:val="auto"/>
                <w:sz w:val="24"/>
                <w:highlight w:val="none"/>
              </w:rPr>
              <w:t>否则响应文件按无效响应处理</w:t>
            </w:r>
            <w:r>
              <w:rPr>
                <w:rFonts w:hint="eastAsia" w:ascii="宋体" w:hAnsi="宋体" w:cs="宋体"/>
                <w:color w:val="auto"/>
                <w:sz w:val="24"/>
                <w:highlight w:val="none"/>
              </w:rPr>
              <w:t>。</w:t>
            </w:r>
          </w:p>
          <w:p w14:paraId="4923222F">
            <w:pPr>
              <w:snapToGrid w:val="0"/>
              <w:spacing w:line="500" w:lineRule="exact"/>
              <w:rPr>
                <w:rFonts w:hint="eastAsia" w:ascii="宋体" w:hAnsi="宋体" w:cs="宋体"/>
                <w:b/>
                <w:color w:val="auto"/>
                <w:sz w:val="24"/>
                <w:highlight w:val="none"/>
              </w:rPr>
            </w:pPr>
            <w:r>
              <w:rPr>
                <w:rFonts w:hint="eastAsia" w:ascii="宋体" w:hAnsi="宋体" w:cs="宋体"/>
                <w:color w:val="auto"/>
                <w:sz w:val="24"/>
                <w:highlight w:val="none"/>
              </w:rPr>
              <w:t>2.谈判保证金采用</w:t>
            </w:r>
            <w:r>
              <w:rPr>
                <w:rFonts w:hint="eastAsia" w:ascii="宋体" w:hAnsi="宋体" w:cs="宋体"/>
                <w:color w:val="auto"/>
                <w:kern w:val="0"/>
                <w:sz w:val="24"/>
                <w:highlight w:val="none"/>
              </w:rPr>
              <w:t>支票、汇票、本票或者</w:t>
            </w:r>
            <w:r>
              <w:rPr>
                <w:rFonts w:hint="eastAsia" w:ascii="宋体" w:hAnsi="宋体" w:cs="宋体"/>
                <w:color w:val="auto"/>
                <w:sz w:val="24"/>
                <w:highlight w:val="none"/>
              </w:rPr>
              <w:t>保函交纳方式的，供应商应将</w:t>
            </w:r>
            <w:r>
              <w:rPr>
                <w:rFonts w:hint="eastAsia" w:ascii="宋体" w:hAnsi="宋体" w:cs="宋体"/>
                <w:color w:val="auto"/>
                <w:kern w:val="0"/>
                <w:sz w:val="24"/>
                <w:highlight w:val="none"/>
              </w:rPr>
              <w:t>支票、汇票、本票或者</w:t>
            </w:r>
            <w:r>
              <w:rPr>
                <w:rFonts w:hint="eastAsia" w:ascii="宋体" w:hAnsi="宋体" w:cs="宋体"/>
                <w:color w:val="auto"/>
                <w:sz w:val="24"/>
                <w:highlight w:val="none"/>
              </w:rPr>
              <w:t>保函的复印件作为谈判保证金提交凭证，放置于报价商务技术文件中，</w:t>
            </w:r>
            <w:r>
              <w:rPr>
                <w:rFonts w:hint="eastAsia" w:ascii="宋体" w:hAnsi="宋体" w:cs="宋体"/>
                <w:b/>
                <w:color w:val="auto"/>
                <w:sz w:val="24"/>
                <w:highlight w:val="none"/>
              </w:rPr>
              <w:t>否则响应文件按无效响应处理</w:t>
            </w:r>
            <w:r>
              <w:rPr>
                <w:rFonts w:hint="eastAsia" w:ascii="宋体" w:hAnsi="宋体" w:cs="宋体"/>
                <w:color w:val="auto"/>
                <w:sz w:val="24"/>
                <w:highlight w:val="none"/>
              </w:rPr>
              <w:t>。</w:t>
            </w:r>
            <w:r>
              <w:rPr>
                <w:rFonts w:hint="eastAsia" w:ascii="宋体" w:hAnsi="宋体" w:cs="宋体"/>
                <w:b/>
                <w:color w:val="auto"/>
                <w:sz w:val="24"/>
                <w:highlight w:val="none"/>
              </w:rPr>
              <w:t>供应商必须在首次响应文件提交截止时间前将</w:t>
            </w:r>
            <w:r>
              <w:rPr>
                <w:rFonts w:hint="eastAsia" w:ascii="宋体" w:hAnsi="宋体" w:cs="宋体"/>
                <w:color w:val="auto"/>
                <w:kern w:val="0"/>
                <w:sz w:val="24"/>
                <w:highlight w:val="none"/>
              </w:rPr>
              <w:t>支票、汇票、本票或者</w:t>
            </w:r>
            <w:r>
              <w:rPr>
                <w:rFonts w:hint="eastAsia" w:ascii="宋体" w:hAnsi="宋体" w:cs="宋体"/>
                <w:b/>
                <w:color w:val="auto"/>
                <w:sz w:val="24"/>
                <w:highlight w:val="none"/>
              </w:rPr>
              <w:t>保函原件提交给采购代理机构，由采购代理机构向供应商出具回执，并妥善保管。</w:t>
            </w:r>
          </w:p>
          <w:p w14:paraId="63E331F3">
            <w:pPr>
              <w:snapToGrid w:val="0"/>
              <w:spacing w:line="500" w:lineRule="exact"/>
              <w:rPr>
                <w:rFonts w:hint="eastAsia" w:ascii="宋体" w:hAnsi="宋体" w:cs="宋体"/>
                <w:color w:val="auto"/>
                <w:sz w:val="24"/>
                <w:highlight w:val="none"/>
              </w:rPr>
            </w:pPr>
            <w:r>
              <w:rPr>
                <w:rFonts w:hint="eastAsia" w:ascii="宋体" w:hAnsi="宋体" w:cs="宋体"/>
                <w:color w:val="auto"/>
                <w:sz w:val="24"/>
                <w:highlight w:val="none"/>
              </w:rPr>
              <w:t>3.供应商为联合体的，可以由联合体中的一方或者多方共同交纳谈判保证金，其交纳的保证金对联合体各方均具有约束力。</w:t>
            </w:r>
          </w:p>
          <w:p w14:paraId="05B42585">
            <w:pPr>
              <w:snapToGrid w:val="0"/>
              <w:spacing w:line="500" w:lineRule="exact"/>
              <w:rPr>
                <w:rFonts w:hint="eastAsia" w:ascii="楷体" w:hAnsi="楷体" w:eastAsia="楷体" w:cs="宋体"/>
                <w:color w:val="auto"/>
                <w:sz w:val="24"/>
                <w:highlight w:val="none"/>
              </w:rPr>
            </w:pPr>
            <w:r>
              <w:rPr>
                <w:rFonts w:hint="eastAsia" w:ascii="楷体" w:hAnsi="楷体" w:eastAsia="楷体" w:cs="宋体"/>
                <w:b/>
                <w:color w:val="auto"/>
                <w:sz w:val="24"/>
                <w:highlight w:val="none"/>
              </w:rPr>
              <w:t>【备注】</w:t>
            </w:r>
            <w:r>
              <w:rPr>
                <w:rFonts w:ascii="楷体" w:hAnsi="楷体" w:eastAsia="楷体" w:cs="宋体"/>
                <w:color w:val="auto"/>
                <w:sz w:val="24"/>
                <w:highlight w:val="none"/>
              </w:rPr>
              <w:t>1.</w:t>
            </w:r>
            <w:r>
              <w:rPr>
                <w:rFonts w:hint="eastAsia" w:ascii="楷体" w:hAnsi="楷体" w:eastAsia="楷体" w:cs="宋体"/>
                <w:color w:val="auto"/>
                <w:sz w:val="24"/>
                <w:highlight w:val="none"/>
              </w:rPr>
              <w:t>首次响应文件提交截止时间后提交的，或者未足额交纳的，或者保函额度不足的，视为无效谈判保证金。</w:t>
            </w:r>
          </w:p>
          <w:p w14:paraId="6B101317">
            <w:pPr>
              <w:snapToGrid w:val="0"/>
              <w:spacing w:line="500" w:lineRule="exact"/>
              <w:rPr>
                <w:rFonts w:hint="eastAsia" w:ascii="楷体" w:hAnsi="楷体" w:eastAsia="楷体" w:cs="宋体"/>
                <w:color w:val="auto"/>
                <w:sz w:val="24"/>
                <w:highlight w:val="none"/>
              </w:rPr>
            </w:pPr>
            <w:r>
              <w:rPr>
                <w:rFonts w:ascii="楷体" w:hAnsi="楷体" w:eastAsia="楷体" w:cs="宋体"/>
                <w:color w:val="auto"/>
                <w:sz w:val="24"/>
                <w:highlight w:val="none"/>
              </w:rPr>
              <w:t>2.供应商采用现钞方式或者从个人账户（自然人</w:t>
            </w:r>
            <w:r>
              <w:rPr>
                <w:rFonts w:hint="eastAsia" w:ascii="楷体" w:hAnsi="楷体" w:eastAsia="楷体" w:cs="宋体"/>
                <w:color w:val="auto"/>
                <w:sz w:val="24"/>
                <w:highlight w:val="none"/>
              </w:rPr>
              <w:t>参与竞争性谈判</w:t>
            </w:r>
            <w:r>
              <w:rPr>
                <w:rFonts w:ascii="楷体" w:hAnsi="楷体" w:eastAsia="楷体" w:cs="宋体"/>
                <w:color w:val="auto"/>
                <w:sz w:val="24"/>
                <w:highlight w:val="none"/>
              </w:rPr>
              <w:t>除外）转出的</w:t>
            </w:r>
            <w:r>
              <w:rPr>
                <w:rFonts w:hint="eastAsia" w:ascii="楷体" w:hAnsi="楷体" w:eastAsia="楷体" w:cs="宋体"/>
                <w:color w:val="auto"/>
                <w:sz w:val="24"/>
                <w:highlight w:val="none"/>
              </w:rPr>
              <w:t>谈判</w:t>
            </w:r>
            <w:r>
              <w:rPr>
                <w:rFonts w:ascii="楷体" w:hAnsi="楷体" w:eastAsia="楷体" w:cs="宋体"/>
                <w:color w:val="auto"/>
                <w:sz w:val="24"/>
                <w:highlight w:val="none"/>
              </w:rPr>
              <w:t>保证金，视为无效</w:t>
            </w:r>
            <w:r>
              <w:rPr>
                <w:rFonts w:hint="eastAsia" w:ascii="楷体" w:hAnsi="楷体" w:eastAsia="楷体" w:cs="宋体"/>
                <w:color w:val="auto"/>
                <w:sz w:val="24"/>
                <w:highlight w:val="none"/>
              </w:rPr>
              <w:t>谈判</w:t>
            </w:r>
            <w:r>
              <w:rPr>
                <w:rFonts w:ascii="楷体" w:hAnsi="楷体" w:eastAsia="楷体" w:cs="宋体"/>
                <w:color w:val="auto"/>
                <w:sz w:val="24"/>
                <w:highlight w:val="none"/>
              </w:rPr>
              <w:t>保证金。</w:t>
            </w:r>
          </w:p>
          <w:p w14:paraId="62B946E6">
            <w:pPr>
              <w:snapToGrid w:val="0"/>
              <w:spacing w:line="500" w:lineRule="exact"/>
              <w:rPr>
                <w:rFonts w:hint="eastAsia" w:ascii="楷体" w:hAnsi="楷体" w:eastAsia="楷体" w:cs="宋体"/>
                <w:color w:val="auto"/>
                <w:sz w:val="24"/>
                <w:highlight w:val="none"/>
              </w:rPr>
            </w:pPr>
            <w:r>
              <w:rPr>
                <w:rFonts w:ascii="楷体" w:hAnsi="楷体" w:eastAsia="楷体" w:cs="宋体"/>
                <w:color w:val="auto"/>
                <w:sz w:val="24"/>
                <w:highlight w:val="none"/>
              </w:rPr>
              <w:t>3.保函有效期</w:t>
            </w:r>
            <w:r>
              <w:rPr>
                <w:rFonts w:hint="eastAsia" w:ascii="楷体" w:hAnsi="楷体" w:eastAsia="楷体" w:cs="宋体"/>
                <w:color w:val="auto"/>
                <w:sz w:val="24"/>
                <w:highlight w:val="none"/>
              </w:rPr>
              <w:t>短</w:t>
            </w:r>
            <w:r>
              <w:rPr>
                <w:rFonts w:ascii="楷体" w:hAnsi="楷体" w:eastAsia="楷体" w:cs="宋体"/>
                <w:color w:val="auto"/>
                <w:sz w:val="24"/>
                <w:highlight w:val="none"/>
              </w:rPr>
              <w:t>于</w:t>
            </w:r>
            <w:r>
              <w:rPr>
                <w:rFonts w:hint="eastAsia" w:ascii="楷体" w:hAnsi="楷体" w:eastAsia="楷体" w:cs="宋体"/>
                <w:color w:val="auto"/>
                <w:sz w:val="24"/>
                <w:highlight w:val="none"/>
              </w:rPr>
              <w:t>竞争性谈判</w:t>
            </w:r>
            <w:r>
              <w:rPr>
                <w:rFonts w:ascii="楷体" w:hAnsi="楷体" w:eastAsia="楷体" w:cs="宋体"/>
                <w:color w:val="auto"/>
                <w:sz w:val="24"/>
                <w:highlight w:val="none"/>
              </w:rPr>
              <w:t>有效期的，视为无效</w:t>
            </w:r>
            <w:r>
              <w:rPr>
                <w:rFonts w:hint="eastAsia" w:ascii="楷体" w:hAnsi="楷体" w:eastAsia="楷体" w:cs="宋体"/>
                <w:color w:val="auto"/>
                <w:sz w:val="24"/>
                <w:highlight w:val="none"/>
              </w:rPr>
              <w:t>谈判</w:t>
            </w:r>
            <w:r>
              <w:rPr>
                <w:rFonts w:ascii="楷体" w:hAnsi="楷体" w:eastAsia="楷体" w:cs="宋体"/>
                <w:color w:val="auto"/>
                <w:sz w:val="24"/>
                <w:highlight w:val="none"/>
              </w:rPr>
              <w:t>保证金。</w:t>
            </w:r>
          </w:p>
          <w:p w14:paraId="78E1D4F8">
            <w:pPr>
              <w:snapToGrid w:val="0"/>
              <w:spacing w:line="500" w:lineRule="exact"/>
              <w:rPr>
                <w:rFonts w:hint="eastAsia" w:ascii="宋体" w:hAnsi="宋体" w:cs="宋体"/>
                <w:color w:val="auto"/>
                <w:sz w:val="24"/>
                <w:highlight w:val="none"/>
              </w:rPr>
            </w:pPr>
            <w:r>
              <w:rPr>
                <w:rFonts w:ascii="楷体" w:hAnsi="楷体" w:eastAsia="楷体" w:cs="宋体"/>
                <w:color w:val="auto"/>
                <w:sz w:val="24"/>
                <w:highlight w:val="none"/>
              </w:rPr>
              <w:t>4.</w:t>
            </w:r>
            <w:r>
              <w:rPr>
                <w:rFonts w:hint="eastAsia" w:ascii="楷体" w:hAnsi="楷体" w:eastAsia="楷体" w:cs="宋体"/>
                <w:color w:val="auto"/>
                <w:sz w:val="24"/>
                <w:highlight w:val="none"/>
              </w:rPr>
              <w:t>谈判</w:t>
            </w:r>
            <w:r>
              <w:rPr>
                <w:rFonts w:ascii="楷体" w:hAnsi="楷体" w:eastAsia="楷体" w:cs="宋体"/>
                <w:color w:val="auto"/>
                <w:sz w:val="24"/>
                <w:highlight w:val="none"/>
              </w:rPr>
              <w:t>保证金采用保函为有条件保函的，视为无效</w:t>
            </w:r>
            <w:r>
              <w:rPr>
                <w:rFonts w:hint="eastAsia" w:ascii="楷体" w:hAnsi="楷体" w:eastAsia="楷体" w:cs="宋体"/>
                <w:color w:val="auto"/>
                <w:sz w:val="24"/>
                <w:highlight w:val="none"/>
              </w:rPr>
              <w:t>谈判</w:t>
            </w:r>
            <w:r>
              <w:rPr>
                <w:rFonts w:ascii="楷体" w:hAnsi="楷体" w:eastAsia="楷体" w:cs="宋体"/>
                <w:color w:val="auto"/>
                <w:sz w:val="24"/>
                <w:highlight w:val="none"/>
              </w:rPr>
              <w:t>保证金。</w:t>
            </w:r>
          </w:p>
        </w:tc>
      </w:tr>
      <w:tr w14:paraId="0D4251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0" w:hRule="atLeast"/>
          <w:jc w:val="center"/>
        </w:trPr>
        <w:tc>
          <w:tcPr>
            <w:tcW w:w="991" w:type="dxa"/>
            <w:vAlign w:val="center"/>
          </w:tcPr>
          <w:p w14:paraId="3DF384D6">
            <w:pPr>
              <w:spacing w:line="500" w:lineRule="exact"/>
              <w:jc w:val="center"/>
              <w:rPr>
                <w:rFonts w:hint="eastAsia" w:ascii="宋体" w:hAnsi="宋体" w:cs="宋体"/>
                <w:color w:val="auto"/>
                <w:sz w:val="24"/>
                <w:highlight w:val="none"/>
              </w:rPr>
            </w:pPr>
            <w:r>
              <w:rPr>
                <w:rFonts w:hint="eastAsia" w:ascii="宋体" w:hAnsi="宋体" w:cs="宋体"/>
                <w:color w:val="auto"/>
                <w:sz w:val="24"/>
                <w:highlight w:val="none"/>
              </w:rPr>
              <w:t>18.2</w:t>
            </w:r>
          </w:p>
        </w:tc>
        <w:tc>
          <w:tcPr>
            <w:tcW w:w="8181" w:type="dxa"/>
            <w:vAlign w:val="center"/>
          </w:tcPr>
          <w:p w14:paraId="423BDAB6">
            <w:pPr>
              <w:spacing w:line="500" w:lineRule="exact"/>
              <w:rPr>
                <w:rFonts w:hint="eastAsia" w:ascii="宋体" w:hAnsi="宋体" w:cs="宋体"/>
                <w:color w:val="auto"/>
                <w:sz w:val="24"/>
                <w:highlight w:val="none"/>
              </w:rPr>
            </w:pPr>
            <w:r>
              <w:rPr>
                <w:rFonts w:hint="eastAsia" w:ascii="宋体" w:hAnsi="宋体" w:cs="宋体"/>
                <w:color w:val="auto"/>
                <w:sz w:val="24"/>
                <w:highlight w:val="none"/>
              </w:rPr>
              <w:t>响应文件应按资格证明文件、报价商务技术文件分别编制，</w:t>
            </w:r>
            <w:r>
              <w:rPr>
                <w:rFonts w:hint="eastAsia" w:ascii="宋体" w:hAnsi="宋体" w:cs="宋体"/>
                <w:color w:val="auto"/>
                <w:sz w:val="24"/>
                <w:highlight w:val="none"/>
                <w:lang w:bidi="ar"/>
              </w:rPr>
              <w:t>并按广西政府采购云平台的要求编制、加密、上传。</w:t>
            </w:r>
          </w:p>
        </w:tc>
      </w:tr>
      <w:tr w14:paraId="114A61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0" w:hRule="atLeast"/>
          <w:jc w:val="center"/>
        </w:trPr>
        <w:tc>
          <w:tcPr>
            <w:tcW w:w="991" w:type="dxa"/>
            <w:vAlign w:val="center"/>
          </w:tcPr>
          <w:p w14:paraId="443236F8">
            <w:pPr>
              <w:spacing w:line="500" w:lineRule="exact"/>
              <w:jc w:val="center"/>
              <w:rPr>
                <w:rFonts w:hint="eastAsia" w:ascii="宋体" w:hAnsi="宋体" w:cs="宋体"/>
                <w:color w:val="auto"/>
                <w:sz w:val="24"/>
                <w:highlight w:val="none"/>
              </w:rPr>
            </w:pPr>
            <w:r>
              <w:rPr>
                <w:rFonts w:hint="eastAsia" w:ascii="宋体" w:hAnsi="宋体" w:cs="宋体"/>
                <w:color w:val="auto"/>
                <w:sz w:val="24"/>
                <w:highlight w:val="none"/>
              </w:rPr>
              <w:t>20.1</w:t>
            </w:r>
          </w:p>
        </w:tc>
        <w:tc>
          <w:tcPr>
            <w:tcW w:w="8181" w:type="dxa"/>
            <w:vAlign w:val="center"/>
          </w:tcPr>
          <w:p w14:paraId="5573A454">
            <w:pPr>
              <w:spacing w:line="500" w:lineRule="exact"/>
              <w:contextualSpacing/>
              <w:rPr>
                <w:rFonts w:hint="eastAsia" w:ascii="宋体" w:hAnsi="宋体" w:cs="宋体"/>
                <w:color w:val="auto"/>
                <w:sz w:val="24"/>
                <w:highlight w:val="none"/>
                <w:u w:val="single"/>
              </w:rPr>
            </w:pPr>
            <w:r>
              <w:rPr>
                <w:rFonts w:hint="eastAsia" w:ascii="宋体" w:hAnsi="宋体" w:cs="宋体"/>
                <w:color w:val="auto"/>
                <w:sz w:val="24"/>
                <w:highlight w:val="none"/>
              </w:rPr>
              <w:t>首次响应文件提交截止时间：详见竞争性谈判公告。</w:t>
            </w:r>
          </w:p>
          <w:p w14:paraId="50741B5B">
            <w:pPr>
              <w:spacing w:line="500" w:lineRule="exact"/>
              <w:contextualSpacing/>
              <w:rPr>
                <w:rFonts w:hint="eastAsia" w:ascii="宋体" w:hAnsi="宋体" w:cs="宋体"/>
                <w:color w:val="auto"/>
                <w:sz w:val="24"/>
                <w:highlight w:val="none"/>
              </w:rPr>
            </w:pPr>
            <w:r>
              <w:rPr>
                <w:rFonts w:hint="eastAsia" w:ascii="宋体" w:hAnsi="宋体" w:cs="宋体"/>
                <w:color w:val="auto"/>
                <w:sz w:val="24"/>
                <w:highlight w:val="none"/>
              </w:rPr>
              <w:t>首次响应文件提交地点：详见竞争性谈判公告。</w:t>
            </w:r>
          </w:p>
        </w:tc>
      </w:tr>
      <w:tr w14:paraId="308EC0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3" w:hRule="atLeast"/>
          <w:jc w:val="center"/>
        </w:trPr>
        <w:tc>
          <w:tcPr>
            <w:tcW w:w="991" w:type="dxa"/>
            <w:vAlign w:val="center"/>
          </w:tcPr>
          <w:p w14:paraId="6D7923C1">
            <w:pPr>
              <w:spacing w:line="500" w:lineRule="exact"/>
              <w:jc w:val="center"/>
              <w:rPr>
                <w:rFonts w:hint="eastAsia" w:ascii="宋体" w:hAnsi="宋体" w:cs="宋体"/>
                <w:color w:val="auto"/>
                <w:sz w:val="24"/>
                <w:highlight w:val="none"/>
              </w:rPr>
            </w:pPr>
            <w:r>
              <w:rPr>
                <w:rFonts w:hint="eastAsia" w:ascii="宋体" w:hAnsi="宋体" w:cs="宋体"/>
                <w:color w:val="auto"/>
                <w:sz w:val="24"/>
                <w:highlight w:val="none"/>
              </w:rPr>
              <w:t>24.1</w:t>
            </w:r>
          </w:p>
        </w:tc>
        <w:tc>
          <w:tcPr>
            <w:tcW w:w="8181" w:type="dxa"/>
            <w:vAlign w:val="center"/>
          </w:tcPr>
          <w:p w14:paraId="5B5D97A0">
            <w:pPr>
              <w:snapToGrid w:val="0"/>
              <w:spacing w:line="500" w:lineRule="exact"/>
              <w:rPr>
                <w:rFonts w:hint="eastAsia" w:ascii="宋体" w:hAnsi="宋体" w:cs="宋体"/>
                <w:color w:val="auto"/>
                <w:sz w:val="24"/>
                <w:highlight w:val="none"/>
                <w:u w:val="single"/>
              </w:rPr>
            </w:pPr>
            <w:r>
              <w:rPr>
                <w:rFonts w:hint="eastAsia" w:ascii="宋体" w:hAnsi="宋体" w:cs="宋体"/>
                <w:color w:val="auto"/>
                <w:sz w:val="24"/>
                <w:highlight w:val="none"/>
              </w:rPr>
              <w:t>谈判小组的人数：3人。</w:t>
            </w:r>
          </w:p>
        </w:tc>
      </w:tr>
      <w:tr w14:paraId="08654D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3" w:hRule="atLeast"/>
          <w:jc w:val="center"/>
        </w:trPr>
        <w:tc>
          <w:tcPr>
            <w:tcW w:w="991" w:type="dxa"/>
            <w:vAlign w:val="center"/>
          </w:tcPr>
          <w:p w14:paraId="6F75ED65">
            <w:pPr>
              <w:spacing w:line="500" w:lineRule="exact"/>
              <w:jc w:val="center"/>
              <w:rPr>
                <w:rFonts w:hint="eastAsia" w:ascii="宋体" w:hAnsi="宋体" w:cs="宋体"/>
                <w:color w:val="auto"/>
                <w:sz w:val="24"/>
                <w:highlight w:val="none"/>
              </w:rPr>
            </w:pPr>
            <w:r>
              <w:rPr>
                <w:rFonts w:hint="eastAsia" w:ascii="宋体" w:hAnsi="宋体" w:cs="宋体"/>
                <w:color w:val="auto"/>
                <w:sz w:val="24"/>
                <w:highlight w:val="none"/>
              </w:rPr>
              <w:t>25.2</w:t>
            </w:r>
          </w:p>
        </w:tc>
        <w:tc>
          <w:tcPr>
            <w:tcW w:w="8181" w:type="dxa"/>
            <w:vAlign w:val="center"/>
          </w:tcPr>
          <w:p w14:paraId="1A213E72">
            <w:pPr>
              <w:snapToGrid w:val="0"/>
              <w:spacing w:line="500" w:lineRule="exact"/>
              <w:rPr>
                <w:rFonts w:hint="eastAsia" w:ascii="宋体" w:hAnsi="宋体" w:cs="宋体"/>
                <w:color w:val="auto"/>
                <w:sz w:val="24"/>
                <w:highlight w:val="none"/>
              </w:rPr>
            </w:pPr>
            <w:r>
              <w:rPr>
                <w:rFonts w:hint="eastAsia" w:ascii="宋体" w:hAnsi="宋体" w:cs="宋体"/>
                <w:color w:val="auto"/>
                <w:sz w:val="24"/>
                <w:highlight w:val="none"/>
              </w:rPr>
              <w:t>采购代理机构将依托电子交易平台发起开始解密指令，</w:t>
            </w:r>
            <w:r>
              <w:rPr>
                <w:rFonts w:hint="eastAsia" w:ascii="宋体" w:hAnsi="宋体" w:cs="宋体"/>
                <w:b/>
                <w:color w:val="auto"/>
                <w:sz w:val="24"/>
                <w:highlight w:val="none"/>
              </w:rPr>
              <w:t>供应商的法定代表人或其委托代理人须携带加密时所用的CA锁按平台提示和采购文件的规定登录到广西政府采购云平台电子开标大厅签到并在发起解密指令之时起30分钟内完成对电子响应文件在线解密。</w:t>
            </w:r>
            <w:r>
              <w:rPr>
                <w:rFonts w:hint="eastAsia" w:ascii="宋体" w:hAnsi="宋体" w:cs="宋体"/>
                <w:b/>
                <w:bCs/>
                <w:color w:val="auto"/>
                <w:sz w:val="24"/>
                <w:highlight w:val="none"/>
              </w:rPr>
              <w:t>响应文件未按时解密的，视为响应文件无效。</w:t>
            </w:r>
          </w:p>
        </w:tc>
      </w:tr>
      <w:tr w14:paraId="74F84E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0" w:hRule="atLeast"/>
          <w:jc w:val="center"/>
        </w:trPr>
        <w:tc>
          <w:tcPr>
            <w:tcW w:w="991" w:type="dxa"/>
            <w:vMerge w:val="restart"/>
            <w:vAlign w:val="center"/>
          </w:tcPr>
          <w:p w14:paraId="315C94D4">
            <w:pPr>
              <w:spacing w:line="500" w:lineRule="exact"/>
              <w:jc w:val="center"/>
              <w:rPr>
                <w:rFonts w:hint="eastAsia" w:ascii="宋体" w:hAnsi="宋体" w:cs="宋体"/>
                <w:color w:val="auto"/>
                <w:sz w:val="24"/>
                <w:highlight w:val="none"/>
              </w:rPr>
            </w:pPr>
            <w:r>
              <w:rPr>
                <w:rFonts w:hint="eastAsia" w:ascii="宋体" w:hAnsi="宋体" w:cs="宋体"/>
                <w:color w:val="auto"/>
                <w:sz w:val="24"/>
                <w:highlight w:val="none"/>
              </w:rPr>
              <w:t>26</w:t>
            </w:r>
          </w:p>
        </w:tc>
        <w:tc>
          <w:tcPr>
            <w:tcW w:w="8181" w:type="dxa"/>
            <w:vAlign w:val="center"/>
          </w:tcPr>
          <w:p w14:paraId="47C65FDB">
            <w:pPr>
              <w:snapToGrid w:val="0"/>
              <w:spacing w:line="500" w:lineRule="exact"/>
              <w:rPr>
                <w:color w:val="auto"/>
                <w:sz w:val="24"/>
                <w:highlight w:val="none"/>
              </w:rPr>
            </w:pPr>
            <w:r>
              <w:rPr>
                <w:rFonts w:hint="eastAsia"/>
                <w:color w:val="auto"/>
                <w:sz w:val="24"/>
                <w:highlight w:val="none"/>
              </w:rPr>
              <w:t>商务要求评审中允许负偏离的条款数为0项。</w:t>
            </w:r>
          </w:p>
          <w:p w14:paraId="20584268">
            <w:pPr>
              <w:snapToGrid w:val="0"/>
              <w:spacing w:line="500" w:lineRule="exact"/>
              <w:rPr>
                <w:color w:val="auto"/>
                <w:sz w:val="24"/>
                <w:highlight w:val="none"/>
              </w:rPr>
            </w:pPr>
            <w:r>
              <w:rPr>
                <w:rFonts w:hint="eastAsia"/>
                <w:color w:val="auto"/>
                <w:sz w:val="24"/>
                <w:highlight w:val="none"/>
              </w:rPr>
              <w:t>技术要求评审中允许负偏离的条款数为2项。</w:t>
            </w:r>
          </w:p>
        </w:tc>
      </w:tr>
      <w:tr w14:paraId="2A0B43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89" w:hRule="atLeast"/>
          <w:jc w:val="center"/>
        </w:trPr>
        <w:tc>
          <w:tcPr>
            <w:tcW w:w="991" w:type="dxa"/>
            <w:vMerge w:val="continue"/>
            <w:vAlign w:val="center"/>
          </w:tcPr>
          <w:p w14:paraId="74DCB9C4">
            <w:pPr>
              <w:spacing w:line="500" w:lineRule="exact"/>
              <w:jc w:val="center"/>
              <w:rPr>
                <w:rFonts w:hint="eastAsia" w:ascii="宋体" w:hAnsi="宋体" w:cs="宋体"/>
                <w:color w:val="auto"/>
                <w:sz w:val="24"/>
                <w:highlight w:val="none"/>
              </w:rPr>
            </w:pPr>
          </w:p>
        </w:tc>
        <w:tc>
          <w:tcPr>
            <w:tcW w:w="8181" w:type="dxa"/>
            <w:vAlign w:val="center"/>
          </w:tcPr>
          <w:p w14:paraId="52CF79BB">
            <w:pPr>
              <w:snapToGrid w:val="0"/>
              <w:spacing w:line="500" w:lineRule="exact"/>
              <w:rPr>
                <w:rFonts w:hint="eastAsia" w:ascii="宋体" w:hAnsi="宋体" w:cs="宋体"/>
                <w:color w:val="auto"/>
                <w:sz w:val="24"/>
                <w:highlight w:val="none"/>
              </w:rPr>
            </w:pPr>
            <w:r>
              <w:rPr>
                <w:rFonts w:hint="eastAsia" w:ascii="宋体" w:hAnsi="宋体" w:cs="宋体"/>
                <w:color w:val="auto"/>
                <w:sz w:val="24"/>
                <w:highlight w:val="none"/>
              </w:rPr>
              <w:t>谈判的顺序：按“广西政府采购云平台”系统的编号顺序。</w:t>
            </w:r>
          </w:p>
          <w:p w14:paraId="7C7DD991">
            <w:pPr>
              <w:snapToGrid w:val="0"/>
              <w:spacing w:line="500" w:lineRule="exact"/>
              <w:rPr>
                <w:rFonts w:hint="eastAsia" w:ascii="宋体" w:hAnsi="宋体" w:cs="宋体"/>
                <w:b/>
                <w:color w:val="auto"/>
                <w:sz w:val="24"/>
                <w:highlight w:val="none"/>
              </w:rPr>
            </w:pPr>
            <w:r>
              <w:rPr>
                <w:rFonts w:hint="eastAsia" w:ascii="宋体" w:hAnsi="宋体" w:cs="宋体"/>
                <w:b/>
                <w:color w:val="auto"/>
                <w:sz w:val="24"/>
                <w:highlight w:val="none"/>
              </w:rPr>
              <w:t>符合谈判资格的供应商必须在接到谈判通知后规定时间内参加谈判，未在规定时间内参加谈判的视同放弃参加谈判权利，其响应文件按无效响应处理。</w:t>
            </w:r>
          </w:p>
          <w:p w14:paraId="03107954">
            <w:pPr>
              <w:snapToGrid w:val="0"/>
              <w:spacing w:line="500" w:lineRule="exact"/>
              <w:rPr>
                <w:rFonts w:hint="eastAsia" w:ascii="宋体" w:hAnsi="宋体" w:cs="宋体"/>
                <w:color w:val="auto"/>
                <w:sz w:val="24"/>
                <w:highlight w:val="none"/>
              </w:rPr>
            </w:pPr>
            <w:r>
              <w:rPr>
                <w:rFonts w:hint="eastAsia" w:ascii="宋体" w:hAnsi="宋体" w:cs="宋体"/>
                <w:b/>
                <w:color w:val="auto"/>
                <w:sz w:val="24"/>
                <w:highlight w:val="none"/>
              </w:rPr>
              <w:t>参与谈判前，供应商法定代表人或者委托代理人必须向谈判小组出示本人有效证件原件[有效证件可以是身份证（含临时身份证明）或者护照的其中一项。</w:t>
            </w:r>
          </w:p>
        </w:tc>
      </w:tr>
      <w:tr w14:paraId="0E4B2B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0" w:hRule="atLeast"/>
          <w:jc w:val="center"/>
        </w:trPr>
        <w:tc>
          <w:tcPr>
            <w:tcW w:w="991" w:type="dxa"/>
            <w:vMerge w:val="continue"/>
            <w:vAlign w:val="center"/>
          </w:tcPr>
          <w:p w14:paraId="0D28E031">
            <w:pPr>
              <w:spacing w:line="500" w:lineRule="exact"/>
              <w:jc w:val="center"/>
              <w:rPr>
                <w:rFonts w:hint="eastAsia" w:ascii="宋体" w:hAnsi="宋体" w:cs="宋体"/>
                <w:color w:val="auto"/>
                <w:sz w:val="24"/>
                <w:highlight w:val="none"/>
              </w:rPr>
            </w:pPr>
          </w:p>
        </w:tc>
        <w:tc>
          <w:tcPr>
            <w:tcW w:w="8181" w:type="dxa"/>
            <w:vAlign w:val="center"/>
          </w:tcPr>
          <w:p w14:paraId="22042AB6">
            <w:pPr>
              <w:spacing w:line="500" w:lineRule="exact"/>
              <w:contextualSpacing/>
              <w:rPr>
                <w:rFonts w:hint="eastAsia" w:ascii="宋体" w:hAnsi="宋体" w:cs="宋体"/>
                <w:color w:val="auto"/>
                <w:sz w:val="24"/>
                <w:highlight w:val="none"/>
              </w:rPr>
            </w:pPr>
            <w:r>
              <w:rPr>
                <w:rFonts w:hint="eastAsia" w:ascii="宋体" w:hAnsi="宋体" w:cs="宋体"/>
                <w:color w:val="auto"/>
                <w:sz w:val="24"/>
                <w:highlight w:val="none"/>
              </w:rPr>
              <w:t>评审价相同时，按照最后报价由低到高顺序依次推荐；最后报价相同的，按以下原则确定成交候选人的顺序：</w:t>
            </w:r>
          </w:p>
          <w:p w14:paraId="3BDB6106">
            <w:pPr>
              <w:spacing w:line="500" w:lineRule="exact"/>
              <w:contextualSpacing/>
              <w:rPr>
                <w:rFonts w:hint="eastAsia" w:ascii="宋体" w:hAnsi="宋体" w:cs="宋体"/>
                <w:color w:val="auto"/>
                <w:sz w:val="24"/>
                <w:highlight w:val="none"/>
              </w:rPr>
            </w:pPr>
            <w:r>
              <w:rPr>
                <w:rFonts w:ascii="Segoe UI Symbol" w:hAnsi="Segoe UI Symbol" w:cs="Segoe UI Symbol"/>
                <w:color w:val="auto"/>
                <w:sz w:val="24"/>
                <w:highlight w:val="none"/>
              </w:rPr>
              <w:t>☑</w:t>
            </w:r>
            <w:r>
              <w:rPr>
                <w:rFonts w:hint="eastAsia" w:ascii="宋体" w:hAnsi="宋体" w:cs="宋体"/>
                <w:color w:val="auto"/>
                <w:sz w:val="24"/>
                <w:highlight w:val="none"/>
              </w:rPr>
              <w:t>依次按带“▲”的实质性要求正偏离项数多的优先、均无正偏离或者正偏离项数一致时负偏离项数少的优先、质量保证期长优先、交货期短优先、故障响应时间短优先、节能环保产品累计金额多的优先的顺序排列。</w:t>
            </w:r>
          </w:p>
          <w:p w14:paraId="742D70BE">
            <w:pPr>
              <w:spacing w:line="500" w:lineRule="exact"/>
              <w:contextualSpacing/>
              <w:rPr>
                <w:color w:val="auto"/>
                <w:highlight w:val="none"/>
              </w:rPr>
            </w:pPr>
            <w:r>
              <w:rPr>
                <w:rFonts w:hint="eastAsia" w:ascii="Segoe UI Symbol" w:hAnsi="Segoe UI Symbol" w:cs="Segoe UI Symbol"/>
                <w:color w:val="auto"/>
                <w:sz w:val="24"/>
                <w:highlight w:val="none"/>
              </w:rPr>
              <w:t>□由谈判小组推荐代表随机抽取。</w:t>
            </w:r>
          </w:p>
        </w:tc>
      </w:tr>
      <w:tr w14:paraId="4F6B77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0" w:hRule="atLeast"/>
          <w:jc w:val="center"/>
        </w:trPr>
        <w:tc>
          <w:tcPr>
            <w:tcW w:w="991" w:type="dxa"/>
            <w:vAlign w:val="center"/>
          </w:tcPr>
          <w:p w14:paraId="74BE64B6">
            <w:pPr>
              <w:spacing w:line="500" w:lineRule="exact"/>
              <w:jc w:val="center"/>
              <w:rPr>
                <w:rFonts w:hint="eastAsia" w:ascii="宋体" w:hAnsi="宋体" w:cs="宋体"/>
                <w:color w:val="auto"/>
                <w:sz w:val="24"/>
                <w:highlight w:val="none"/>
              </w:rPr>
            </w:pPr>
            <w:r>
              <w:rPr>
                <w:rFonts w:hint="eastAsia" w:ascii="宋体" w:hAnsi="宋体" w:cs="宋体"/>
                <w:color w:val="auto"/>
                <w:sz w:val="24"/>
                <w:highlight w:val="none"/>
              </w:rPr>
              <w:t>28.1</w:t>
            </w:r>
          </w:p>
        </w:tc>
        <w:tc>
          <w:tcPr>
            <w:tcW w:w="8181" w:type="dxa"/>
            <w:vAlign w:val="center"/>
          </w:tcPr>
          <w:p w14:paraId="472A8AA9">
            <w:pPr>
              <w:autoSpaceDE w:val="0"/>
              <w:autoSpaceDN w:val="0"/>
              <w:snapToGrid w:val="0"/>
              <w:spacing w:line="500" w:lineRule="exact"/>
              <w:textAlignment w:val="bottom"/>
              <w:rPr>
                <w:rFonts w:hint="eastAsia" w:ascii="宋体" w:hAnsi="宋体" w:cs="宋体"/>
                <w:color w:val="auto"/>
                <w:sz w:val="24"/>
                <w:highlight w:val="none"/>
              </w:rPr>
            </w:pPr>
            <w:r>
              <w:rPr>
                <w:rFonts w:hint="eastAsia" w:ascii="宋体" w:hAnsi="宋体" w:cs="宋体"/>
                <w:color w:val="auto"/>
                <w:sz w:val="24"/>
                <w:highlight w:val="none"/>
              </w:rPr>
              <w:sym w:font="Wingdings" w:char="00A8"/>
            </w:r>
            <w:r>
              <w:rPr>
                <w:rFonts w:hint="eastAsia" w:ascii="宋体" w:hAnsi="宋体" w:cs="宋体"/>
                <w:color w:val="auto"/>
                <w:sz w:val="24"/>
                <w:highlight w:val="none"/>
              </w:rPr>
              <w:t>本项目不收取履约保证金。</w:t>
            </w:r>
          </w:p>
          <w:p w14:paraId="06041AB6">
            <w:pPr>
              <w:pStyle w:val="8"/>
              <w:spacing w:line="360" w:lineRule="auto"/>
              <w:rPr>
                <w:rFonts w:hint="eastAsia" w:ascii="宋体" w:hAnsi="宋体" w:cs="宋体"/>
                <w:color w:val="auto"/>
                <w:sz w:val="24"/>
                <w:highlight w:val="none"/>
              </w:rPr>
            </w:pPr>
            <w:r>
              <w:rPr>
                <w:rFonts w:hint="eastAsia" w:ascii="宋体" w:hAnsi="宋体" w:cs="宋体"/>
                <w:color w:val="auto"/>
                <w:sz w:val="24"/>
                <w:highlight w:val="none"/>
              </w:rPr>
              <w:sym w:font="Wingdings" w:char="00FE"/>
            </w:r>
            <w:r>
              <w:rPr>
                <w:rFonts w:hint="eastAsia" w:ascii="宋体" w:hAnsi="宋体" w:cs="宋体"/>
                <w:color w:val="auto"/>
                <w:sz w:val="24"/>
                <w:highlight w:val="none"/>
              </w:rPr>
              <w:t>本项目收取履约保证金：详见商务条款。</w:t>
            </w:r>
          </w:p>
          <w:p w14:paraId="6A0D69A3">
            <w:pPr>
              <w:autoSpaceDE w:val="0"/>
              <w:autoSpaceDN w:val="0"/>
              <w:snapToGrid w:val="0"/>
              <w:spacing w:line="360" w:lineRule="auto"/>
              <w:textAlignment w:val="bottom"/>
              <w:rPr>
                <w:rFonts w:hint="eastAsia" w:ascii="宋体" w:hAnsi="宋体" w:cs="宋体"/>
                <w:color w:val="auto"/>
                <w:sz w:val="24"/>
                <w:highlight w:val="none"/>
              </w:rPr>
            </w:pPr>
            <w:r>
              <w:rPr>
                <w:rFonts w:hint="eastAsia" w:ascii="宋体" w:hAnsi="宋体" w:cs="宋体"/>
                <w:color w:val="auto"/>
                <w:sz w:val="24"/>
                <w:highlight w:val="none"/>
              </w:rPr>
              <w:t>履约保证金递交方式：详见商务条款。</w:t>
            </w:r>
          </w:p>
          <w:p w14:paraId="463B7E58">
            <w:pPr>
              <w:autoSpaceDE w:val="0"/>
              <w:autoSpaceDN w:val="0"/>
              <w:snapToGrid w:val="0"/>
              <w:spacing w:line="360" w:lineRule="auto"/>
              <w:textAlignment w:val="bottom"/>
              <w:rPr>
                <w:rFonts w:hint="eastAsia" w:ascii="宋体" w:hAnsi="宋体" w:cs="宋体"/>
                <w:color w:val="auto"/>
                <w:sz w:val="24"/>
                <w:highlight w:val="none"/>
              </w:rPr>
            </w:pPr>
            <w:r>
              <w:rPr>
                <w:rFonts w:hint="eastAsia" w:ascii="宋体" w:hAnsi="宋体" w:cs="宋体"/>
                <w:color w:val="auto"/>
                <w:sz w:val="24"/>
                <w:highlight w:val="none"/>
              </w:rPr>
              <w:t>履约保证金退付方式、时间及条件详见商务条款。</w:t>
            </w:r>
          </w:p>
          <w:p w14:paraId="01CD9608">
            <w:pPr>
              <w:autoSpaceDE w:val="0"/>
              <w:autoSpaceDN w:val="0"/>
              <w:snapToGrid w:val="0"/>
              <w:spacing w:line="360" w:lineRule="auto"/>
              <w:textAlignment w:val="bottom"/>
              <w:rPr>
                <w:rFonts w:hint="eastAsia" w:ascii="楷体" w:hAnsi="楷体" w:eastAsia="楷体" w:cs="宋体"/>
                <w:b/>
                <w:color w:val="auto"/>
                <w:sz w:val="24"/>
                <w:highlight w:val="none"/>
              </w:rPr>
            </w:pPr>
            <w:r>
              <w:rPr>
                <w:rFonts w:hint="eastAsia" w:ascii="楷体" w:hAnsi="楷体" w:eastAsia="楷体" w:cs="宋体"/>
                <w:b/>
                <w:color w:val="auto"/>
                <w:sz w:val="24"/>
                <w:highlight w:val="none"/>
              </w:rPr>
              <w:t>【备注】</w:t>
            </w:r>
          </w:p>
          <w:p w14:paraId="5C160181">
            <w:pPr>
              <w:autoSpaceDE w:val="0"/>
              <w:autoSpaceDN w:val="0"/>
              <w:snapToGrid w:val="0"/>
              <w:spacing w:line="360" w:lineRule="auto"/>
              <w:textAlignment w:val="bottom"/>
              <w:rPr>
                <w:rFonts w:hint="eastAsia" w:ascii="楷体" w:hAnsi="楷体" w:eastAsia="楷体" w:cs="宋体"/>
                <w:b/>
                <w:color w:val="auto"/>
                <w:sz w:val="24"/>
                <w:highlight w:val="none"/>
              </w:rPr>
            </w:pPr>
            <w:r>
              <w:rPr>
                <w:rFonts w:ascii="楷体" w:hAnsi="楷体" w:eastAsia="楷体" w:cs="宋体"/>
                <w:b/>
                <w:color w:val="auto"/>
                <w:sz w:val="24"/>
                <w:highlight w:val="none"/>
              </w:rPr>
              <w:t>1.</w:t>
            </w:r>
            <w:r>
              <w:rPr>
                <w:rFonts w:hint="eastAsia" w:ascii="楷体" w:hAnsi="楷体" w:eastAsia="楷体" w:cs="宋体"/>
                <w:b/>
                <w:color w:val="auto"/>
                <w:sz w:val="24"/>
                <w:highlight w:val="none"/>
              </w:rPr>
              <w:t>根据《广西壮族自治区财政厅关于持续优化政府采购营商环境推动高质量发展的通知》（桂财采〔2024〕55号），采购文件要求中标人或者成交供应商提交履约保证金的，履约保证金数额不得超过政府采购合同金额的5%，对中小企业收取的履约保证金数额不得超过政府采购合同金额的2%。</w:t>
            </w:r>
          </w:p>
          <w:p w14:paraId="3A5DFC33">
            <w:pPr>
              <w:autoSpaceDE w:val="0"/>
              <w:autoSpaceDN w:val="0"/>
              <w:snapToGrid w:val="0"/>
              <w:spacing w:line="360" w:lineRule="auto"/>
              <w:textAlignment w:val="bottom"/>
              <w:rPr>
                <w:rFonts w:hint="eastAsia" w:ascii="楷体" w:hAnsi="楷体" w:eastAsia="楷体" w:cs="宋体"/>
                <w:b/>
                <w:color w:val="auto"/>
                <w:sz w:val="24"/>
                <w:highlight w:val="none"/>
              </w:rPr>
            </w:pPr>
            <w:r>
              <w:rPr>
                <w:rFonts w:hint="eastAsia" w:ascii="楷体" w:hAnsi="楷体" w:eastAsia="楷体" w:cs="宋体"/>
                <w:b/>
                <w:color w:val="auto"/>
                <w:sz w:val="24"/>
                <w:highlight w:val="none"/>
              </w:rPr>
              <w:t>2.履约保证金必须足额缴纳，或出具的保函额度必须足额且保函有效期不能低于合同履行期限（即签订采购合同之日起至履行完合同约定的权利及义务之日止），否则视为无效履约保证金。</w:t>
            </w:r>
          </w:p>
          <w:p w14:paraId="15430CA5">
            <w:pPr>
              <w:autoSpaceDE w:val="0"/>
              <w:autoSpaceDN w:val="0"/>
              <w:snapToGrid w:val="0"/>
              <w:spacing w:line="360" w:lineRule="auto"/>
              <w:textAlignment w:val="bottom"/>
              <w:rPr>
                <w:rFonts w:hint="eastAsia" w:ascii="楷体" w:hAnsi="楷体" w:eastAsia="楷体" w:cs="宋体"/>
                <w:b/>
                <w:color w:val="auto"/>
                <w:sz w:val="24"/>
                <w:highlight w:val="none"/>
              </w:rPr>
            </w:pPr>
            <w:r>
              <w:rPr>
                <w:rFonts w:hint="eastAsia" w:ascii="楷体" w:hAnsi="楷体" w:eastAsia="楷体" w:cs="宋体"/>
                <w:b/>
                <w:color w:val="auto"/>
                <w:sz w:val="24"/>
                <w:highlight w:val="none"/>
              </w:rPr>
              <w:t>3.采用保函的，必须为无条件保函，否则视为无效履约保证金。</w:t>
            </w:r>
          </w:p>
          <w:p w14:paraId="55D45FC9">
            <w:pPr>
              <w:autoSpaceDE w:val="0"/>
              <w:autoSpaceDN w:val="0"/>
              <w:snapToGrid w:val="0"/>
              <w:spacing w:line="360" w:lineRule="auto"/>
              <w:textAlignment w:val="bottom"/>
              <w:rPr>
                <w:rFonts w:hint="eastAsia" w:ascii="宋体" w:hAnsi="宋体" w:cs="宋体"/>
                <w:color w:val="auto"/>
                <w:sz w:val="24"/>
                <w:highlight w:val="none"/>
              </w:rPr>
            </w:pPr>
            <w:r>
              <w:rPr>
                <w:rFonts w:ascii="楷体" w:hAnsi="楷体" w:eastAsia="楷体" w:cs="宋体"/>
                <w:b/>
                <w:color w:val="auto"/>
                <w:sz w:val="24"/>
                <w:highlight w:val="none"/>
              </w:rPr>
              <w:t>4.供应商为联合体的，由联合体任意一方按规定提交的履约保证金，视为有效履约保证金。</w:t>
            </w:r>
          </w:p>
        </w:tc>
      </w:tr>
      <w:tr w14:paraId="773007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991" w:type="dxa"/>
            <w:vAlign w:val="center"/>
          </w:tcPr>
          <w:p w14:paraId="68D4C018">
            <w:pPr>
              <w:spacing w:line="500" w:lineRule="exact"/>
              <w:jc w:val="center"/>
              <w:rPr>
                <w:rFonts w:hint="eastAsia" w:ascii="宋体" w:hAnsi="宋体" w:cs="宋体"/>
                <w:color w:val="auto"/>
                <w:sz w:val="24"/>
                <w:highlight w:val="none"/>
              </w:rPr>
            </w:pPr>
            <w:r>
              <w:rPr>
                <w:rFonts w:hint="eastAsia" w:ascii="宋体" w:hAnsi="宋体" w:cs="宋体"/>
                <w:color w:val="auto"/>
                <w:sz w:val="24"/>
                <w:highlight w:val="none"/>
              </w:rPr>
              <w:t>29.1</w:t>
            </w:r>
          </w:p>
        </w:tc>
        <w:tc>
          <w:tcPr>
            <w:tcW w:w="8181" w:type="dxa"/>
            <w:vAlign w:val="center"/>
          </w:tcPr>
          <w:p w14:paraId="44DA3AF3">
            <w:pPr>
              <w:autoSpaceDE w:val="0"/>
              <w:autoSpaceDN w:val="0"/>
              <w:snapToGrid w:val="0"/>
              <w:spacing w:line="500" w:lineRule="exact"/>
              <w:textAlignment w:val="bottom"/>
              <w:rPr>
                <w:rFonts w:hint="eastAsia" w:ascii="宋体" w:hAnsi="宋体" w:cs="宋体"/>
                <w:color w:val="auto"/>
                <w:sz w:val="24"/>
                <w:highlight w:val="none"/>
              </w:rPr>
            </w:pPr>
            <w:r>
              <w:rPr>
                <w:rFonts w:hint="eastAsia" w:ascii="宋体" w:hAnsi="宋体" w:cs="宋体"/>
                <w:color w:val="auto"/>
                <w:sz w:val="24"/>
                <w:highlight w:val="none"/>
              </w:rPr>
              <w:t xml:space="preserve">签订合同携带的证明材料： </w:t>
            </w:r>
          </w:p>
          <w:p w14:paraId="03145B24">
            <w:pPr>
              <w:autoSpaceDE w:val="0"/>
              <w:autoSpaceDN w:val="0"/>
              <w:snapToGrid w:val="0"/>
              <w:spacing w:line="500" w:lineRule="exact"/>
              <w:textAlignment w:val="bottom"/>
              <w:rPr>
                <w:rFonts w:hint="eastAsia"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bCs/>
                <w:color w:val="auto"/>
                <w:sz w:val="24"/>
                <w:highlight w:val="none"/>
              </w:rPr>
              <w:t>.</w:t>
            </w:r>
            <w:r>
              <w:rPr>
                <w:rFonts w:hint="eastAsia" w:ascii="宋体" w:hAnsi="宋体" w:cs="宋体"/>
                <w:color w:val="auto"/>
                <w:sz w:val="24"/>
                <w:highlight w:val="none"/>
              </w:rPr>
              <w:t>委托代理人负责签订合同的，须携带授权委托书及委托代理人身份证原件等其他资格证件。</w:t>
            </w:r>
          </w:p>
          <w:p w14:paraId="3EF925E8">
            <w:pPr>
              <w:snapToGrid w:val="0"/>
              <w:spacing w:line="500" w:lineRule="exact"/>
              <w:rPr>
                <w:rFonts w:hint="eastAsia"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bCs/>
                <w:color w:val="auto"/>
                <w:sz w:val="24"/>
                <w:highlight w:val="none"/>
              </w:rPr>
              <w:t>.</w:t>
            </w:r>
            <w:r>
              <w:rPr>
                <w:rFonts w:hint="eastAsia" w:ascii="宋体" w:hAnsi="宋体" w:cs="宋体"/>
                <w:color w:val="auto"/>
                <w:sz w:val="24"/>
                <w:highlight w:val="none"/>
              </w:rPr>
              <w:t>法定代表人负责签订合同的，须携带法定代表人身份证明原件及身份证原件等其他证明材料。</w:t>
            </w:r>
          </w:p>
        </w:tc>
      </w:tr>
      <w:tr w14:paraId="357414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8" w:hRule="atLeast"/>
          <w:jc w:val="center"/>
        </w:trPr>
        <w:tc>
          <w:tcPr>
            <w:tcW w:w="991" w:type="dxa"/>
            <w:vAlign w:val="center"/>
          </w:tcPr>
          <w:p w14:paraId="088D6EC7">
            <w:pPr>
              <w:spacing w:line="500" w:lineRule="exact"/>
              <w:jc w:val="center"/>
              <w:rPr>
                <w:rFonts w:hint="eastAsia" w:ascii="宋体" w:hAnsi="宋体" w:cs="宋体"/>
                <w:color w:val="auto"/>
                <w:sz w:val="24"/>
                <w:highlight w:val="none"/>
              </w:rPr>
            </w:pPr>
            <w:r>
              <w:rPr>
                <w:rFonts w:hint="eastAsia" w:ascii="宋体" w:hAnsi="宋体" w:cs="宋体"/>
                <w:color w:val="auto"/>
                <w:sz w:val="24"/>
                <w:highlight w:val="none"/>
              </w:rPr>
              <w:t>31.2</w:t>
            </w:r>
          </w:p>
        </w:tc>
        <w:tc>
          <w:tcPr>
            <w:tcW w:w="8181" w:type="dxa"/>
            <w:vAlign w:val="center"/>
          </w:tcPr>
          <w:p w14:paraId="34DF855C">
            <w:pPr>
              <w:snapToGrid w:val="0"/>
              <w:spacing w:line="500" w:lineRule="exact"/>
              <w:rPr>
                <w:rFonts w:hint="eastAsia" w:ascii="宋体" w:hAnsi="宋体" w:cs="宋体"/>
                <w:color w:val="auto"/>
                <w:sz w:val="24"/>
                <w:highlight w:val="none"/>
              </w:rPr>
            </w:pPr>
            <w:r>
              <w:rPr>
                <w:rFonts w:hint="eastAsia" w:ascii="宋体" w:hAnsi="宋体" w:cs="宋体"/>
                <w:color w:val="auto"/>
                <w:sz w:val="24"/>
                <w:highlight w:val="none"/>
              </w:rPr>
              <w:t>接收质疑函方式：以纸质书面形式。</w:t>
            </w:r>
          </w:p>
          <w:p w14:paraId="7E0BF5AE">
            <w:pPr>
              <w:pStyle w:val="14"/>
              <w:snapToGrid w:val="0"/>
              <w:spacing w:line="500" w:lineRule="exact"/>
              <w:rPr>
                <w:rFonts w:hint="eastAsia" w:hAnsi="宋体" w:cs="宋体"/>
                <w:color w:val="auto"/>
                <w:sz w:val="24"/>
                <w:szCs w:val="24"/>
                <w:highlight w:val="none"/>
              </w:rPr>
            </w:pPr>
            <w:r>
              <w:rPr>
                <w:rFonts w:hint="eastAsia" w:hAnsi="宋体" w:cs="宋体"/>
                <w:color w:val="auto"/>
                <w:kern w:val="2"/>
                <w:sz w:val="24"/>
                <w:szCs w:val="24"/>
                <w:highlight w:val="none"/>
              </w:rPr>
              <w:t>质疑联系部门及联系方式：</w:t>
            </w:r>
            <w:r>
              <w:rPr>
                <w:rFonts w:hint="eastAsia" w:hAnsi="宋体" w:cs="宋体"/>
                <w:color w:val="auto"/>
                <w:sz w:val="24"/>
                <w:highlight w:val="none"/>
              </w:rPr>
              <w:t>广西冠宁工程咨询有限公司</w:t>
            </w:r>
            <w:r>
              <w:rPr>
                <w:rFonts w:hAnsi="宋体" w:cs="宋体"/>
                <w:color w:val="auto"/>
                <w:kern w:val="2"/>
                <w:sz w:val="24"/>
                <w:szCs w:val="24"/>
                <w:highlight w:val="none"/>
              </w:rPr>
              <w:t xml:space="preserve"> </w:t>
            </w:r>
            <w:r>
              <w:rPr>
                <w:rFonts w:hint="eastAsia" w:hAnsi="宋体" w:cs="宋体"/>
                <w:color w:val="auto"/>
                <w:sz w:val="24"/>
                <w:szCs w:val="24"/>
                <w:highlight w:val="none"/>
              </w:rPr>
              <w:t>，</w:t>
            </w:r>
          </w:p>
          <w:p w14:paraId="2BDD1D8E">
            <w:pPr>
              <w:pStyle w:val="14"/>
              <w:snapToGrid w:val="0"/>
              <w:spacing w:line="500" w:lineRule="exact"/>
              <w:rPr>
                <w:rFonts w:hint="eastAsia" w:hAnsi="宋体" w:cs="宋体"/>
                <w:color w:val="auto"/>
                <w:sz w:val="24"/>
                <w:szCs w:val="24"/>
                <w:highlight w:val="none"/>
              </w:rPr>
            </w:pPr>
            <w:r>
              <w:rPr>
                <w:rFonts w:hint="eastAsia" w:hAnsi="宋体" w:cs="宋体"/>
                <w:color w:val="auto"/>
                <w:sz w:val="24"/>
                <w:szCs w:val="24"/>
                <w:highlight w:val="none"/>
              </w:rPr>
              <w:t>质疑联系人：</w:t>
            </w:r>
            <w:r>
              <w:rPr>
                <w:rFonts w:hint="eastAsia" w:hAnsi="宋体" w:cs="宋体"/>
                <w:color w:val="auto"/>
                <w:sz w:val="24"/>
                <w:highlight w:val="none"/>
              </w:rPr>
              <w:t>杨启运</w:t>
            </w:r>
            <w:r>
              <w:rPr>
                <w:rFonts w:hint="eastAsia" w:hAnsi="宋体" w:cs="宋体"/>
                <w:color w:val="auto"/>
                <w:sz w:val="24"/>
                <w:szCs w:val="24"/>
                <w:highlight w:val="none"/>
              </w:rPr>
              <w:t xml:space="preserve"> ；联系电话：</w:t>
            </w:r>
            <w:r>
              <w:rPr>
                <w:rFonts w:hint="eastAsia" w:hAnsi="宋体" w:cs="宋体"/>
                <w:color w:val="auto"/>
                <w:sz w:val="24"/>
                <w:highlight w:val="none"/>
              </w:rPr>
              <w:t>0771-5725583</w:t>
            </w:r>
          </w:p>
          <w:p w14:paraId="5CC3A87A">
            <w:pPr>
              <w:pStyle w:val="14"/>
              <w:snapToGrid w:val="0"/>
              <w:spacing w:line="500" w:lineRule="exact"/>
              <w:rPr>
                <w:rFonts w:hint="eastAsia" w:hAnsi="宋体" w:cs="宋体"/>
                <w:color w:val="auto"/>
                <w:sz w:val="24"/>
                <w:szCs w:val="24"/>
                <w:highlight w:val="none"/>
              </w:rPr>
            </w:pPr>
            <w:r>
              <w:rPr>
                <w:rFonts w:hint="eastAsia" w:hAnsi="宋体" w:cs="宋体"/>
                <w:color w:val="auto"/>
                <w:sz w:val="24"/>
                <w:szCs w:val="24"/>
                <w:highlight w:val="none"/>
              </w:rPr>
              <w:t>通讯地址：</w:t>
            </w:r>
            <w:r>
              <w:rPr>
                <w:rFonts w:hint="eastAsia" w:hAnsi="宋体" w:cs="宋体"/>
                <w:color w:val="auto"/>
                <w:sz w:val="24"/>
                <w:highlight w:val="none"/>
              </w:rPr>
              <w:t>南宁市青秀区茶花园路6-1号南湖翠苑0431A、0431B、0431C室</w:t>
            </w:r>
            <w:r>
              <w:rPr>
                <w:rFonts w:hAnsi="宋体" w:cs="宋体"/>
                <w:color w:val="auto"/>
                <w:sz w:val="24"/>
                <w:szCs w:val="24"/>
                <w:highlight w:val="none"/>
              </w:rPr>
              <w:t xml:space="preserve"> </w:t>
            </w:r>
          </w:p>
          <w:p w14:paraId="59232CA1">
            <w:pPr>
              <w:pStyle w:val="14"/>
              <w:snapToGrid w:val="0"/>
              <w:spacing w:line="500" w:lineRule="exact"/>
              <w:rPr>
                <w:rFonts w:hint="eastAsia" w:hAnsi="宋体" w:cs="宋体"/>
                <w:color w:val="auto"/>
                <w:kern w:val="2"/>
                <w:sz w:val="24"/>
                <w:szCs w:val="24"/>
                <w:highlight w:val="none"/>
              </w:rPr>
            </w:pPr>
            <w:r>
              <w:rPr>
                <w:rFonts w:hint="eastAsia" w:hAnsi="宋体" w:cs="宋体"/>
                <w:color w:val="auto"/>
                <w:sz w:val="24"/>
                <w:szCs w:val="24"/>
                <w:highlight w:val="none"/>
              </w:rPr>
              <w:t>业务时间： 工作日（上午8:00-12:00；下午15:00-18:00）。</w:t>
            </w:r>
          </w:p>
        </w:tc>
      </w:tr>
      <w:tr w14:paraId="320AF9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6" w:hRule="atLeast"/>
          <w:jc w:val="center"/>
        </w:trPr>
        <w:tc>
          <w:tcPr>
            <w:tcW w:w="991" w:type="dxa"/>
            <w:vAlign w:val="center"/>
          </w:tcPr>
          <w:p w14:paraId="413B9275">
            <w:pPr>
              <w:spacing w:line="500" w:lineRule="exact"/>
              <w:jc w:val="center"/>
              <w:rPr>
                <w:rFonts w:hint="eastAsia" w:ascii="宋体" w:hAnsi="宋体" w:cs="宋体"/>
                <w:color w:val="auto"/>
                <w:sz w:val="24"/>
                <w:highlight w:val="none"/>
              </w:rPr>
            </w:pPr>
            <w:r>
              <w:rPr>
                <w:rFonts w:hint="eastAsia" w:ascii="宋体" w:hAnsi="宋体" w:cs="宋体"/>
                <w:color w:val="auto"/>
                <w:sz w:val="24"/>
                <w:highlight w:val="none"/>
              </w:rPr>
              <w:t>32.1</w:t>
            </w:r>
          </w:p>
        </w:tc>
        <w:tc>
          <w:tcPr>
            <w:tcW w:w="8181" w:type="dxa"/>
            <w:vAlign w:val="center"/>
          </w:tcPr>
          <w:p w14:paraId="256E6D18">
            <w:pPr>
              <w:pStyle w:val="14"/>
              <w:snapToGrid w:val="0"/>
              <w:spacing w:line="500" w:lineRule="exact"/>
              <w:rPr>
                <w:rFonts w:hint="eastAsia" w:hAnsi="宋体" w:cs="宋体"/>
                <w:color w:val="auto"/>
                <w:sz w:val="24"/>
                <w:szCs w:val="24"/>
                <w:highlight w:val="none"/>
              </w:rPr>
            </w:pPr>
            <w:r>
              <w:rPr>
                <w:rFonts w:hint="eastAsia" w:hAnsi="宋体" w:cs="宋体"/>
                <w:color w:val="auto"/>
                <w:sz w:val="24"/>
                <w:szCs w:val="24"/>
                <w:highlight w:val="none"/>
              </w:rPr>
              <w:t>1.采购代理服务费支付方式：本项目的采购代理服务费按以下收费标准向成交供应商收取。领取成交通知书前，成交供应商应向采购代理机构一次付清采购代理服务费，否则采购代理机构有权不予以办理。</w:t>
            </w:r>
          </w:p>
          <w:p w14:paraId="1BECB8E0">
            <w:pPr>
              <w:pStyle w:val="14"/>
              <w:snapToGrid w:val="0"/>
              <w:spacing w:line="500" w:lineRule="exact"/>
              <w:rPr>
                <w:rFonts w:hint="eastAsia" w:hAnsi="宋体" w:cs="宋体"/>
                <w:color w:val="auto"/>
                <w:sz w:val="24"/>
                <w:szCs w:val="24"/>
                <w:highlight w:val="none"/>
              </w:rPr>
            </w:pPr>
            <w:r>
              <w:rPr>
                <w:rFonts w:hint="eastAsia" w:hAnsi="宋体" w:cs="宋体"/>
                <w:color w:val="auto"/>
                <w:sz w:val="24"/>
                <w:szCs w:val="24"/>
                <w:highlight w:val="none"/>
              </w:rPr>
              <w:t>2</w:t>
            </w:r>
            <w:r>
              <w:rPr>
                <w:rFonts w:hint="eastAsia" w:hAnsi="宋体" w:cs="宋体"/>
                <w:bCs/>
                <w:color w:val="auto"/>
                <w:sz w:val="24"/>
                <w:szCs w:val="24"/>
                <w:highlight w:val="none"/>
              </w:rPr>
              <w:t>.</w:t>
            </w:r>
            <w:r>
              <w:rPr>
                <w:rFonts w:hint="eastAsia" w:hAnsi="宋体" w:cs="宋体"/>
                <w:color w:val="auto"/>
                <w:sz w:val="24"/>
                <w:szCs w:val="24"/>
                <w:highlight w:val="none"/>
              </w:rPr>
              <w:t>采购代理服务费收取标准：以分标成交金额为计费额，按本采购文件之供应商须知正文第32.2条规定的收费计算标准（货物类）采用差额定率累进法计算出收费基准价格，采购代理服务费收费以收费基准价格收取。</w:t>
            </w:r>
          </w:p>
          <w:p w14:paraId="637D3B58">
            <w:pPr>
              <w:pStyle w:val="14"/>
              <w:snapToGrid w:val="0"/>
              <w:spacing w:line="500" w:lineRule="exact"/>
              <w:rPr>
                <w:rFonts w:hint="eastAsia" w:hAnsi="宋体" w:cs="宋体"/>
                <w:b/>
                <w:bCs/>
                <w:color w:val="auto"/>
                <w:sz w:val="24"/>
                <w:szCs w:val="24"/>
                <w:highlight w:val="none"/>
              </w:rPr>
            </w:pPr>
            <w:r>
              <w:rPr>
                <w:rFonts w:hint="eastAsia" w:hAnsi="宋体" w:cs="宋体"/>
                <w:b/>
                <w:bCs/>
                <w:color w:val="auto"/>
                <w:sz w:val="24"/>
                <w:szCs w:val="24"/>
                <w:highlight w:val="none"/>
              </w:rPr>
              <w:t>3</w:t>
            </w:r>
            <w:r>
              <w:rPr>
                <w:rFonts w:hint="eastAsia" w:hAnsi="宋体" w:cs="宋体"/>
                <w:bCs/>
                <w:color w:val="auto"/>
                <w:sz w:val="24"/>
                <w:szCs w:val="24"/>
                <w:highlight w:val="none"/>
              </w:rPr>
              <w:t>.</w:t>
            </w:r>
            <w:r>
              <w:rPr>
                <w:rFonts w:hint="eastAsia" w:hAnsi="宋体" w:cs="宋体"/>
                <w:b/>
                <w:bCs/>
                <w:color w:val="auto"/>
                <w:sz w:val="24"/>
                <w:szCs w:val="24"/>
                <w:highlight w:val="none"/>
              </w:rPr>
              <w:t>采购代理服务费专用银行信息：</w:t>
            </w:r>
          </w:p>
          <w:p w14:paraId="681B2C7B">
            <w:pPr>
              <w:pStyle w:val="14"/>
              <w:snapToGrid w:val="0"/>
              <w:spacing w:line="500" w:lineRule="exact"/>
              <w:rPr>
                <w:rFonts w:hint="eastAsia" w:hAnsi="宋体" w:cs="宋体"/>
                <w:b/>
                <w:bCs/>
                <w:color w:val="auto"/>
                <w:sz w:val="24"/>
                <w:szCs w:val="24"/>
                <w:highlight w:val="none"/>
              </w:rPr>
            </w:pPr>
            <w:r>
              <w:rPr>
                <w:rFonts w:hint="eastAsia" w:hAnsi="宋体" w:cs="宋体"/>
                <w:b/>
                <w:bCs/>
                <w:color w:val="auto"/>
                <w:sz w:val="24"/>
                <w:szCs w:val="24"/>
                <w:highlight w:val="none"/>
              </w:rPr>
              <w:t>开户名称：广西冠宁工程咨询有限公司</w:t>
            </w:r>
          </w:p>
          <w:p w14:paraId="21923FB5">
            <w:pPr>
              <w:pStyle w:val="14"/>
              <w:snapToGrid w:val="0"/>
              <w:spacing w:line="500" w:lineRule="exact"/>
              <w:rPr>
                <w:rFonts w:hint="eastAsia" w:hAnsi="宋体" w:cs="宋体"/>
                <w:b/>
                <w:bCs/>
                <w:color w:val="auto"/>
                <w:sz w:val="24"/>
                <w:szCs w:val="24"/>
                <w:highlight w:val="none"/>
              </w:rPr>
            </w:pPr>
            <w:r>
              <w:rPr>
                <w:rFonts w:hint="eastAsia" w:hAnsi="宋体" w:cs="宋体"/>
                <w:b/>
                <w:bCs/>
                <w:color w:val="auto"/>
                <w:sz w:val="24"/>
                <w:szCs w:val="24"/>
                <w:highlight w:val="none"/>
              </w:rPr>
              <w:t>开户银行：中国建设银行南宁茶花园路支行</w:t>
            </w:r>
          </w:p>
          <w:p w14:paraId="5E123FA2">
            <w:pPr>
              <w:pStyle w:val="14"/>
              <w:snapToGrid w:val="0"/>
              <w:spacing w:line="500" w:lineRule="exact"/>
              <w:rPr>
                <w:rFonts w:hint="eastAsia" w:hAnsi="宋体" w:cs="宋体"/>
                <w:color w:val="auto"/>
                <w:sz w:val="24"/>
                <w:szCs w:val="24"/>
                <w:highlight w:val="none"/>
                <w:u w:val="single"/>
              </w:rPr>
            </w:pPr>
            <w:r>
              <w:rPr>
                <w:rFonts w:hint="eastAsia" w:hAnsi="宋体" w:cs="宋体"/>
                <w:b/>
                <w:bCs/>
                <w:color w:val="auto"/>
                <w:sz w:val="24"/>
                <w:szCs w:val="24"/>
                <w:highlight w:val="none"/>
              </w:rPr>
              <w:t>银行账号：4505 0160 4782 0000 0330</w:t>
            </w:r>
          </w:p>
        </w:tc>
      </w:tr>
      <w:tr w14:paraId="4F530D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02" w:hRule="atLeast"/>
          <w:jc w:val="center"/>
        </w:trPr>
        <w:tc>
          <w:tcPr>
            <w:tcW w:w="991" w:type="dxa"/>
            <w:vAlign w:val="center"/>
          </w:tcPr>
          <w:p w14:paraId="6A23019D">
            <w:pPr>
              <w:spacing w:line="500" w:lineRule="exact"/>
              <w:jc w:val="center"/>
              <w:rPr>
                <w:rFonts w:hint="eastAsia" w:ascii="宋体" w:hAnsi="宋体" w:cs="宋体"/>
                <w:color w:val="auto"/>
                <w:sz w:val="24"/>
                <w:highlight w:val="none"/>
              </w:rPr>
            </w:pPr>
            <w:r>
              <w:rPr>
                <w:rFonts w:hint="eastAsia" w:ascii="宋体" w:hAnsi="宋体" w:cs="宋体"/>
                <w:color w:val="auto"/>
                <w:sz w:val="24"/>
                <w:highlight w:val="none"/>
              </w:rPr>
              <w:t>33.1</w:t>
            </w:r>
          </w:p>
        </w:tc>
        <w:tc>
          <w:tcPr>
            <w:tcW w:w="8181" w:type="dxa"/>
            <w:vAlign w:val="center"/>
          </w:tcPr>
          <w:p w14:paraId="5C01E24A">
            <w:pPr>
              <w:pStyle w:val="14"/>
              <w:snapToGrid w:val="0"/>
              <w:spacing w:line="500" w:lineRule="exact"/>
              <w:rPr>
                <w:rFonts w:hint="eastAsia" w:hAnsi="宋体" w:cs="宋体"/>
                <w:color w:val="auto"/>
                <w:sz w:val="24"/>
                <w:szCs w:val="24"/>
                <w:highlight w:val="none"/>
              </w:rPr>
            </w:pPr>
            <w:r>
              <w:rPr>
                <w:rFonts w:hint="eastAsia" w:hAnsi="宋体" w:cs="宋体"/>
                <w:color w:val="auto"/>
                <w:sz w:val="24"/>
                <w:szCs w:val="24"/>
                <w:highlight w:val="none"/>
              </w:rPr>
              <w:t>解释：构成本谈判文件的各个组成文件应互为解释，互为说明；除谈判文件中有特别规定外，仅适用于竞争性谈判阶段的规定，按更正公告（澄清公告）、竞争性谈判公告、供应商须知、采购需求、评审程序和评定成交的标准、响应文件格式、合同文本的先后顺序解释；同一组成文件中就同一事项的规定或约定不一致的，以编排顺序在后者为准；同一组成文件不同版本之间有不一致的，以形成时间在后者为准；更正公告（澄清公告）与同步更新的谈判文件不一致时以更正公告（澄清公告）为准。按本款前述规定仍不能形成结论的，由采购人或者采购代理机构负责解释。</w:t>
            </w:r>
          </w:p>
        </w:tc>
      </w:tr>
      <w:tr w14:paraId="269470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5" w:hRule="atLeast"/>
          <w:jc w:val="center"/>
        </w:trPr>
        <w:tc>
          <w:tcPr>
            <w:tcW w:w="991" w:type="dxa"/>
            <w:vAlign w:val="center"/>
          </w:tcPr>
          <w:p w14:paraId="402E089D">
            <w:pPr>
              <w:spacing w:line="500" w:lineRule="exact"/>
              <w:jc w:val="center"/>
              <w:rPr>
                <w:rFonts w:hint="eastAsia" w:ascii="宋体" w:hAnsi="宋体" w:cs="宋体"/>
                <w:color w:val="auto"/>
                <w:sz w:val="24"/>
                <w:highlight w:val="none"/>
              </w:rPr>
            </w:pPr>
            <w:r>
              <w:rPr>
                <w:rFonts w:hint="eastAsia" w:ascii="宋体" w:hAnsi="宋体" w:cs="宋体"/>
                <w:color w:val="auto"/>
                <w:sz w:val="24"/>
                <w:highlight w:val="none"/>
              </w:rPr>
              <w:t>33.2</w:t>
            </w:r>
          </w:p>
        </w:tc>
        <w:tc>
          <w:tcPr>
            <w:tcW w:w="8181" w:type="dxa"/>
            <w:vAlign w:val="center"/>
          </w:tcPr>
          <w:p w14:paraId="410D3385">
            <w:pPr>
              <w:pStyle w:val="14"/>
              <w:snapToGrid w:val="0"/>
              <w:spacing w:line="500" w:lineRule="exact"/>
              <w:rPr>
                <w:rFonts w:hint="eastAsia" w:hAnsi="宋体" w:cs="宋体"/>
                <w:color w:val="auto"/>
                <w:sz w:val="24"/>
                <w:szCs w:val="24"/>
                <w:highlight w:val="none"/>
              </w:rPr>
            </w:pPr>
            <w:r>
              <w:rPr>
                <w:rFonts w:hint="eastAsia" w:hAnsi="宋体" w:cs="宋体"/>
                <w:color w:val="auto"/>
                <w:sz w:val="24"/>
                <w:szCs w:val="24"/>
                <w:highlight w:val="none"/>
              </w:rPr>
              <w:t>1.本谈判文件中描述供应商的“公章”是指根据我国对公章的管理规定，用供应商法定主体名称制作的印章或供应商通过指定电子化政府采购平台办理数字证书（CA认证）获得的以法定主体名称制作的电子印章。除本谈判文件有特殊规定外，供应商的财务章、部门章、分公司章、工会章、合同章、竞争性谈判专用章、业务专用章及银行的转账章、现金收讫章、现金付讫章等其他形式印章均不能代替公章。</w:t>
            </w:r>
          </w:p>
          <w:p w14:paraId="327E4FE8">
            <w:pPr>
              <w:pStyle w:val="14"/>
              <w:snapToGrid w:val="0"/>
              <w:spacing w:line="500" w:lineRule="exact"/>
              <w:rPr>
                <w:rFonts w:hint="eastAsia" w:hAnsi="宋体" w:cs="宋体"/>
                <w:color w:val="auto"/>
                <w:sz w:val="24"/>
                <w:szCs w:val="24"/>
                <w:highlight w:val="none"/>
              </w:rPr>
            </w:pPr>
            <w:r>
              <w:rPr>
                <w:rFonts w:hint="eastAsia" w:hAnsi="宋体" w:cs="宋体"/>
                <w:color w:val="auto"/>
                <w:sz w:val="24"/>
                <w:szCs w:val="24"/>
                <w:highlight w:val="none"/>
              </w:rPr>
              <w:t>2.供应商为其他组织或者自然人时，本谈判文件规定的法定代表人指负责人或者自然人。本谈判文件所称负责人是指参加竞争性谈判的其他组织</w:t>
            </w:r>
            <w:r>
              <w:rPr>
                <w:rFonts w:hint="eastAsia" w:hAnsi="宋体" w:cs="宋体"/>
                <w:bCs/>
                <w:color w:val="auto"/>
                <w:sz w:val="24"/>
                <w:szCs w:val="24"/>
                <w:highlight w:val="none"/>
              </w:rPr>
              <w:t>营业执照或者执业许可证等证照上</w:t>
            </w:r>
            <w:r>
              <w:rPr>
                <w:rFonts w:hint="eastAsia" w:hAnsi="宋体" w:cs="宋体"/>
                <w:color w:val="auto"/>
                <w:sz w:val="24"/>
                <w:szCs w:val="24"/>
                <w:highlight w:val="none"/>
              </w:rPr>
              <w:t>的负责人，本谈判文件所称自然人指参与竞争性谈判的自然人本人，</w:t>
            </w:r>
            <w:r>
              <w:rPr>
                <w:rFonts w:hint="eastAsia" w:hAnsi="宋体" w:cs="宋体"/>
                <w:bCs/>
                <w:color w:val="auto"/>
                <w:sz w:val="24"/>
                <w:szCs w:val="24"/>
                <w:highlight w:val="none"/>
              </w:rPr>
              <w:t>且应具备独立承担民事责任能力，自然人应当为年满18岁以上成年人（十六周岁以上的未成年人，以自己的劳动收入为主要生活来源的，视为完全民事行为能力人）。</w:t>
            </w:r>
          </w:p>
          <w:p w14:paraId="32CC41E9">
            <w:pPr>
              <w:pStyle w:val="14"/>
              <w:snapToGrid w:val="0"/>
              <w:spacing w:line="500" w:lineRule="exact"/>
              <w:rPr>
                <w:rFonts w:hint="eastAsia" w:hAnsi="宋体" w:cs="宋体"/>
                <w:color w:val="auto"/>
                <w:sz w:val="24"/>
                <w:szCs w:val="24"/>
                <w:highlight w:val="none"/>
              </w:rPr>
            </w:pPr>
            <w:r>
              <w:rPr>
                <w:rFonts w:hint="eastAsia" w:hAnsi="宋体" w:cs="宋体"/>
                <w:color w:val="auto"/>
                <w:sz w:val="24"/>
                <w:szCs w:val="24"/>
                <w:highlight w:val="none"/>
              </w:rPr>
              <w:t>3.本谈判文件中描述供应商的“签字”是指供应商的法定代表人或者委托代理人在文件规定签署处签名或者指供应商通过指定电子化政府采购平台办理数字证书（CA认证）获得的以供应商法定代表人或者委托代理人姓名制作的电子印章签名的行为，私章、印鉴等其他形式均不能代替签字。</w:t>
            </w:r>
          </w:p>
          <w:p w14:paraId="3E18B422">
            <w:pPr>
              <w:pStyle w:val="14"/>
              <w:snapToGrid w:val="0"/>
              <w:spacing w:line="500" w:lineRule="exact"/>
              <w:rPr>
                <w:rFonts w:hint="eastAsia" w:hAnsi="宋体" w:cs="宋体"/>
                <w:color w:val="auto"/>
                <w:sz w:val="24"/>
                <w:szCs w:val="24"/>
                <w:highlight w:val="none"/>
              </w:rPr>
            </w:pPr>
            <w:r>
              <w:rPr>
                <w:rFonts w:hAnsi="宋体" w:cs="宋体"/>
                <w:color w:val="auto"/>
                <w:sz w:val="24"/>
                <w:szCs w:val="24"/>
                <w:highlight w:val="none"/>
              </w:rPr>
              <w:t>4</w:t>
            </w:r>
            <w:r>
              <w:rPr>
                <w:rFonts w:hint="eastAsia" w:hAnsi="宋体" w:cs="宋体"/>
                <w:color w:val="auto"/>
                <w:sz w:val="24"/>
                <w:szCs w:val="24"/>
                <w:highlight w:val="none"/>
              </w:rPr>
              <w:t>.本谈判文件所称的“电子签章”“电子签名”，是指经广西政府采购云平台认可的CA认证的电子签名数据为表现形式的印章，可用于签署电子响应文件，电子印章与实物印章具有同等法律效力，不因其采用电子化表现形式而否定其法律效力。</w:t>
            </w:r>
          </w:p>
          <w:p w14:paraId="61095E2F">
            <w:pPr>
              <w:pStyle w:val="14"/>
              <w:snapToGrid w:val="0"/>
              <w:spacing w:line="500" w:lineRule="exact"/>
              <w:rPr>
                <w:rFonts w:hint="eastAsia" w:hAnsi="宋体" w:cs="宋体"/>
                <w:color w:val="auto"/>
                <w:sz w:val="24"/>
                <w:szCs w:val="24"/>
                <w:highlight w:val="none"/>
              </w:rPr>
            </w:pPr>
            <w:r>
              <w:rPr>
                <w:rFonts w:hAnsi="宋体" w:cs="宋体"/>
                <w:color w:val="auto"/>
                <w:sz w:val="24"/>
                <w:szCs w:val="24"/>
                <w:highlight w:val="none"/>
              </w:rPr>
              <w:t>5</w:t>
            </w:r>
            <w:r>
              <w:rPr>
                <w:rFonts w:hint="eastAsia" w:hAnsi="宋体" w:cs="宋体"/>
                <w:color w:val="auto"/>
                <w:sz w:val="24"/>
                <w:szCs w:val="24"/>
                <w:highlight w:val="none"/>
              </w:rPr>
              <w:t>.自然人参与竞争性谈判的，谈判文件规定盖章的地方自然人可以加盖手指指印。</w:t>
            </w:r>
          </w:p>
          <w:p w14:paraId="3F6F2969">
            <w:pPr>
              <w:pStyle w:val="14"/>
              <w:snapToGrid w:val="0"/>
              <w:spacing w:line="500" w:lineRule="exact"/>
              <w:rPr>
                <w:rFonts w:hint="eastAsia" w:hAnsi="宋体" w:cs="宋体"/>
                <w:color w:val="auto"/>
                <w:sz w:val="24"/>
                <w:szCs w:val="24"/>
                <w:highlight w:val="none"/>
              </w:rPr>
            </w:pPr>
            <w:r>
              <w:rPr>
                <w:rFonts w:hAnsi="宋体" w:cs="宋体"/>
                <w:color w:val="auto"/>
                <w:sz w:val="24"/>
                <w:szCs w:val="24"/>
                <w:highlight w:val="none"/>
              </w:rPr>
              <w:t>6</w:t>
            </w:r>
            <w:r>
              <w:rPr>
                <w:rFonts w:hint="eastAsia" w:hAnsi="宋体" w:cs="宋体"/>
                <w:color w:val="auto"/>
                <w:sz w:val="24"/>
                <w:szCs w:val="24"/>
                <w:highlight w:val="none"/>
              </w:rPr>
              <w:t>.本谈判文件所称的“以上”“以下”“以内”“届满”，包括本数；所称的“不满”“超过”“以外”，不包括本数。</w:t>
            </w:r>
          </w:p>
        </w:tc>
      </w:tr>
    </w:tbl>
    <w:p w14:paraId="279B3A1A">
      <w:pPr>
        <w:spacing w:line="360" w:lineRule="auto"/>
        <w:jc w:val="center"/>
        <w:rPr>
          <w:rFonts w:hint="eastAsia" w:ascii="宋体" w:hAnsi="宋体" w:cs="宋体"/>
          <w:b/>
          <w:color w:val="auto"/>
          <w:sz w:val="36"/>
          <w:szCs w:val="36"/>
          <w:highlight w:val="none"/>
        </w:rPr>
      </w:pPr>
      <w:r>
        <w:rPr>
          <w:rFonts w:hint="eastAsia" w:ascii="宋体" w:hAnsi="宋体" w:cs="宋体"/>
          <w:b/>
          <w:color w:val="auto"/>
          <w:sz w:val="32"/>
          <w:szCs w:val="32"/>
          <w:highlight w:val="none"/>
        </w:rPr>
        <w:br w:type="page"/>
      </w:r>
      <w:r>
        <w:rPr>
          <w:rFonts w:hint="eastAsia" w:ascii="宋体" w:hAnsi="宋体" w:cs="宋体"/>
          <w:b/>
          <w:color w:val="auto"/>
          <w:sz w:val="36"/>
          <w:szCs w:val="36"/>
          <w:highlight w:val="none"/>
        </w:rPr>
        <w:t>供应商须知正文</w:t>
      </w:r>
    </w:p>
    <w:p w14:paraId="0910C4B3">
      <w:pPr>
        <w:spacing w:line="360" w:lineRule="auto"/>
        <w:jc w:val="center"/>
        <w:rPr>
          <w:rFonts w:hint="eastAsia" w:ascii="宋体" w:hAnsi="宋体" w:cs="宋体"/>
          <w:b/>
          <w:color w:val="auto"/>
          <w:sz w:val="36"/>
          <w:szCs w:val="36"/>
          <w:highlight w:val="none"/>
        </w:rPr>
      </w:pPr>
      <w:r>
        <w:rPr>
          <w:rFonts w:hint="eastAsia" w:ascii="宋体" w:hAnsi="宋体" w:cs="宋体"/>
          <w:b/>
          <w:color w:val="auto"/>
          <w:sz w:val="36"/>
          <w:szCs w:val="36"/>
          <w:highlight w:val="none"/>
        </w:rPr>
        <w:t>一、总则</w:t>
      </w:r>
    </w:p>
    <w:p w14:paraId="6356C4EB">
      <w:pPr>
        <w:spacing w:line="400" w:lineRule="exact"/>
        <w:rPr>
          <w:rFonts w:hint="eastAsia" w:ascii="宋体" w:hAnsi="宋体" w:cs="宋体"/>
          <w:color w:val="auto"/>
          <w:szCs w:val="21"/>
          <w:highlight w:val="none"/>
        </w:rPr>
      </w:pPr>
    </w:p>
    <w:p w14:paraId="12CD4690">
      <w:pPr>
        <w:spacing w:line="360" w:lineRule="auto"/>
        <w:ind w:firstLine="643" w:firstLineChars="200"/>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1.适用范围</w:t>
      </w:r>
    </w:p>
    <w:p w14:paraId="6818B7F6">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1.1适用法律：本项目采购人、采购代理机构、供应商、谈判小组的相关行为均受《中华人民共和国政府采购法》《中华人民共和国政府采购法实施条例》《政府采购非招标采购方式管理办法》及本项目本级和上级财政部门政府采购有关规定的约束和保护。</w:t>
      </w:r>
    </w:p>
    <w:p w14:paraId="1756344F">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1.2</w:t>
      </w:r>
      <w:r>
        <w:rPr>
          <w:rFonts w:hint="eastAsia" w:ascii="宋体" w:hAnsi="宋体" w:cs="宋体"/>
          <w:color w:val="auto"/>
          <w:spacing w:val="-6"/>
          <w:sz w:val="24"/>
          <w:highlight w:val="none"/>
        </w:rPr>
        <w:t>本竞争性谈判采购文件（以下简称谈判文件）适用于本项目的所有采购程序和环节（法律、法规另有规定的，从其规定）。</w:t>
      </w:r>
    </w:p>
    <w:p w14:paraId="6121694E">
      <w:pPr>
        <w:spacing w:line="360" w:lineRule="auto"/>
        <w:ind w:firstLine="643" w:firstLineChars="200"/>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2.定义</w:t>
      </w:r>
    </w:p>
    <w:p w14:paraId="59D1AE6D">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2.1“采购人”是指依法进行采购的国家机关、事业单位、团体组织。</w:t>
      </w:r>
    </w:p>
    <w:p w14:paraId="5C1D6450">
      <w:pPr>
        <w:spacing w:line="360" w:lineRule="auto"/>
        <w:ind w:firstLine="480" w:firstLineChars="200"/>
        <w:rPr>
          <w:rFonts w:hint="eastAsia" w:ascii="宋体" w:hAnsi="宋体" w:cs="宋体"/>
          <w:b/>
          <w:color w:val="auto"/>
          <w:sz w:val="24"/>
          <w:highlight w:val="none"/>
        </w:rPr>
      </w:pPr>
      <w:r>
        <w:rPr>
          <w:rFonts w:hint="eastAsia" w:ascii="宋体" w:hAnsi="宋体" w:cs="宋体"/>
          <w:color w:val="auto"/>
          <w:sz w:val="24"/>
          <w:highlight w:val="none"/>
        </w:rPr>
        <w:t>2.2“采购代理机构”</w:t>
      </w:r>
      <w:r>
        <w:rPr>
          <w:rFonts w:hint="eastAsia" w:ascii="宋体" w:hAnsi="宋体" w:cs="宋体"/>
          <w:b/>
          <w:color w:val="auto"/>
          <w:sz w:val="24"/>
          <w:highlight w:val="none"/>
        </w:rPr>
        <w:t>是指政府采购集中采购机构和集中采购机构以外的采购代理机构。</w:t>
      </w:r>
    </w:p>
    <w:p w14:paraId="6E9E2D4C">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2.3“供应商”是指向采购人提供货物、工程或者服务的法人、其他组织或者自然人。</w:t>
      </w:r>
    </w:p>
    <w:p w14:paraId="453CAD74">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2.4“货物”是指各种形态和种类的物品，包括原材料、燃料、设备、产品等。</w:t>
      </w:r>
    </w:p>
    <w:p w14:paraId="43D703E5">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2.5“</w:t>
      </w:r>
      <w:r>
        <w:rPr>
          <w:rFonts w:hint="eastAsia" w:hAnsi="宋体" w:cs="宋体"/>
          <w:color w:val="auto"/>
          <w:sz w:val="24"/>
          <w:highlight w:val="none"/>
        </w:rPr>
        <w:t>竞争性谈判</w:t>
      </w:r>
      <w:r>
        <w:rPr>
          <w:rFonts w:hint="eastAsia" w:ascii="宋体" w:hAnsi="宋体" w:cs="宋体"/>
          <w:color w:val="auto"/>
          <w:sz w:val="24"/>
          <w:highlight w:val="none"/>
        </w:rPr>
        <w:t>”是指按照本项目竞争性谈判公告或者邀请函规定的方式供应商获取谈判文件、提交响应文件、经过谈判并希望获得标的的行为。</w:t>
      </w:r>
    </w:p>
    <w:p w14:paraId="2ABD5058">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2.6“售后服务” 是指包含但不限于供应商须承担的备品备件、包装、运输、装卸、保险、货到就位以及安装、调试、培训、保修和其他类似的义务。</w:t>
      </w:r>
    </w:p>
    <w:p w14:paraId="3BC005E1">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2.7“书面形式”是指合同书、信件和数据电文（包括电报、电传、传真、电子数据交换和电子邮件）等可以有形地表现所载内容的形式。</w:t>
      </w:r>
    </w:p>
    <w:p w14:paraId="50AE4E45">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2.8“响应文件”</w:t>
      </w:r>
      <w:r>
        <w:rPr>
          <w:rFonts w:hint="eastAsia" w:ascii="宋体" w:hAnsi="宋体" w:cs="宋体"/>
          <w:color w:val="auto"/>
          <w:spacing w:val="-6"/>
          <w:sz w:val="24"/>
          <w:highlight w:val="none"/>
        </w:rPr>
        <w:t>是指：供应商根据本谈判文件要求，编制包含报价、技术和服务等所有内容的文件。</w:t>
      </w:r>
    </w:p>
    <w:p w14:paraId="49FD9C7C">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2.9 “实质性要求”是指采购需求中带“▲”的条款或者不能负偏离的条款或者已经指明不满足按响应文件按无效响应处理的条款。</w:t>
      </w:r>
    </w:p>
    <w:p w14:paraId="21691EB6">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2.10“正偏离”，是指响应文件对谈判文件“采购需求”中有关条款作出优于条款要求并有利于采购人的响应情形；</w:t>
      </w:r>
    </w:p>
    <w:p w14:paraId="58CBE18A">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2.11“负偏离”，是指响应文件对谈判文件“采购需求”中有关条款作出的响应不满足条款要求，导致采购人要求不能得到满足的情形。</w:t>
      </w:r>
    </w:p>
    <w:p w14:paraId="20985888">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2.12“允许负偏离的条款”是指采购需求中的不属于“实质性要求”的条款。</w:t>
      </w:r>
    </w:p>
    <w:p w14:paraId="0F891461">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2.13“首次报价”是指供应商提交的首次响应文件中的</w:t>
      </w:r>
      <w:r>
        <w:rPr>
          <w:rFonts w:hint="eastAsia" w:hAnsi="宋体" w:cs="宋体"/>
          <w:color w:val="auto"/>
          <w:sz w:val="24"/>
          <w:highlight w:val="none"/>
        </w:rPr>
        <w:t>竞争性谈判</w:t>
      </w:r>
      <w:r>
        <w:rPr>
          <w:rFonts w:hint="eastAsia" w:ascii="宋体" w:hAnsi="宋体" w:cs="宋体"/>
          <w:color w:val="auto"/>
          <w:sz w:val="24"/>
          <w:highlight w:val="none"/>
        </w:rPr>
        <w:t>报价。</w:t>
      </w:r>
    </w:p>
    <w:p w14:paraId="18DF7ED8">
      <w:pPr>
        <w:spacing w:line="360" w:lineRule="auto"/>
        <w:ind w:firstLine="643" w:firstLineChars="200"/>
        <w:contextualSpacing/>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3.供应商的资格条件</w:t>
      </w:r>
    </w:p>
    <w:p w14:paraId="5111E162">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供应商的资格条件详见“供应商须知前附表”。</w:t>
      </w:r>
    </w:p>
    <w:p w14:paraId="3600604B">
      <w:pPr>
        <w:spacing w:line="360" w:lineRule="auto"/>
        <w:ind w:firstLine="643" w:firstLineChars="200"/>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4.竞争性谈判费用</w:t>
      </w:r>
    </w:p>
    <w:p w14:paraId="477AE21B">
      <w:pPr>
        <w:spacing w:line="360" w:lineRule="auto"/>
        <w:ind w:firstLine="480" w:firstLineChars="200"/>
        <w:rPr>
          <w:rFonts w:hint="eastAsia" w:ascii="宋体" w:hAnsi="宋体" w:cs="宋体"/>
          <w:color w:val="auto"/>
          <w:sz w:val="24"/>
          <w:highlight w:val="none"/>
        </w:rPr>
      </w:pPr>
      <w:r>
        <w:rPr>
          <w:rFonts w:hint="eastAsia" w:hAnsi="宋体" w:cs="宋体"/>
          <w:color w:val="auto"/>
          <w:sz w:val="24"/>
          <w:highlight w:val="none"/>
        </w:rPr>
        <w:t>竞争性谈判</w:t>
      </w:r>
      <w:r>
        <w:rPr>
          <w:rFonts w:hint="eastAsia" w:ascii="宋体" w:hAnsi="宋体" w:cs="宋体"/>
          <w:color w:val="auto"/>
          <w:sz w:val="24"/>
          <w:highlight w:val="none"/>
        </w:rPr>
        <w:t>费用：供应商应承担参与本次采购活动有关的所有费用，包括但不限于获取谈判文件、勘查现场、编制和提交响应文件、参加谈判与应答、签订合同等，不论</w:t>
      </w:r>
      <w:r>
        <w:rPr>
          <w:rFonts w:hint="eastAsia" w:hAnsi="宋体" w:cs="宋体"/>
          <w:color w:val="auto"/>
          <w:sz w:val="24"/>
          <w:highlight w:val="none"/>
        </w:rPr>
        <w:t>竞争性谈判</w:t>
      </w:r>
      <w:r>
        <w:rPr>
          <w:rFonts w:hint="eastAsia" w:ascii="宋体" w:hAnsi="宋体" w:cs="宋体"/>
          <w:color w:val="auto"/>
          <w:sz w:val="24"/>
          <w:highlight w:val="none"/>
        </w:rPr>
        <w:t>结果如何，均应自行承担。</w:t>
      </w:r>
    </w:p>
    <w:p w14:paraId="5040FCE0">
      <w:pPr>
        <w:spacing w:line="360" w:lineRule="auto"/>
        <w:ind w:firstLine="643" w:firstLineChars="200"/>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5.联合体参与竞争性谈判</w:t>
      </w:r>
    </w:p>
    <w:p w14:paraId="6831F9C2">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5.1本项目是否接受联合体参与</w:t>
      </w:r>
      <w:r>
        <w:rPr>
          <w:rFonts w:hint="eastAsia" w:hAnsi="宋体" w:cs="宋体"/>
          <w:color w:val="auto"/>
          <w:sz w:val="24"/>
          <w:highlight w:val="none"/>
        </w:rPr>
        <w:t>竞争性谈判</w:t>
      </w:r>
      <w:r>
        <w:rPr>
          <w:rFonts w:hint="eastAsia" w:ascii="宋体" w:hAnsi="宋体" w:cs="宋体"/>
          <w:color w:val="auto"/>
          <w:sz w:val="24"/>
          <w:highlight w:val="none"/>
        </w:rPr>
        <w:t>，详见“供应商须知前附表”。</w:t>
      </w:r>
    </w:p>
    <w:p w14:paraId="60478641">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5.2</w:t>
      </w:r>
      <w:r>
        <w:rPr>
          <w:rFonts w:hint="eastAsia" w:ascii="宋体" w:hAnsi="宋体" w:cs="宋体"/>
          <w:bCs/>
          <w:color w:val="auto"/>
          <w:sz w:val="24"/>
          <w:highlight w:val="none"/>
        </w:rPr>
        <w:t>如接受联合体参与</w:t>
      </w:r>
      <w:r>
        <w:rPr>
          <w:rFonts w:hint="eastAsia" w:hAnsi="宋体" w:cs="宋体"/>
          <w:color w:val="auto"/>
          <w:sz w:val="24"/>
          <w:highlight w:val="none"/>
        </w:rPr>
        <w:t>竞争性谈判</w:t>
      </w:r>
      <w:r>
        <w:rPr>
          <w:rFonts w:hint="eastAsia" w:ascii="宋体" w:hAnsi="宋体" w:cs="宋体"/>
          <w:bCs/>
          <w:color w:val="auto"/>
          <w:sz w:val="24"/>
          <w:highlight w:val="none"/>
        </w:rPr>
        <w:t>，</w:t>
      </w:r>
      <w:r>
        <w:rPr>
          <w:rFonts w:hint="eastAsia" w:ascii="宋体" w:hAnsi="宋体" w:cs="宋体"/>
          <w:color w:val="auto"/>
          <w:sz w:val="24"/>
          <w:highlight w:val="none"/>
        </w:rPr>
        <w:t>具体要求详见“供应商须知前附表”。</w:t>
      </w:r>
    </w:p>
    <w:p w14:paraId="32F65257">
      <w:pPr>
        <w:wordWrap w:val="0"/>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5.3</w:t>
      </w:r>
      <w:bookmarkStart w:id="23" w:name="_Hlk65857072"/>
      <w:r>
        <w:rPr>
          <w:rFonts w:hint="eastAsia" w:ascii="宋体" w:hAnsi="宋体" w:cs="宋体"/>
          <w:color w:val="auto"/>
          <w:sz w:val="24"/>
          <w:highlight w:val="none"/>
        </w:rPr>
        <w:t>根据《政府采购促进中小企业发展管理办法》（财库〔2020〕46号）第九条及《 广西壮族自治区财政厅关于持续优化政府采购营商环境推动高质量发展的通知》（桂财采〔2024〕55 号）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-6%的扣除，用扣除后的价格参加评审。</w:t>
      </w:r>
      <w:bookmarkEnd w:id="23"/>
    </w:p>
    <w:p w14:paraId="2EC1AE92">
      <w:pPr>
        <w:spacing w:line="360" w:lineRule="auto"/>
        <w:ind w:firstLine="643" w:firstLineChars="200"/>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 xml:space="preserve">6.转包与分包             </w:t>
      </w:r>
    </w:p>
    <w:p w14:paraId="5752DE25">
      <w:pPr>
        <w:pStyle w:val="5"/>
        <w:keepNext w:val="0"/>
        <w:keepLines w:val="0"/>
        <w:spacing w:before="0" w:after="0" w:line="360" w:lineRule="auto"/>
        <w:ind w:firstLine="480" w:firstLineChars="200"/>
        <w:rPr>
          <w:rFonts w:hint="eastAsia" w:ascii="宋体" w:hAnsi="宋体" w:cs="宋体"/>
          <w:b w:val="0"/>
          <w:color w:val="auto"/>
          <w:sz w:val="24"/>
          <w:szCs w:val="24"/>
          <w:highlight w:val="none"/>
        </w:rPr>
      </w:pPr>
      <w:bookmarkStart w:id="24" w:name="_Toc254970673"/>
      <w:bookmarkStart w:id="25" w:name="_Toc254970532"/>
      <w:r>
        <w:rPr>
          <w:rFonts w:hint="eastAsia" w:ascii="宋体" w:hAnsi="宋体" w:cs="宋体"/>
          <w:b w:val="0"/>
          <w:color w:val="auto"/>
          <w:sz w:val="24"/>
          <w:szCs w:val="24"/>
          <w:highlight w:val="none"/>
        </w:rPr>
        <w:t>6.1本项目不允许转包。</w:t>
      </w:r>
    </w:p>
    <w:p w14:paraId="212119BE">
      <w:pPr>
        <w:pStyle w:val="5"/>
        <w:keepNext w:val="0"/>
        <w:keepLines w:val="0"/>
        <w:spacing w:before="0" w:after="0" w:line="360" w:lineRule="auto"/>
        <w:ind w:firstLine="360" w:firstLineChars="150"/>
        <w:rPr>
          <w:rFonts w:hint="eastAsia" w:ascii="宋体" w:hAnsi="宋体" w:cs="宋体"/>
          <w:b w:val="0"/>
          <w:color w:val="auto"/>
          <w:sz w:val="24"/>
          <w:szCs w:val="24"/>
          <w:highlight w:val="none"/>
        </w:rPr>
      </w:pPr>
      <w:r>
        <w:rPr>
          <w:rFonts w:hint="eastAsia" w:ascii="宋体" w:hAnsi="宋体" w:cs="宋体"/>
          <w:b w:val="0"/>
          <w:color w:val="auto"/>
          <w:sz w:val="24"/>
          <w:szCs w:val="24"/>
          <w:highlight w:val="none"/>
        </w:rPr>
        <w:t xml:space="preserve"> 6.2本项目是否允许分包详见“供应商须知前附表”，本项目不允许违法分包。允许分包的非主体、非关键性工作，根据法律法规规定承担该工作需要行政许可的，如该工作由供应商自行承担，供应商应具备相应的行政许可，如供应商不具备相应的行政许可必须采用分包的方式，但分包供应商应具备相应行政许可。</w:t>
      </w:r>
    </w:p>
    <w:p w14:paraId="0DE561DF">
      <w:pPr>
        <w:pStyle w:val="5"/>
        <w:keepNext w:val="0"/>
        <w:keepLines w:val="0"/>
        <w:spacing w:before="0" w:after="0" w:line="360" w:lineRule="auto"/>
        <w:ind w:firstLine="360" w:firstLineChars="150"/>
        <w:rPr>
          <w:rFonts w:hint="eastAsia" w:ascii="宋体" w:hAnsi="宋体" w:cs="宋体"/>
          <w:b w:val="0"/>
          <w:color w:val="auto"/>
          <w:sz w:val="24"/>
          <w:szCs w:val="24"/>
          <w:highlight w:val="none"/>
        </w:rPr>
      </w:pPr>
      <w:r>
        <w:rPr>
          <w:rFonts w:hint="eastAsia" w:ascii="宋体" w:hAnsi="宋体" w:cs="宋体"/>
          <w:b w:val="0"/>
          <w:color w:val="auto"/>
          <w:sz w:val="24"/>
          <w:szCs w:val="24"/>
          <w:highlight w:val="none"/>
        </w:rPr>
        <w:t xml:space="preserve"> 6.3供应商根据谈判文件的规定和采购项目的实际情况，拟在成交后将成交项目的非主体、非关键性工作分包的，应当在响应文件中载明分包承担主体，分包承担主体应当具备相应资质条件且不得再次分包。</w:t>
      </w:r>
    </w:p>
    <w:p w14:paraId="5404E7EB">
      <w:pPr>
        <w:spacing w:line="360" w:lineRule="auto"/>
        <w:ind w:firstLine="643" w:firstLineChars="200"/>
        <w:rPr>
          <w:rFonts w:hint="eastAsia" w:ascii="宋体" w:hAnsi="宋体" w:cs="宋体"/>
          <w:color w:val="auto"/>
          <w:sz w:val="24"/>
          <w:highlight w:val="none"/>
        </w:rPr>
      </w:pPr>
      <w:r>
        <w:rPr>
          <w:rFonts w:hint="eastAsia" w:ascii="宋体" w:hAnsi="宋体" w:cs="宋体"/>
          <w:b/>
          <w:bCs/>
          <w:color w:val="auto"/>
          <w:sz w:val="32"/>
          <w:szCs w:val="32"/>
          <w:highlight w:val="none"/>
        </w:rPr>
        <w:t>7.特别说明</w:t>
      </w:r>
      <w:bookmarkEnd w:id="24"/>
      <w:bookmarkEnd w:id="25"/>
      <w:bookmarkStart w:id="26" w:name="_8.1提供相同品牌产品且通过资格审查、符合性审查的不同投标人参加同一合"/>
      <w:bookmarkEnd w:id="26"/>
    </w:p>
    <w:p w14:paraId="75832B23">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7.</w:t>
      </w:r>
      <w:r>
        <w:rPr>
          <w:rFonts w:ascii="宋体" w:hAnsi="宋体" w:cs="宋体"/>
          <w:color w:val="auto"/>
          <w:sz w:val="24"/>
          <w:highlight w:val="none"/>
        </w:rPr>
        <w:t>1</w:t>
      </w:r>
      <w:r>
        <w:rPr>
          <w:rFonts w:hint="eastAsia" w:ascii="宋体" w:hAnsi="宋体" w:cs="宋体"/>
          <w:color w:val="auto"/>
          <w:sz w:val="24"/>
          <w:highlight w:val="none"/>
        </w:rPr>
        <w:t>如果本谈判文件要求提供供应商或制造商的资格、信誉、荣誉、业绩与企业认证等材料的，资格、信誉、荣誉、业绩与企业认证等必须为供应商或者制造商所拥有或自身获得 。</w:t>
      </w:r>
    </w:p>
    <w:p w14:paraId="441ADAB2">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7.</w:t>
      </w:r>
      <w:r>
        <w:rPr>
          <w:rFonts w:ascii="宋体" w:hAnsi="宋体" w:cs="宋体"/>
          <w:color w:val="auto"/>
          <w:sz w:val="24"/>
          <w:highlight w:val="none"/>
        </w:rPr>
        <w:t>2</w:t>
      </w:r>
      <w:r>
        <w:rPr>
          <w:rFonts w:hint="eastAsia" w:ascii="宋体" w:hAnsi="宋体" w:cs="宋体"/>
          <w:color w:val="auto"/>
          <w:sz w:val="24"/>
          <w:highlight w:val="none"/>
        </w:rPr>
        <w:t>供应商应仔细阅读谈判文件的所有内容，按照谈判文件的要求提交响应文件，并对所提供的全部资料的真实性承担法律责任。</w:t>
      </w:r>
    </w:p>
    <w:p w14:paraId="5544B79A">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7.</w:t>
      </w:r>
      <w:r>
        <w:rPr>
          <w:rFonts w:ascii="宋体" w:hAnsi="宋体" w:cs="宋体"/>
          <w:color w:val="auto"/>
          <w:sz w:val="24"/>
          <w:highlight w:val="none"/>
        </w:rPr>
        <w:t>3</w:t>
      </w:r>
      <w:r>
        <w:rPr>
          <w:rFonts w:hint="eastAsia" w:ascii="宋体" w:hAnsi="宋体" w:cs="宋体"/>
          <w:color w:val="auto"/>
          <w:sz w:val="24"/>
          <w:highlight w:val="none"/>
        </w:rPr>
        <w:t>供应商在参与</w:t>
      </w:r>
      <w:r>
        <w:rPr>
          <w:rFonts w:hint="eastAsia" w:hAnsi="宋体" w:cs="宋体"/>
          <w:color w:val="auto"/>
          <w:sz w:val="24"/>
          <w:highlight w:val="none"/>
        </w:rPr>
        <w:t>竞争性谈判</w:t>
      </w:r>
      <w:r>
        <w:rPr>
          <w:rFonts w:hint="eastAsia" w:ascii="宋体" w:hAnsi="宋体" w:cs="宋体"/>
          <w:color w:val="auto"/>
          <w:sz w:val="24"/>
          <w:highlight w:val="none"/>
        </w:rPr>
        <w:t>活动中提供</w:t>
      </w:r>
      <w:r>
        <w:rPr>
          <w:rFonts w:hint="eastAsia" w:ascii="宋体" w:hAnsi="宋体"/>
          <w:color w:val="auto"/>
          <w:sz w:val="24"/>
          <w:highlight w:val="none"/>
        </w:rPr>
        <w:t>虚假承诺、虚假检测报告等</w:t>
      </w:r>
      <w:r>
        <w:rPr>
          <w:rFonts w:hint="eastAsia" w:ascii="宋体" w:hAnsi="宋体" w:cs="宋体"/>
          <w:color w:val="auto"/>
          <w:sz w:val="24"/>
          <w:highlight w:val="none"/>
        </w:rPr>
        <w:t>任何虚假材料,其响应文件按无效响应处理，并报监管部门查处；签订合同后</w:t>
      </w:r>
      <w:bookmarkStart w:id="27" w:name="_Hlk207204138"/>
      <w:r>
        <w:rPr>
          <w:rFonts w:hint="eastAsia" w:ascii="宋体" w:hAnsi="宋体" w:cs="宋体"/>
          <w:color w:val="auto"/>
          <w:sz w:val="24"/>
          <w:highlight w:val="none"/>
        </w:rPr>
        <w:t>发现此类情况</w:t>
      </w:r>
      <w:bookmarkEnd w:id="27"/>
      <w:r>
        <w:rPr>
          <w:rFonts w:hint="eastAsia" w:ascii="宋体" w:hAnsi="宋体" w:cs="宋体"/>
          <w:color w:val="auto"/>
          <w:sz w:val="24"/>
          <w:highlight w:val="none"/>
        </w:rPr>
        <w:t>的, 采购人有权单方解除合同，成交供应商须依法赔偿采购人，且民事赔偿并不免除违法供应商的行政与刑事责任，采购人</w:t>
      </w:r>
      <w:r>
        <w:rPr>
          <w:rFonts w:hint="eastAsia" w:ascii="宋体" w:hAnsi="宋体"/>
          <w:color w:val="auto"/>
          <w:sz w:val="24"/>
          <w:highlight w:val="none"/>
        </w:rPr>
        <w:t>保留进一步追究责任的权利。</w:t>
      </w:r>
    </w:p>
    <w:p w14:paraId="48448016">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7.</w:t>
      </w:r>
      <w:r>
        <w:rPr>
          <w:rFonts w:ascii="宋体" w:hAnsi="宋体" w:cs="宋体"/>
          <w:color w:val="auto"/>
          <w:sz w:val="24"/>
          <w:highlight w:val="none"/>
        </w:rPr>
        <w:t>4</w:t>
      </w:r>
      <w:r>
        <w:rPr>
          <w:rFonts w:hint="eastAsia" w:ascii="宋体" w:hAnsi="宋体" w:cs="宋体"/>
          <w:color w:val="auto"/>
          <w:sz w:val="24"/>
          <w:highlight w:val="none"/>
        </w:rPr>
        <w:t>在政府采购活动中，采购人员及相关人员与供应商有下列利害关系之一的，应当回避：</w:t>
      </w:r>
    </w:p>
    <w:p w14:paraId="06F2B07A">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（1）参加采购活动前3年内与供应商存在劳动关系；</w:t>
      </w:r>
    </w:p>
    <w:p w14:paraId="2768DBB0">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（2）参加采购活动前3年内担任供应商的董事、监事；</w:t>
      </w:r>
    </w:p>
    <w:p w14:paraId="7CC0BE95">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（3）参加采购活动前3年内是供应商的控股股东或者实际控制人；</w:t>
      </w:r>
    </w:p>
    <w:p w14:paraId="095C5D8F">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（4）与供应商的法定代表人或者负责人有夫妻、直系血亲、三代以内旁系血亲或者近姻亲关系；</w:t>
      </w:r>
    </w:p>
    <w:p w14:paraId="377DDB24">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（5）与供应商有其他可能影响政府采购活动公平、公正进行的关系。</w:t>
      </w:r>
    </w:p>
    <w:p w14:paraId="724CC3A6">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05FAB3C4">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7.</w:t>
      </w:r>
      <w:r>
        <w:rPr>
          <w:rFonts w:ascii="宋体" w:hAnsi="宋体" w:cs="宋体"/>
          <w:color w:val="auto"/>
          <w:sz w:val="24"/>
          <w:highlight w:val="none"/>
        </w:rPr>
        <w:t>5</w:t>
      </w:r>
      <w:r>
        <w:rPr>
          <w:rFonts w:hint="eastAsia" w:ascii="宋体" w:hAnsi="宋体" w:cs="宋体"/>
          <w:color w:val="auto"/>
          <w:sz w:val="24"/>
          <w:highlight w:val="none"/>
        </w:rPr>
        <w:t>有下列情形之一的视为供应商相互串通参与</w:t>
      </w:r>
      <w:r>
        <w:rPr>
          <w:rFonts w:hint="eastAsia" w:hAnsi="宋体" w:cs="宋体"/>
          <w:color w:val="auto"/>
          <w:sz w:val="24"/>
          <w:highlight w:val="none"/>
        </w:rPr>
        <w:t>竞争性谈判</w:t>
      </w:r>
      <w:r>
        <w:rPr>
          <w:rFonts w:hint="eastAsia" w:ascii="宋体" w:hAnsi="宋体" w:cs="宋体"/>
          <w:color w:val="auto"/>
          <w:sz w:val="24"/>
          <w:highlight w:val="none"/>
        </w:rPr>
        <w:t>，响应文件将被视为无效：</w:t>
      </w:r>
    </w:p>
    <w:p w14:paraId="7DCF0E70">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（1）不同供应商的响应文件由同一单位或者个人编制；或不同供应商报名的IP地址一致的；</w:t>
      </w:r>
    </w:p>
    <w:p w14:paraId="0B69CD49">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（2）不同供应商委托同一单位或者个人办理</w:t>
      </w:r>
      <w:r>
        <w:rPr>
          <w:rFonts w:hint="eastAsia" w:hAnsi="宋体" w:cs="宋体"/>
          <w:color w:val="auto"/>
          <w:sz w:val="24"/>
          <w:highlight w:val="none"/>
        </w:rPr>
        <w:t>竞争性谈判</w:t>
      </w:r>
      <w:r>
        <w:rPr>
          <w:rFonts w:hint="eastAsia" w:ascii="宋体" w:hAnsi="宋体" w:cs="宋体"/>
          <w:color w:val="auto"/>
          <w:sz w:val="24"/>
          <w:highlight w:val="none"/>
        </w:rPr>
        <w:t>事宜；</w:t>
      </w:r>
    </w:p>
    <w:p w14:paraId="74F520E3">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（3）不同的供应商的响应文件载明的项目管理员为同一个人；</w:t>
      </w:r>
    </w:p>
    <w:p w14:paraId="7AFBAD95">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（4）不同供应商的响应文件异常一致或者报价呈规律性差异；</w:t>
      </w:r>
    </w:p>
    <w:p w14:paraId="243F168E">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（5）不同供应商的响应文件相互混装；</w:t>
      </w:r>
    </w:p>
    <w:p w14:paraId="23510EF1">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（6）不同供应商的谈判保证金从同一单位或者个人账户转出；</w:t>
      </w:r>
    </w:p>
    <w:p w14:paraId="3A774C29">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（7）供应商之间协商报价等响应文件的实质性内容；</w:t>
      </w:r>
    </w:p>
    <w:p w14:paraId="0DB1A71A">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（8）供应商之间约定成交供应商；</w:t>
      </w:r>
    </w:p>
    <w:p w14:paraId="73643AA1">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（9）供应商之间约定部分供应商放弃参与竞争性谈判或者成交；</w:t>
      </w:r>
    </w:p>
    <w:p w14:paraId="672A1671">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（10）属于同一集团、协会、商会等组织成员的供应商按照该组织要求协同参与竞争性谈判；</w:t>
      </w:r>
    </w:p>
    <w:p w14:paraId="4D6E6C60">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（11）供应商之间为谋取成交或者排斥特定供应商而采取的其他联合行动。</w:t>
      </w:r>
    </w:p>
    <w:p w14:paraId="77B706B8">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7.</w:t>
      </w:r>
      <w:r>
        <w:rPr>
          <w:rFonts w:ascii="宋体" w:hAnsi="宋体" w:cs="宋体"/>
          <w:color w:val="auto"/>
          <w:sz w:val="24"/>
          <w:highlight w:val="none"/>
        </w:rPr>
        <w:t>6</w:t>
      </w:r>
      <w:r>
        <w:rPr>
          <w:rFonts w:hint="eastAsia" w:ascii="宋体" w:hAnsi="宋体" w:cs="宋体"/>
          <w:color w:val="auto"/>
          <w:sz w:val="24"/>
          <w:highlight w:val="none"/>
        </w:rPr>
        <w:t>供应商有下列情形之一的，属于恶意串通行为</w:t>
      </w:r>
      <w:bookmarkStart w:id="28" w:name="_Hlk54682620"/>
      <w:r>
        <w:rPr>
          <w:rFonts w:hint="eastAsia" w:ascii="宋体" w:hAnsi="宋体" w:cs="宋体"/>
          <w:color w:val="auto"/>
          <w:sz w:val="24"/>
          <w:highlight w:val="none"/>
        </w:rPr>
        <w:t>，将报同级监督管理部门</w:t>
      </w:r>
      <w:bookmarkEnd w:id="28"/>
      <w:r>
        <w:rPr>
          <w:rFonts w:hint="eastAsia" w:ascii="宋体" w:hAnsi="宋体" w:cs="宋体"/>
          <w:color w:val="auto"/>
          <w:sz w:val="24"/>
          <w:highlight w:val="none"/>
        </w:rPr>
        <w:t>：</w:t>
      </w:r>
    </w:p>
    <w:p w14:paraId="4389B283">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（1）供应商直接或者间接从采购人或者采购代理机构处获得其他供应商的相关信息并修改其响应文件；</w:t>
      </w:r>
    </w:p>
    <w:p w14:paraId="14921433">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（2）供应商按照采购人或者采购代理机构的授意撤换、修改响应文件；</w:t>
      </w:r>
    </w:p>
    <w:p w14:paraId="431D9C61">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（3）供应商之间协商报价、技术方案等响应文件或者响应文件的实质性内容；</w:t>
      </w:r>
    </w:p>
    <w:p w14:paraId="62050363">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（4）属于同一集团、协会、商会等组织成员的供应商按照该组织要求协同参加政府采购活动；</w:t>
      </w:r>
    </w:p>
    <w:p w14:paraId="755FD81C">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（5）供应商之间事先约定一致抬高或者压低报价,或者在政府采购活动中事先约定轮流以高价位或者低价位成交,或者事先约定由某一特定供应商成交,然后再参加</w:t>
      </w:r>
      <w:r>
        <w:rPr>
          <w:rFonts w:hint="eastAsia" w:hAnsi="宋体" w:cs="宋体"/>
          <w:color w:val="auto"/>
          <w:sz w:val="24"/>
          <w:highlight w:val="none"/>
        </w:rPr>
        <w:t>竞争性谈判</w:t>
      </w:r>
      <w:r>
        <w:rPr>
          <w:rFonts w:hint="eastAsia" w:ascii="宋体" w:hAnsi="宋体" w:cs="宋体"/>
          <w:color w:val="auto"/>
          <w:sz w:val="24"/>
          <w:highlight w:val="none"/>
        </w:rPr>
        <w:t>；</w:t>
      </w:r>
    </w:p>
    <w:p w14:paraId="78F2A0A1">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（6）供应商之间商定部分供应商放弃参加政府采购活动或者放弃成交；</w:t>
      </w:r>
    </w:p>
    <w:p w14:paraId="0F094770">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（7）供应商与采购人或者采购代理机构之间、供应商相互之间，为谋求特定供应商成交或者排斥其他供应商的其他串通行为。</w:t>
      </w:r>
    </w:p>
    <w:p w14:paraId="7F21403C">
      <w:pPr>
        <w:spacing w:line="360" w:lineRule="auto"/>
        <w:ind w:firstLine="480" w:firstLineChars="200"/>
        <w:rPr>
          <w:rFonts w:hint="eastAsia" w:ascii="宋体" w:hAnsi="宋体" w:cs="宋体"/>
          <w:color w:val="auto"/>
          <w:sz w:val="24"/>
          <w:highlight w:val="none"/>
        </w:rPr>
      </w:pPr>
      <w:r>
        <w:rPr>
          <w:rFonts w:ascii="宋体" w:hAnsi="宋体" w:cs="宋体"/>
          <w:color w:val="auto"/>
          <w:sz w:val="24"/>
          <w:highlight w:val="none"/>
        </w:rPr>
        <w:t>7.7</w:t>
      </w:r>
      <w:r>
        <w:rPr>
          <w:rFonts w:hint="eastAsia" w:ascii="宋体" w:hAnsi="宋体" w:cs="宋体"/>
          <w:color w:val="auto"/>
          <w:sz w:val="24"/>
          <w:highlight w:val="none"/>
        </w:rPr>
        <w:t>单一产品采购项目，提供相同品牌产品的不同供应商参加同一合同项下</w:t>
      </w:r>
      <w:r>
        <w:rPr>
          <w:rFonts w:hint="eastAsia" w:hAnsi="宋体" w:cs="宋体"/>
          <w:color w:val="auto"/>
          <w:sz w:val="24"/>
          <w:highlight w:val="none"/>
        </w:rPr>
        <w:t>竞争性谈判</w:t>
      </w:r>
      <w:r>
        <w:rPr>
          <w:rFonts w:hint="eastAsia" w:ascii="宋体" w:hAnsi="宋体" w:cs="宋体"/>
          <w:color w:val="auto"/>
          <w:sz w:val="24"/>
          <w:highlight w:val="none"/>
        </w:rPr>
        <w:t>的，以其中通过资格审查、符合性审查、谈判且最后报价最低的参加报价评审；最后报价相同的，按照前附表第2</w:t>
      </w:r>
      <w:r>
        <w:rPr>
          <w:rFonts w:ascii="宋体" w:hAnsi="宋体" w:cs="宋体"/>
          <w:color w:val="auto"/>
          <w:sz w:val="24"/>
          <w:highlight w:val="none"/>
        </w:rPr>
        <w:t>6</w:t>
      </w:r>
      <w:r>
        <w:rPr>
          <w:rFonts w:hint="eastAsia" w:ascii="宋体" w:hAnsi="宋体" w:cs="宋体"/>
          <w:color w:val="auto"/>
          <w:sz w:val="24"/>
          <w:highlight w:val="none"/>
        </w:rPr>
        <w:t>条规定确定一个参加评审的供应商，其他响应文件作无效处理。</w:t>
      </w:r>
    </w:p>
    <w:p w14:paraId="3F2CA4F7">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非单一产品采购项目，多家供应商提供的核心产品品牌相同的，按前款规定处理；多家供应商提供的所有产品品牌相同，按前款处理。</w:t>
      </w:r>
    </w:p>
    <w:p w14:paraId="72064C68">
      <w:pPr>
        <w:spacing w:line="360" w:lineRule="auto"/>
        <w:ind w:firstLine="477" w:firstLineChars="199"/>
        <w:jc w:val="center"/>
        <w:rPr>
          <w:rFonts w:hint="eastAsia" w:ascii="宋体" w:hAnsi="宋体" w:cs="宋体"/>
          <w:color w:val="auto"/>
          <w:sz w:val="24"/>
          <w:szCs w:val="32"/>
          <w:highlight w:val="none"/>
        </w:rPr>
      </w:pPr>
      <w:bookmarkStart w:id="29" w:name="_Toc254970534"/>
      <w:bookmarkStart w:id="30" w:name="_Toc254970675"/>
    </w:p>
    <w:p w14:paraId="76AE1EE0">
      <w:pPr>
        <w:spacing w:line="360" w:lineRule="auto"/>
        <w:jc w:val="center"/>
        <w:rPr>
          <w:rFonts w:hint="eastAsia" w:ascii="宋体" w:hAnsi="宋体" w:cs="宋体"/>
          <w:b/>
          <w:color w:val="auto"/>
          <w:sz w:val="40"/>
          <w:szCs w:val="40"/>
          <w:highlight w:val="none"/>
        </w:rPr>
      </w:pPr>
      <w:r>
        <w:rPr>
          <w:rFonts w:hint="eastAsia" w:ascii="宋体" w:hAnsi="宋体" w:cs="宋体"/>
          <w:b/>
          <w:color w:val="auto"/>
          <w:sz w:val="40"/>
          <w:szCs w:val="40"/>
          <w:highlight w:val="none"/>
        </w:rPr>
        <w:t>二、谈判文件</w:t>
      </w:r>
      <w:bookmarkEnd w:id="29"/>
      <w:bookmarkEnd w:id="30"/>
    </w:p>
    <w:p w14:paraId="10E36333">
      <w:pPr>
        <w:spacing w:line="360" w:lineRule="auto"/>
        <w:jc w:val="center"/>
        <w:rPr>
          <w:rFonts w:hint="eastAsia" w:ascii="宋体" w:hAnsi="宋体" w:cs="宋体"/>
          <w:color w:val="auto"/>
          <w:sz w:val="24"/>
          <w:highlight w:val="none"/>
        </w:rPr>
      </w:pPr>
    </w:p>
    <w:p w14:paraId="7E615DAF">
      <w:pPr>
        <w:spacing w:line="360" w:lineRule="auto"/>
        <w:ind w:firstLine="643" w:firstLineChars="200"/>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8.谈判文件的构成</w:t>
      </w:r>
    </w:p>
    <w:p w14:paraId="785411AF">
      <w:pPr>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（1）竞争性谈判公告；</w:t>
      </w:r>
    </w:p>
    <w:p w14:paraId="4C376461">
      <w:pPr>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 xml:space="preserve">（2）供应商须知； </w:t>
      </w:r>
    </w:p>
    <w:p w14:paraId="0412B62F">
      <w:pPr>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（3）采购需求；</w:t>
      </w:r>
    </w:p>
    <w:p w14:paraId="5CE3CD7D">
      <w:pPr>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（4）响应文件格式；</w:t>
      </w:r>
    </w:p>
    <w:p w14:paraId="2A4F18E4">
      <w:pPr>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（5）合同文本；</w:t>
      </w:r>
    </w:p>
    <w:p w14:paraId="377AAC8F">
      <w:pPr>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（6）评审程序和评定成交的标准。</w:t>
      </w:r>
    </w:p>
    <w:p w14:paraId="783AB998">
      <w:pPr>
        <w:spacing w:line="360" w:lineRule="auto"/>
        <w:ind w:firstLine="643" w:firstLineChars="200"/>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9.供应商的询问</w:t>
      </w:r>
    </w:p>
    <w:p w14:paraId="7FEEFFA4">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供应商应认真阅读谈判文件的采购需求，如供应商对谈判文件有疑问的，如要求采购人作出澄清或者修改的，供应商尽可能在提交首次响应文件截止之日前，以纸质书面形式向采购人、采购代理机构提出，否则，由此产生的后果由供应商自行负责。</w:t>
      </w:r>
    </w:p>
    <w:p w14:paraId="0ED22780">
      <w:pPr>
        <w:spacing w:line="360" w:lineRule="auto"/>
        <w:ind w:firstLine="643" w:firstLineChars="200"/>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10.谈判文件的澄清和修改</w:t>
      </w:r>
    </w:p>
    <w:p w14:paraId="2F4202C9">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10.1提交首次响应文件截止之日前，采购人、采购代理机构可以对已发出的谈判文件进行必要的澄清或者修改，澄清或者修改的内容作为谈判文件的组成部分。澄清或者修改将在原公告发布媒体上发布更正公告。澄清或者修改的内容可能影响响应文件编制的，采购人、采购代理机构或者谈判小组应当在提交首次响应文件截止之日</w:t>
      </w:r>
      <w:r>
        <w:rPr>
          <w:rFonts w:ascii="宋体" w:hAnsi="宋体" w:cs="宋体"/>
          <w:color w:val="auto"/>
          <w:sz w:val="24"/>
          <w:highlight w:val="none"/>
        </w:rPr>
        <w:t>3个工作日前，在原公告发布媒体上发布更正公告</w:t>
      </w:r>
      <w:r>
        <w:rPr>
          <w:rFonts w:hint="eastAsia" w:ascii="宋体" w:hAnsi="宋体" w:cs="宋体"/>
          <w:color w:val="auto"/>
          <w:sz w:val="24"/>
          <w:highlight w:val="none"/>
        </w:rPr>
        <w:t>；不足</w:t>
      </w:r>
      <w:r>
        <w:rPr>
          <w:rFonts w:ascii="宋体" w:hAnsi="宋体" w:cs="宋体"/>
          <w:color w:val="auto"/>
          <w:sz w:val="24"/>
          <w:highlight w:val="none"/>
        </w:rPr>
        <w:t>3个工作日的，应当顺延提交首次响应文件截止</w:t>
      </w:r>
      <w:r>
        <w:rPr>
          <w:rFonts w:hint="eastAsia" w:ascii="宋体" w:hAnsi="宋体" w:cs="宋体"/>
          <w:color w:val="auto"/>
          <w:sz w:val="24"/>
          <w:highlight w:val="none"/>
        </w:rPr>
        <w:t>时间。</w:t>
      </w:r>
    </w:p>
    <w:p w14:paraId="1271B615">
      <w:pPr>
        <w:spacing w:line="400" w:lineRule="exact"/>
        <w:ind w:firstLine="480" w:firstLineChars="200"/>
        <w:rPr>
          <w:rFonts w:hint="eastAsia" w:ascii="宋体" w:hAnsi="宋体" w:cs="宋体"/>
          <w:color w:val="auto"/>
          <w:sz w:val="24"/>
          <w:highlight w:val="none"/>
        </w:rPr>
      </w:pPr>
      <w:r>
        <w:rPr>
          <w:rFonts w:hint="eastAsia" w:ascii="宋体" w:hAnsi="宋体" w:cs="宋体"/>
          <w:color w:val="auto"/>
          <w:sz w:val="24"/>
          <w:szCs w:val="32"/>
          <w:highlight w:val="none"/>
        </w:rPr>
        <w:t>10.2采购人和采购代理机构可以视采购具体情况，变更</w:t>
      </w:r>
      <w:r>
        <w:rPr>
          <w:rFonts w:hint="eastAsia" w:ascii="宋体" w:hAnsi="宋体" w:cs="宋体"/>
          <w:color w:val="auto"/>
          <w:sz w:val="24"/>
          <w:highlight w:val="none"/>
        </w:rPr>
        <w:t>首次响应文件提交截止时间</w:t>
      </w:r>
      <w:r>
        <w:rPr>
          <w:rFonts w:hint="eastAsia" w:ascii="宋体" w:hAnsi="宋体" w:cs="宋体"/>
          <w:color w:val="auto"/>
          <w:sz w:val="24"/>
          <w:szCs w:val="32"/>
          <w:highlight w:val="none"/>
        </w:rPr>
        <w:t>，并</w:t>
      </w:r>
      <w:r>
        <w:rPr>
          <w:rFonts w:hint="eastAsia" w:ascii="宋体" w:hAnsi="宋体" w:cs="宋体"/>
          <w:color w:val="auto"/>
          <w:sz w:val="24"/>
          <w:highlight w:val="none"/>
        </w:rPr>
        <w:t>在原公告发布媒体上发布更正公告。</w:t>
      </w:r>
    </w:p>
    <w:p w14:paraId="2F630E09">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10.3谈判文件澄清、答复、修改、补充的内容为谈判文件的组成部分。当谈判文件与谈判文件的澄清、答复、修改、补充通知就同一内容的表述不一致时，以最后发出的文件为准。</w:t>
      </w:r>
    </w:p>
    <w:p w14:paraId="061E30E9">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10.4响应文件未按谈判文件的澄清、修改后的内容编制的，其响应文件作无效响应处理。</w:t>
      </w:r>
    </w:p>
    <w:p w14:paraId="4F47129E">
      <w:pPr>
        <w:spacing w:line="360" w:lineRule="auto"/>
        <w:ind w:firstLine="480" w:firstLineChars="200"/>
        <w:rPr>
          <w:rFonts w:hint="eastAsia" w:ascii="宋体" w:hAnsi="宋体" w:cs="宋体"/>
          <w:color w:val="auto"/>
          <w:sz w:val="24"/>
          <w:highlight w:val="none"/>
        </w:rPr>
      </w:pPr>
    </w:p>
    <w:p w14:paraId="74A2052C">
      <w:pPr>
        <w:spacing w:line="360" w:lineRule="auto"/>
        <w:rPr>
          <w:rFonts w:hint="eastAsia" w:ascii="宋体" w:hAnsi="宋体" w:cs="宋体"/>
          <w:color w:val="auto"/>
          <w:sz w:val="24"/>
          <w:highlight w:val="none"/>
        </w:rPr>
      </w:pPr>
    </w:p>
    <w:p w14:paraId="06AD57A8">
      <w:pPr>
        <w:spacing w:line="360" w:lineRule="auto"/>
        <w:jc w:val="center"/>
        <w:rPr>
          <w:rFonts w:hint="eastAsia" w:ascii="宋体" w:hAnsi="宋体" w:cs="宋体"/>
          <w:b/>
          <w:color w:val="auto"/>
          <w:sz w:val="24"/>
          <w:highlight w:val="none"/>
        </w:rPr>
      </w:pPr>
      <w:r>
        <w:rPr>
          <w:rFonts w:hint="eastAsia" w:ascii="宋体" w:hAnsi="宋体" w:cs="宋体"/>
          <w:b/>
          <w:color w:val="auto"/>
          <w:sz w:val="40"/>
          <w:szCs w:val="40"/>
          <w:highlight w:val="none"/>
        </w:rPr>
        <w:t>三、响应文件的编制</w:t>
      </w:r>
    </w:p>
    <w:p w14:paraId="43088672">
      <w:pPr>
        <w:spacing w:line="360" w:lineRule="auto"/>
        <w:rPr>
          <w:rFonts w:hint="eastAsia" w:ascii="宋体" w:hAnsi="宋体" w:cs="宋体"/>
          <w:color w:val="auto"/>
          <w:sz w:val="24"/>
          <w:highlight w:val="none"/>
        </w:rPr>
      </w:pPr>
    </w:p>
    <w:p w14:paraId="391AA904">
      <w:pPr>
        <w:spacing w:line="360" w:lineRule="auto"/>
        <w:ind w:firstLine="643" w:firstLineChars="200"/>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11.响应文件的编制原则</w:t>
      </w:r>
    </w:p>
    <w:p w14:paraId="4ED2E3FB">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供应商必须按照谈判文件的要求编制响应文件，并对其提交的响应文件的真实性、合法性承担法律责任。响应文件必须对谈判文件作出实质性响应。</w:t>
      </w:r>
    </w:p>
    <w:p w14:paraId="0B80F2BF">
      <w:pPr>
        <w:spacing w:line="360" w:lineRule="auto"/>
        <w:ind w:firstLine="643" w:firstLineChars="200"/>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12.响应文件的组成</w:t>
      </w:r>
    </w:p>
    <w:p w14:paraId="6CED45B4">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12.1响应文件由资格证明文件、报价商务技术文件两部分组成。</w:t>
      </w:r>
    </w:p>
    <w:p w14:paraId="6597ECB2">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12.1.1资格证明文件：详见“供应商须知前附表”</w:t>
      </w:r>
    </w:p>
    <w:p w14:paraId="10604E7F">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12.1.2报价商务技术文件：详见“供应商须知前附表”</w:t>
      </w:r>
    </w:p>
    <w:p w14:paraId="59B00BD7">
      <w:pPr>
        <w:spacing w:line="360" w:lineRule="auto"/>
        <w:ind w:firstLine="643" w:firstLineChars="200"/>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13.计量单位</w:t>
      </w:r>
    </w:p>
    <w:p w14:paraId="51C32FAA">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谈判文件已有明确规定的，使用谈判文件规定的计量单位；谈判文件没有规定的，应采用中华人民共和国法定计量单位，货币种类为人民币，否则视同未响应。</w:t>
      </w:r>
    </w:p>
    <w:p w14:paraId="48087090">
      <w:pPr>
        <w:spacing w:line="360" w:lineRule="auto"/>
        <w:ind w:firstLine="643" w:firstLineChars="200"/>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14.竞争性谈判的风险</w:t>
      </w:r>
    </w:p>
    <w:p w14:paraId="06D31C0F">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供应商没有按照谈判文件要求提供全部资料，或者供应商没有对谈判文件在各方面作出实质性响应可能导致其响应文件按无效响应处理，是供应商应当考虑的风险。</w:t>
      </w:r>
    </w:p>
    <w:p w14:paraId="6BE81375">
      <w:pPr>
        <w:spacing w:line="360" w:lineRule="auto"/>
        <w:ind w:firstLine="643" w:firstLineChars="200"/>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15.竞争性谈判报价</w:t>
      </w:r>
    </w:p>
    <w:p w14:paraId="413F6F8E">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15.1</w:t>
      </w:r>
      <w:r>
        <w:rPr>
          <w:rFonts w:hint="eastAsia" w:hAnsi="宋体" w:cs="宋体"/>
          <w:color w:val="auto"/>
          <w:sz w:val="24"/>
          <w:highlight w:val="none"/>
        </w:rPr>
        <w:t>竞争性谈判</w:t>
      </w:r>
      <w:r>
        <w:rPr>
          <w:rFonts w:hint="eastAsia" w:ascii="宋体" w:hAnsi="宋体" w:cs="宋体"/>
          <w:color w:val="auto"/>
          <w:sz w:val="24"/>
          <w:highlight w:val="none"/>
        </w:rPr>
        <w:t>报价应按谈判文件中“</w:t>
      </w:r>
      <w:r>
        <w:rPr>
          <w:rFonts w:hint="eastAsia" w:hAnsi="宋体" w:cs="宋体"/>
          <w:color w:val="auto"/>
          <w:sz w:val="24"/>
          <w:highlight w:val="none"/>
        </w:rPr>
        <w:t>竞争性谈判</w:t>
      </w:r>
      <w:r>
        <w:rPr>
          <w:rFonts w:hint="eastAsia" w:ascii="宋体" w:hAnsi="宋体" w:cs="宋体"/>
          <w:color w:val="auto"/>
          <w:sz w:val="24"/>
          <w:highlight w:val="none"/>
        </w:rPr>
        <w:t>报价表”格式填写。</w:t>
      </w:r>
    </w:p>
    <w:p w14:paraId="39A784C3">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15.2</w:t>
      </w:r>
      <w:r>
        <w:rPr>
          <w:rFonts w:hint="eastAsia" w:hAnsi="宋体" w:cs="宋体"/>
          <w:color w:val="auto"/>
          <w:sz w:val="24"/>
          <w:highlight w:val="none"/>
        </w:rPr>
        <w:t>竞争性谈判</w:t>
      </w:r>
      <w:r>
        <w:rPr>
          <w:rFonts w:hint="eastAsia" w:ascii="宋体" w:hAnsi="宋体" w:cs="宋体"/>
          <w:color w:val="auto"/>
          <w:sz w:val="24"/>
          <w:highlight w:val="none"/>
        </w:rPr>
        <w:t>报价的内容详见“供应商须知前附表”。</w:t>
      </w:r>
    </w:p>
    <w:p w14:paraId="6A9CEF13">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15.3</w:t>
      </w:r>
      <w:r>
        <w:rPr>
          <w:rFonts w:hint="eastAsia" w:hAnsi="宋体" w:cs="宋体"/>
          <w:color w:val="auto"/>
          <w:sz w:val="24"/>
          <w:highlight w:val="none"/>
        </w:rPr>
        <w:t>竞争性谈判</w:t>
      </w:r>
      <w:r>
        <w:rPr>
          <w:rFonts w:hint="eastAsia" w:ascii="宋体" w:hAnsi="宋体" w:cs="宋体"/>
          <w:color w:val="auto"/>
          <w:sz w:val="24"/>
          <w:highlight w:val="none"/>
        </w:rPr>
        <w:t>报价要求</w:t>
      </w:r>
    </w:p>
    <w:p w14:paraId="218C9B9F">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15.3.1供应商的</w:t>
      </w:r>
      <w:r>
        <w:rPr>
          <w:rFonts w:hint="eastAsia" w:hAnsi="宋体" w:cs="宋体"/>
          <w:color w:val="auto"/>
          <w:sz w:val="24"/>
          <w:highlight w:val="none"/>
        </w:rPr>
        <w:t>竞争性谈判</w:t>
      </w:r>
      <w:r>
        <w:rPr>
          <w:rFonts w:hint="eastAsia" w:ascii="宋体" w:hAnsi="宋体" w:cs="宋体"/>
          <w:color w:val="auto"/>
          <w:sz w:val="24"/>
          <w:highlight w:val="none"/>
        </w:rPr>
        <w:t>报价应符合以下要求，否则响应文件按无效响应处理：</w:t>
      </w:r>
    </w:p>
    <w:p w14:paraId="2A3AF5EF">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（1）供应商必须就“采购需求”中所需</w:t>
      </w:r>
      <w:r>
        <w:rPr>
          <w:rFonts w:hint="eastAsia" w:hAnsi="宋体" w:cs="宋体"/>
          <w:color w:val="auto"/>
          <w:sz w:val="24"/>
          <w:highlight w:val="none"/>
        </w:rPr>
        <w:t>竞争性谈判</w:t>
      </w:r>
      <w:r>
        <w:rPr>
          <w:rFonts w:hint="eastAsia" w:ascii="宋体" w:hAnsi="宋体" w:cs="宋体"/>
          <w:color w:val="auto"/>
          <w:sz w:val="24"/>
          <w:highlight w:val="none"/>
        </w:rPr>
        <w:t>的每个分标的全部内容分别作完整唯一总价报价，不得存在漏项报价；</w:t>
      </w:r>
    </w:p>
    <w:p w14:paraId="32F99D21">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（2）供应商必须就所需</w:t>
      </w:r>
      <w:r>
        <w:rPr>
          <w:rFonts w:hint="eastAsia" w:hAnsi="宋体" w:cs="宋体"/>
          <w:color w:val="auto"/>
          <w:sz w:val="24"/>
          <w:highlight w:val="none"/>
        </w:rPr>
        <w:t>竞争性谈判</w:t>
      </w:r>
      <w:r>
        <w:rPr>
          <w:rFonts w:hint="eastAsia" w:ascii="宋体" w:hAnsi="宋体" w:cs="宋体"/>
          <w:color w:val="auto"/>
          <w:sz w:val="24"/>
          <w:highlight w:val="none"/>
        </w:rPr>
        <w:t>的分标的单项内容作唯一报价。</w:t>
      </w:r>
    </w:p>
    <w:p w14:paraId="2D0DC385">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15.3.2</w:t>
      </w:r>
      <w:r>
        <w:rPr>
          <w:rFonts w:hint="eastAsia" w:hAnsi="宋体" w:cs="宋体"/>
          <w:color w:val="auto"/>
          <w:sz w:val="24"/>
          <w:highlight w:val="none"/>
        </w:rPr>
        <w:t>竞争性谈判</w:t>
      </w:r>
      <w:r>
        <w:rPr>
          <w:rFonts w:hint="eastAsia" w:ascii="宋体" w:hAnsi="宋体" w:cs="宋体"/>
          <w:color w:val="auto"/>
          <w:sz w:val="24"/>
          <w:highlight w:val="none"/>
        </w:rPr>
        <w:t>报价（包含首次报价、最后报价）超过所参与</w:t>
      </w:r>
      <w:r>
        <w:rPr>
          <w:rFonts w:hint="eastAsia" w:hAnsi="宋体" w:cs="宋体"/>
          <w:color w:val="auto"/>
          <w:sz w:val="24"/>
          <w:highlight w:val="none"/>
        </w:rPr>
        <w:t>竞争性谈判</w:t>
      </w:r>
      <w:r>
        <w:rPr>
          <w:rFonts w:hint="eastAsia" w:ascii="宋体" w:hAnsi="宋体" w:cs="宋体"/>
          <w:color w:val="auto"/>
          <w:sz w:val="24"/>
          <w:highlight w:val="none"/>
        </w:rPr>
        <w:t>分标规定的采购预算金额或者最高限价的，其响应文件将按无效响应处理。</w:t>
      </w:r>
    </w:p>
    <w:p w14:paraId="06168CCD">
      <w:pPr>
        <w:spacing w:line="360" w:lineRule="auto"/>
        <w:ind w:firstLine="480" w:firstLineChars="200"/>
        <w:rPr>
          <w:rFonts w:hint="eastAsia" w:ascii="宋体" w:hAnsi="宋体" w:cs="宋体"/>
          <w:color w:val="auto"/>
          <w:sz w:val="24"/>
          <w:highlight w:val="none"/>
        </w:rPr>
      </w:pPr>
      <w:r>
        <w:rPr>
          <w:rFonts w:ascii="宋体" w:hAnsi="宋体" w:cs="宋体"/>
          <w:color w:val="auto"/>
          <w:sz w:val="24"/>
          <w:highlight w:val="none"/>
        </w:rPr>
        <w:t>15.3.3</w:t>
      </w:r>
      <w:r>
        <w:rPr>
          <w:rFonts w:hint="eastAsia" w:hAnsi="宋体" w:cs="宋体"/>
          <w:color w:val="auto"/>
          <w:sz w:val="24"/>
          <w:highlight w:val="none"/>
        </w:rPr>
        <w:t>竞争性谈判</w:t>
      </w:r>
      <w:r>
        <w:rPr>
          <w:rFonts w:hint="eastAsia" w:ascii="宋体" w:hAnsi="宋体" w:cs="宋体"/>
          <w:color w:val="auto"/>
          <w:sz w:val="24"/>
          <w:highlight w:val="none"/>
        </w:rPr>
        <w:t>报价（包含首次报价、最后报价）超过分项采购预算金额或者最高限价的，其响应文件将作无效处理。</w:t>
      </w:r>
    </w:p>
    <w:p w14:paraId="04129891">
      <w:pPr>
        <w:spacing w:line="360" w:lineRule="auto"/>
        <w:ind w:firstLine="643" w:firstLineChars="200"/>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16.竞争性谈判有效期</w:t>
      </w:r>
    </w:p>
    <w:p w14:paraId="58739E95">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16.1</w:t>
      </w:r>
      <w:r>
        <w:rPr>
          <w:rFonts w:hint="eastAsia" w:hAnsi="宋体" w:cs="宋体"/>
          <w:color w:val="auto"/>
          <w:sz w:val="24"/>
          <w:highlight w:val="none"/>
        </w:rPr>
        <w:t>竞争性谈判</w:t>
      </w:r>
      <w:r>
        <w:rPr>
          <w:rFonts w:hint="eastAsia" w:ascii="宋体" w:hAnsi="宋体" w:cs="宋体"/>
          <w:color w:val="auto"/>
          <w:sz w:val="24"/>
          <w:highlight w:val="none"/>
        </w:rPr>
        <w:t>有效期是指为保证采购人有足够的时间在提交响应文件后完成评审、确定成交供应商、合同签订等工作而要求供应商提交的响应文件在一定时间内保持有效的期限。</w:t>
      </w:r>
    </w:p>
    <w:p w14:paraId="6697A4E6">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16.2</w:t>
      </w:r>
      <w:r>
        <w:rPr>
          <w:rFonts w:hint="eastAsia" w:hAnsi="宋体" w:cs="宋体"/>
          <w:color w:val="auto"/>
          <w:sz w:val="24"/>
          <w:highlight w:val="none"/>
        </w:rPr>
        <w:t>竞争性谈判</w:t>
      </w:r>
      <w:r>
        <w:rPr>
          <w:rFonts w:hint="eastAsia" w:ascii="宋体" w:hAnsi="宋体" w:cs="宋体"/>
          <w:color w:val="auto"/>
          <w:sz w:val="24"/>
          <w:highlight w:val="none"/>
        </w:rPr>
        <w:t>有效期应由供应商按“供应商须知前附表”规定的期限作出响应。</w:t>
      </w:r>
    </w:p>
    <w:p w14:paraId="629E0589">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16.3供应商的响应文件在</w:t>
      </w:r>
      <w:r>
        <w:rPr>
          <w:rFonts w:hint="eastAsia" w:hAnsi="宋体" w:cs="宋体"/>
          <w:color w:val="auto"/>
          <w:sz w:val="24"/>
          <w:highlight w:val="none"/>
        </w:rPr>
        <w:t>竞争性谈判</w:t>
      </w:r>
      <w:r>
        <w:rPr>
          <w:rFonts w:hint="eastAsia" w:ascii="宋体" w:hAnsi="宋体" w:cs="宋体"/>
          <w:color w:val="auto"/>
          <w:sz w:val="24"/>
          <w:highlight w:val="none"/>
        </w:rPr>
        <w:t>有效期内均保持有效。</w:t>
      </w:r>
    </w:p>
    <w:p w14:paraId="63474DE1">
      <w:pPr>
        <w:spacing w:line="360" w:lineRule="auto"/>
        <w:ind w:firstLine="643" w:firstLineChars="200"/>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17.谈判保证金</w:t>
      </w:r>
    </w:p>
    <w:p w14:paraId="4183AD45">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17.1供应商须按“供应商须知前附表”的规定提交谈判保证金。</w:t>
      </w:r>
    </w:p>
    <w:p w14:paraId="739B058F">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17.2谈判保证金的退还</w:t>
      </w:r>
    </w:p>
    <w:p w14:paraId="1D312275">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未</w:t>
      </w:r>
      <w:r>
        <w:rPr>
          <w:rFonts w:hint="eastAsia" w:ascii="宋体" w:hAnsi="宋体" w:cs="宋体"/>
          <w:color w:val="auto"/>
          <w:spacing w:val="-6"/>
          <w:sz w:val="24"/>
          <w:highlight w:val="none"/>
        </w:rPr>
        <w:t>成交</w:t>
      </w:r>
      <w:r>
        <w:rPr>
          <w:rFonts w:hint="eastAsia" w:ascii="宋体" w:hAnsi="宋体" w:cs="宋体"/>
          <w:color w:val="auto"/>
          <w:sz w:val="24"/>
          <w:highlight w:val="none"/>
        </w:rPr>
        <w:t>供应商的谈判保证金自成交通知书发出之日起</w:t>
      </w:r>
      <w:r>
        <w:rPr>
          <w:rFonts w:ascii="宋体" w:hAnsi="宋体" w:cs="宋体"/>
          <w:color w:val="auto"/>
          <w:sz w:val="24"/>
          <w:highlight w:val="none"/>
        </w:rPr>
        <w:t>5</w:t>
      </w:r>
      <w:r>
        <w:rPr>
          <w:rFonts w:hint="eastAsia" w:ascii="宋体" w:hAnsi="宋体" w:cs="宋体"/>
          <w:color w:val="auto"/>
          <w:sz w:val="24"/>
          <w:highlight w:val="none"/>
        </w:rPr>
        <w:t>个工作日内退还；成交供应商的谈判保证金自签订合同之日起</w:t>
      </w:r>
      <w:r>
        <w:rPr>
          <w:rFonts w:ascii="宋体" w:hAnsi="宋体" w:cs="宋体"/>
          <w:color w:val="auto"/>
          <w:sz w:val="24"/>
          <w:highlight w:val="none"/>
        </w:rPr>
        <w:t>5</w:t>
      </w:r>
      <w:r>
        <w:rPr>
          <w:rFonts w:hint="eastAsia" w:ascii="宋体" w:hAnsi="宋体" w:cs="宋体"/>
          <w:color w:val="auto"/>
          <w:sz w:val="24"/>
          <w:highlight w:val="none"/>
        </w:rPr>
        <w:t xml:space="preserve">个工作日内退还。 </w:t>
      </w:r>
    </w:p>
    <w:p w14:paraId="01039E60">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17.3谈判保证金不计息。</w:t>
      </w:r>
    </w:p>
    <w:p w14:paraId="02DF8160">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17.4供应商有下列情形之一的，谈判保证金将不予退还： </w:t>
      </w:r>
    </w:p>
    <w:p w14:paraId="5372F1B4">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（1）供应商在提交首次响应文件截止时间后撤回响应文件的，但在提交最后报价之前退出谈判的情况除外；</w:t>
      </w:r>
    </w:p>
    <w:p w14:paraId="7BAF63B5">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（2）未按规定提交履约保证金的；</w:t>
      </w:r>
    </w:p>
    <w:p w14:paraId="12911C21">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（3）供应商在响应文件中提供</w:t>
      </w:r>
      <w:r>
        <w:rPr>
          <w:rFonts w:hint="eastAsia" w:ascii="宋体" w:hAnsi="宋体"/>
          <w:color w:val="auto"/>
          <w:sz w:val="24"/>
          <w:highlight w:val="none"/>
        </w:rPr>
        <w:t>虚假承诺、虚假检测报告等任何</w:t>
      </w:r>
      <w:r>
        <w:rPr>
          <w:rFonts w:hint="eastAsia" w:ascii="宋体" w:hAnsi="宋体" w:cs="宋体"/>
          <w:color w:val="auto"/>
          <w:sz w:val="24"/>
          <w:highlight w:val="none"/>
        </w:rPr>
        <w:t>虚假材料的；</w:t>
      </w:r>
    </w:p>
    <w:p w14:paraId="63F0DDC0">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（4）除因不可抗力或者谈判文件认可的情形以外，成交供应商不与采购人签订合同的；</w:t>
      </w:r>
    </w:p>
    <w:p w14:paraId="2A77FEB2">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（5）供应商与采购人、其他供应商或者采购代理机构恶意串通的；</w:t>
      </w:r>
    </w:p>
    <w:p w14:paraId="5872B460">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（6）法律法规规定的其他情形。</w:t>
      </w:r>
    </w:p>
    <w:p w14:paraId="437EAC2E">
      <w:pPr>
        <w:spacing w:line="360" w:lineRule="auto"/>
        <w:ind w:firstLine="643" w:firstLineChars="200"/>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18.响应文件编制的要求</w:t>
      </w:r>
    </w:p>
    <w:p w14:paraId="6DA02A5D">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18.1供应商应按本谈判文件规定的格式和顺序编制、装订响应文件并标注页码，响应文件内容</w:t>
      </w:r>
      <w:r>
        <w:rPr>
          <w:rFonts w:hint="eastAsia" w:ascii="宋体" w:hAnsi="宋体" w:cs="宋体"/>
          <w:color w:val="auto"/>
          <w:spacing w:val="-6"/>
          <w:sz w:val="24"/>
          <w:highlight w:val="none"/>
        </w:rPr>
        <w:t>不完整、编排混乱导致响应文件被误读、漏读或者查找不到相关内容的，</w:t>
      </w:r>
      <w:r>
        <w:rPr>
          <w:rFonts w:hint="eastAsia" w:ascii="宋体" w:hAnsi="宋体" w:cs="宋体"/>
          <w:color w:val="auto"/>
          <w:sz w:val="24"/>
          <w:szCs w:val="32"/>
          <w:highlight w:val="none"/>
        </w:rPr>
        <w:t>由此引发的</w:t>
      </w:r>
      <w:r>
        <w:rPr>
          <w:rFonts w:hint="eastAsia" w:ascii="宋体" w:hAnsi="宋体" w:cs="宋体"/>
          <w:color w:val="auto"/>
          <w:spacing w:val="-6"/>
          <w:sz w:val="24"/>
          <w:highlight w:val="none"/>
        </w:rPr>
        <w:t>后果由供应商承担。</w:t>
      </w:r>
    </w:p>
    <w:p w14:paraId="348620D4">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18.2响应文件应按资格证明文件、报价商务技术文件分别编制电子文件，</w:t>
      </w:r>
      <w:r>
        <w:rPr>
          <w:rFonts w:hint="eastAsia" w:ascii="宋体" w:hAnsi="宋体" w:cs="宋体"/>
          <w:color w:val="auto"/>
          <w:sz w:val="24"/>
          <w:highlight w:val="none"/>
          <w:lang w:bidi="ar"/>
        </w:rPr>
        <w:t>并按广西政府采购云平台的要求编制、加密、上传。</w:t>
      </w:r>
    </w:p>
    <w:p w14:paraId="18A6465A">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18.</w:t>
      </w:r>
      <w:bookmarkStart w:id="31" w:name="_Hlk65832699"/>
      <w:r>
        <w:rPr>
          <w:rFonts w:hint="eastAsia" w:ascii="宋体" w:hAnsi="宋体" w:cs="宋体"/>
          <w:color w:val="auto"/>
          <w:sz w:val="24"/>
          <w:highlight w:val="none"/>
        </w:rPr>
        <w:t>3响应文件须由供应商在规定位置盖公章并签字</w:t>
      </w:r>
      <w:bookmarkStart w:id="32" w:name="_Hlk65832569"/>
      <w:r>
        <w:rPr>
          <w:rFonts w:hint="eastAsia" w:ascii="宋体" w:hAnsi="宋体" w:cs="宋体"/>
          <w:color w:val="auto"/>
          <w:sz w:val="24"/>
          <w:highlight w:val="none"/>
        </w:rPr>
        <w:t>（具体以供应商须知前附表或响应文件格式规定为准）</w:t>
      </w:r>
      <w:bookmarkEnd w:id="31"/>
      <w:bookmarkEnd w:id="32"/>
      <w:r>
        <w:rPr>
          <w:rFonts w:hint="eastAsia" w:ascii="宋体" w:hAnsi="宋体" w:cs="宋体"/>
          <w:color w:val="auto"/>
          <w:sz w:val="24"/>
          <w:highlight w:val="none"/>
        </w:rPr>
        <w:t>，否则其响应文件按无效响应处理。</w:t>
      </w:r>
    </w:p>
    <w:p w14:paraId="3DE59C4C">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18.4响应文件中标注的供应商名称应与营业执照（事业单位法人证书、执业许可证、自然人身份证）及公章一致，否则其响应文件按无效响应处理。</w:t>
      </w:r>
    </w:p>
    <w:p w14:paraId="2CA9F2E4">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18.5响应文件应尽量避免涂改、行间插字或者删除。如果出现上述情况，改动之处应由供应商的法定代表人或者其委托代理人签字或者加盖公章。响应文件因涂改、行间插字或者删除导致字迹潦草或者表达不清所引起的后果由供应商承担。</w:t>
      </w:r>
    </w:p>
    <w:p w14:paraId="0ED7E228">
      <w:pPr>
        <w:spacing w:line="360" w:lineRule="auto"/>
        <w:ind w:firstLine="643" w:firstLineChars="200"/>
        <w:rPr>
          <w:rFonts w:hint="eastAsia" w:ascii="宋体" w:hAnsi="宋体" w:cs="宋体"/>
          <w:b/>
          <w:bCs/>
          <w:color w:val="auto"/>
          <w:sz w:val="32"/>
          <w:szCs w:val="32"/>
          <w:highlight w:val="none"/>
        </w:rPr>
      </w:pPr>
      <w:r>
        <w:rPr>
          <w:rFonts w:hint="eastAsia" w:ascii="宋体" w:hAnsi="宋体" w:cs="宋体"/>
          <w:b/>
          <w:color w:val="auto"/>
          <w:sz w:val="32"/>
          <w:szCs w:val="32"/>
          <w:highlight w:val="none"/>
        </w:rPr>
        <w:t>19.响应文件的加密、解密</w:t>
      </w:r>
    </w:p>
    <w:p w14:paraId="0B0BDD65">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19.1电子响应文件编制完成后，供应商应按广西政府采购云平台的要求进行加密，并在规定时间内解密，否则，由此产生的后果由供应商自行负责。</w:t>
      </w:r>
    </w:p>
    <w:p w14:paraId="33D79BE0">
      <w:pPr>
        <w:pStyle w:val="33"/>
        <w:ind w:firstLine="480" w:firstLineChars="200"/>
        <w:rPr>
          <w:color w:val="auto"/>
          <w:highlight w:val="none"/>
        </w:rPr>
      </w:pPr>
      <w:r>
        <w:rPr>
          <w:rFonts w:hint="eastAsia" w:ascii="宋体" w:hAnsi="宋体" w:cs="宋体"/>
          <w:color w:val="auto"/>
          <w:sz w:val="24"/>
          <w:highlight w:val="none"/>
        </w:rPr>
        <w:t>19.</w:t>
      </w:r>
      <w:r>
        <w:rPr>
          <w:rFonts w:ascii="宋体" w:hAnsi="宋体" w:cs="宋体"/>
          <w:color w:val="auto"/>
          <w:sz w:val="24"/>
          <w:highlight w:val="none"/>
        </w:rPr>
        <w:t>2</w:t>
      </w:r>
      <w:r>
        <w:rPr>
          <w:rFonts w:hint="eastAsia" w:ascii="宋体" w:hAnsi="宋体" w:cs="宋体"/>
          <w:color w:val="auto"/>
          <w:sz w:val="24"/>
          <w:highlight w:val="none"/>
        </w:rPr>
        <w:t>本项目不接受电子备份响应文件。</w:t>
      </w:r>
    </w:p>
    <w:p w14:paraId="61391C65">
      <w:pPr>
        <w:spacing w:line="360" w:lineRule="auto"/>
        <w:ind w:firstLine="643" w:firstLineChars="200"/>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20.响应文件的提交</w:t>
      </w:r>
    </w:p>
    <w:p w14:paraId="05A10430">
      <w:pPr>
        <w:widowControl/>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20.1供应商必须在“供应商须知前附表”规定的时间和地点提交响应文件。</w:t>
      </w:r>
    </w:p>
    <w:p w14:paraId="67032B13">
      <w:pPr>
        <w:widowControl/>
        <w:spacing w:line="360" w:lineRule="auto"/>
        <w:ind w:firstLine="480" w:firstLineChars="200"/>
        <w:rPr>
          <w:rFonts w:hint="eastAsia" w:ascii="宋体" w:hAnsi="宋体" w:cs="宋体"/>
          <w:b/>
          <w:color w:val="auto"/>
          <w:sz w:val="24"/>
          <w:highlight w:val="none"/>
          <w:lang w:bidi="ar"/>
        </w:rPr>
      </w:pPr>
      <w:r>
        <w:rPr>
          <w:rFonts w:hint="eastAsia" w:ascii="宋体" w:hAnsi="宋体" w:cs="宋体"/>
          <w:color w:val="auto"/>
          <w:sz w:val="24"/>
          <w:highlight w:val="none"/>
        </w:rPr>
        <w:t>20.</w:t>
      </w:r>
      <w:r>
        <w:rPr>
          <w:rFonts w:ascii="宋体" w:hAnsi="宋体" w:cs="宋体"/>
          <w:color w:val="auto"/>
          <w:sz w:val="24"/>
          <w:highlight w:val="none"/>
        </w:rPr>
        <w:t>2</w:t>
      </w:r>
      <w:r>
        <w:rPr>
          <w:rFonts w:hint="eastAsia" w:ascii="宋体" w:hAnsi="宋体" w:cs="宋体"/>
          <w:color w:val="auto"/>
          <w:sz w:val="24"/>
          <w:highlight w:val="none"/>
          <w:lang w:bidi="ar"/>
        </w:rPr>
        <w:t>本项目为全流程电子化政府采购项目，通过广西政府采购云平台（https://www.gcy.zfcg.gxzf.gov.cn/）实行在线电子竞争性谈判，供应商应先安装“广西政府采购云平台电子交易客户端”（请自行前往广西政府采购云平台进行下载），并按照本项目竞争性谈判文件和广西政府采购云平台的要求编制、加密后在首次响应文件提交截止时间前通过网络上传至广西政府采购云平台，</w:t>
      </w:r>
      <w:r>
        <w:rPr>
          <w:rFonts w:hint="eastAsia" w:ascii="宋体" w:hAnsi="宋体" w:cs="宋体"/>
          <w:b/>
          <w:color w:val="auto"/>
          <w:sz w:val="24"/>
          <w:highlight w:val="none"/>
          <w:lang w:bidi="ar"/>
        </w:rPr>
        <w:t>供应商在广西政府采购云平台提交电子版响应文件时，请填写参加远程开标活动经办人联系方式。</w:t>
      </w:r>
    </w:p>
    <w:p w14:paraId="7F9876AD">
      <w:pPr>
        <w:pStyle w:val="5"/>
        <w:keepNext w:val="0"/>
        <w:keepLines w:val="0"/>
        <w:spacing w:before="0" w:after="0" w:line="360" w:lineRule="auto"/>
        <w:ind w:firstLine="480" w:firstLineChars="200"/>
        <w:jc w:val="left"/>
        <w:rPr>
          <w:rFonts w:hint="eastAsia" w:ascii="宋体" w:hAnsi="宋体" w:cs="宋体"/>
          <w:b w:val="0"/>
          <w:color w:val="auto"/>
          <w:sz w:val="24"/>
          <w:szCs w:val="24"/>
          <w:highlight w:val="none"/>
        </w:rPr>
      </w:pPr>
      <w:r>
        <w:rPr>
          <w:rFonts w:hint="eastAsia" w:ascii="宋体" w:hAnsi="宋体" w:cs="宋体"/>
          <w:b w:val="0"/>
          <w:color w:val="auto"/>
          <w:sz w:val="24"/>
          <w:szCs w:val="24"/>
          <w:highlight w:val="none"/>
        </w:rPr>
        <w:t>20.</w:t>
      </w:r>
      <w:r>
        <w:rPr>
          <w:rFonts w:ascii="宋体" w:hAnsi="宋体" w:cs="宋体"/>
          <w:b w:val="0"/>
          <w:color w:val="auto"/>
          <w:sz w:val="24"/>
          <w:szCs w:val="24"/>
          <w:highlight w:val="none"/>
        </w:rPr>
        <w:t>3</w:t>
      </w:r>
      <w:r>
        <w:rPr>
          <w:rFonts w:hint="eastAsia" w:ascii="宋体" w:hAnsi="宋体" w:cs="宋体"/>
          <w:b w:val="0"/>
          <w:color w:val="auto"/>
          <w:sz w:val="24"/>
          <w:szCs w:val="24"/>
          <w:highlight w:val="none"/>
        </w:rPr>
        <w:t>未在规定时间内上传或者未按广西政府采购云平台的要求编制、加密的电子响应文件，广西政府采购云平台将拒收。</w:t>
      </w:r>
    </w:p>
    <w:p w14:paraId="170DD7F1">
      <w:pPr>
        <w:widowControl/>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20.</w:t>
      </w:r>
      <w:r>
        <w:rPr>
          <w:rFonts w:ascii="宋体" w:hAnsi="宋体" w:cs="宋体"/>
          <w:color w:val="auto"/>
          <w:sz w:val="24"/>
          <w:highlight w:val="none"/>
        </w:rPr>
        <w:t>4</w:t>
      </w:r>
      <w:r>
        <w:rPr>
          <w:rFonts w:hint="eastAsia" w:ascii="宋体" w:hAnsi="宋体" w:cs="宋体"/>
          <w:color w:val="auto"/>
          <w:sz w:val="24"/>
          <w:highlight w:val="none"/>
        </w:rPr>
        <w:t>电子响应文件提交方式见“竞争性谈判公告”中“四、响应文件提交”。</w:t>
      </w:r>
    </w:p>
    <w:p w14:paraId="0921ED3B">
      <w:pPr>
        <w:spacing w:line="360" w:lineRule="auto"/>
        <w:ind w:firstLine="643" w:firstLineChars="200"/>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21.首次响应文件的补充、修改与撤回</w:t>
      </w:r>
    </w:p>
    <w:p w14:paraId="75969825">
      <w:pPr>
        <w:spacing w:line="360" w:lineRule="auto"/>
        <w:ind w:firstLine="480" w:firstLineChars="200"/>
        <w:rPr>
          <w:rFonts w:hint="eastAsia" w:ascii="宋体" w:hAnsi="宋体" w:cs="宋体"/>
          <w:color w:val="auto"/>
          <w:sz w:val="24"/>
          <w:highlight w:val="none"/>
        </w:rPr>
      </w:pPr>
      <w:r>
        <w:rPr>
          <w:rFonts w:hint="eastAsia" w:ascii="宋体" w:hAnsi="宋体" w:cs="宋体"/>
          <w:bCs/>
          <w:color w:val="auto"/>
          <w:sz w:val="24"/>
          <w:highlight w:val="none"/>
          <w:lang w:bidi="ar"/>
        </w:rPr>
        <w:t>21.1供应商应当在首次响应文件提交截止时间前完成电子响应文件的上传、递交，首次响应文件提交截止时间前可以补充、修改或者撤回响应文件。补充或者修改响应文件的，应当先行撤回原文件，补充、修改后重新上传、递交。首次响应文件提交截止时间前未完成上传、递交的，视为撤回响应文件。首次响应文件提交截止时间以后上传递交的响应文件，广西政府采购云平台将予以拒收。</w:t>
      </w:r>
    </w:p>
    <w:p w14:paraId="2D57A79F">
      <w:pPr>
        <w:spacing w:line="360" w:lineRule="auto"/>
        <w:ind w:firstLine="643" w:firstLineChars="200"/>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22.首次响应文件的退回</w:t>
      </w:r>
    </w:p>
    <w:p w14:paraId="16C6530F">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22.1在首次响应文件提交截止时间止提交响应文件的供应商不足3家时，采购代理机构将根据广西政府采购云平台的操作将电子版响应文件退回，除此之外采购人和采购代理机构对已提交的电子响应文件概不退回。</w:t>
      </w:r>
    </w:p>
    <w:p w14:paraId="516D2730">
      <w:pPr>
        <w:spacing w:line="360" w:lineRule="auto"/>
        <w:ind w:firstLine="643" w:firstLineChars="200"/>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23.截止时间后的撤回</w:t>
      </w:r>
    </w:p>
    <w:p w14:paraId="638533E1">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23.1供应商在首次响应文件提交截止时间后书面通知采购人、采购代理机构书面撤回响应文件的，将根据本须知正文17.4的规定不予退还其谈判保证金。</w:t>
      </w:r>
    </w:p>
    <w:p w14:paraId="0824179B">
      <w:pPr>
        <w:spacing w:line="360" w:lineRule="auto"/>
        <w:ind w:firstLine="480" w:firstLineChars="200"/>
        <w:rPr>
          <w:rFonts w:hint="eastAsia" w:ascii="宋体" w:hAnsi="宋体" w:cs="宋体"/>
          <w:color w:val="auto"/>
          <w:sz w:val="24"/>
          <w:highlight w:val="none"/>
        </w:rPr>
      </w:pPr>
    </w:p>
    <w:p w14:paraId="6BAA591E">
      <w:pPr>
        <w:spacing w:line="360" w:lineRule="auto"/>
        <w:jc w:val="center"/>
        <w:rPr>
          <w:rFonts w:hint="eastAsia" w:ascii="宋体" w:hAnsi="宋体" w:cs="宋体"/>
          <w:b/>
          <w:color w:val="auto"/>
          <w:sz w:val="40"/>
          <w:szCs w:val="40"/>
          <w:highlight w:val="none"/>
        </w:rPr>
      </w:pPr>
      <w:r>
        <w:rPr>
          <w:rFonts w:hint="eastAsia" w:ascii="宋体" w:hAnsi="宋体" w:cs="宋体"/>
          <w:b/>
          <w:color w:val="auto"/>
          <w:sz w:val="40"/>
          <w:szCs w:val="40"/>
          <w:highlight w:val="none"/>
        </w:rPr>
        <w:t>四、评审及谈判</w:t>
      </w:r>
    </w:p>
    <w:p w14:paraId="0129BC81">
      <w:pPr>
        <w:spacing w:line="360" w:lineRule="auto"/>
        <w:ind w:firstLine="420"/>
        <w:rPr>
          <w:rFonts w:hint="eastAsia" w:ascii="宋体" w:hAnsi="宋体" w:cs="宋体"/>
          <w:color w:val="auto"/>
          <w:sz w:val="24"/>
          <w:highlight w:val="none"/>
        </w:rPr>
      </w:pPr>
    </w:p>
    <w:p w14:paraId="393143DB">
      <w:pPr>
        <w:spacing w:line="360" w:lineRule="auto"/>
        <w:ind w:firstLine="643" w:firstLineChars="200"/>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24.谈判小组成立</w:t>
      </w:r>
    </w:p>
    <w:p w14:paraId="3204FBBB">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24.1竞争性谈判小组成立：谈判小组由采购人代表和评审专家共3人以上单数组成，具体人数详见“供应商须知前附表”，其中评审专家人数不得少于竞争性谈判小组成员总数的2/3。采购人不得以评审专家身份参加本部门或者本单位采购项目的评审。采购代理机构人员不得参加本机构代理的采购项目的评审。达到公开招标数额标准的货物或者服务采购项目，或者达到招标规模标准的政府采购工程，竞争性谈判小组应当由5人以上单数组成。</w:t>
      </w:r>
    </w:p>
    <w:p w14:paraId="043A0BB4">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24.2评审专家应当从政府采购评审专家库内相关专业的专家名单中随机抽取。技术复杂、专业性强的竞争性谈判采购项目，通过随机方式难以确定合适的评审专家的，经主管预算单位同意，可以自行选定评审专家。技术复杂、专业性强的竞争性谈判采购项目，评审专家中应当包含1名法律专家。</w:t>
      </w:r>
    </w:p>
    <w:p w14:paraId="41DFB8E7">
      <w:pPr>
        <w:spacing w:line="360" w:lineRule="auto"/>
        <w:ind w:firstLine="643" w:firstLineChars="200"/>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25.首次响应文件的开启</w:t>
      </w:r>
    </w:p>
    <w:p w14:paraId="3EC55ED1">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25.1首次响应文件由谈判小组或者采购代理机构在“供应商须知前附表”规定的时间开启。</w:t>
      </w:r>
    </w:p>
    <w:p w14:paraId="34D35D28">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25.2 响应文件解密：采购代理机构将在“供应商须知前附表”规定的时间通过电子交易平台组织响应文件开启，采购代理机构将依托电子交易平台发起开始解密指令，</w:t>
      </w:r>
      <w:r>
        <w:rPr>
          <w:rFonts w:hint="eastAsia" w:ascii="宋体" w:hAnsi="宋体" w:cs="宋体"/>
          <w:b/>
          <w:color w:val="auto"/>
          <w:sz w:val="24"/>
          <w:highlight w:val="none"/>
        </w:rPr>
        <w:t>供应商的法定代表人或其委托代理人须携带加密时所用的CA锁按平台提示和采购文件的规定登录到广西政府采购云平台电子开标大厅签到并在发起解密指令之时起30分钟内完成对电子响应文件在线解密。</w:t>
      </w:r>
      <w:r>
        <w:rPr>
          <w:rFonts w:hint="eastAsia" w:ascii="宋体" w:hAnsi="宋体" w:cs="宋体"/>
          <w:b/>
          <w:bCs/>
          <w:color w:val="auto"/>
          <w:sz w:val="24"/>
          <w:highlight w:val="none"/>
        </w:rPr>
        <w:t>响应文件未按时解密的，视为响应文件无效。</w:t>
      </w:r>
      <w:r>
        <w:rPr>
          <w:rFonts w:hint="eastAsia" w:ascii="宋体" w:hAnsi="宋体" w:cs="宋体"/>
          <w:color w:val="auto"/>
          <w:sz w:val="24"/>
          <w:highlight w:val="none"/>
        </w:rPr>
        <w:t>（解密异常情况处理：详见本章26.2电子交易活动的中止。）</w:t>
      </w:r>
    </w:p>
    <w:p w14:paraId="2BA98A38">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25.3成功解密响应文件的供应商不足3家的，不得谈判。</w:t>
      </w:r>
    </w:p>
    <w:p w14:paraId="22285326">
      <w:pPr>
        <w:spacing w:line="360" w:lineRule="auto"/>
        <w:ind w:firstLine="643" w:firstLineChars="200"/>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26.评审程序和评定成交的标准</w:t>
      </w:r>
    </w:p>
    <w:p w14:paraId="51A934EC">
      <w:pPr>
        <w:pStyle w:val="5"/>
        <w:keepNext w:val="0"/>
        <w:keepLines w:val="0"/>
        <w:spacing w:before="0" w:after="0" w:line="360" w:lineRule="auto"/>
        <w:ind w:firstLine="422" w:firstLineChars="175"/>
        <w:rPr>
          <w:rFonts w:hint="eastAsia" w:ascii="宋体" w:hAnsi="宋体" w:cs="宋体"/>
          <w:color w:val="auto"/>
          <w:sz w:val="24"/>
          <w:highlight w:val="none"/>
        </w:rPr>
      </w:pPr>
      <w:r>
        <w:rPr>
          <w:rFonts w:hint="eastAsia" w:ascii="宋体" w:hAnsi="宋体" w:cs="宋体"/>
          <w:color w:val="auto"/>
          <w:sz w:val="24"/>
          <w:highlight w:val="none"/>
        </w:rPr>
        <w:t>26.1谈判小组按照“第四章  评审程序和评定成交的标准”规定的评审程序对响应文件进行评审，并按照评定成交的标准推荐成交候选供应商。</w:t>
      </w:r>
    </w:p>
    <w:p w14:paraId="12BD7B62">
      <w:pPr>
        <w:pStyle w:val="5"/>
        <w:keepNext w:val="0"/>
        <w:keepLines w:val="0"/>
        <w:spacing w:before="0" w:after="0" w:line="360" w:lineRule="auto"/>
        <w:ind w:firstLine="420" w:firstLineChars="175"/>
        <w:rPr>
          <w:rFonts w:hint="eastAsia" w:ascii="宋体" w:hAnsi="宋体" w:cs="宋体"/>
          <w:b w:val="0"/>
          <w:bCs w:val="0"/>
          <w:color w:val="auto"/>
          <w:sz w:val="24"/>
          <w:szCs w:val="24"/>
          <w:highlight w:val="none"/>
        </w:rPr>
      </w:pPr>
      <w:r>
        <w:rPr>
          <w:rFonts w:hint="eastAsia" w:ascii="宋体" w:hAnsi="宋体" w:cs="宋体"/>
          <w:b w:val="0"/>
          <w:bCs w:val="0"/>
          <w:color w:val="auto"/>
          <w:sz w:val="24"/>
          <w:szCs w:val="24"/>
          <w:highlight w:val="none"/>
        </w:rPr>
        <w:t>26.2根据《国务院办公厅关于在政府采购中实施本国产品标准及相关政策的通知》（国办发〔2025〕34 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0A3325C9">
      <w:pPr>
        <w:spacing w:line="360" w:lineRule="auto"/>
        <w:ind w:firstLine="420"/>
        <w:jc w:val="left"/>
        <w:rPr>
          <w:rFonts w:hint="eastAsia" w:ascii="宋体" w:hAnsi="宋体" w:cs="宋体"/>
          <w:color w:val="auto"/>
          <w:sz w:val="24"/>
          <w:highlight w:val="none"/>
        </w:rPr>
      </w:pPr>
      <w:r>
        <w:rPr>
          <w:rFonts w:hint="eastAsia" w:ascii="宋体" w:hAnsi="宋体" w:cs="宋体"/>
          <w:color w:val="auto"/>
          <w:sz w:val="24"/>
          <w:highlight w:val="none"/>
        </w:rPr>
        <w:t>产品在中国境内生产的组件成本占比应当达到规定比例，计算公式为：</w:t>
      </w:r>
      <w:r>
        <w:rPr>
          <w:rFonts w:ascii="微软雅黑" w:hAnsi="微软雅黑" w:eastAsia="微软雅黑" w:cs="宋体"/>
          <w:color w:val="auto"/>
          <w:kern w:val="0"/>
          <w:sz w:val="24"/>
          <w:highlight w:val="none"/>
        </w:rPr>
        <w:drawing>
          <wp:inline distT="0" distB="0" distL="114300" distR="114300">
            <wp:extent cx="4829175" cy="762000"/>
            <wp:effectExtent l="0" t="0" r="9525" b="0"/>
            <wp:docPr id="1" name="图片 1" descr="https://hainan.chinatax.gov.cn/u/cms/www/202510/090841112j4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https://hainan.chinatax.gov.cn/u/cms/www/202510/090841112j4q.jpg"/>
                    <pic:cNvPicPr>
                      <a:picLocks noChangeAspect="1"/>
                    </pic:cNvPicPr>
                  </pic:nvPicPr>
                  <pic:blipFill>
                    <a:blip r:embed="rId11"/>
                    <a:stretch>
                      <a:fillRect/>
                    </a:stretch>
                  </pic:blipFill>
                  <pic:spPr>
                    <a:xfrm>
                      <a:off x="0" y="0"/>
                      <a:ext cx="4829175" cy="762000"/>
                    </a:xfrm>
                    <a:prstGeom prst="rect">
                      <a:avLst/>
                    </a:prstGeom>
                    <a:noFill/>
                    <a:ln>
                      <a:noFill/>
                    </a:ln>
                  </pic:spPr>
                </pic:pic>
              </a:graphicData>
            </a:graphic>
          </wp:inline>
        </w:drawing>
      </w:r>
    </w:p>
    <w:p w14:paraId="673D58EC">
      <w:pPr>
        <w:spacing w:line="360" w:lineRule="auto"/>
        <w:ind w:firstLine="420"/>
        <w:rPr>
          <w:rFonts w:hint="eastAsia" w:ascii="宋体" w:hAnsi="宋体" w:cs="宋体"/>
          <w:color w:val="auto"/>
          <w:sz w:val="24"/>
          <w:highlight w:val="none"/>
        </w:rPr>
      </w:pPr>
      <w:r>
        <w:rPr>
          <w:rFonts w:hint="eastAsia" w:ascii="宋体" w:hAnsi="宋体" w:cs="宋体"/>
          <w:color w:val="auto"/>
          <w:sz w:val="24"/>
          <w:highlight w:val="none"/>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37894BD2">
      <w:pPr>
        <w:spacing w:line="360" w:lineRule="auto"/>
        <w:ind w:firstLine="420"/>
        <w:rPr>
          <w:rFonts w:hint="eastAsia" w:ascii="宋体" w:hAnsi="宋体" w:cs="宋体"/>
          <w:color w:val="auto"/>
          <w:sz w:val="24"/>
          <w:highlight w:val="none"/>
        </w:rPr>
      </w:pPr>
      <w:r>
        <w:rPr>
          <w:rFonts w:hint="eastAsia" w:ascii="宋体" w:hAnsi="宋体" w:cs="宋体"/>
          <w:color w:val="auto"/>
          <w:sz w:val="24"/>
          <w:highlight w:val="none"/>
        </w:rPr>
        <w:t>政府采购活动中既有本国产品又有非本国产品参与竞争的，依法对本国产品给予价格评审优惠，对本国产品的报价给予 20%的价格扣除，用扣除后的价格参与评审。</w:t>
      </w:r>
    </w:p>
    <w:p w14:paraId="000A9341">
      <w:pPr>
        <w:spacing w:line="360" w:lineRule="auto"/>
        <w:ind w:firstLine="480" w:firstLineChars="200"/>
        <w:rPr>
          <w:rFonts w:hint="eastAsia" w:ascii="宋体" w:hAnsi="宋体" w:cs="宋体"/>
          <w:color w:val="auto"/>
          <w:sz w:val="24"/>
          <w:highlight w:val="none"/>
        </w:rPr>
      </w:pPr>
      <w:r>
        <w:rPr>
          <w:rFonts w:hint="eastAsia" w:hAnsi="宋体" w:cs="宋体"/>
          <w:color w:val="auto"/>
          <w:sz w:val="24"/>
          <w:highlight w:val="none"/>
        </w:rPr>
        <w:t>当采购项目或者采购包中含有多种产品，供应商为该采购项目或者采购包提供的符合本国产品标准的产品成本之和占该供应商提供的全部产品成本之和的比例达到 80%以上时，依法对该供应商提供的全部产品给予价格评审优惠，即对该供应商提供的全部产品的总报价给予20%的价格扣除，用扣除后的价格参与评审。</w:t>
      </w:r>
    </w:p>
    <w:p w14:paraId="30BFCBCD">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26.</w:t>
      </w:r>
      <w:r>
        <w:rPr>
          <w:rFonts w:ascii="宋体" w:hAnsi="宋体" w:cs="宋体"/>
          <w:color w:val="auto"/>
          <w:sz w:val="24"/>
          <w:highlight w:val="none"/>
        </w:rPr>
        <w:t>3</w:t>
      </w:r>
      <w:r>
        <w:rPr>
          <w:rFonts w:hint="eastAsia" w:ascii="宋体" w:hAnsi="宋体" w:cs="宋体"/>
          <w:color w:val="auto"/>
          <w:sz w:val="24"/>
          <w:highlight w:val="none"/>
        </w:rPr>
        <w:t>电子交易活动的中止。采购过程中出现以下情形，导致电子交易平台无法正常运行，或者无法保证电子交易的公平、公正和安全时，采购机构可中止电子交易活动：</w:t>
      </w:r>
    </w:p>
    <w:p w14:paraId="48FA513D">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（1）电子交易平台发生故障而无法登录访问的； </w:t>
      </w:r>
    </w:p>
    <w:p w14:paraId="460B6980">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（2）电子交易平台应用或数据库出现错误，不能进行正常操作的；</w:t>
      </w:r>
    </w:p>
    <w:p w14:paraId="3EDB3342">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（3）电子交易平台发现严重安全漏洞，有潜在泄密危险的；</w:t>
      </w:r>
    </w:p>
    <w:p w14:paraId="7A4A4A0F">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（4）病毒发作导致不能进行正常操作的； </w:t>
      </w:r>
    </w:p>
    <w:p w14:paraId="0F080E8C">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w:t>
      </w:r>
      <w:r>
        <w:rPr>
          <w:rFonts w:ascii="宋体" w:hAnsi="宋体" w:cs="宋体"/>
          <w:color w:val="auto"/>
          <w:sz w:val="24"/>
          <w:highlight w:val="none"/>
        </w:rPr>
        <w:t>5</w:t>
      </w:r>
      <w:r>
        <w:rPr>
          <w:rFonts w:hint="eastAsia" w:ascii="宋体" w:hAnsi="宋体" w:cs="宋体"/>
          <w:color w:val="auto"/>
          <w:sz w:val="24"/>
          <w:highlight w:val="none"/>
        </w:rPr>
        <w:t>）其他无法保证电子交易的公平、公正和安全的情况。</w:t>
      </w:r>
    </w:p>
    <w:p w14:paraId="4322D651">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26.</w:t>
      </w:r>
      <w:r>
        <w:rPr>
          <w:rFonts w:ascii="宋体" w:hAnsi="宋体" w:cs="宋体"/>
          <w:color w:val="auto"/>
          <w:sz w:val="24"/>
          <w:highlight w:val="none"/>
        </w:rPr>
        <w:t>4</w:t>
      </w:r>
      <w:r>
        <w:rPr>
          <w:rFonts w:hint="eastAsia" w:ascii="宋体" w:hAnsi="宋体" w:cs="宋体"/>
          <w:color w:val="auto"/>
          <w:sz w:val="24"/>
          <w:highlight w:val="none"/>
        </w:rPr>
        <w:t>出现以上情形，不影响采购公平、公正性的，采购代理机构可以待上述情形消除后继续组织电子交易活动；影响或可能影响采购公平、公正性的，经采购代理机构确认后，应当重新采购。</w:t>
      </w:r>
    </w:p>
    <w:p w14:paraId="2A84C9E1">
      <w:pPr>
        <w:spacing w:line="360" w:lineRule="auto"/>
        <w:ind w:firstLine="643" w:firstLineChars="200"/>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27.确定成交供应商及结果公告</w:t>
      </w:r>
    </w:p>
    <w:p w14:paraId="43417828">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27.1 采购代理机构应当在评审结束后2个工作日内将评审报告送采购人确认。采购人应当在收到评审报告后5个工作日内，将评审报告提出的排名第一的成交候选人确定为成交供应商，也可以书面授权谈判小组直接确定成交供应商。采购人逾期未确定成交供应商且不提出异议的，视为确定评审报告提出的排名第一的成交候选人为成交供应商。</w:t>
      </w:r>
    </w:p>
    <w:p w14:paraId="52DDCE29">
      <w:pPr>
        <w:pStyle w:val="8"/>
        <w:spacing w:line="360" w:lineRule="auto"/>
        <w:ind w:firstLine="480" w:firstLineChars="200"/>
        <w:jc w:val="both"/>
        <w:rPr>
          <w:rFonts w:hint="eastAsia" w:ascii="宋体" w:hAnsi="宋体" w:cs="宋体"/>
          <w:color w:val="auto"/>
          <w:kern w:val="0"/>
          <w:sz w:val="24"/>
          <w:highlight w:val="none"/>
        </w:rPr>
      </w:pPr>
      <w:r>
        <w:rPr>
          <w:rFonts w:hint="eastAsia" w:ascii="宋体" w:hAnsi="宋体" w:cs="宋体"/>
          <w:color w:val="auto"/>
          <w:kern w:val="0"/>
          <w:sz w:val="24"/>
          <w:highlight w:val="none"/>
        </w:rPr>
        <w:t>27.2采购代理机构应当在成交供应商确定后2个工作日内，在省级以上财政部门指定的媒体上公告成交结果</w:t>
      </w:r>
      <w:bookmarkStart w:id="33" w:name="_Hlk207204842"/>
      <w:r>
        <w:rPr>
          <w:rFonts w:hint="eastAsia" w:ascii="宋体" w:hAnsi="宋体" w:cs="宋体"/>
          <w:color w:val="auto"/>
          <w:kern w:val="0"/>
          <w:sz w:val="24"/>
          <w:highlight w:val="none"/>
        </w:rPr>
        <w:t>，同时向成交供应商发出成交通知书</w:t>
      </w:r>
      <w:bookmarkEnd w:id="33"/>
      <w:r>
        <w:rPr>
          <w:rFonts w:hint="eastAsia" w:ascii="宋体" w:hAnsi="宋体" w:cs="宋体"/>
          <w:color w:val="auto"/>
          <w:kern w:val="0"/>
          <w:sz w:val="24"/>
          <w:highlight w:val="none"/>
        </w:rPr>
        <w:t>。</w:t>
      </w:r>
      <w:bookmarkStart w:id="34" w:name="_Hlk207204858"/>
      <w:r>
        <w:rPr>
          <w:rFonts w:hint="eastAsia" w:ascii="宋体" w:hAnsi="宋体" w:cs="宋体"/>
          <w:b/>
          <w:color w:val="auto"/>
          <w:kern w:val="0"/>
          <w:sz w:val="24"/>
          <w:highlight w:val="none"/>
        </w:rPr>
        <w:t>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w:t>
      </w:r>
      <w:bookmarkEnd w:id="34"/>
      <w:bookmarkStart w:id="35" w:name="_Hlk207204881"/>
      <w:r>
        <w:rPr>
          <w:rFonts w:hint="eastAsia" w:ascii="宋体" w:hAnsi="宋体" w:cs="宋体"/>
          <w:color w:val="auto"/>
          <w:kern w:val="0"/>
          <w:sz w:val="24"/>
          <w:highlight w:val="none"/>
        </w:rPr>
        <w:t>排名第二的成交候选人因上述规定的同样原因被取消成交资格的，采购人可以确定排名第三的成交候选人为成交供应商。以上信息查询记录及相关证据与谈判文件一并保存。</w:t>
      </w:r>
      <w:bookmarkEnd w:id="35"/>
      <w:r>
        <w:rPr>
          <w:rFonts w:hint="eastAsia" w:ascii="宋体" w:hAnsi="宋体" w:cs="宋体"/>
          <w:color w:val="auto"/>
          <w:sz w:val="24"/>
          <w:highlight w:val="none"/>
        </w:rPr>
        <w:t>成交供应商享受《政府采购促进中小企业发展管理办法》（财库〔2020〕46号）规定的中小企业扶持政策的，采购人、采购代理机构应当随成交结果公开成交供应商的《中小企业声明函》。</w:t>
      </w:r>
      <w:r>
        <w:rPr>
          <w:rFonts w:hint="eastAsia" w:ascii="宋体" w:hAnsi="宋体" w:cs="宋体"/>
          <w:color w:val="auto"/>
          <w:sz w:val="24"/>
          <w:highlight w:val="none"/>
        </w:rPr>
        <w:t>成交供应商享受国务院办公厅关于在政府采购中实施本国产品标准及相关政策的通知（国办发〔2025〕34号）政策的，采购人、采购代理机构应当随成交结果公开成交供应商的《关于符合本国产品标准的声明函》。</w:t>
      </w:r>
    </w:p>
    <w:p w14:paraId="693F1B77">
      <w:pPr>
        <w:pStyle w:val="8"/>
        <w:spacing w:line="360" w:lineRule="auto"/>
        <w:ind w:firstLine="480" w:firstLineChars="200"/>
        <w:jc w:val="both"/>
        <w:rPr>
          <w:rFonts w:hint="eastAsia" w:ascii="宋体" w:hAnsi="宋体" w:cs="宋体"/>
          <w:color w:val="auto"/>
          <w:sz w:val="24"/>
          <w:highlight w:val="none"/>
        </w:rPr>
      </w:pPr>
      <w:r>
        <w:rPr>
          <w:rFonts w:hint="eastAsia" w:ascii="宋体" w:hAnsi="宋体" w:cs="宋体"/>
          <w:color w:val="auto"/>
          <w:sz w:val="24"/>
          <w:highlight w:val="none"/>
        </w:rPr>
        <w:t>27.3出现下列情形之一的，采购人或者采购代理机构应当终止竞争性谈判采购活动，发布项目终止公告并说明原因，重新开展采购活动：</w:t>
      </w:r>
    </w:p>
    <w:p w14:paraId="350D9A2B">
      <w:pPr>
        <w:pStyle w:val="8"/>
        <w:spacing w:line="360" w:lineRule="auto"/>
        <w:ind w:firstLine="480" w:firstLineChars="200"/>
        <w:jc w:val="both"/>
        <w:rPr>
          <w:rFonts w:hint="eastAsia" w:ascii="宋体" w:hAnsi="宋体" w:cs="宋体"/>
          <w:color w:val="auto"/>
          <w:sz w:val="24"/>
          <w:highlight w:val="none"/>
        </w:rPr>
      </w:pPr>
      <w:r>
        <w:rPr>
          <w:rFonts w:hint="eastAsia" w:ascii="宋体" w:hAnsi="宋体" w:cs="宋体"/>
          <w:color w:val="auto"/>
          <w:sz w:val="24"/>
          <w:highlight w:val="none"/>
        </w:rPr>
        <w:t>（一）因情况变化，不再符合规定的竞争性谈判采购方式适用情形的；</w:t>
      </w:r>
    </w:p>
    <w:p w14:paraId="65E039B6">
      <w:pPr>
        <w:pStyle w:val="8"/>
        <w:spacing w:line="360" w:lineRule="auto"/>
        <w:ind w:firstLine="480" w:firstLineChars="200"/>
        <w:jc w:val="both"/>
        <w:rPr>
          <w:rFonts w:hint="eastAsia" w:ascii="宋体" w:hAnsi="宋体" w:cs="宋体"/>
          <w:color w:val="auto"/>
          <w:sz w:val="24"/>
          <w:highlight w:val="none"/>
        </w:rPr>
      </w:pPr>
      <w:r>
        <w:rPr>
          <w:rFonts w:hint="eastAsia" w:ascii="宋体" w:hAnsi="宋体" w:cs="宋体"/>
          <w:color w:val="auto"/>
          <w:sz w:val="24"/>
          <w:highlight w:val="none"/>
        </w:rPr>
        <w:t>（二）出现影响采购公正的违法、违规行为的；</w:t>
      </w:r>
    </w:p>
    <w:p w14:paraId="6612F001">
      <w:pPr>
        <w:pStyle w:val="8"/>
        <w:spacing w:line="360" w:lineRule="auto"/>
        <w:ind w:firstLine="480" w:firstLineChars="200"/>
        <w:jc w:val="both"/>
        <w:rPr>
          <w:rFonts w:hint="eastAsia" w:ascii="宋体" w:hAnsi="宋体" w:cs="宋体"/>
          <w:color w:val="auto"/>
          <w:sz w:val="24"/>
          <w:highlight w:val="none"/>
        </w:rPr>
      </w:pPr>
      <w:r>
        <w:rPr>
          <w:rFonts w:hint="eastAsia" w:ascii="宋体" w:hAnsi="宋体" w:cs="宋体"/>
          <w:color w:val="auto"/>
          <w:sz w:val="24"/>
          <w:highlight w:val="none"/>
        </w:rPr>
        <w:t>（三）在采购过程中符合竞争要求的供应商或者报价未超过采购预算的供应商不足3家的，但“第四章 评审程序和评定成交的标准”第3.7条规定的情形除外。</w:t>
      </w:r>
    </w:p>
    <w:p w14:paraId="7F8E3DFC">
      <w:pPr>
        <w:pStyle w:val="8"/>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27.4在采购活动中因重大变故，采购任务取消的，采购人或者采购代理机构应当终止采购活动，通知所有参加采购活动的供应商。</w:t>
      </w:r>
    </w:p>
    <w:p w14:paraId="0EECF4C5">
      <w:pPr>
        <w:pStyle w:val="8"/>
        <w:spacing w:line="360" w:lineRule="auto"/>
        <w:ind w:firstLine="480" w:firstLineChars="200"/>
        <w:rPr>
          <w:rFonts w:hint="eastAsia" w:ascii="宋体" w:hAnsi="宋体" w:cs="宋体"/>
          <w:color w:val="auto"/>
          <w:sz w:val="24"/>
          <w:highlight w:val="none"/>
        </w:rPr>
      </w:pPr>
      <w:r>
        <w:rPr>
          <w:rFonts w:hint="eastAsia" w:ascii="宋体" w:hAnsi="宋体" w:cs="宋体"/>
          <w:bCs/>
          <w:color w:val="auto"/>
          <w:sz w:val="24"/>
          <w:highlight w:val="none"/>
        </w:rPr>
        <w:t>27.5</w:t>
      </w:r>
      <w:r>
        <w:rPr>
          <w:rFonts w:hint="eastAsia" w:ascii="宋体" w:hAnsi="宋体" w:cs="宋体"/>
          <w:color w:val="auto"/>
          <w:sz w:val="24"/>
          <w:highlight w:val="none"/>
        </w:rPr>
        <w:t>成交供应商拒绝签订政府采购合同（包括但不限于放弃成交、因不可抗力不能履行合同而放弃签订合同），采购人可以按照评审报告推荐的成交候选人名单排序，确定下一候选人为成交供应商，也可以重新开展政府采购活动。拒绝签订政府采购合同的成交供应商不得参加对该项目重新开展的采购活动。</w:t>
      </w:r>
    </w:p>
    <w:p w14:paraId="54BEDCC4">
      <w:pPr>
        <w:pStyle w:val="8"/>
        <w:spacing w:line="360" w:lineRule="auto"/>
        <w:ind w:firstLine="482" w:firstLineChars="200"/>
        <w:jc w:val="both"/>
        <w:rPr>
          <w:rFonts w:hint="eastAsia" w:ascii="宋体" w:hAnsi="宋体" w:cs="宋体"/>
          <w:b/>
          <w:color w:val="auto"/>
          <w:sz w:val="24"/>
          <w:highlight w:val="none"/>
        </w:rPr>
      </w:pPr>
      <w:r>
        <w:rPr>
          <w:rFonts w:hint="eastAsia" w:ascii="宋体" w:hAnsi="宋体" w:cs="宋体"/>
          <w:b/>
          <w:color w:val="auto"/>
          <w:sz w:val="24"/>
          <w:highlight w:val="none"/>
        </w:rPr>
        <w:t>除因不可抗力外，成交供应商不与采购人签订合同的，除不予退还其谈判保证金外，若给采购人造成损失，或（并）因此延误采购人教学科研计划的，须依据《中华人民共和国民法典》第五百条、《政府采购非招标采购方式管理办法（财政部令第74号）》第二十二条、第五十四条规定承担赔偿损失等法律责任，采购人有权将成交供应商的失信行为报财政部门记入诚信档案，以示惩戒。</w:t>
      </w:r>
    </w:p>
    <w:p w14:paraId="3376E5BC">
      <w:pPr>
        <w:spacing w:line="360" w:lineRule="auto"/>
        <w:ind w:firstLine="643" w:firstLineChars="200"/>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28.履约保证金</w:t>
      </w:r>
    </w:p>
    <w:p w14:paraId="735831AA">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28.1履约保证金的金额、提交方式、退付的时间和条件详见 “供应商须知前附表”。成交供应商未按规定提交履约保证金的，视为拒绝与采购人签订合同。</w:t>
      </w:r>
    </w:p>
    <w:p w14:paraId="197634D5">
      <w:pPr>
        <w:spacing w:line="360" w:lineRule="auto"/>
        <w:ind w:firstLine="484" w:firstLineChars="202"/>
        <w:rPr>
          <w:rFonts w:hint="eastAsia" w:ascii="宋体" w:hAnsi="宋体" w:cs="宋体"/>
          <w:color w:val="auto"/>
          <w:sz w:val="24"/>
          <w:highlight w:val="none"/>
        </w:rPr>
      </w:pPr>
      <w:r>
        <w:rPr>
          <w:rFonts w:hint="eastAsia" w:ascii="宋体" w:hAnsi="宋体" w:cs="宋体"/>
          <w:color w:val="auto"/>
          <w:sz w:val="24"/>
          <w:highlight w:val="none"/>
        </w:rPr>
        <w:t>28.2在履约保证金退还日期前，若成交供应商的开户名称、开户银行、帐号有变动的，请以书面形式通知履约保证金收取单位，否则由此产生的后果由成交供应商自负。</w:t>
      </w:r>
    </w:p>
    <w:p w14:paraId="66D57C69">
      <w:pPr>
        <w:spacing w:line="360" w:lineRule="auto"/>
        <w:ind w:firstLine="643" w:firstLineChars="200"/>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29.签订合同</w:t>
      </w:r>
    </w:p>
    <w:p w14:paraId="2712A85B">
      <w:pPr>
        <w:spacing w:line="360" w:lineRule="auto"/>
        <w:ind w:firstLine="484" w:firstLineChars="202"/>
        <w:rPr>
          <w:rFonts w:hint="eastAsia" w:ascii="宋体" w:hAnsi="宋体" w:cs="宋体"/>
          <w:color w:val="auto"/>
          <w:sz w:val="24"/>
          <w:highlight w:val="none"/>
        </w:rPr>
      </w:pPr>
      <w:r>
        <w:rPr>
          <w:rFonts w:hint="eastAsia" w:ascii="宋体" w:hAnsi="宋体" w:cs="宋体"/>
          <w:color w:val="auto"/>
          <w:sz w:val="24"/>
          <w:highlight w:val="none"/>
        </w:rPr>
        <w:t>29.1成交供应商在收到成交通知书（书面或电子）后，按“供应商须知前附表”规定向采购人出示相关证明材料，经采购人核验合格后方可签订合同（书面或电子）。如成交供应商为联合体的，联合体各方应当共同与采购人签订采购合同，就采购合同约定的事项对采购人承担连带责任。</w:t>
      </w:r>
    </w:p>
    <w:p w14:paraId="11D1673B">
      <w:pPr>
        <w:spacing w:line="360" w:lineRule="auto"/>
        <w:ind w:firstLine="484" w:firstLineChars="202"/>
        <w:rPr>
          <w:rFonts w:hint="eastAsia" w:ascii="宋体" w:hAnsi="宋体" w:cs="宋体"/>
          <w:color w:val="auto"/>
          <w:sz w:val="24"/>
          <w:highlight w:val="none"/>
        </w:rPr>
      </w:pPr>
      <w:r>
        <w:rPr>
          <w:rFonts w:hint="eastAsia" w:ascii="宋体" w:hAnsi="宋体" w:cs="宋体"/>
          <w:color w:val="auto"/>
          <w:sz w:val="24"/>
          <w:highlight w:val="none"/>
        </w:rPr>
        <w:t>29.2 签订合同时间：按成交通知书的规定与采购人签订政府采购合同（最长不能超过25日）。</w:t>
      </w:r>
    </w:p>
    <w:p w14:paraId="2971F071">
      <w:pPr>
        <w:spacing w:line="360" w:lineRule="auto"/>
        <w:ind w:firstLine="484" w:firstLineChars="202"/>
        <w:rPr>
          <w:rFonts w:hint="eastAsia" w:ascii="宋体" w:hAnsi="宋体" w:cs="宋体"/>
          <w:color w:val="auto"/>
          <w:sz w:val="24"/>
          <w:highlight w:val="none"/>
        </w:rPr>
      </w:pPr>
      <w:r>
        <w:rPr>
          <w:rFonts w:hint="eastAsia" w:ascii="宋体" w:hAnsi="宋体" w:cs="宋体"/>
          <w:color w:val="auto"/>
          <w:sz w:val="24"/>
          <w:highlight w:val="none"/>
        </w:rPr>
        <w:t>29.3成交供应商拒绝与采购人签订合同的，按照本文件之《供应商须知正文》第27.5条的规定执行。</w:t>
      </w:r>
    </w:p>
    <w:p w14:paraId="1321E6C3">
      <w:pPr>
        <w:spacing w:line="360" w:lineRule="auto"/>
        <w:ind w:firstLine="643" w:firstLineChars="200"/>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30.政府采购合同公告</w:t>
      </w:r>
    </w:p>
    <w:p w14:paraId="169E73CD">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57CD3259">
      <w:pPr>
        <w:spacing w:line="360" w:lineRule="auto"/>
        <w:ind w:firstLine="643" w:firstLineChars="200"/>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31.询问、质疑和投诉</w:t>
      </w:r>
    </w:p>
    <w:p w14:paraId="761166FB">
      <w:pPr>
        <w:pStyle w:val="6"/>
        <w:spacing w:line="360" w:lineRule="auto"/>
        <w:rPr>
          <w:rFonts w:hint="eastAsia" w:ascii="宋体" w:hAnsi="宋体" w:cs="宋体"/>
          <w:color w:val="auto"/>
          <w:sz w:val="24"/>
          <w:szCs w:val="24"/>
          <w:highlight w:val="none"/>
        </w:rPr>
      </w:pPr>
      <w:r>
        <w:rPr>
          <w:rFonts w:hint="eastAsia" w:ascii="宋体" w:hAnsi="宋体" w:cs="宋体"/>
          <w:color w:val="auto"/>
          <w:sz w:val="24"/>
          <w:szCs w:val="22"/>
          <w:highlight w:val="none"/>
        </w:rPr>
        <w:t>31.1供应商对政府采购活动事项有疑问的，可以向采购人、采购代理机构提出询问，采购人或者采购代理机构应当在3个工作日内对供应商依法提出的询问作出答复，</w:t>
      </w:r>
      <w:r>
        <w:rPr>
          <w:rFonts w:hint="eastAsia" w:ascii="宋体" w:hAnsi="宋体" w:cs="宋体"/>
          <w:color w:val="auto"/>
          <w:sz w:val="24"/>
          <w:szCs w:val="24"/>
          <w:highlight w:val="none"/>
        </w:rPr>
        <w:t>但答复的内容不得涉及商业秘密。</w:t>
      </w:r>
    </w:p>
    <w:p w14:paraId="14A8A58B">
      <w:pPr>
        <w:spacing w:line="360" w:lineRule="auto"/>
        <w:ind w:firstLine="480" w:firstLineChars="200"/>
        <w:rPr>
          <w:rFonts w:hint="eastAsia" w:ascii="宋体" w:hAnsi="宋体" w:cs="宋体"/>
          <w:color w:val="auto"/>
          <w:sz w:val="24"/>
          <w:szCs w:val="32"/>
          <w:highlight w:val="none"/>
        </w:rPr>
      </w:pPr>
      <w:bookmarkStart w:id="36" w:name="OLE_LINK1"/>
      <w:r>
        <w:rPr>
          <w:rFonts w:hint="eastAsia" w:ascii="宋体" w:hAnsi="宋体" w:cs="宋体"/>
          <w:color w:val="auto"/>
          <w:sz w:val="24"/>
          <w:szCs w:val="32"/>
          <w:highlight w:val="none"/>
        </w:rPr>
        <w:t>31.2供应商认为谈判文件、采购过程或者成交结果使自己的合法权益受到损害的，应当在知道或者应知其权益受到损害之日起7个工作日内，以纸质书面形式向采购人、采购代理机构提出质疑，</w:t>
      </w:r>
      <w:r>
        <w:rPr>
          <w:rFonts w:hint="eastAsia" w:ascii="宋体" w:hAnsi="宋体" w:cs="宋体"/>
          <w:color w:val="auto"/>
          <w:sz w:val="24"/>
          <w:szCs w:val="32"/>
          <w:highlight w:val="none"/>
          <w:shd w:val="clear" w:color="auto" w:fill="FFFFFF"/>
        </w:rPr>
        <w:t>接收质疑函的方式、联系部门、联系电话和通讯地址等信息</w:t>
      </w:r>
      <w:r>
        <w:rPr>
          <w:rFonts w:hint="eastAsia" w:ascii="宋体" w:hAnsi="宋体" w:cs="宋体"/>
          <w:color w:val="auto"/>
          <w:sz w:val="24"/>
          <w:highlight w:val="none"/>
        </w:rPr>
        <w:t>详见“供应商须知前附表”</w:t>
      </w:r>
      <w:r>
        <w:rPr>
          <w:rFonts w:hint="eastAsia" w:ascii="宋体" w:hAnsi="宋体" w:cs="宋体"/>
          <w:color w:val="auto"/>
          <w:sz w:val="24"/>
          <w:szCs w:val="32"/>
          <w:highlight w:val="none"/>
        </w:rPr>
        <w:t>。供应商应当在法定质疑期内一次性提出针对同一采购程序环节的质疑。具体质疑起算时间如下：</w:t>
      </w:r>
    </w:p>
    <w:p w14:paraId="24E390CD">
      <w:pPr>
        <w:spacing w:line="360"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（1）对可以质疑的谈判文件提出质疑的，为获取谈判文件之日；</w:t>
      </w:r>
    </w:p>
    <w:p w14:paraId="4936D101">
      <w:pPr>
        <w:spacing w:line="360"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（2）对采购过程提出质疑的，为各采购程序环节结束之日；</w:t>
      </w:r>
    </w:p>
    <w:p w14:paraId="56FCE69C">
      <w:pPr>
        <w:spacing w:line="360"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（3）对成交结果提出质疑的，为成交结果公告期限届满之日。</w:t>
      </w:r>
    </w:p>
    <w:p w14:paraId="3F27C0F2">
      <w:pPr>
        <w:spacing w:line="360"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7321C852">
      <w:pPr>
        <w:spacing w:line="360"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31.4供应商提出质疑应当提交质疑函和必要的证明材料，针对同一采购程序环节的质疑必须在法定质疑期内一次性提出。质疑函应当包括下列内容</w:t>
      </w:r>
      <w:r>
        <w:rPr>
          <w:rFonts w:hint="eastAsia" w:ascii="宋体" w:hAnsi="宋体" w:cs="宋体"/>
          <w:bCs/>
          <w:color w:val="auto"/>
          <w:sz w:val="24"/>
          <w:szCs w:val="32"/>
          <w:highlight w:val="none"/>
        </w:rPr>
        <w:t>（质疑函格式后附）</w:t>
      </w:r>
      <w:r>
        <w:rPr>
          <w:rFonts w:hint="eastAsia" w:ascii="宋体" w:hAnsi="宋体" w:cs="宋体"/>
          <w:color w:val="auto"/>
          <w:sz w:val="24"/>
          <w:szCs w:val="32"/>
          <w:highlight w:val="none"/>
        </w:rPr>
        <w:t>：</w:t>
      </w:r>
    </w:p>
    <w:p w14:paraId="720EEBC5">
      <w:pPr>
        <w:spacing w:line="360"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（1）供应商的姓名或者名称、地址、邮编、联系人及联系电话；</w:t>
      </w:r>
    </w:p>
    <w:p w14:paraId="4177D9AE">
      <w:pPr>
        <w:spacing w:line="360"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（2）质疑项目的名称、编号；</w:t>
      </w:r>
    </w:p>
    <w:p w14:paraId="2DE6BE74">
      <w:pPr>
        <w:spacing w:line="360"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（3）具体、明确的质疑事项和与质疑事项相关的请求；</w:t>
      </w:r>
    </w:p>
    <w:p w14:paraId="0825449B">
      <w:pPr>
        <w:spacing w:line="360"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（4）事实依据；</w:t>
      </w:r>
    </w:p>
    <w:p w14:paraId="18C5A755">
      <w:pPr>
        <w:spacing w:line="360"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（5）必要的法律依据；</w:t>
      </w:r>
    </w:p>
    <w:p w14:paraId="71B1241E">
      <w:pPr>
        <w:spacing w:line="360"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（6）提出质疑的日期。</w:t>
      </w:r>
    </w:p>
    <w:p w14:paraId="33C3949A">
      <w:pPr>
        <w:spacing w:line="360"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供应商为自然人的，应当由本人签字；供应商为法人或者其他组织的，应当由法定代表人、主要负责人，或者其委托代理人签字或者盖章，并加盖公章。</w:t>
      </w:r>
    </w:p>
    <w:p w14:paraId="71289B9A">
      <w:pPr>
        <w:spacing w:line="360"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31.5采购人、采购代理机构认为供应商质疑不成立，或者成立但未对成交结果构成影响的，继续开展采购活动；认为供应商质疑成立且影响或者可能影响成交结果的，按照下列情况处理：</w:t>
      </w:r>
    </w:p>
    <w:p w14:paraId="3DE663F9">
      <w:pPr>
        <w:spacing w:line="360"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（1）对采购文件提出的质疑，依法通过澄清或者修改可以继续开展采购活动的，澄清或者修改采购文件后继续开展采购活动；否则应当修改采购文件后重新开展采购活动。</w:t>
      </w:r>
    </w:p>
    <w:p w14:paraId="4A961934">
      <w:pPr>
        <w:spacing w:line="360"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（2）对采购过程或者成交结果提出的质疑，合格供应商符合法定数量时，可以从合格的成交候选人中另行确定成交供应商的，应当依法另行确定成交供应商；否则应当重新开展采购活动。</w:t>
      </w:r>
    </w:p>
    <w:p w14:paraId="7B51C03F">
      <w:pPr>
        <w:spacing w:line="360"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质疑答复导致成交结果改变的，采购人或者采购代理机构应当将有关情况书面报告本级财政部门。</w:t>
      </w:r>
    </w:p>
    <w:p w14:paraId="0A49215C">
      <w:pPr>
        <w:spacing w:line="360" w:lineRule="auto"/>
        <w:ind w:firstLine="480" w:firstLineChars="200"/>
        <w:rPr>
          <w:rFonts w:hint="eastAsia" w:ascii="宋体" w:hAnsi="宋体" w:cs="宋体"/>
          <w:b/>
          <w:bCs/>
          <w:color w:val="auto"/>
          <w:sz w:val="24"/>
          <w:highlight w:val="none"/>
        </w:rPr>
      </w:pPr>
      <w:r>
        <w:rPr>
          <w:rFonts w:hint="eastAsia" w:ascii="宋体" w:hAnsi="宋体" w:cs="宋体"/>
          <w:color w:val="auto"/>
          <w:sz w:val="24"/>
          <w:szCs w:val="32"/>
          <w:highlight w:val="none"/>
        </w:rPr>
        <w:t>31.6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bookmarkEnd w:id="36"/>
    <w:p w14:paraId="32916C43">
      <w:pPr>
        <w:spacing w:line="360" w:lineRule="auto"/>
        <w:ind w:firstLine="643" w:firstLineChars="200"/>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32.其他内容</w:t>
      </w:r>
    </w:p>
    <w:p w14:paraId="0FF315C4">
      <w:pPr>
        <w:tabs>
          <w:tab w:val="left" w:pos="2835"/>
        </w:tabs>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32.1代理服务费：代理服务收取标准及缴费账户详见“供应商须知前附表”，供应商为联合体的，可以由联合体中的一方或者多方共同交纳代理服务费。</w:t>
      </w:r>
    </w:p>
    <w:p w14:paraId="7B96C85B">
      <w:pPr>
        <w:tabs>
          <w:tab w:val="left" w:pos="2835"/>
        </w:tabs>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32.2代理服务费收费计算标准：</w:t>
      </w: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532"/>
        <w:gridCol w:w="1546"/>
      </w:tblGrid>
      <w:tr w14:paraId="4D1BA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Borders>
              <w:tl2br w:val="single" w:color="auto" w:sz="4" w:space="0"/>
            </w:tcBorders>
          </w:tcPr>
          <w:p w14:paraId="62914830">
            <w:pP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               费率</w:t>
            </w:r>
          </w:p>
          <w:p w14:paraId="7A8B4076">
            <w:pPr>
              <w:spacing w:line="360" w:lineRule="auto"/>
              <w:rPr>
                <w:rFonts w:hint="eastAsia" w:ascii="宋体" w:hAnsi="宋体" w:cs="宋体"/>
                <w:color w:val="auto"/>
                <w:sz w:val="24"/>
                <w:highlight w:val="none"/>
              </w:rPr>
            </w:pPr>
            <w:r>
              <w:rPr>
                <w:rFonts w:hint="eastAsia" w:ascii="宋体" w:hAnsi="宋体" w:cs="宋体"/>
                <w:color w:val="auto"/>
                <w:sz w:val="24"/>
                <w:highlight w:val="none"/>
              </w:rPr>
              <w:t>金额（人民币）</w:t>
            </w:r>
          </w:p>
        </w:tc>
        <w:tc>
          <w:tcPr>
            <w:tcW w:w="1659" w:type="dxa"/>
            <w:vAlign w:val="center"/>
          </w:tcPr>
          <w:p w14:paraId="4B34E5B4">
            <w:pPr>
              <w:spacing w:line="360" w:lineRule="auto"/>
              <w:ind w:firstLine="120" w:firstLineChars="50"/>
              <w:jc w:val="center"/>
              <w:rPr>
                <w:rFonts w:hint="eastAsia" w:ascii="宋体" w:hAnsi="宋体" w:cs="宋体"/>
                <w:color w:val="auto"/>
                <w:sz w:val="24"/>
                <w:highlight w:val="none"/>
              </w:rPr>
            </w:pPr>
            <w:r>
              <w:rPr>
                <w:rFonts w:hint="eastAsia" w:ascii="宋体" w:hAnsi="宋体" w:cs="宋体"/>
                <w:color w:val="auto"/>
                <w:sz w:val="24"/>
                <w:highlight w:val="none"/>
              </w:rPr>
              <w:t>货物类</w:t>
            </w:r>
          </w:p>
        </w:tc>
        <w:tc>
          <w:tcPr>
            <w:tcW w:w="1532" w:type="dxa"/>
            <w:vAlign w:val="center"/>
          </w:tcPr>
          <w:p w14:paraId="475D0787">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服务类</w:t>
            </w:r>
          </w:p>
        </w:tc>
        <w:tc>
          <w:tcPr>
            <w:tcW w:w="1546" w:type="dxa"/>
            <w:vAlign w:val="center"/>
          </w:tcPr>
          <w:p w14:paraId="56F6976A">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工程类</w:t>
            </w:r>
          </w:p>
        </w:tc>
      </w:tr>
      <w:tr w14:paraId="60117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Pr>
          <w:p w14:paraId="380B31AD">
            <w:pPr>
              <w:spacing w:line="460" w:lineRule="exact"/>
              <w:jc w:val="center"/>
              <w:rPr>
                <w:rFonts w:hint="eastAsia" w:ascii="宋体" w:hAnsi="宋体" w:cs="宋体"/>
                <w:color w:val="auto"/>
                <w:sz w:val="24"/>
                <w:highlight w:val="none"/>
              </w:rPr>
            </w:pPr>
            <w:r>
              <w:rPr>
                <w:rFonts w:hint="eastAsia" w:ascii="宋体" w:hAnsi="宋体" w:cs="宋体"/>
                <w:color w:val="auto"/>
                <w:sz w:val="24"/>
                <w:highlight w:val="none"/>
              </w:rPr>
              <w:t>100万元以下</w:t>
            </w:r>
          </w:p>
        </w:tc>
        <w:tc>
          <w:tcPr>
            <w:tcW w:w="1659" w:type="dxa"/>
          </w:tcPr>
          <w:p w14:paraId="207D841B">
            <w:pPr>
              <w:spacing w:line="460" w:lineRule="exact"/>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1.5%</w:t>
            </w:r>
          </w:p>
        </w:tc>
        <w:tc>
          <w:tcPr>
            <w:tcW w:w="1532" w:type="dxa"/>
          </w:tcPr>
          <w:p w14:paraId="0A41B383">
            <w:pPr>
              <w:spacing w:line="460" w:lineRule="exact"/>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1.5%</w:t>
            </w:r>
          </w:p>
        </w:tc>
        <w:tc>
          <w:tcPr>
            <w:tcW w:w="1546" w:type="dxa"/>
          </w:tcPr>
          <w:p w14:paraId="159068CE">
            <w:pPr>
              <w:spacing w:line="460" w:lineRule="exact"/>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1.0%</w:t>
            </w:r>
          </w:p>
        </w:tc>
      </w:tr>
      <w:tr w14:paraId="2E567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Pr>
          <w:p w14:paraId="1896B4A3">
            <w:pPr>
              <w:spacing w:line="460" w:lineRule="exact"/>
              <w:jc w:val="center"/>
              <w:rPr>
                <w:rFonts w:hint="eastAsia" w:ascii="宋体" w:hAnsi="宋体" w:cs="宋体"/>
                <w:color w:val="auto"/>
                <w:sz w:val="24"/>
                <w:highlight w:val="none"/>
              </w:rPr>
            </w:pPr>
            <w:r>
              <w:rPr>
                <w:rFonts w:hint="eastAsia" w:ascii="宋体" w:hAnsi="宋体" w:cs="宋体"/>
                <w:color w:val="auto"/>
                <w:sz w:val="24"/>
                <w:highlight w:val="none"/>
              </w:rPr>
              <w:t>100～500万元</w:t>
            </w:r>
          </w:p>
        </w:tc>
        <w:tc>
          <w:tcPr>
            <w:tcW w:w="1659" w:type="dxa"/>
          </w:tcPr>
          <w:p w14:paraId="689C9266">
            <w:pPr>
              <w:spacing w:line="460" w:lineRule="exact"/>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1.1%</w:t>
            </w:r>
          </w:p>
        </w:tc>
        <w:tc>
          <w:tcPr>
            <w:tcW w:w="1532" w:type="dxa"/>
          </w:tcPr>
          <w:p w14:paraId="59A9544E">
            <w:pPr>
              <w:spacing w:line="460" w:lineRule="exact"/>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0.8%</w:t>
            </w:r>
          </w:p>
        </w:tc>
        <w:tc>
          <w:tcPr>
            <w:tcW w:w="1546" w:type="dxa"/>
          </w:tcPr>
          <w:p w14:paraId="50141AD6">
            <w:pPr>
              <w:spacing w:line="460" w:lineRule="exact"/>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0.7%</w:t>
            </w:r>
          </w:p>
        </w:tc>
      </w:tr>
      <w:tr w14:paraId="4360D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Pr>
          <w:p w14:paraId="4519CEBA">
            <w:pPr>
              <w:spacing w:line="460" w:lineRule="exact"/>
              <w:jc w:val="center"/>
              <w:rPr>
                <w:rFonts w:hint="eastAsia" w:ascii="宋体" w:hAnsi="宋体" w:cs="宋体"/>
                <w:color w:val="auto"/>
                <w:sz w:val="24"/>
                <w:highlight w:val="none"/>
              </w:rPr>
            </w:pPr>
            <w:r>
              <w:rPr>
                <w:rFonts w:hint="eastAsia" w:ascii="宋体" w:hAnsi="宋体" w:cs="宋体"/>
                <w:color w:val="auto"/>
                <w:sz w:val="24"/>
                <w:highlight w:val="none"/>
              </w:rPr>
              <w:t>500～1000万元</w:t>
            </w:r>
          </w:p>
        </w:tc>
        <w:tc>
          <w:tcPr>
            <w:tcW w:w="1659" w:type="dxa"/>
          </w:tcPr>
          <w:p w14:paraId="0A1C9CC0">
            <w:pPr>
              <w:spacing w:line="460" w:lineRule="exact"/>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0.8%</w:t>
            </w:r>
          </w:p>
        </w:tc>
        <w:tc>
          <w:tcPr>
            <w:tcW w:w="1532" w:type="dxa"/>
          </w:tcPr>
          <w:p w14:paraId="06B629CD">
            <w:pPr>
              <w:spacing w:line="460" w:lineRule="exact"/>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0.45%</w:t>
            </w:r>
          </w:p>
        </w:tc>
        <w:tc>
          <w:tcPr>
            <w:tcW w:w="1546" w:type="dxa"/>
          </w:tcPr>
          <w:p w14:paraId="156E4BDB">
            <w:pPr>
              <w:spacing w:line="460" w:lineRule="exact"/>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0.55%</w:t>
            </w:r>
          </w:p>
        </w:tc>
      </w:tr>
      <w:tr w14:paraId="661A5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Pr>
          <w:p w14:paraId="74CE6219">
            <w:pPr>
              <w:spacing w:line="460" w:lineRule="exact"/>
              <w:jc w:val="center"/>
              <w:rPr>
                <w:rFonts w:hint="eastAsia" w:ascii="宋体" w:hAnsi="宋体" w:cs="宋体"/>
                <w:color w:val="auto"/>
                <w:sz w:val="24"/>
                <w:highlight w:val="none"/>
              </w:rPr>
            </w:pPr>
            <w:r>
              <w:rPr>
                <w:rFonts w:hint="eastAsia" w:ascii="宋体" w:hAnsi="宋体" w:cs="宋体"/>
                <w:color w:val="auto"/>
                <w:sz w:val="24"/>
                <w:highlight w:val="none"/>
              </w:rPr>
              <w:t>1000～5000万元</w:t>
            </w:r>
          </w:p>
        </w:tc>
        <w:tc>
          <w:tcPr>
            <w:tcW w:w="1659" w:type="dxa"/>
          </w:tcPr>
          <w:p w14:paraId="2C965A8F">
            <w:pPr>
              <w:spacing w:line="460" w:lineRule="exact"/>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0.5%</w:t>
            </w:r>
          </w:p>
        </w:tc>
        <w:tc>
          <w:tcPr>
            <w:tcW w:w="1532" w:type="dxa"/>
          </w:tcPr>
          <w:p w14:paraId="1F1CF4FF">
            <w:pPr>
              <w:spacing w:line="460" w:lineRule="exact"/>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0.25%</w:t>
            </w:r>
          </w:p>
        </w:tc>
        <w:tc>
          <w:tcPr>
            <w:tcW w:w="1546" w:type="dxa"/>
          </w:tcPr>
          <w:p w14:paraId="34EF9455">
            <w:pPr>
              <w:spacing w:line="460" w:lineRule="exact"/>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0.35%</w:t>
            </w:r>
          </w:p>
        </w:tc>
      </w:tr>
      <w:tr w14:paraId="537AC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Pr>
          <w:p w14:paraId="1B4DDF92">
            <w:pPr>
              <w:spacing w:line="460" w:lineRule="exact"/>
              <w:jc w:val="center"/>
              <w:rPr>
                <w:rFonts w:hint="eastAsia" w:ascii="宋体" w:hAnsi="宋体" w:cs="宋体"/>
                <w:color w:val="auto"/>
                <w:sz w:val="24"/>
                <w:highlight w:val="none"/>
              </w:rPr>
            </w:pPr>
            <w:r>
              <w:rPr>
                <w:rFonts w:hint="eastAsia" w:ascii="宋体" w:hAnsi="宋体" w:cs="宋体"/>
                <w:color w:val="auto"/>
                <w:sz w:val="24"/>
                <w:highlight w:val="none"/>
              </w:rPr>
              <w:t>5000万元～1亿元</w:t>
            </w:r>
          </w:p>
        </w:tc>
        <w:tc>
          <w:tcPr>
            <w:tcW w:w="1659" w:type="dxa"/>
          </w:tcPr>
          <w:p w14:paraId="1586AB00">
            <w:pPr>
              <w:spacing w:line="460" w:lineRule="exact"/>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0.25%</w:t>
            </w:r>
          </w:p>
        </w:tc>
        <w:tc>
          <w:tcPr>
            <w:tcW w:w="1532" w:type="dxa"/>
          </w:tcPr>
          <w:p w14:paraId="6A5AD2FF">
            <w:pPr>
              <w:spacing w:line="460" w:lineRule="exact"/>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0.1%</w:t>
            </w:r>
          </w:p>
        </w:tc>
        <w:tc>
          <w:tcPr>
            <w:tcW w:w="1546" w:type="dxa"/>
          </w:tcPr>
          <w:p w14:paraId="395D8316">
            <w:pPr>
              <w:spacing w:line="460" w:lineRule="exact"/>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0.2%</w:t>
            </w:r>
          </w:p>
        </w:tc>
      </w:tr>
      <w:tr w14:paraId="6EC4D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Pr>
          <w:p w14:paraId="2806D967">
            <w:pPr>
              <w:spacing w:line="460" w:lineRule="exact"/>
              <w:jc w:val="center"/>
              <w:rPr>
                <w:rFonts w:hint="eastAsia" w:ascii="宋体" w:hAnsi="宋体" w:cs="宋体"/>
                <w:color w:val="auto"/>
                <w:sz w:val="24"/>
                <w:highlight w:val="none"/>
              </w:rPr>
            </w:pPr>
            <w:r>
              <w:rPr>
                <w:rFonts w:hint="eastAsia" w:ascii="宋体" w:hAnsi="宋体" w:cs="宋体"/>
                <w:color w:val="auto"/>
                <w:sz w:val="24"/>
                <w:highlight w:val="none"/>
              </w:rPr>
              <w:t>1～5亿元</w:t>
            </w:r>
          </w:p>
        </w:tc>
        <w:tc>
          <w:tcPr>
            <w:tcW w:w="1659" w:type="dxa"/>
          </w:tcPr>
          <w:p w14:paraId="29CF1DE2">
            <w:pPr>
              <w:spacing w:line="460" w:lineRule="exact"/>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0.05%</w:t>
            </w:r>
          </w:p>
        </w:tc>
        <w:tc>
          <w:tcPr>
            <w:tcW w:w="1532" w:type="dxa"/>
          </w:tcPr>
          <w:p w14:paraId="09BA3C4C">
            <w:pPr>
              <w:spacing w:line="460" w:lineRule="exact"/>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0.05%</w:t>
            </w:r>
          </w:p>
        </w:tc>
        <w:tc>
          <w:tcPr>
            <w:tcW w:w="1546" w:type="dxa"/>
          </w:tcPr>
          <w:p w14:paraId="48A7F73E">
            <w:pPr>
              <w:spacing w:line="460" w:lineRule="exact"/>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0.05%</w:t>
            </w:r>
          </w:p>
        </w:tc>
      </w:tr>
      <w:tr w14:paraId="0A8E9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Pr>
          <w:p w14:paraId="0FB45BBD">
            <w:pPr>
              <w:spacing w:line="460" w:lineRule="exact"/>
              <w:jc w:val="center"/>
              <w:rPr>
                <w:rFonts w:hint="eastAsia" w:ascii="宋体" w:hAnsi="宋体" w:cs="宋体"/>
                <w:color w:val="auto"/>
                <w:sz w:val="24"/>
                <w:highlight w:val="none"/>
              </w:rPr>
            </w:pPr>
            <w:r>
              <w:rPr>
                <w:rFonts w:hint="eastAsia" w:ascii="宋体" w:hAnsi="宋体" w:cs="宋体"/>
                <w:color w:val="auto"/>
                <w:sz w:val="24"/>
                <w:highlight w:val="none"/>
              </w:rPr>
              <w:t>5～10亿元</w:t>
            </w:r>
          </w:p>
        </w:tc>
        <w:tc>
          <w:tcPr>
            <w:tcW w:w="1659" w:type="dxa"/>
          </w:tcPr>
          <w:p w14:paraId="153021BA">
            <w:pPr>
              <w:spacing w:line="460" w:lineRule="exact"/>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0.035%</w:t>
            </w:r>
          </w:p>
        </w:tc>
        <w:tc>
          <w:tcPr>
            <w:tcW w:w="1532" w:type="dxa"/>
          </w:tcPr>
          <w:p w14:paraId="728A9BA8">
            <w:pPr>
              <w:spacing w:line="460" w:lineRule="exact"/>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0.035%</w:t>
            </w:r>
          </w:p>
        </w:tc>
        <w:tc>
          <w:tcPr>
            <w:tcW w:w="1546" w:type="dxa"/>
          </w:tcPr>
          <w:p w14:paraId="4A8279FC">
            <w:pPr>
              <w:spacing w:line="460" w:lineRule="exact"/>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0.035%</w:t>
            </w:r>
          </w:p>
        </w:tc>
      </w:tr>
      <w:tr w14:paraId="2EAB6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Pr>
          <w:p w14:paraId="1C86DB23">
            <w:pPr>
              <w:spacing w:line="460" w:lineRule="exact"/>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10～50亿元</w:t>
            </w:r>
          </w:p>
        </w:tc>
        <w:tc>
          <w:tcPr>
            <w:tcW w:w="1659" w:type="dxa"/>
          </w:tcPr>
          <w:p w14:paraId="7C918C94">
            <w:pPr>
              <w:spacing w:line="460" w:lineRule="exact"/>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0.008%</w:t>
            </w:r>
          </w:p>
        </w:tc>
        <w:tc>
          <w:tcPr>
            <w:tcW w:w="1532" w:type="dxa"/>
          </w:tcPr>
          <w:p w14:paraId="76CAF2D0">
            <w:pPr>
              <w:spacing w:line="460" w:lineRule="exact"/>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0.008%</w:t>
            </w:r>
          </w:p>
        </w:tc>
        <w:tc>
          <w:tcPr>
            <w:tcW w:w="1546" w:type="dxa"/>
          </w:tcPr>
          <w:p w14:paraId="62D208E0">
            <w:pPr>
              <w:spacing w:line="460" w:lineRule="exact"/>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0.008%</w:t>
            </w:r>
          </w:p>
        </w:tc>
      </w:tr>
      <w:tr w14:paraId="1B075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Pr>
          <w:p w14:paraId="00C91272">
            <w:pPr>
              <w:spacing w:line="460" w:lineRule="exact"/>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50～100亿元</w:t>
            </w:r>
          </w:p>
        </w:tc>
        <w:tc>
          <w:tcPr>
            <w:tcW w:w="1659" w:type="dxa"/>
          </w:tcPr>
          <w:p w14:paraId="3CD54F72">
            <w:pPr>
              <w:spacing w:line="460" w:lineRule="exact"/>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 0.006%</w:t>
            </w:r>
          </w:p>
        </w:tc>
        <w:tc>
          <w:tcPr>
            <w:tcW w:w="1532" w:type="dxa"/>
          </w:tcPr>
          <w:p w14:paraId="5E558C73">
            <w:pPr>
              <w:spacing w:line="460" w:lineRule="exact"/>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0.006%</w:t>
            </w:r>
          </w:p>
        </w:tc>
        <w:tc>
          <w:tcPr>
            <w:tcW w:w="1546" w:type="dxa"/>
          </w:tcPr>
          <w:p w14:paraId="12F9FA63">
            <w:pPr>
              <w:spacing w:line="460" w:lineRule="exact"/>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0.006%</w:t>
            </w:r>
          </w:p>
        </w:tc>
      </w:tr>
      <w:tr w14:paraId="4A1DD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Pr>
          <w:p w14:paraId="04854D24">
            <w:pPr>
              <w:spacing w:line="460" w:lineRule="exact"/>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100亿元以上</w:t>
            </w:r>
          </w:p>
        </w:tc>
        <w:tc>
          <w:tcPr>
            <w:tcW w:w="1659" w:type="dxa"/>
          </w:tcPr>
          <w:p w14:paraId="08ED0B6A">
            <w:pPr>
              <w:spacing w:line="460" w:lineRule="exact"/>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 0.004%</w:t>
            </w:r>
          </w:p>
        </w:tc>
        <w:tc>
          <w:tcPr>
            <w:tcW w:w="1532" w:type="dxa"/>
          </w:tcPr>
          <w:p w14:paraId="08DB90DE">
            <w:pPr>
              <w:spacing w:line="460" w:lineRule="exact"/>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0.004%</w:t>
            </w:r>
          </w:p>
        </w:tc>
        <w:tc>
          <w:tcPr>
            <w:tcW w:w="1546" w:type="dxa"/>
          </w:tcPr>
          <w:p w14:paraId="6A514054">
            <w:pPr>
              <w:spacing w:line="460" w:lineRule="exact"/>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0.004%</w:t>
            </w:r>
          </w:p>
        </w:tc>
      </w:tr>
    </w:tbl>
    <w:p w14:paraId="752AC95E">
      <w:pPr>
        <w:spacing w:line="360" w:lineRule="auto"/>
        <w:ind w:firstLine="480" w:firstLineChars="200"/>
        <w:contextualSpacing/>
        <w:rPr>
          <w:rFonts w:hint="eastAsia" w:ascii="楷体" w:hAnsi="楷体" w:eastAsia="楷体" w:cs="宋体"/>
          <w:color w:val="auto"/>
          <w:sz w:val="24"/>
          <w:highlight w:val="none"/>
        </w:rPr>
      </w:pPr>
      <w:r>
        <w:rPr>
          <w:rFonts w:hint="eastAsia" w:ascii="楷体" w:hAnsi="楷体" w:eastAsia="楷体" w:cs="宋体"/>
          <w:color w:val="auto"/>
          <w:sz w:val="24"/>
          <w:highlight w:val="none"/>
        </w:rPr>
        <w:t>注：</w:t>
      </w:r>
      <w:r>
        <w:rPr>
          <w:rFonts w:ascii="楷体" w:hAnsi="楷体" w:eastAsia="楷体" w:cs="宋体"/>
          <w:color w:val="auto"/>
          <w:sz w:val="24"/>
          <w:highlight w:val="none"/>
        </w:rPr>
        <w:t xml:space="preserve"> </w:t>
      </w:r>
    </w:p>
    <w:p w14:paraId="057C0F24">
      <w:pPr>
        <w:spacing w:line="360" w:lineRule="auto"/>
        <w:ind w:firstLine="480" w:firstLineChars="200"/>
        <w:contextualSpacing/>
        <w:rPr>
          <w:rFonts w:hint="eastAsia" w:ascii="楷体" w:hAnsi="楷体" w:eastAsia="楷体" w:cs="宋体"/>
          <w:color w:val="auto"/>
          <w:sz w:val="24"/>
          <w:highlight w:val="none"/>
        </w:rPr>
      </w:pPr>
      <w:r>
        <w:rPr>
          <w:rFonts w:hint="eastAsia" w:ascii="楷体" w:hAnsi="楷体" w:eastAsia="楷体" w:cs="宋体"/>
          <w:color w:val="auto"/>
          <w:sz w:val="24"/>
          <w:highlight w:val="none"/>
        </w:rPr>
        <w:t>（</w:t>
      </w:r>
      <w:r>
        <w:rPr>
          <w:rFonts w:ascii="楷体" w:hAnsi="楷体" w:eastAsia="楷体" w:cs="宋体"/>
          <w:color w:val="auto"/>
          <w:sz w:val="24"/>
          <w:highlight w:val="none"/>
        </w:rPr>
        <w:t>1）按本表费率计算的收费为采购代理的收费基准价格；</w:t>
      </w:r>
    </w:p>
    <w:p w14:paraId="035D9274">
      <w:pPr>
        <w:spacing w:line="360" w:lineRule="auto"/>
        <w:ind w:firstLine="480" w:firstLineChars="200"/>
        <w:contextualSpacing/>
        <w:rPr>
          <w:rFonts w:hint="eastAsia" w:ascii="楷体" w:hAnsi="楷体" w:eastAsia="楷体" w:cs="宋体"/>
          <w:color w:val="auto"/>
          <w:sz w:val="24"/>
          <w:highlight w:val="none"/>
        </w:rPr>
      </w:pPr>
      <w:r>
        <w:rPr>
          <w:rFonts w:hint="eastAsia" w:ascii="楷体" w:hAnsi="楷体" w:eastAsia="楷体" w:cs="宋体"/>
          <w:color w:val="auto"/>
          <w:sz w:val="24"/>
          <w:highlight w:val="none"/>
        </w:rPr>
        <w:t>（</w:t>
      </w:r>
      <w:r>
        <w:rPr>
          <w:rFonts w:ascii="楷体" w:hAnsi="楷体" w:eastAsia="楷体" w:cs="宋体"/>
          <w:color w:val="auto"/>
          <w:sz w:val="24"/>
          <w:highlight w:val="none"/>
        </w:rPr>
        <w:t>2）采购代理收费按差额定率累进法计算。</w:t>
      </w:r>
    </w:p>
    <w:p w14:paraId="37C80C5C">
      <w:pPr>
        <w:spacing w:line="360" w:lineRule="auto"/>
        <w:ind w:firstLine="480" w:firstLineChars="200"/>
        <w:contextualSpacing/>
        <w:rPr>
          <w:rFonts w:hint="eastAsia" w:ascii="楷体" w:hAnsi="楷体" w:eastAsia="楷体" w:cs="宋体"/>
          <w:color w:val="auto"/>
          <w:sz w:val="24"/>
          <w:highlight w:val="none"/>
        </w:rPr>
      </w:pPr>
      <w:r>
        <w:rPr>
          <w:rFonts w:hint="eastAsia" w:ascii="楷体" w:hAnsi="楷体" w:eastAsia="楷体" w:cs="宋体"/>
          <w:color w:val="auto"/>
          <w:sz w:val="24"/>
          <w:highlight w:val="none"/>
        </w:rPr>
        <w:t>例如：某货物采购代理业务成交金额或者暂定价为</w:t>
      </w:r>
      <w:r>
        <w:rPr>
          <w:rFonts w:ascii="楷体" w:hAnsi="楷体" w:eastAsia="楷体" w:cs="宋体"/>
          <w:color w:val="auto"/>
          <w:sz w:val="24"/>
          <w:highlight w:val="none"/>
        </w:rPr>
        <w:t>150万元，计算采购代理收费额如下：</w:t>
      </w:r>
    </w:p>
    <w:p w14:paraId="108F034F">
      <w:pPr>
        <w:spacing w:line="360" w:lineRule="auto"/>
        <w:ind w:firstLine="480" w:firstLineChars="200"/>
        <w:contextualSpacing/>
        <w:rPr>
          <w:rFonts w:hint="eastAsia" w:ascii="楷体" w:hAnsi="楷体" w:eastAsia="楷体" w:cs="宋体"/>
          <w:color w:val="auto"/>
          <w:sz w:val="24"/>
          <w:highlight w:val="none"/>
        </w:rPr>
      </w:pPr>
      <w:r>
        <w:rPr>
          <w:rFonts w:ascii="楷体" w:hAnsi="楷体" w:eastAsia="楷体" w:cs="宋体"/>
          <w:color w:val="auto"/>
          <w:sz w:val="24"/>
          <w:highlight w:val="none"/>
        </w:rPr>
        <w:t xml:space="preserve">100 </w:t>
      </w:r>
      <w:r>
        <w:rPr>
          <w:rFonts w:hint="eastAsia" w:ascii="楷体" w:hAnsi="楷体" w:eastAsia="楷体" w:cs="宋体"/>
          <w:color w:val="auto"/>
          <w:sz w:val="24"/>
          <w:highlight w:val="none"/>
        </w:rPr>
        <w:t>万元</w:t>
      </w:r>
      <w:r>
        <w:rPr>
          <w:rFonts w:ascii="楷体" w:hAnsi="楷体" w:eastAsia="楷体" w:cs="宋体"/>
          <w:color w:val="auto"/>
          <w:sz w:val="24"/>
          <w:highlight w:val="none"/>
        </w:rPr>
        <w:t xml:space="preserve"> </w:t>
      </w:r>
      <w:r>
        <w:rPr>
          <w:rFonts w:hint="eastAsia" w:ascii="楷体" w:hAnsi="楷体" w:eastAsia="楷体" w:cs="宋体"/>
          <w:color w:val="auto"/>
          <w:sz w:val="24"/>
          <w:highlight w:val="none"/>
        </w:rPr>
        <w:t>×</w:t>
      </w:r>
      <w:r>
        <w:rPr>
          <w:rFonts w:ascii="楷体" w:hAnsi="楷体" w:eastAsia="楷体" w:cs="宋体"/>
          <w:color w:val="auto"/>
          <w:sz w:val="24"/>
          <w:highlight w:val="none"/>
        </w:rPr>
        <w:t xml:space="preserve">l.5 %＝ 1.5 </w:t>
      </w:r>
      <w:r>
        <w:rPr>
          <w:rFonts w:hint="eastAsia" w:ascii="楷体" w:hAnsi="楷体" w:eastAsia="楷体" w:cs="宋体"/>
          <w:color w:val="auto"/>
          <w:sz w:val="24"/>
          <w:highlight w:val="none"/>
        </w:rPr>
        <w:t>万元</w:t>
      </w:r>
    </w:p>
    <w:p w14:paraId="597EB807">
      <w:pPr>
        <w:spacing w:line="360" w:lineRule="auto"/>
        <w:ind w:firstLine="480" w:firstLineChars="200"/>
        <w:contextualSpacing/>
        <w:rPr>
          <w:rFonts w:hint="eastAsia" w:ascii="楷体" w:hAnsi="楷体" w:eastAsia="楷体" w:cs="宋体"/>
          <w:color w:val="auto"/>
          <w:sz w:val="24"/>
          <w:highlight w:val="none"/>
        </w:rPr>
      </w:pPr>
      <w:r>
        <w:rPr>
          <w:rFonts w:hint="eastAsia" w:ascii="楷体" w:hAnsi="楷体" w:eastAsia="楷体" w:cs="宋体"/>
          <w:color w:val="auto"/>
          <w:sz w:val="24"/>
          <w:highlight w:val="none"/>
        </w:rPr>
        <w:t>（</w:t>
      </w:r>
      <w:r>
        <w:rPr>
          <w:rFonts w:ascii="楷体" w:hAnsi="楷体" w:eastAsia="楷体" w:cs="宋体"/>
          <w:color w:val="auto"/>
          <w:sz w:val="24"/>
          <w:highlight w:val="none"/>
        </w:rPr>
        <w:t xml:space="preserve"> 150 </w:t>
      </w:r>
      <w:r>
        <w:rPr>
          <w:rFonts w:hint="eastAsia" w:ascii="楷体" w:hAnsi="楷体" w:eastAsia="楷体" w:cs="宋体"/>
          <w:color w:val="auto"/>
          <w:sz w:val="24"/>
          <w:highlight w:val="none"/>
        </w:rPr>
        <w:t>－</w:t>
      </w:r>
      <w:r>
        <w:rPr>
          <w:rFonts w:ascii="楷体" w:hAnsi="楷体" w:eastAsia="楷体" w:cs="宋体"/>
          <w:color w:val="auto"/>
          <w:sz w:val="24"/>
          <w:highlight w:val="none"/>
        </w:rPr>
        <w:t xml:space="preserve"> 100 </w:t>
      </w:r>
      <w:r>
        <w:rPr>
          <w:rFonts w:hint="eastAsia" w:ascii="楷体" w:hAnsi="楷体" w:eastAsia="楷体" w:cs="宋体"/>
          <w:color w:val="auto"/>
          <w:sz w:val="24"/>
          <w:highlight w:val="none"/>
        </w:rPr>
        <w:t>）万元</w:t>
      </w:r>
      <w:r>
        <w:rPr>
          <w:rFonts w:ascii="楷体" w:hAnsi="楷体" w:eastAsia="楷体" w:cs="宋体"/>
          <w:color w:val="auto"/>
          <w:sz w:val="24"/>
          <w:highlight w:val="none"/>
        </w:rPr>
        <w:t xml:space="preserve"> </w:t>
      </w:r>
      <w:r>
        <w:rPr>
          <w:rFonts w:hint="eastAsia" w:ascii="楷体" w:hAnsi="楷体" w:eastAsia="楷体" w:cs="宋体"/>
          <w:color w:val="auto"/>
          <w:sz w:val="24"/>
          <w:highlight w:val="none"/>
        </w:rPr>
        <w:t>×</w:t>
      </w:r>
      <w:r>
        <w:rPr>
          <w:rFonts w:ascii="楷体" w:hAnsi="楷体" w:eastAsia="楷体" w:cs="宋体"/>
          <w:color w:val="auto"/>
          <w:sz w:val="24"/>
          <w:highlight w:val="none"/>
        </w:rPr>
        <w:t xml:space="preserve">1.1%＝ 0.55 </w:t>
      </w:r>
      <w:r>
        <w:rPr>
          <w:rFonts w:hint="eastAsia" w:ascii="楷体" w:hAnsi="楷体" w:eastAsia="楷体" w:cs="宋体"/>
          <w:color w:val="auto"/>
          <w:sz w:val="24"/>
          <w:highlight w:val="none"/>
        </w:rPr>
        <w:t>万元</w:t>
      </w:r>
    </w:p>
    <w:p w14:paraId="6D66C593">
      <w:pPr>
        <w:spacing w:line="360" w:lineRule="auto"/>
        <w:ind w:firstLine="480" w:firstLineChars="200"/>
        <w:contextualSpacing/>
        <w:rPr>
          <w:rFonts w:hint="eastAsia" w:ascii="楷体" w:hAnsi="楷体" w:eastAsia="楷体" w:cs="宋体"/>
          <w:color w:val="auto"/>
          <w:sz w:val="24"/>
          <w:highlight w:val="none"/>
        </w:rPr>
      </w:pPr>
      <w:r>
        <w:rPr>
          <w:rFonts w:hint="eastAsia" w:ascii="楷体" w:hAnsi="楷体" w:eastAsia="楷体" w:cs="宋体"/>
          <w:color w:val="auto"/>
          <w:sz w:val="24"/>
          <w:highlight w:val="none"/>
        </w:rPr>
        <w:t>合计收费＝</w:t>
      </w:r>
      <w:r>
        <w:rPr>
          <w:rFonts w:ascii="楷体" w:hAnsi="楷体" w:eastAsia="楷体" w:cs="宋体"/>
          <w:color w:val="auto"/>
          <w:sz w:val="24"/>
          <w:highlight w:val="none"/>
        </w:rPr>
        <w:t xml:space="preserve"> 1.5 </w:t>
      </w:r>
      <w:r>
        <w:rPr>
          <w:rFonts w:hint="eastAsia" w:ascii="楷体" w:hAnsi="楷体" w:eastAsia="楷体" w:cs="宋体"/>
          <w:color w:val="auto"/>
          <w:sz w:val="24"/>
          <w:highlight w:val="none"/>
        </w:rPr>
        <w:t>＋</w:t>
      </w:r>
      <w:r>
        <w:rPr>
          <w:rFonts w:ascii="楷体" w:hAnsi="楷体" w:eastAsia="楷体" w:cs="宋体"/>
          <w:color w:val="auto"/>
          <w:sz w:val="24"/>
          <w:highlight w:val="none"/>
        </w:rPr>
        <w:t xml:space="preserve"> 0.55＝ 2.05 </w:t>
      </w:r>
      <w:r>
        <w:rPr>
          <w:rFonts w:hint="eastAsia" w:ascii="楷体" w:hAnsi="楷体" w:eastAsia="楷体" w:cs="宋体"/>
          <w:color w:val="auto"/>
          <w:sz w:val="24"/>
          <w:highlight w:val="none"/>
        </w:rPr>
        <w:t>（万元）</w:t>
      </w:r>
    </w:p>
    <w:p w14:paraId="1AB67ADC">
      <w:pPr>
        <w:spacing w:line="360" w:lineRule="auto"/>
        <w:ind w:firstLine="482" w:firstLineChars="200"/>
        <w:contextualSpacing/>
        <w:rPr>
          <w:rFonts w:hint="eastAsia" w:ascii="宋体" w:hAnsi="宋体" w:cs="宋体"/>
          <w:b/>
          <w:bCs/>
          <w:color w:val="auto"/>
          <w:sz w:val="24"/>
          <w:highlight w:val="none"/>
        </w:rPr>
      </w:pPr>
      <w:r>
        <w:rPr>
          <w:rFonts w:hint="eastAsia" w:ascii="宋体" w:hAnsi="宋体" w:cs="宋体"/>
          <w:b/>
          <w:bCs/>
          <w:color w:val="auto"/>
          <w:sz w:val="24"/>
          <w:highlight w:val="none"/>
        </w:rPr>
        <w:t>33.需要补充的其他内容</w:t>
      </w:r>
    </w:p>
    <w:p w14:paraId="65941778">
      <w:pPr>
        <w:pStyle w:val="14"/>
        <w:spacing w:line="360" w:lineRule="auto"/>
        <w:ind w:firstLine="480" w:firstLineChars="200"/>
        <w:contextualSpacing/>
        <w:rPr>
          <w:rFonts w:hint="eastAsia" w:hAnsi="宋体" w:cs="宋体"/>
          <w:color w:val="auto"/>
          <w:sz w:val="24"/>
          <w:szCs w:val="24"/>
          <w:highlight w:val="none"/>
        </w:rPr>
      </w:pPr>
      <w:r>
        <w:rPr>
          <w:rFonts w:hint="eastAsia" w:hAnsi="宋体" w:cs="宋体"/>
          <w:color w:val="auto"/>
          <w:sz w:val="24"/>
          <w:szCs w:val="24"/>
          <w:highlight w:val="none"/>
        </w:rPr>
        <w:t>33.1本谈判文件解释规则详见“供应商须知前附表”。</w:t>
      </w:r>
    </w:p>
    <w:p w14:paraId="7D5556B8">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kern w:val="0"/>
          <w:sz w:val="24"/>
          <w:highlight w:val="none"/>
        </w:rPr>
        <w:t>33.2 其他事</w:t>
      </w:r>
      <w:r>
        <w:rPr>
          <w:rFonts w:hint="eastAsia" w:ascii="宋体" w:hAnsi="宋体" w:cs="宋体"/>
          <w:color w:val="auto"/>
          <w:sz w:val="24"/>
          <w:highlight w:val="none"/>
        </w:rPr>
        <w:t>项详见“供应商须知前附表”。</w:t>
      </w:r>
    </w:p>
    <w:p w14:paraId="4DECC1E9">
      <w:pPr>
        <w:pStyle w:val="14"/>
        <w:spacing w:line="360" w:lineRule="auto"/>
        <w:ind w:firstLine="480" w:firstLineChars="200"/>
        <w:contextualSpacing/>
        <w:rPr>
          <w:rFonts w:hint="eastAsia" w:hAnsi="宋体" w:cs="宋体"/>
          <w:color w:val="auto"/>
          <w:sz w:val="24"/>
          <w:szCs w:val="24"/>
          <w:highlight w:val="none"/>
        </w:rPr>
      </w:pPr>
      <w:r>
        <w:rPr>
          <w:rFonts w:hint="eastAsia" w:hAnsi="宋体" w:cs="宋体"/>
          <w:color w:val="auto"/>
          <w:sz w:val="24"/>
          <w:szCs w:val="24"/>
          <w:highlight w:val="none"/>
        </w:rPr>
        <w:t>33.3</w:t>
      </w:r>
      <w:bookmarkStart w:id="37" w:name="_Hlk65857140"/>
      <w:r>
        <w:rPr>
          <w:rFonts w:hint="eastAsia" w:hAnsi="宋体" w:cs="宋体"/>
          <w:color w:val="auto"/>
          <w:sz w:val="24"/>
          <w:szCs w:val="24"/>
          <w:highlight w:val="none"/>
        </w:rPr>
        <w:t>本谈判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谈判文件规定的中小企业扶持政策：</w:t>
      </w:r>
    </w:p>
    <w:p w14:paraId="0ED7E53C">
      <w:pPr>
        <w:pStyle w:val="14"/>
        <w:spacing w:line="360" w:lineRule="auto"/>
        <w:ind w:firstLine="480" w:firstLineChars="200"/>
        <w:contextualSpacing/>
        <w:rPr>
          <w:rFonts w:hint="eastAsia" w:hAnsi="宋体" w:cs="宋体"/>
          <w:color w:val="auto"/>
          <w:sz w:val="24"/>
          <w:szCs w:val="24"/>
          <w:highlight w:val="none"/>
        </w:rPr>
      </w:pPr>
      <w:r>
        <w:rPr>
          <w:rFonts w:hint="eastAsia" w:hAnsi="宋体" w:cs="宋体"/>
          <w:color w:val="auto"/>
          <w:sz w:val="24"/>
          <w:szCs w:val="24"/>
          <w:highlight w:val="none"/>
        </w:rPr>
        <w:t>（1）在货物采购项目中，货物由中小企业制造，即货物由中小企业生产且使用该中小企业商号或者注册商标，不对其中涉及的工程承建商和服务的承接商作出要求；</w:t>
      </w:r>
    </w:p>
    <w:p w14:paraId="0B81DD42">
      <w:pPr>
        <w:pStyle w:val="14"/>
        <w:spacing w:line="360" w:lineRule="auto"/>
        <w:ind w:firstLine="480" w:firstLineChars="200"/>
        <w:contextualSpacing/>
        <w:rPr>
          <w:rFonts w:hint="eastAsia" w:hAnsi="宋体" w:cs="宋体"/>
          <w:color w:val="auto"/>
          <w:sz w:val="24"/>
          <w:szCs w:val="24"/>
          <w:highlight w:val="none"/>
        </w:rPr>
      </w:pPr>
      <w:r>
        <w:rPr>
          <w:rFonts w:hint="eastAsia" w:hAnsi="宋体" w:cs="宋体"/>
          <w:color w:val="auto"/>
          <w:sz w:val="24"/>
          <w:szCs w:val="24"/>
          <w:highlight w:val="none"/>
        </w:rPr>
        <w:t>（2）在工程采购项目中，工程由中小企业承建，即工程施工单位为中小企业，不对其中涉及的货物的制造商和服务的承接商作出要求；</w:t>
      </w:r>
    </w:p>
    <w:p w14:paraId="1011D1C5">
      <w:pPr>
        <w:pStyle w:val="14"/>
        <w:spacing w:line="360" w:lineRule="auto"/>
        <w:ind w:firstLine="480" w:firstLineChars="200"/>
        <w:contextualSpacing/>
        <w:rPr>
          <w:rFonts w:hint="eastAsia" w:hAnsi="宋体" w:cs="宋体"/>
          <w:color w:val="auto"/>
          <w:sz w:val="24"/>
          <w:szCs w:val="24"/>
          <w:highlight w:val="none"/>
        </w:rPr>
      </w:pPr>
      <w:r>
        <w:rPr>
          <w:rFonts w:hint="eastAsia" w:hAnsi="宋体" w:cs="宋体"/>
          <w:color w:val="auto"/>
          <w:sz w:val="24"/>
          <w:szCs w:val="24"/>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16A92D2A">
      <w:pPr>
        <w:pStyle w:val="14"/>
        <w:spacing w:line="360" w:lineRule="auto"/>
        <w:ind w:firstLine="480" w:firstLineChars="200"/>
        <w:contextualSpacing/>
        <w:rPr>
          <w:rFonts w:hint="eastAsia" w:hAnsi="宋体" w:cs="宋体"/>
          <w:color w:val="auto"/>
          <w:sz w:val="24"/>
          <w:szCs w:val="24"/>
          <w:highlight w:val="none"/>
        </w:rPr>
      </w:pPr>
      <w:r>
        <w:rPr>
          <w:rFonts w:hint="eastAsia" w:hAnsi="宋体" w:cs="宋体"/>
          <w:color w:val="auto"/>
          <w:sz w:val="24"/>
          <w:szCs w:val="24"/>
          <w:highlight w:val="none"/>
        </w:rPr>
        <w:t>在货物采购项目中，供应商提供的货物既有中小企业制造货物，也有大型企业制造货物的，不享受本谈判文件规定的中小企业扶持政策。以联合体形式参加政府采购活动，联合体各方均为中小企业的，联合体视同中小企业。其中，联合体各方均为小微企业的，联合体视同小微企业。</w:t>
      </w:r>
    </w:p>
    <w:p w14:paraId="73365961">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依据本谈判文件规定享受扶持政策获得政府采购合同的，小微企业不得将合同分包给大中型企业，中型企业不得将合同分包给大型企业。</w:t>
      </w:r>
      <w:bookmarkEnd w:id="37"/>
    </w:p>
    <w:p w14:paraId="070FD621">
      <w:pPr>
        <w:pStyle w:val="2"/>
        <w:spacing w:before="0" w:after="0" w:line="360" w:lineRule="auto"/>
        <w:jc w:val="center"/>
        <w:rPr>
          <w:rFonts w:hint="eastAsia" w:ascii="宋体" w:hAnsi="宋体" w:cs="宋体"/>
          <w:color w:val="auto"/>
          <w:sz w:val="32"/>
          <w:szCs w:val="32"/>
          <w:highlight w:val="none"/>
        </w:rPr>
      </w:pPr>
      <w:r>
        <w:rPr>
          <w:rFonts w:hint="eastAsia" w:ascii="宋体" w:hAnsi="宋体" w:cs="宋体"/>
          <w:bCs w:val="0"/>
          <w:color w:val="auto"/>
          <w:sz w:val="24"/>
          <w:szCs w:val="24"/>
          <w:highlight w:val="none"/>
        </w:rPr>
        <w:br w:type="page"/>
      </w:r>
      <w:bookmarkStart w:id="38" w:name="_Toc6099"/>
      <w:r>
        <w:rPr>
          <w:rFonts w:hint="eastAsia" w:ascii="宋体" w:hAnsi="宋体" w:cs="宋体"/>
          <w:color w:val="auto"/>
          <w:highlight w:val="none"/>
        </w:rPr>
        <w:t>第三章 采购需求</w:t>
      </w:r>
      <w:bookmarkEnd w:id="38"/>
    </w:p>
    <w:p w14:paraId="05965515">
      <w:pPr>
        <w:spacing w:line="360" w:lineRule="auto"/>
        <w:jc w:val="left"/>
        <w:rPr>
          <w:rFonts w:hint="eastAsia" w:ascii="宋体" w:hAnsi="宋体" w:cs="宋体"/>
          <w:bCs/>
          <w:color w:val="auto"/>
          <w:sz w:val="24"/>
          <w:highlight w:val="none"/>
        </w:rPr>
      </w:pPr>
      <w:r>
        <w:rPr>
          <w:rFonts w:hint="eastAsia" w:ascii="宋体" w:hAnsi="宋体" w:cs="宋体"/>
          <w:bCs/>
          <w:color w:val="auto"/>
          <w:sz w:val="24"/>
          <w:highlight w:val="none"/>
        </w:rPr>
        <w:t>说明：</w:t>
      </w:r>
    </w:p>
    <w:p w14:paraId="734AB6BB">
      <w:pPr>
        <w:spacing w:line="360" w:lineRule="auto"/>
        <w:ind w:left="-10" w:leftChars="-5" w:right="2" w:rightChars="1" w:firstLine="480" w:firstLineChars="200"/>
        <w:rPr>
          <w:bCs/>
          <w:color w:val="auto"/>
          <w:sz w:val="24"/>
          <w:highlight w:val="none"/>
        </w:rPr>
      </w:pPr>
      <w:r>
        <w:rPr>
          <w:bCs/>
          <w:color w:val="auto"/>
          <w:sz w:val="24"/>
          <w:highlight w:val="none"/>
        </w:rPr>
        <w:t>1</w:t>
      </w:r>
      <w:r>
        <w:rPr>
          <w:rFonts w:hint="eastAsia" w:ascii="宋体" w:hAnsi="宋体" w:cs="宋体"/>
          <w:color w:val="auto"/>
          <w:sz w:val="24"/>
          <w:highlight w:val="none"/>
        </w:rPr>
        <w:t>.</w:t>
      </w:r>
      <w:r>
        <w:rPr>
          <w:bCs/>
          <w:color w:val="auto"/>
          <w:sz w:val="24"/>
          <w:highlight w:val="none"/>
        </w:rPr>
        <w:t>采购需求中如出现品牌、型号或者生产厂家等均仅起参考作用，不属于指定品牌、型号或者生产厂家的情形，</w:t>
      </w:r>
      <w:r>
        <w:rPr>
          <w:rFonts w:hint="eastAsia"/>
          <w:bCs/>
          <w:color w:val="auto"/>
          <w:sz w:val="24"/>
          <w:highlight w:val="none"/>
        </w:rPr>
        <w:t>供应商</w:t>
      </w:r>
      <w:r>
        <w:rPr>
          <w:bCs/>
          <w:color w:val="auto"/>
          <w:sz w:val="24"/>
          <w:highlight w:val="none"/>
        </w:rPr>
        <w:t>可参照或者选用其他相当的品牌、型号或者生产供应商替代。但</w:t>
      </w:r>
      <w:r>
        <w:rPr>
          <w:rFonts w:hint="eastAsia"/>
          <w:bCs/>
          <w:color w:val="auto"/>
          <w:sz w:val="24"/>
          <w:highlight w:val="none"/>
        </w:rPr>
        <w:t>供应商提供</w:t>
      </w:r>
      <w:r>
        <w:rPr>
          <w:bCs/>
          <w:color w:val="auto"/>
          <w:sz w:val="24"/>
          <w:highlight w:val="none"/>
        </w:rPr>
        <w:t>的产品实质上应相当于或优于本</w:t>
      </w:r>
      <w:r>
        <w:rPr>
          <w:rFonts w:hint="eastAsia"/>
          <w:bCs/>
          <w:color w:val="auto"/>
          <w:sz w:val="24"/>
          <w:highlight w:val="none"/>
        </w:rPr>
        <w:t>《采购</w:t>
      </w:r>
      <w:r>
        <w:rPr>
          <w:bCs/>
          <w:color w:val="auto"/>
          <w:sz w:val="24"/>
          <w:highlight w:val="none"/>
        </w:rPr>
        <w:t>需求</w:t>
      </w:r>
      <w:r>
        <w:rPr>
          <w:rFonts w:hint="eastAsia"/>
          <w:bCs/>
          <w:color w:val="auto"/>
          <w:sz w:val="24"/>
          <w:highlight w:val="none"/>
        </w:rPr>
        <w:t>》</w:t>
      </w:r>
      <w:r>
        <w:rPr>
          <w:bCs/>
          <w:color w:val="auto"/>
          <w:sz w:val="24"/>
          <w:highlight w:val="none"/>
        </w:rPr>
        <w:t>中的技术要求。</w:t>
      </w:r>
    </w:p>
    <w:p w14:paraId="1451154E">
      <w:pPr>
        <w:spacing w:line="360" w:lineRule="auto"/>
        <w:ind w:left="-10" w:leftChars="-5" w:right="2" w:rightChars="1" w:firstLine="480" w:firstLineChars="200"/>
        <w:rPr>
          <w:bCs/>
          <w:color w:val="auto"/>
          <w:sz w:val="24"/>
          <w:highlight w:val="none"/>
        </w:rPr>
      </w:pPr>
      <w:r>
        <w:rPr>
          <w:bCs/>
          <w:color w:val="auto"/>
          <w:sz w:val="24"/>
          <w:highlight w:val="none"/>
        </w:rPr>
        <w:t>2</w:t>
      </w:r>
      <w:r>
        <w:rPr>
          <w:rFonts w:hint="eastAsia" w:ascii="宋体" w:hAnsi="宋体" w:cs="宋体"/>
          <w:color w:val="auto"/>
          <w:sz w:val="24"/>
          <w:highlight w:val="none"/>
        </w:rPr>
        <w:t>.</w:t>
      </w:r>
      <w:r>
        <w:rPr>
          <w:bCs/>
          <w:color w:val="auto"/>
          <w:sz w:val="24"/>
          <w:highlight w:val="none"/>
        </w:rPr>
        <w:t>凡在</w:t>
      </w:r>
      <w:bookmarkStart w:id="39" w:name="_Hlk207211764"/>
      <w:r>
        <w:rPr>
          <w:rFonts w:hint="eastAsia"/>
          <w:bCs/>
          <w:color w:val="auto"/>
          <w:sz w:val="24"/>
          <w:highlight w:val="none"/>
        </w:rPr>
        <w:t>“</w:t>
      </w:r>
      <w:r>
        <w:rPr>
          <w:bCs/>
          <w:color w:val="auto"/>
          <w:sz w:val="24"/>
          <w:highlight w:val="none"/>
        </w:rPr>
        <w:t>技术要求</w:t>
      </w:r>
      <w:r>
        <w:rPr>
          <w:rFonts w:hint="eastAsia"/>
          <w:bCs/>
          <w:color w:val="auto"/>
          <w:sz w:val="24"/>
          <w:highlight w:val="none"/>
        </w:rPr>
        <w:t>”</w:t>
      </w:r>
      <w:r>
        <w:rPr>
          <w:bCs/>
          <w:color w:val="auto"/>
          <w:sz w:val="24"/>
          <w:highlight w:val="none"/>
        </w:rPr>
        <w:t>中表述为</w:t>
      </w:r>
      <w:r>
        <w:rPr>
          <w:rFonts w:hint="eastAsia"/>
          <w:bCs/>
          <w:color w:val="auto"/>
          <w:sz w:val="24"/>
          <w:highlight w:val="none"/>
        </w:rPr>
        <w:t>“</w:t>
      </w:r>
      <w:r>
        <w:rPr>
          <w:bCs/>
          <w:color w:val="auto"/>
          <w:sz w:val="24"/>
          <w:highlight w:val="none"/>
        </w:rPr>
        <w:t>标配</w:t>
      </w:r>
      <w:r>
        <w:rPr>
          <w:rFonts w:hint="eastAsia"/>
          <w:bCs/>
          <w:color w:val="auto"/>
          <w:sz w:val="24"/>
          <w:highlight w:val="none"/>
        </w:rPr>
        <w:t>”</w:t>
      </w:r>
      <w:r>
        <w:rPr>
          <w:bCs/>
          <w:color w:val="auto"/>
          <w:sz w:val="24"/>
          <w:highlight w:val="none"/>
        </w:rPr>
        <w:t>或</w:t>
      </w:r>
      <w:r>
        <w:rPr>
          <w:rFonts w:hint="eastAsia"/>
          <w:bCs/>
          <w:color w:val="auto"/>
          <w:sz w:val="24"/>
          <w:highlight w:val="none"/>
        </w:rPr>
        <w:t>“</w:t>
      </w:r>
      <w:r>
        <w:rPr>
          <w:bCs/>
          <w:color w:val="auto"/>
          <w:sz w:val="24"/>
          <w:highlight w:val="none"/>
        </w:rPr>
        <w:t>标准配置</w:t>
      </w:r>
      <w:r>
        <w:rPr>
          <w:rFonts w:hint="eastAsia"/>
          <w:bCs/>
          <w:color w:val="auto"/>
          <w:sz w:val="24"/>
          <w:highlight w:val="none"/>
        </w:rPr>
        <w:t>”</w:t>
      </w:r>
      <w:bookmarkEnd w:id="39"/>
      <w:r>
        <w:rPr>
          <w:bCs/>
          <w:color w:val="auto"/>
          <w:sz w:val="24"/>
          <w:highlight w:val="none"/>
        </w:rPr>
        <w:t>的设备，</w:t>
      </w:r>
      <w:r>
        <w:rPr>
          <w:rFonts w:hint="eastAsia"/>
          <w:bCs/>
          <w:color w:val="auto"/>
          <w:sz w:val="24"/>
          <w:highlight w:val="none"/>
        </w:rPr>
        <w:t>供应商</w:t>
      </w:r>
      <w:r>
        <w:rPr>
          <w:bCs/>
          <w:color w:val="auto"/>
          <w:sz w:val="24"/>
          <w:highlight w:val="none"/>
        </w:rPr>
        <w:t>应在</w:t>
      </w:r>
      <w:r>
        <w:rPr>
          <w:rFonts w:hint="eastAsia" w:ascii="宋体" w:hAnsi="宋体" w:cs="宋体"/>
          <w:color w:val="auto"/>
          <w:sz w:val="24"/>
          <w:highlight w:val="none"/>
          <w:lang w:bidi="ar"/>
        </w:rPr>
        <w:t>竞争性谈判</w:t>
      </w:r>
      <w:r>
        <w:rPr>
          <w:rFonts w:hint="eastAsia"/>
          <w:bCs/>
          <w:color w:val="auto"/>
          <w:sz w:val="24"/>
          <w:highlight w:val="none"/>
        </w:rPr>
        <w:t>货物</w:t>
      </w:r>
      <w:r>
        <w:rPr>
          <w:bCs/>
          <w:color w:val="auto"/>
          <w:sz w:val="24"/>
          <w:highlight w:val="none"/>
        </w:rPr>
        <w:t>配置清单中将其标配参数详细列明。</w:t>
      </w:r>
    </w:p>
    <w:p w14:paraId="05AAFE12">
      <w:pPr>
        <w:spacing w:line="360" w:lineRule="auto"/>
        <w:ind w:left="-10" w:leftChars="-5" w:right="2" w:rightChars="1" w:firstLine="480" w:firstLineChars="200"/>
        <w:rPr>
          <w:bCs/>
          <w:color w:val="auto"/>
          <w:sz w:val="24"/>
          <w:highlight w:val="none"/>
        </w:rPr>
      </w:pPr>
      <w:r>
        <w:rPr>
          <w:bCs/>
          <w:color w:val="auto"/>
          <w:sz w:val="24"/>
          <w:highlight w:val="none"/>
        </w:rPr>
        <w:t>3</w:t>
      </w:r>
      <w:r>
        <w:rPr>
          <w:rFonts w:hint="eastAsia" w:ascii="宋体" w:hAnsi="宋体" w:cs="宋体"/>
          <w:color w:val="auto"/>
          <w:sz w:val="24"/>
          <w:highlight w:val="none"/>
        </w:rPr>
        <w:t>.</w:t>
      </w:r>
      <w:r>
        <w:rPr>
          <w:bCs/>
          <w:color w:val="auto"/>
          <w:sz w:val="24"/>
          <w:highlight w:val="none"/>
        </w:rPr>
        <w:t>根据《财政部发展改革委生态环境部市场监管总局关于调整优化节能产品、环境标志产品政府采购执行机制的通知》（财库〔2019〕9 号）和《关于印发节能产品政府采购品目清单的通知》（财库〔2019〕19 号）的规定，采购需求中的产品属于节能产品政府采购品目清单内标注</w:t>
      </w:r>
      <w:bookmarkStart w:id="40" w:name="_Hlk207211774"/>
      <w:r>
        <w:rPr>
          <w:rFonts w:hint="eastAsia"/>
          <w:bCs/>
          <w:color w:val="auto"/>
          <w:sz w:val="24"/>
          <w:highlight w:val="none"/>
        </w:rPr>
        <w:t>“</w:t>
      </w:r>
      <w:r>
        <w:rPr>
          <w:rFonts w:hint="eastAsia" w:ascii="Segoe UI Symbol" w:hAnsi="Segoe UI Symbol" w:cs="Segoe UI Symbol"/>
          <w:bCs/>
          <w:color w:val="auto"/>
          <w:sz w:val="24"/>
          <w:highlight w:val="none"/>
        </w:rPr>
        <w:t>★</w:t>
      </w:r>
      <w:r>
        <w:rPr>
          <w:rFonts w:hint="eastAsia"/>
          <w:bCs/>
          <w:color w:val="auto"/>
          <w:sz w:val="24"/>
          <w:highlight w:val="none"/>
        </w:rPr>
        <w:t>”</w:t>
      </w:r>
      <w:bookmarkEnd w:id="40"/>
      <w:r>
        <w:rPr>
          <w:bCs/>
          <w:color w:val="auto"/>
          <w:sz w:val="24"/>
          <w:highlight w:val="none"/>
        </w:rPr>
        <w:t>的（详见本章后附的节能产品政府采购品目清单），</w:t>
      </w:r>
      <w:r>
        <w:rPr>
          <w:rFonts w:hint="eastAsia"/>
          <w:bCs/>
          <w:color w:val="auto"/>
          <w:sz w:val="24"/>
          <w:highlight w:val="none"/>
        </w:rPr>
        <w:t>供应商参与</w:t>
      </w:r>
      <w:r>
        <w:rPr>
          <w:rFonts w:hint="eastAsia" w:ascii="宋体" w:hAnsi="宋体" w:cs="宋体"/>
          <w:color w:val="auto"/>
          <w:sz w:val="24"/>
          <w:highlight w:val="none"/>
          <w:lang w:bidi="ar"/>
        </w:rPr>
        <w:t>竞争性谈判</w:t>
      </w:r>
      <w:r>
        <w:rPr>
          <w:rFonts w:hint="eastAsia"/>
          <w:bCs/>
          <w:color w:val="auto"/>
          <w:sz w:val="24"/>
          <w:highlight w:val="none"/>
        </w:rPr>
        <w:t>提供的</w:t>
      </w:r>
      <w:r>
        <w:rPr>
          <w:bCs/>
          <w:color w:val="auto"/>
          <w:sz w:val="24"/>
          <w:highlight w:val="none"/>
        </w:rPr>
        <w:t>货物必须使用政府强制采购的节能产品，</w:t>
      </w:r>
      <w:r>
        <w:rPr>
          <w:rFonts w:hint="eastAsia"/>
          <w:bCs/>
          <w:color w:val="auto"/>
          <w:sz w:val="24"/>
          <w:highlight w:val="none"/>
        </w:rPr>
        <w:t>供应商必须在响应文件（商务及技术文件）中提供所投产品的节能产品认证证书复印件（加盖投标人电子签章），</w:t>
      </w:r>
      <w:r>
        <w:rPr>
          <w:bCs/>
          <w:color w:val="auto"/>
          <w:sz w:val="24"/>
          <w:highlight w:val="none"/>
        </w:rPr>
        <w:t>否则</w:t>
      </w:r>
      <w:r>
        <w:rPr>
          <w:rFonts w:hint="eastAsia"/>
          <w:bCs/>
          <w:color w:val="auto"/>
          <w:sz w:val="24"/>
          <w:highlight w:val="none"/>
        </w:rPr>
        <w:t>响应</w:t>
      </w:r>
      <w:r>
        <w:rPr>
          <w:bCs/>
          <w:color w:val="auto"/>
          <w:sz w:val="24"/>
          <w:highlight w:val="none"/>
        </w:rPr>
        <w:t>文件作无效处理。</w:t>
      </w:r>
    </w:p>
    <w:p w14:paraId="0BE1BCE1">
      <w:pPr>
        <w:spacing w:line="360" w:lineRule="auto"/>
        <w:ind w:left="-10" w:leftChars="-5" w:right="2" w:rightChars="1" w:firstLine="480" w:firstLineChars="200"/>
        <w:rPr>
          <w:bCs/>
          <w:color w:val="auto"/>
          <w:sz w:val="24"/>
          <w:highlight w:val="none"/>
        </w:rPr>
      </w:pPr>
      <w:r>
        <w:rPr>
          <w:bCs/>
          <w:color w:val="auto"/>
          <w:sz w:val="24"/>
          <w:highlight w:val="none"/>
        </w:rPr>
        <w:t>4</w:t>
      </w:r>
      <w:r>
        <w:rPr>
          <w:rFonts w:hint="eastAsia" w:ascii="宋体" w:hAnsi="宋体" w:cs="宋体"/>
          <w:color w:val="auto"/>
          <w:sz w:val="24"/>
          <w:highlight w:val="none"/>
        </w:rPr>
        <w:t>.</w:t>
      </w:r>
      <w:r>
        <w:rPr>
          <w:bCs/>
          <w:color w:val="auto"/>
          <w:sz w:val="24"/>
          <w:highlight w:val="none"/>
        </w:rPr>
        <w:t>如</w:t>
      </w:r>
      <w:r>
        <w:rPr>
          <w:rFonts w:hint="eastAsia"/>
          <w:bCs/>
          <w:color w:val="auto"/>
          <w:sz w:val="24"/>
          <w:highlight w:val="none"/>
        </w:rPr>
        <w:t>供应商参与</w:t>
      </w:r>
      <w:r>
        <w:rPr>
          <w:rFonts w:hint="eastAsia" w:ascii="宋体" w:hAnsi="宋体" w:cs="宋体"/>
          <w:color w:val="auto"/>
          <w:sz w:val="24"/>
          <w:highlight w:val="none"/>
          <w:lang w:bidi="ar"/>
        </w:rPr>
        <w:t>竞争性谈判提供的</w:t>
      </w:r>
      <w:r>
        <w:rPr>
          <w:bCs/>
          <w:color w:val="auto"/>
          <w:sz w:val="24"/>
          <w:highlight w:val="none"/>
        </w:rPr>
        <w:t>产品存在侵犯他人的知识产权或者专利成果行为的，由</w:t>
      </w:r>
      <w:r>
        <w:rPr>
          <w:rFonts w:hint="eastAsia"/>
          <w:bCs/>
          <w:color w:val="auto"/>
          <w:sz w:val="24"/>
          <w:highlight w:val="none"/>
        </w:rPr>
        <w:t>供应商</w:t>
      </w:r>
      <w:r>
        <w:rPr>
          <w:bCs/>
          <w:color w:val="auto"/>
          <w:sz w:val="24"/>
          <w:highlight w:val="none"/>
        </w:rPr>
        <w:t>自行承担相应法律责任。</w:t>
      </w:r>
    </w:p>
    <w:p w14:paraId="6E17AA06">
      <w:pPr>
        <w:spacing w:line="360" w:lineRule="auto"/>
        <w:ind w:left="-10" w:leftChars="-5" w:right="2" w:rightChars="1" w:firstLine="480" w:firstLineChars="200"/>
        <w:rPr>
          <w:bCs/>
          <w:color w:val="auto"/>
          <w:sz w:val="24"/>
          <w:highlight w:val="none"/>
        </w:rPr>
      </w:pPr>
      <w:r>
        <w:rPr>
          <w:bCs/>
          <w:color w:val="auto"/>
          <w:sz w:val="24"/>
          <w:highlight w:val="none"/>
        </w:rPr>
        <w:t>5</w:t>
      </w:r>
      <w:r>
        <w:rPr>
          <w:rFonts w:hint="eastAsia" w:ascii="宋体" w:hAnsi="宋体" w:cs="宋体"/>
          <w:color w:val="auto"/>
          <w:sz w:val="24"/>
          <w:highlight w:val="none"/>
        </w:rPr>
        <w:t>.“</w:t>
      </w:r>
      <w:r>
        <w:rPr>
          <w:bCs/>
          <w:color w:val="auto"/>
          <w:sz w:val="24"/>
          <w:highlight w:val="none"/>
        </w:rPr>
        <w:t>实质性要求</w:t>
      </w:r>
      <w:r>
        <w:rPr>
          <w:rFonts w:hint="eastAsia" w:ascii="宋体" w:hAnsi="宋体" w:cs="宋体"/>
          <w:color w:val="auto"/>
          <w:sz w:val="24"/>
          <w:highlight w:val="none"/>
        </w:rPr>
        <w:t>”</w:t>
      </w:r>
      <w:r>
        <w:rPr>
          <w:bCs/>
          <w:color w:val="auto"/>
          <w:sz w:val="24"/>
          <w:highlight w:val="none"/>
        </w:rPr>
        <w:t>是指</w:t>
      </w:r>
      <w:r>
        <w:rPr>
          <w:rFonts w:hint="eastAsia"/>
          <w:bCs/>
          <w:color w:val="auto"/>
          <w:sz w:val="24"/>
          <w:highlight w:val="none"/>
        </w:rPr>
        <w:t>采购文件</w:t>
      </w:r>
      <w:r>
        <w:rPr>
          <w:bCs/>
          <w:color w:val="auto"/>
          <w:sz w:val="24"/>
          <w:highlight w:val="none"/>
        </w:rPr>
        <w:t>中已经指明不满足则</w:t>
      </w:r>
      <w:r>
        <w:rPr>
          <w:rFonts w:hint="eastAsia" w:ascii="宋体" w:hAnsi="宋体" w:cs="宋体"/>
          <w:color w:val="auto"/>
          <w:sz w:val="24"/>
          <w:highlight w:val="none"/>
          <w:lang w:bidi="ar"/>
        </w:rPr>
        <w:t>竞争性谈判</w:t>
      </w:r>
      <w:r>
        <w:rPr>
          <w:bCs/>
          <w:color w:val="auto"/>
          <w:sz w:val="24"/>
          <w:highlight w:val="none"/>
        </w:rPr>
        <w:t>无效的条款，或者不</w:t>
      </w:r>
      <w:r>
        <w:rPr>
          <w:rFonts w:hint="eastAsia"/>
          <w:bCs/>
          <w:color w:val="auto"/>
          <w:sz w:val="24"/>
          <w:highlight w:val="none"/>
        </w:rPr>
        <w:t>容许</w:t>
      </w:r>
      <w:r>
        <w:rPr>
          <w:bCs/>
          <w:color w:val="auto"/>
          <w:sz w:val="24"/>
          <w:highlight w:val="none"/>
        </w:rPr>
        <w:t>负偏离的条款，或者采购需求中带</w:t>
      </w:r>
      <w:r>
        <w:rPr>
          <w:rFonts w:hint="eastAsia"/>
          <w:bCs/>
          <w:color w:val="auto"/>
          <w:sz w:val="24"/>
          <w:highlight w:val="none"/>
        </w:rPr>
        <w:t>“▲”</w:t>
      </w:r>
      <w:r>
        <w:rPr>
          <w:bCs/>
          <w:color w:val="auto"/>
          <w:sz w:val="24"/>
          <w:highlight w:val="none"/>
        </w:rPr>
        <w:t>的条款。</w:t>
      </w:r>
      <w:bookmarkStart w:id="41" w:name="_Hlk207211794"/>
      <w:r>
        <w:rPr>
          <w:rFonts w:hint="eastAsia"/>
          <w:bCs/>
          <w:color w:val="auto"/>
          <w:sz w:val="24"/>
          <w:highlight w:val="none"/>
        </w:rPr>
        <w:t>未标注“</w:t>
      </w:r>
      <w:r>
        <w:rPr>
          <w:rFonts w:hint="eastAsia" w:ascii="Segoe UI Symbol" w:hAnsi="Segoe UI Symbol" w:cs="Segoe UI Symbol"/>
          <w:bCs/>
          <w:color w:val="auto"/>
          <w:sz w:val="24"/>
          <w:highlight w:val="none"/>
        </w:rPr>
        <w:t>▲</w:t>
      </w:r>
      <w:r>
        <w:rPr>
          <w:rFonts w:hint="eastAsia"/>
          <w:bCs/>
          <w:color w:val="auto"/>
          <w:sz w:val="24"/>
          <w:highlight w:val="none"/>
        </w:rPr>
        <w:t>”号</w:t>
      </w:r>
      <w:bookmarkEnd w:id="41"/>
      <w:r>
        <w:rPr>
          <w:rFonts w:hint="eastAsia"/>
          <w:bCs/>
          <w:color w:val="auto"/>
          <w:sz w:val="24"/>
          <w:highlight w:val="none"/>
        </w:rPr>
        <w:t>的非实质性条款要求可允许2项负偏离，3项以上</w:t>
      </w:r>
      <w:bookmarkStart w:id="42" w:name="_Hlk207206189"/>
      <w:r>
        <w:rPr>
          <w:rFonts w:hint="eastAsia"/>
          <w:bCs/>
          <w:color w:val="auto"/>
          <w:sz w:val="24"/>
          <w:highlight w:val="none"/>
        </w:rPr>
        <w:t>（含3项）</w:t>
      </w:r>
      <w:bookmarkEnd w:id="42"/>
      <w:r>
        <w:rPr>
          <w:rFonts w:hint="eastAsia"/>
          <w:bCs/>
          <w:color w:val="auto"/>
          <w:sz w:val="24"/>
          <w:highlight w:val="none"/>
        </w:rPr>
        <w:t>负偏离的</w:t>
      </w:r>
      <w:r>
        <w:rPr>
          <w:rFonts w:hint="eastAsia" w:ascii="宋体" w:hAnsi="宋体" w:cs="宋体"/>
          <w:bCs/>
          <w:color w:val="auto"/>
          <w:sz w:val="24"/>
          <w:highlight w:val="none"/>
        </w:rPr>
        <w:t>视为无效响应</w:t>
      </w:r>
      <w:r>
        <w:rPr>
          <w:rFonts w:hint="eastAsia"/>
          <w:bCs/>
          <w:color w:val="auto"/>
          <w:sz w:val="24"/>
          <w:highlight w:val="none"/>
        </w:rPr>
        <w:t>。</w:t>
      </w:r>
    </w:p>
    <w:p w14:paraId="3D573573">
      <w:pPr>
        <w:spacing w:line="360" w:lineRule="auto"/>
        <w:ind w:left="-10" w:leftChars="-5" w:right="2" w:rightChars="1" w:firstLine="480" w:firstLineChars="200"/>
        <w:rPr>
          <w:bCs/>
          <w:color w:val="auto"/>
          <w:sz w:val="24"/>
          <w:highlight w:val="none"/>
        </w:rPr>
      </w:pPr>
      <w:r>
        <w:rPr>
          <w:bCs/>
          <w:color w:val="auto"/>
          <w:sz w:val="24"/>
          <w:highlight w:val="none"/>
        </w:rPr>
        <w:t>项目所属行业：工业</w:t>
      </w:r>
    </w:p>
    <w:p w14:paraId="0A748928">
      <w:pPr>
        <w:pStyle w:val="33"/>
        <w:rPr>
          <w:rFonts w:hint="eastAsia" w:ascii="宋体" w:hAnsi="宋体" w:cs="宋体"/>
          <w:color w:val="auto"/>
          <w:highlight w:val="none"/>
        </w:rPr>
      </w:pPr>
      <w:r>
        <w:rPr>
          <w:rFonts w:hint="eastAsia" w:ascii="宋体" w:hAnsi="宋体" w:cs="宋体"/>
          <w:bCs/>
          <w:color w:val="auto"/>
          <w:sz w:val="24"/>
          <w:highlight w:val="none"/>
        </w:rPr>
        <w:t>分标1：</w:t>
      </w:r>
    </w:p>
    <w:tbl>
      <w:tblPr>
        <w:tblStyle w:val="26"/>
        <w:tblW w:w="99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6"/>
        <w:gridCol w:w="1247"/>
        <w:gridCol w:w="690"/>
        <w:gridCol w:w="540"/>
        <w:gridCol w:w="4395"/>
        <w:gridCol w:w="1275"/>
        <w:gridCol w:w="1391"/>
      </w:tblGrid>
      <w:tr w14:paraId="0EEF8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exact"/>
          <w:jc w:val="center"/>
        </w:trPr>
        <w:tc>
          <w:tcPr>
            <w:tcW w:w="416" w:type="dxa"/>
            <w:vAlign w:val="center"/>
          </w:tcPr>
          <w:p w14:paraId="36BA2FA4">
            <w:pPr>
              <w:spacing w:line="400" w:lineRule="exact"/>
              <w:jc w:val="center"/>
              <w:rPr>
                <w:rFonts w:hint="eastAsia" w:ascii="宋体" w:hAnsi="宋体" w:cs="宋体"/>
                <w:b/>
                <w:bCs/>
                <w:color w:val="auto"/>
                <w:sz w:val="24"/>
                <w:highlight w:val="none"/>
              </w:rPr>
            </w:pPr>
            <w:r>
              <w:rPr>
                <w:rFonts w:hint="eastAsia" w:ascii="宋体" w:hAnsi="宋体" w:cs="宋体"/>
                <w:b/>
                <w:bCs/>
                <w:color w:val="auto"/>
                <w:sz w:val="24"/>
                <w:highlight w:val="none"/>
              </w:rPr>
              <w:t>序号</w:t>
            </w:r>
          </w:p>
        </w:tc>
        <w:tc>
          <w:tcPr>
            <w:tcW w:w="1247" w:type="dxa"/>
            <w:vAlign w:val="center"/>
          </w:tcPr>
          <w:p w14:paraId="1FC28537">
            <w:pPr>
              <w:spacing w:line="400" w:lineRule="exact"/>
              <w:jc w:val="center"/>
              <w:rPr>
                <w:rFonts w:hint="eastAsia" w:ascii="宋体" w:hAnsi="宋体" w:cs="宋体"/>
                <w:b/>
                <w:bCs/>
                <w:color w:val="auto"/>
                <w:sz w:val="24"/>
                <w:highlight w:val="none"/>
              </w:rPr>
            </w:pPr>
            <w:r>
              <w:rPr>
                <w:rFonts w:hint="eastAsia" w:ascii="宋体" w:hAnsi="宋体" w:cs="宋体"/>
                <w:b/>
                <w:bCs/>
                <w:color w:val="auto"/>
                <w:sz w:val="24"/>
                <w:highlight w:val="none"/>
              </w:rPr>
              <w:t>标的名称</w:t>
            </w:r>
          </w:p>
        </w:tc>
        <w:tc>
          <w:tcPr>
            <w:tcW w:w="690" w:type="dxa"/>
            <w:vAlign w:val="center"/>
          </w:tcPr>
          <w:p w14:paraId="047D5245">
            <w:pPr>
              <w:spacing w:line="400" w:lineRule="exact"/>
              <w:jc w:val="center"/>
              <w:rPr>
                <w:rFonts w:hint="eastAsia" w:ascii="宋体" w:hAnsi="宋体" w:cs="宋体"/>
                <w:b/>
                <w:bCs/>
                <w:color w:val="auto"/>
                <w:sz w:val="24"/>
                <w:highlight w:val="none"/>
              </w:rPr>
            </w:pPr>
            <w:r>
              <w:rPr>
                <w:rFonts w:hint="eastAsia" w:ascii="宋体" w:hAnsi="宋体" w:cs="宋体"/>
                <w:b/>
                <w:bCs/>
                <w:color w:val="auto"/>
                <w:sz w:val="24"/>
                <w:highlight w:val="none"/>
              </w:rPr>
              <w:t>数量</w:t>
            </w:r>
          </w:p>
        </w:tc>
        <w:tc>
          <w:tcPr>
            <w:tcW w:w="540" w:type="dxa"/>
            <w:vAlign w:val="center"/>
          </w:tcPr>
          <w:p w14:paraId="56C9D8E3">
            <w:pPr>
              <w:spacing w:line="400" w:lineRule="exact"/>
              <w:jc w:val="center"/>
              <w:rPr>
                <w:rFonts w:hint="eastAsia" w:ascii="宋体" w:hAnsi="宋体" w:cs="宋体"/>
                <w:b/>
                <w:bCs/>
                <w:color w:val="auto"/>
                <w:sz w:val="24"/>
                <w:highlight w:val="none"/>
              </w:rPr>
            </w:pPr>
            <w:r>
              <w:rPr>
                <w:rFonts w:hint="eastAsia" w:ascii="宋体" w:hAnsi="宋体" w:cs="宋体"/>
                <w:b/>
                <w:bCs/>
                <w:color w:val="auto"/>
                <w:sz w:val="24"/>
                <w:highlight w:val="none"/>
              </w:rPr>
              <w:t>单位</w:t>
            </w:r>
          </w:p>
        </w:tc>
        <w:tc>
          <w:tcPr>
            <w:tcW w:w="4395" w:type="dxa"/>
            <w:vAlign w:val="center"/>
          </w:tcPr>
          <w:p w14:paraId="189262AB">
            <w:pPr>
              <w:spacing w:line="400" w:lineRule="exact"/>
              <w:jc w:val="center"/>
              <w:rPr>
                <w:rFonts w:hint="eastAsia" w:ascii="宋体" w:hAnsi="宋体" w:cs="宋体"/>
                <w:b/>
                <w:bCs/>
                <w:color w:val="auto"/>
                <w:sz w:val="24"/>
                <w:highlight w:val="none"/>
              </w:rPr>
            </w:pPr>
            <w:r>
              <w:rPr>
                <w:rFonts w:hint="eastAsia" w:ascii="宋体" w:hAnsi="宋体" w:cs="宋体"/>
                <w:b/>
                <w:bCs/>
                <w:color w:val="auto"/>
                <w:kern w:val="0"/>
                <w:sz w:val="24"/>
                <w:highlight w:val="none"/>
              </w:rPr>
              <w:t>技术参数及性能（配置）要求</w:t>
            </w:r>
          </w:p>
        </w:tc>
        <w:tc>
          <w:tcPr>
            <w:tcW w:w="1275" w:type="dxa"/>
          </w:tcPr>
          <w:p w14:paraId="42E00AAB">
            <w:pPr>
              <w:spacing w:line="400" w:lineRule="exact"/>
              <w:jc w:val="center"/>
              <w:rPr>
                <w:rFonts w:hint="eastAsia" w:ascii="宋体" w:hAnsi="宋体" w:cs="宋体"/>
                <w:b/>
                <w:bCs/>
                <w:color w:val="auto"/>
                <w:sz w:val="24"/>
                <w:highlight w:val="none"/>
              </w:rPr>
            </w:pPr>
            <w:r>
              <w:rPr>
                <w:rFonts w:hint="eastAsia" w:ascii="宋体" w:hAnsi="宋体" w:cs="宋体"/>
                <w:b/>
                <w:bCs/>
                <w:color w:val="auto"/>
                <w:kern w:val="0"/>
                <w:sz w:val="24"/>
                <w:highlight w:val="none"/>
              </w:rPr>
              <w:t>预算单价（万元/人民币）</w:t>
            </w:r>
          </w:p>
        </w:tc>
        <w:tc>
          <w:tcPr>
            <w:tcW w:w="1391" w:type="dxa"/>
          </w:tcPr>
          <w:p w14:paraId="28062614">
            <w:pPr>
              <w:spacing w:line="400" w:lineRule="exact"/>
              <w:jc w:val="center"/>
              <w:rPr>
                <w:rFonts w:hint="eastAsia" w:ascii="宋体" w:hAnsi="宋体" w:cs="宋体"/>
                <w:b/>
                <w:bCs/>
                <w:color w:val="auto"/>
                <w:sz w:val="24"/>
                <w:highlight w:val="none"/>
              </w:rPr>
            </w:pPr>
            <w:r>
              <w:rPr>
                <w:rFonts w:hint="eastAsia" w:ascii="宋体" w:hAnsi="宋体" w:cs="宋体"/>
                <w:b/>
                <w:bCs/>
                <w:color w:val="auto"/>
                <w:kern w:val="0"/>
                <w:sz w:val="24"/>
                <w:highlight w:val="none"/>
              </w:rPr>
              <w:t>单项预算合计（万元/人民币）</w:t>
            </w:r>
          </w:p>
        </w:tc>
      </w:tr>
      <w:tr w14:paraId="754BC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416" w:type="dxa"/>
            <w:vAlign w:val="center"/>
          </w:tcPr>
          <w:p w14:paraId="16F0F644">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1</w:t>
            </w:r>
          </w:p>
        </w:tc>
        <w:tc>
          <w:tcPr>
            <w:tcW w:w="1247" w:type="dxa"/>
            <w:vAlign w:val="center"/>
          </w:tcPr>
          <w:p w14:paraId="352442C7">
            <w:pPr>
              <w:spacing w:line="400" w:lineRule="exact"/>
              <w:jc w:val="center"/>
              <w:rPr>
                <w:rFonts w:hint="eastAsia" w:ascii="宋体" w:hAnsi="宋体" w:cs="宋体"/>
                <w:color w:val="auto"/>
                <w:kern w:val="0"/>
                <w:sz w:val="24"/>
                <w:highlight w:val="none"/>
              </w:rPr>
            </w:pPr>
            <w:r>
              <w:rPr>
                <w:rFonts w:hint="eastAsia" w:ascii="宋体" w:hAnsi="宋体" w:cs="宋体"/>
                <w:color w:val="auto"/>
                <w:highlight w:val="none"/>
              </w:rPr>
              <w:t>XGS PON板卡</w:t>
            </w:r>
          </w:p>
        </w:tc>
        <w:tc>
          <w:tcPr>
            <w:tcW w:w="690" w:type="dxa"/>
            <w:vAlign w:val="center"/>
          </w:tcPr>
          <w:p w14:paraId="4B22AF59">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1</w:t>
            </w:r>
          </w:p>
        </w:tc>
        <w:tc>
          <w:tcPr>
            <w:tcW w:w="540" w:type="dxa"/>
            <w:vAlign w:val="center"/>
          </w:tcPr>
          <w:p w14:paraId="0CADC81F">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块</w:t>
            </w:r>
          </w:p>
        </w:tc>
        <w:tc>
          <w:tcPr>
            <w:tcW w:w="4395" w:type="dxa"/>
            <w:vAlign w:val="center"/>
          </w:tcPr>
          <w:p w14:paraId="01E2F820">
            <w:pPr>
              <w:numPr>
                <w:ilvl w:val="0"/>
                <w:numId w:val="1"/>
              </w:numPr>
              <w:adjustRightInd w:val="0"/>
              <w:snapToGrid w:val="0"/>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不低于16端口XGSPON COMBO OLT接口板,支持Type B单/双归属(含XGS-PON COMBO光模块)</w:t>
            </w:r>
            <w:r>
              <w:rPr>
                <w:rFonts w:hint="eastAsia" w:ascii="宋体" w:hAnsi="宋体" w:cs="宋体"/>
                <w:color w:val="auto"/>
                <w:szCs w:val="21"/>
                <w:highlight w:val="none"/>
              </w:rPr>
              <w:br w:type="textWrapping"/>
            </w:r>
            <w:r>
              <w:rPr>
                <w:rFonts w:hint="eastAsia" w:ascii="宋体" w:hAnsi="宋体" w:cs="宋体"/>
                <w:color w:val="auto"/>
                <w:szCs w:val="21"/>
                <w:highlight w:val="none"/>
              </w:rPr>
              <w:t>2、支持实时流氓ONT检测和隔离，确保业务稳定运行</w:t>
            </w:r>
            <w:r>
              <w:rPr>
                <w:rFonts w:hint="eastAsia" w:ascii="宋体" w:hAnsi="宋体" w:cs="宋体"/>
                <w:color w:val="auto"/>
                <w:szCs w:val="21"/>
                <w:highlight w:val="none"/>
              </w:rPr>
              <w:br w:type="textWrapping"/>
            </w:r>
            <w:r>
              <w:rPr>
                <w:rFonts w:hint="eastAsia" w:ascii="宋体" w:hAnsi="宋体" w:cs="宋体"/>
                <w:color w:val="auto"/>
                <w:szCs w:val="21"/>
                <w:highlight w:val="none"/>
              </w:rPr>
              <w:t>▲3、必须要与现网OLT（华为：SmartAX EA5800-X15）兼容使用，（响应时须在响应文件中提供兼容承诺函，并加盖</w:t>
            </w:r>
            <w:r>
              <w:rPr>
                <w:rFonts w:hint="eastAsia"/>
                <w:color w:val="auto"/>
                <w:highlight w:val="none"/>
              </w:rPr>
              <w:t>供应商</w:t>
            </w:r>
            <w:r>
              <w:rPr>
                <w:rFonts w:hint="eastAsia" w:ascii="宋体" w:hAnsi="宋体" w:cs="宋体"/>
                <w:color w:val="auto"/>
                <w:szCs w:val="21"/>
                <w:highlight w:val="none"/>
              </w:rPr>
              <w:t>公章）如无法对接兼容，需重新提供一整套可替换原有OLT及配套满足本项目XGS PON端口的设备，并提供单套最多可以管理≥15000台设备的可无限期使用的正版网络管理平台。</w:t>
            </w:r>
            <w:r>
              <w:rPr>
                <w:rFonts w:hint="eastAsia" w:ascii="宋体" w:hAnsi="宋体" w:cs="宋体"/>
                <w:color w:val="auto"/>
                <w:szCs w:val="21"/>
                <w:highlight w:val="none"/>
              </w:rPr>
              <w:br w:type="textWrapping"/>
            </w:r>
            <w:r>
              <w:rPr>
                <w:rFonts w:hint="eastAsia" w:ascii="宋体" w:hAnsi="宋体" w:cs="宋体"/>
                <w:color w:val="auto"/>
                <w:szCs w:val="21"/>
                <w:highlight w:val="none"/>
              </w:rPr>
              <w:t>▲4、为保证服务质量，供货时须提供原厂供货证明。</w:t>
            </w:r>
          </w:p>
          <w:p w14:paraId="1CFD18D9">
            <w:pPr>
              <w:adjustRightInd w:val="0"/>
              <w:snapToGrid w:val="0"/>
              <w:spacing w:line="320" w:lineRule="exact"/>
              <w:jc w:val="left"/>
              <w:rPr>
                <w:rFonts w:hint="eastAsia" w:ascii="宋体" w:hAnsi="宋体" w:cs="宋体"/>
                <w:color w:val="auto"/>
                <w:highlight w:val="none"/>
              </w:rPr>
            </w:pPr>
            <w:r>
              <w:rPr>
                <w:rFonts w:hint="eastAsia" w:ascii="宋体" w:hAnsi="宋体" w:cs="宋体"/>
                <w:color w:val="auto"/>
                <w:szCs w:val="21"/>
                <w:highlight w:val="none"/>
              </w:rPr>
              <w:t>5、为保证网络安全，板卡主芯片为自研芯片。（供货时须提供国家认可的第三方检测报告，检测报告应包含芯片照片和芯片型号）；</w:t>
            </w:r>
          </w:p>
        </w:tc>
        <w:tc>
          <w:tcPr>
            <w:tcW w:w="1275" w:type="dxa"/>
            <w:vAlign w:val="center"/>
          </w:tcPr>
          <w:p w14:paraId="34AEF70D">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9.98</w:t>
            </w:r>
          </w:p>
        </w:tc>
        <w:tc>
          <w:tcPr>
            <w:tcW w:w="1391" w:type="dxa"/>
            <w:vAlign w:val="center"/>
          </w:tcPr>
          <w:p w14:paraId="37488CBC">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9.98</w:t>
            </w:r>
          </w:p>
        </w:tc>
      </w:tr>
      <w:tr w14:paraId="388B3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416" w:type="dxa"/>
            <w:vAlign w:val="center"/>
          </w:tcPr>
          <w:p w14:paraId="7746D764">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2</w:t>
            </w:r>
          </w:p>
        </w:tc>
        <w:tc>
          <w:tcPr>
            <w:tcW w:w="1247" w:type="dxa"/>
            <w:vAlign w:val="center"/>
          </w:tcPr>
          <w:p w14:paraId="73C1FF8D">
            <w:pPr>
              <w:spacing w:line="400" w:lineRule="exact"/>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XGS-PON ONU</w:t>
            </w:r>
          </w:p>
        </w:tc>
        <w:tc>
          <w:tcPr>
            <w:tcW w:w="690" w:type="dxa"/>
            <w:vAlign w:val="center"/>
          </w:tcPr>
          <w:p w14:paraId="5E853328">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593</w:t>
            </w:r>
          </w:p>
        </w:tc>
        <w:tc>
          <w:tcPr>
            <w:tcW w:w="540" w:type="dxa"/>
            <w:vAlign w:val="center"/>
          </w:tcPr>
          <w:p w14:paraId="30217224">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台</w:t>
            </w:r>
          </w:p>
        </w:tc>
        <w:tc>
          <w:tcPr>
            <w:tcW w:w="4395" w:type="dxa"/>
            <w:vAlign w:val="center"/>
          </w:tcPr>
          <w:p w14:paraId="4F56FA35">
            <w:pPr>
              <w:pStyle w:val="8"/>
              <w:rPr>
                <w:rFonts w:hint="eastAsia" w:ascii="宋体" w:hAnsi="宋体" w:cs="宋体"/>
                <w:bCs/>
                <w:color w:val="auto"/>
                <w:sz w:val="24"/>
                <w:highlight w:val="none"/>
              </w:rPr>
            </w:pPr>
            <w:r>
              <w:rPr>
                <w:rFonts w:hint="eastAsia" w:ascii="宋体" w:hAnsi="宋体" w:cs="宋体"/>
                <w:color w:val="auto"/>
                <w:szCs w:val="21"/>
                <w:highlight w:val="none"/>
              </w:rPr>
              <w:t>▲1、支持86盒、挂墙安装，内置Wi-Fi天线</w:t>
            </w:r>
            <w:r>
              <w:rPr>
                <w:rFonts w:hint="eastAsia" w:ascii="宋体" w:hAnsi="宋体" w:cs="宋体"/>
                <w:color w:val="auto"/>
                <w:szCs w:val="21"/>
                <w:highlight w:val="none"/>
              </w:rPr>
              <w:br w:type="textWrapping"/>
            </w:r>
            <w:r>
              <w:rPr>
                <w:rFonts w:hint="eastAsia" w:ascii="宋体" w:hAnsi="宋体" w:cs="宋体"/>
                <w:color w:val="auto"/>
                <w:szCs w:val="21"/>
                <w:highlight w:val="none"/>
              </w:rPr>
              <w:t>▲2、上行网络侧接口：不少于1*XGS-PON，下行用户侧接口：不少于4*GE电口，不少于1*POTS口，支持2.4G&amp;5G Wi-Fi 7；</w:t>
            </w:r>
            <w:r>
              <w:rPr>
                <w:rFonts w:hint="eastAsia" w:ascii="宋体" w:hAnsi="宋体" w:cs="宋体"/>
                <w:color w:val="auto"/>
                <w:szCs w:val="21"/>
                <w:highlight w:val="none"/>
              </w:rPr>
              <w:br w:type="textWrapping"/>
            </w:r>
            <w:r>
              <w:rPr>
                <w:rFonts w:hint="eastAsia" w:ascii="宋体" w:hAnsi="宋体" w:cs="宋体"/>
                <w:color w:val="auto"/>
                <w:szCs w:val="21"/>
                <w:highlight w:val="none"/>
              </w:rPr>
              <w:t>3、支持Type B单归属和双归属组网保护；</w:t>
            </w:r>
            <w:r>
              <w:rPr>
                <w:rFonts w:hint="eastAsia" w:ascii="宋体" w:hAnsi="宋体" w:cs="宋体"/>
                <w:color w:val="auto"/>
                <w:szCs w:val="21"/>
                <w:highlight w:val="none"/>
              </w:rPr>
              <w:br w:type="textWrapping"/>
            </w:r>
            <w:r>
              <w:rPr>
                <w:rFonts w:hint="eastAsia" w:ascii="宋体" w:hAnsi="宋体" w:cs="宋体"/>
                <w:color w:val="auto"/>
                <w:szCs w:val="21"/>
                <w:highlight w:val="none"/>
              </w:rPr>
              <w:t>4、支持流氓 ONU 检测和隔离；</w:t>
            </w:r>
            <w:r>
              <w:rPr>
                <w:rFonts w:hint="eastAsia" w:ascii="宋体" w:hAnsi="宋体" w:cs="宋体"/>
                <w:color w:val="auto"/>
                <w:szCs w:val="21"/>
                <w:highlight w:val="none"/>
              </w:rPr>
              <w:br w:type="textWrapping"/>
            </w:r>
            <w:r>
              <w:rPr>
                <w:rFonts w:hint="eastAsia" w:ascii="宋体" w:hAnsi="宋体" w:cs="宋体"/>
                <w:color w:val="auto"/>
                <w:szCs w:val="21"/>
                <w:highlight w:val="none"/>
              </w:rPr>
              <w:t>5、Wi-Fi支持2.4GHz IEEE 802.11 b/g/n/ax/be协议 和5GHz IEEE 802.11 a/n/ac/ax/be协议，Wi-Fi7 MIMO数不少于2*2，空口速率：688 Mbit/s(2.4GHz)和2882 Mbit/s(5GHz)，</w:t>
            </w:r>
            <w:r>
              <w:rPr>
                <w:rFonts w:hint="eastAsia" w:ascii="宋体" w:hAnsi="宋体" w:cs="宋体"/>
                <w:color w:val="auto"/>
                <w:szCs w:val="21"/>
                <w:highlight w:val="none"/>
              </w:rPr>
              <w:br w:type="textWrapping"/>
            </w:r>
            <w:r>
              <w:rPr>
                <w:rFonts w:hint="eastAsia" w:ascii="宋体" w:hAnsi="宋体" w:cs="宋体"/>
                <w:color w:val="auto"/>
                <w:szCs w:val="21"/>
                <w:highlight w:val="none"/>
              </w:rPr>
              <w:t>▲6、支持4096-QAM和160MHz频宽，供货时提供无线电发射设备型号核准证证明。</w:t>
            </w:r>
            <w:r>
              <w:rPr>
                <w:rFonts w:hint="eastAsia" w:ascii="宋体" w:hAnsi="宋体" w:cs="宋体"/>
                <w:color w:val="auto"/>
                <w:szCs w:val="21"/>
                <w:highlight w:val="none"/>
              </w:rPr>
              <w:br w:type="textWrapping"/>
            </w:r>
            <w:r>
              <w:rPr>
                <w:rFonts w:hint="eastAsia" w:ascii="宋体" w:hAnsi="宋体" w:cs="宋体"/>
                <w:color w:val="auto"/>
                <w:szCs w:val="21"/>
                <w:highlight w:val="none"/>
              </w:rPr>
              <w:t>7、支持Fit AP工作模式，支持通过 OLT 内置 AC 对 Wi-Fi ONU 进行的集中管理和维护，支持 802.11k、802.11v 协议的智能漫游</w:t>
            </w:r>
            <w:r>
              <w:rPr>
                <w:rFonts w:hint="eastAsia" w:ascii="宋体" w:hAnsi="宋体" w:cs="宋体"/>
                <w:color w:val="auto"/>
                <w:szCs w:val="21"/>
                <w:highlight w:val="none"/>
              </w:rPr>
              <w:br w:type="textWrapping"/>
            </w:r>
            <w:r>
              <w:rPr>
                <w:rFonts w:hint="eastAsia" w:ascii="宋体" w:hAnsi="宋体" w:cs="宋体"/>
                <w:color w:val="auto"/>
                <w:szCs w:val="21"/>
                <w:highlight w:val="none"/>
              </w:rPr>
              <w:t>▲8、Wi-Fi单射频支持的最大SSID数量不少于8，Wi-Fi单射频最大接入用户数不少于64</w:t>
            </w:r>
            <w:r>
              <w:rPr>
                <w:rFonts w:hint="eastAsia" w:ascii="宋体" w:hAnsi="宋体" w:cs="宋体"/>
                <w:color w:val="auto"/>
                <w:szCs w:val="21"/>
                <w:highlight w:val="none"/>
              </w:rPr>
              <w:br w:type="textWrapping"/>
            </w:r>
            <w:r>
              <w:rPr>
                <w:rFonts w:hint="eastAsia" w:ascii="宋体" w:hAnsi="宋体" w:cs="宋体"/>
                <w:color w:val="auto"/>
                <w:szCs w:val="21"/>
                <w:highlight w:val="none"/>
              </w:rPr>
              <w:t>▲9、支持 802.1X 认证、MAC 地址认证安全接入认证</w:t>
            </w:r>
            <w:r>
              <w:rPr>
                <w:rFonts w:hint="eastAsia" w:ascii="宋体" w:hAnsi="宋体" w:cs="宋体"/>
                <w:color w:val="auto"/>
                <w:szCs w:val="21"/>
                <w:highlight w:val="none"/>
              </w:rPr>
              <w:br w:type="textWrapping"/>
            </w:r>
            <w:r>
              <w:rPr>
                <w:rFonts w:hint="eastAsia" w:ascii="宋体" w:hAnsi="宋体" w:cs="宋体"/>
                <w:color w:val="auto"/>
                <w:szCs w:val="21"/>
                <w:highlight w:val="none"/>
              </w:rPr>
              <w:t>10、语音支持 G.711A/u，G.722，G.729a/b 编解码</w:t>
            </w:r>
            <w:r>
              <w:rPr>
                <w:rFonts w:hint="eastAsia" w:ascii="宋体" w:hAnsi="宋体" w:cs="宋体"/>
                <w:color w:val="auto"/>
                <w:szCs w:val="21"/>
                <w:highlight w:val="none"/>
              </w:rPr>
              <w:br w:type="textWrapping"/>
            </w:r>
            <w:r>
              <w:rPr>
                <w:rFonts w:hint="eastAsia" w:ascii="宋体" w:hAnsi="宋体" w:cs="宋体"/>
                <w:color w:val="auto"/>
                <w:szCs w:val="21"/>
                <w:highlight w:val="none"/>
              </w:rPr>
              <w:t>▲11、为保证系统整体兼容性，所有ONU必须为同一品牌且必须要与现网OLT（华为：SmartAX EA5800-X15）兼容,或与第1项“</w:t>
            </w:r>
            <w:r>
              <w:rPr>
                <w:rFonts w:hint="eastAsia" w:ascii="宋体" w:hAnsi="宋体" w:cs="宋体"/>
                <w:color w:val="auto"/>
                <w:highlight w:val="none"/>
              </w:rPr>
              <w:t>XGS PON板卡</w:t>
            </w:r>
            <w:r>
              <w:rPr>
                <w:rFonts w:hint="eastAsia" w:ascii="宋体" w:hAnsi="宋体" w:cs="宋体"/>
                <w:color w:val="auto"/>
                <w:szCs w:val="21"/>
                <w:highlight w:val="none"/>
              </w:rPr>
              <w:t>”所配套的OLT兼容。（响应时须在响应文件中提供兼容承诺函，并加盖</w:t>
            </w:r>
            <w:r>
              <w:rPr>
                <w:rFonts w:hint="eastAsia"/>
                <w:color w:val="auto"/>
                <w:highlight w:val="none"/>
              </w:rPr>
              <w:t>供应商</w:t>
            </w:r>
            <w:r>
              <w:rPr>
                <w:rFonts w:hint="eastAsia" w:ascii="宋体" w:hAnsi="宋体" w:cs="宋体"/>
                <w:color w:val="auto"/>
                <w:szCs w:val="21"/>
                <w:highlight w:val="none"/>
              </w:rPr>
              <w:t>公章）</w:t>
            </w:r>
            <w:r>
              <w:rPr>
                <w:rFonts w:hint="eastAsia" w:ascii="宋体" w:hAnsi="宋体" w:cs="宋体"/>
                <w:color w:val="auto"/>
                <w:szCs w:val="21"/>
                <w:highlight w:val="none"/>
              </w:rPr>
              <w:br w:type="textWrapping"/>
            </w:r>
            <w:r>
              <w:rPr>
                <w:rFonts w:hint="eastAsia" w:ascii="宋体" w:hAnsi="宋体" w:cs="宋体"/>
                <w:color w:val="auto"/>
                <w:sz w:val="22"/>
                <w:szCs w:val="22"/>
                <w:highlight w:val="none"/>
              </w:rPr>
              <w:t>▲</w:t>
            </w:r>
            <w:r>
              <w:rPr>
                <w:rFonts w:hint="eastAsia" w:ascii="宋体" w:hAnsi="宋体" w:cs="宋体"/>
                <w:color w:val="auto"/>
                <w:szCs w:val="21"/>
                <w:highlight w:val="none"/>
              </w:rPr>
              <w:t>12、供货时提供工信部颁发的电信设备进网许可证</w:t>
            </w:r>
          </w:p>
        </w:tc>
        <w:tc>
          <w:tcPr>
            <w:tcW w:w="1275" w:type="dxa"/>
            <w:vAlign w:val="center"/>
          </w:tcPr>
          <w:p w14:paraId="7AF3FB29">
            <w:pPr>
              <w:spacing w:line="520" w:lineRule="exact"/>
              <w:jc w:val="center"/>
              <w:rPr>
                <w:rFonts w:hint="eastAsia" w:ascii="宋体" w:hAnsi="宋体" w:cs="宋体"/>
                <w:bCs/>
                <w:color w:val="auto"/>
                <w:szCs w:val="21"/>
                <w:highlight w:val="none"/>
              </w:rPr>
            </w:pPr>
            <w:r>
              <w:rPr>
                <w:rFonts w:hint="eastAsia" w:ascii="宋体" w:hAnsi="宋体" w:cs="宋体"/>
                <w:bCs/>
                <w:color w:val="auto"/>
                <w:szCs w:val="21"/>
                <w:highlight w:val="none"/>
              </w:rPr>
              <w:t>0.099</w:t>
            </w:r>
          </w:p>
        </w:tc>
        <w:tc>
          <w:tcPr>
            <w:tcW w:w="1391" w:type="dxa"/>
            <w:vAlign w:val="center"/>
          </w:tcPr>
          <w:p w14:paraId="0B430AFD">
            <w:pPr>
              <w:spacing w:line="520" w:lineRule="exact"/>
              <w:jc w:val="center"/>
              <w:rPr>
                <w:rFonts w:hint="eastAsia" w:ascii="宋体" w:hAnsi="宋体" w:cs="宋体"/>
                <w:bCs/>
                <w:color w:val="auto"/>
                <w:szCs w:val="21"/>
                <w:highlight w:val="none"/>
              </w:rPr>
            </w:pPr>
            <w:r>
              <w:rPr>
                <w:rFonts w:hint="eastAsia" w:ascii="宋体" w:hAnsi="宋体" w:cs="宋体"/>
                <w:bCs/>
                <w:color w:val="auto"/>
                <w:szCs w:val="21"/>
                <w:highlight w:val="none"/>
              </w:rPr>
              <w:t>58.707</w:t>
            </w:r>
          </w:p>
        </w:tc>
      </w:tr>
      <w:tr w14:paraId="2359D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416" w:type="dxa"/>
            <w:vAlign w:val="center"/>
          </w:tcPr>
          <w:p w14:paraId="40A2C699">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3</w:t>
            </w:r>
          </w:p>
        </w:tc>
        <w:tc>
          <w:tcPr>
            <w:tcW w:w="1247" w:type="dxa"/>
            <w:vAlign w:val="center"/>
          </w:tcPr>
          <w:p w14:paraId="3FA9C1A2">
            <w:pPr>
              <w:spacing w:line="400" w:lineRule="exact"/>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无线管理授权</w:t>
            </w:r>
          </w:p>
        </w:tc>
        <w:tc>
          <w:tcPr>
            <w:tcW w:w="690" w:type="dxa"/>
            <w:vAlign w:val="center"/>
          </w:tcPr>
          <w:p w14:paraId="19A277FE">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1</w:t>
            </w:r>
          </w:p>
        </w:tc>
        <w:tc>
          <w:tcPr>
            <w:tcW w:w="540" w:type="dxa"/>
            <w:vAlign w:val="center"/>
          </w:tcPr>
          <w:p w14:paraId="69BCEE2F">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项</w:t>
            </w:r>
          </w:p>
        </w:tc>
        <w:tc>
          <w:tcPr>
            <w:tcW w:w="4395" w:type="dxa"/>
            <w:vAlign w:val="center"/>
          </w:tcPr>
          <w:p w14:paraId="5BD537C2">
            <w:pPr>
              <w:pStyle w:val="8"/>
              <w:rPr>
                <w:rFonts w:hint="eastAsia" w:ascii="宋体" w:hAnsi="宋体" w:cs="宋体"/>
                <w:b/>
                <w:color w:val="auto"/>
                <w:sz w:val="24"/>
                <w:highlight w:val="none"/>
              </w:rPr>
            </w:pPr>
            <w:r>
              <w:rPr>
                <w:rFonts w:hint="eastAsia" w:ascii="宋体" w:hAnsi="宋体" w:cs="宋体"/>
                <w:color w:val="auto"/>
                <w:szCs w:val="21"/>
                <w:highlight w:val="none"/>
              </w:rPr>
              <w:t>1、ONT Wi-Fi可集中被内置WLAN AC功能的OLT管理，提供软AC授权不少于1408个且必须与现网OLT兼容（华为：SmartAX EA5800-X15）或与第1项“</w:t>
            </w:r>
            <w:r>
              <w:rPr>
                <w:rFonts w:hint="eastAsia" w:ascii="宋体" w:hAnsi="宋体" w:cs="宋体"/>
                <w:color w:val="auto"/>
                <w:highlight w:val="none"/>
              </w:rPr>
              <w:t>XGS PON板卡</w:t>
            </w:r>
            <w:r>
              <w:rPr>
                <w:rFonts w:hint="eastAsia" w:ascii="宋体" w:hAnsi="宋体" w:cs="宋体"/>
                <w:color w:val="auto"/>
                <w:szCs w:val="21"/>
                <w:highlight w:val="none"/>
              </w:rPr>
              <w:t>”所配套的OLT兼容；</w:t>
            </w:r>
          </w:p>
        </w:tc>
        <w:tc>
          <w:tcPr>
            <w:tcW w:w="1275" w:type="dxa"/>
            <w:vAlign w:val="center"/>
          </w:tcPr>
          <w:p w14:paraId="2CC6CF56">
            <w:pPr>
              <w:spacing w:line="36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18.7104</w:t>
            </w:r>
          </w:p>
        </w:tc>
        <w:tc>
          <w:tcPr>
            <w:tcW w:w="1391" w:type="dxa"/>
            <w:vAlign w:val="center"/>
          </w:tcPr>
          <w:p w14:paraId="41B3F9E4">
            <w:pPr>
              <w:spacing w:line="36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18.7104</w:t>
            </w:r>
          </w:p>
        </w:tc>
      </w:tr>
      <w:tr w14:paraId="0783A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416" w:type="dxa"/>
            <w:shd w:val="clear" w:color="auto" w:fill="auto"/>
            <w:vAlign w:val="center"/>
          </w:tcPr>
          <w:p w14:paraId="3ED37DBB">
            <w:pPr>
              <w:spacing w:line="400" w:lineRule="exact"/>
              <w:jc w:val="center"/>
              <w:rPr>
                <w:rFonts w:hint="eastAsia" w:ascii="宋体" w:hAnsi="宋体" w:cs="宋体"/>
                <w:color w:val="auto"/>
                <w:sz w:val="24"/>
                <w:highlight w:val="none"/>
              </w:rPr>
            </w:pPr>
            <w:r>
              <w:rPr>
                <w:rFonts w:hint="eastAsia" w:ascii="宋体" w:hAnsi="宋体" w:cs="宋体"/>
                <w:color w:val="auto"/>
                <w:sz w:val="20"/>
                <w:szCs w:val="20"/>
                <w:highlight w:val="none"/>
              </w:rPr>
              <w:t>4</w:t>
            </w:r>
          </w:p>
        </w:tc>
        <w:tc>
          <w:tcPr>
            <w:tcW w:w="1247" w:type="dxa"/>
            <w:shd w:val="clear" w:color="auto" w:fill="auto"/>
            <w:vAlign w:val="center"/>
          </w:tcPr>
          <w:p w14:paraId="1AD68F7A">
            <w:pPr>
              <w:spacing w:line="400" w:lineRule="exact"/>
              <w:jc w:val="center"/>
              <w:rPr>
                <w:rFonts w:hint="eastAsia" w:ascii="宋体" w:hAnsi="宋体" w:cs="宋体"/>
                <w:color w:val="auto"/>
                <w:kern w:val="0"/>
                <w:sz w:val="24"/>
                <w:highlight w:val="none"/>
              </w:rPr>
            </w:pPr>
            <w:r>
              <w:rPr>
                <w:rFonts w:hint="eastAsia" w:ascii="宋体" w:hAnsi="宋体" w:cs="宋体"/>
                <w:color w:val="auto"/>
                <w:highlight w:val="none"/>
              </w:rPr>
              <w:t>光分路器</w:t>
            </w:r>
          </w:p>
        </w:tc>
        <w:tc>
          <w:tcPr>
            <w:tcW w:w="690" w:type="dxa"/>
            <w:shd w:val="clear" w:color="000000" w:fill="FFFFFF"/>
            <w:vAlign w:val="center"/>
          </w:tcPr>
          <w:p w14:paraId="4147004B">
            <w:pPr>
              <w:spacing w:line="400" w:lineRule="exact"/>
              <w:jc w:val="center"/>
              <w:rPr>
                <w:rFonts w:hint="eastAsia" w:ascii="宋体" w:hAnsi="宋体" w:cs="宋体"/>
                <w:color w:val="auto"/>
                <w:highlight w:val="none"/>
              </w:rPr>
            </w:pPr>
            <w:r>
              <w:rPr>
                <w:rFonts w:hint="eastAsia" w:ascii="宋体" w:hAnsi="宋体" w:cs="宋体"/>
                <w:color w:val="auto"/>
                <w:highlight w:val="none"/>
              </w:rPr>
              <w:t>21</w:t>
            </w:r>
          </w:p>
        </w:tc>
        <w:tc>
          <w:tcPr>
            <w:tcW w:w="540" w:type="dxa"/>
            <w:shd w:val="clear" w:color="000000" w:fill="FFFFFF"/>
            <w:vAlign w:val="center"/>
          </w:tcPr>
          <w:p w14:paraId="55261CF4">
            <w:pPr>
              <w:spacing w:line="400" w:lineRule="exact"/>
              <w:jc w:val="center"/>
              <w:rPr>
                <w:rFonts w:hint="eastAsia" w:ascii="宋体" w:hAnsi="宋体" w:cs="宋体"/>
                <w:color w:val="auto"/>
                <w:highlight w:val="none"/>
              </w:rPr>
            </w:pPr>
            <w:r>
              <w:rPr>
                <w:rFonts w:hint="eastAsia" w:ascii="宋体" w:hAnsi="宋体" w:cs="宋体"/>
                <w:color w:val="auto"/>
                <w:highlight w:val="none"/>
              </w:rPr>
              <w:t>个</w:t>
            </w:r>
          </w:p>
        </w:tc>
        <w:tc>
          <w:tcPr>
            <w:tcW w:w="4395" w:type="dxa"/>
            <w:shd w:val="clear" w:color="000000" w:fill="FFFFFF"/>
            <w:vAlign w:val="center"/>
          </w:tcPr>
          <w:p w14:paraId="019A26E2">
            <w:pPr>
              <w:adjustRightInd w:val="0"/>
              <w:snapToGrid w:val="0"/>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1、托盘式1:32光分路器</w:t>
            </w:r>
          </w:p>
        </w:tc>
        <w:tc>
          <w:tcPr>
            <w:tcW w:w="1275" w:type="dxa"/>
            <w:shd w:val="clear" w:color="auto" w:fill="auto"/>
            <w:vAlign w:val="center"/>
          </w:tcPr>
          <w:p w14:paraId="0BF94139">
            <w:pPr>
              <w:spacing w:line="360" w:lineRule="exact"/>
              <w:jc w:val="center"/>
              <w:rPr>
                <w:rFonts w:hint="eastAsia" w:ascii="宋体" w:hAnsi="宋体" w:cs="宋体"/>
                <w:b/>
                <w:bCs/>
                <w:color w:val="auto"/>
                <w:sz w:val="24"/>
                <w:highlight w:val="none"/>
              </w:rPr>
            </w:pPr>
            <w:r>
              <w:rPr>
                <w:rFonts w:hint="eastAsia" w:ascii="宋体" w:hAnsi="宋体" w:cs="宋体"/>
                <w:color w:val="auto"/>
                <w:sz w:val="22"/>
                <w:szCs w:val="22"/>
                <w:highlight w:val="none"/>
              </w:rPr>
              <w:t>0.097</w:t>
            </w:r>
          </w:p>
        </w:tc>
        <w:tc>
          <w:tcPr>
            <w:tcW w:w="1391" w:type="dxa"/>
            <w:shd w:val="clear" w:color="auto" w:fill="auto"/>
            <w:vAlign w:val="center"/>
          </w:tcPr>
          <w:p w14:paraId="0BAA40D9">
            <w:pPr>
              <w:spacing w:line="360" w:lineRule="exact"/>
              <w:jc w:val="center"/>
              <w:rPr>
                <w:rFonts w:hint="eastAsia" w:ascii="宋体" w:hAnsi="宋体" w:cs="宋体"/>
                <w:b/>
                <w:bCs/>
                <w:color w:val="auto"/>
                <w:sz w:val="24"/>
                <w:highlight w:val="none"/>
              </w:rPr>
            </w:pPr>
            <w:r>
              <w:rPr>
                <w:rFonts w:hint="eastAsia" w:ascii="宋体" w:hAnsi="宋体" w:cs="宋体"/>
                <w:color w:val="auto"/>
                <w:sz w:val="22"/>
                <w:szCs w:val="22"/>
                <w:highlight w:val="none"/>
              </w:rPr>
              <w:t>2.037</w:t>
            </w:r>
          </w:p>
        </w:tc>
      </w:tr>
      <w:tr w14:paraId="1E9F6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416" w:type="dxa"/>
            <w:shd w:val="clear" w:color="auto" w:fill="auto"/>
            <w:vAlign w:val="center"/>
          </w:tcPr>
          <w:p w14:paraId="7E32D1FD">
            <w:pPr>
              <w:spacing w:line="400" w:lineRule="exact"/>
              <w:jc w:val="center"/>
              <w:rPr>
                <w:rFonts w:hint="eastAsia" w:ascii="宋体" w:hAnsi="宋体" w:cs="宋体"/>
                <w:color w:val="auto"/>
                <w:sz w:val="24"/>
                <w:highlight w:val="none"/>
              </w:rPr>
            </w:pPr>
            <w:r>
              <w:rPr>
                <w:rFonts w:hint="eastAsia" w:ascii="宋体" w:hAnsi="宋体" w:cs="宋体"/>
                <w:color w:val="auto"/>
                <w:sz w:val="20"/>
                <w:szCs w:val="20"/>
                <w:highlight w:val="none"/>
              </w:rPr>
              <w:t>5</w:t>
            </w:r>
          </w:p>
        </w:tc>
        <w:tc>
          <w:tcPr>
            <w:tcW w:w="1247" w:type="dxa"/>
            <w:shd w:val="clear" w:color="auto" w:fill="auto"/>
            <w:vAlign w:val="center"/>
          </w:tcPr>
          <w:p w14:paraId="31482BBB">
            <w:pPr>
              <w:spacing w:line="400" w:lineRule="exact"/>
              <w:jc w:val="center"/>
              <w:rPr>
                <w:rFonts w:hint="eastAsia" w:ascii="宋体" w:hAnsi="宋体" w:cs="宋体"/>
                <w:color w:val="auto"/>
                <w:kern w:val="0"/>
                <w:sz w:val="24"/>
                <w:highlight w:val="none"/>
              </w:rPr>
            </w:pPr>
            <w:r>
              <w:rPr>
                <w:rFonts w:hint="eastAsia" w:ascii="宋体" w:hAnsi="宋体" w:cs="宋体"/>
                <w:color w:val="auto"/>
                <w:highlight w:val="none"/>
              </w:rPr>
              <w:t>皮线光缆</w:t>
            </w:r>
          </w:p>
        </w:tc>
        <w:tc>
          <w:tcPr>
            <w:tcW w:w="690" w:type="dxa"/>
            <w:shd w:val="clear" w:color="000000" w:fill="FFFFFF"/>
            <w:vAlign w:val="center"/>
          </w:tcPr>
          <w:p w14:paraId="14943F43">
            <w:pPr>
              <w:spacing w:line="400" w:lineRule="exact"/>
              <w:jc w:val="center"/>
              <w:rPr>
                <w:rFonts w:hint="eastAsia" w:ascii="宋体" w:hAnsi="宋体" w:cs="宋体"/>
                <w:color w:val="auto"/>
                <w:highlight w:val="none"/>
              </w:rPr>
            </w:pPr>
            <w:r>
              <w:rPr>
                <w:rFonts w:hint="eastAsia" w:ascii="宋体" w:hAnsi="宋体" w:cs="宋体"/>
                <w:color w:val="auto"/>
                <w:highlight w:val="none"/>
              </w:rPr>
              <w:t>39000</w:t>
            </w:r>
          </w:p>
        </w:tc>
        <w:tc>
          <w:tcPr>
            <w:tcW w:w="540" w:type="dxa"/>
            <w:shd w:val="clear" w:color="000000" w:fill="FFFFFF"/>
            <w:vAlign w:val="center"/>
          </w:tcPr>
          <w:p w14:paraId="1C2AAC6B">
            <w:pPr>
              <w:spacing w:line="400" w:lineRule="exact"/>
              <w:jc w:val="center"/>
              <w:rPr>
                <w:rFonts w:hint="eastAsia" w:ascii="宋体" w:hAnsi="宋体" w:cs="宋体"/>
                <w:color w:val="auto"/>
                <w:highlight w:val="none"/>
              </w:rPr>
            </w:pPr>
            <w:r>
              <w:rPr>
                <w:rFonts w:hint="eastAsia" w:ascii="宋体" w:hAnsi="宋体" w:cs="宋体"/>
                <w:color w:val="auto"/>
                <w:highlight w:val="none"/>
              </w:rPr>
              <w:t>米</w:t>
            </w:r>
          </w:p>
        </w:tc>
        <w:tc>
          <w:tcPr>
            <w:tcW w:w="4395" w:type="dxa"/>
            <w:shd w:val="clear" w:color="000000" w:fill="FFFFFF"/>
            <w:vAlign w:val="center"/>
          </w:tcPr>
          <w:p w14:paraId="79D4A1A9">
            <w:pPr>
              <w:adjustRightInd w:val="0"/>
              <w:snapToGrid w:val="0"/>
              <w:spacing w:line="320" w:lineRule="exact"/>
              <w:jc w:val="left"/>
              <w:rPr>
                <w:rFonts w:hint="eastAsia" w:ascii="宋体" w:hAnsi="宋体" w:cs="宋体"/>
                <w:color w:val="auto"/>
                <w:szCs w:val="21"/>
                <w:highlight w:val="none"/>
              </w:rPr>
            </w:pPr>
            <w:r>
              <w:rPr>
                <w:rFonts w:hint="eastAsia" w:ascii="宋体" w:hAnsi="宋体" w:cs="宋体"/>
                <w:color w:val="auto"/>
                <w:sz w:val="22"/>
                <w:szCs w:val="22"/>
                <w:highlight w:val="none"/>
              </w:rPr>
              <w:t>1、规格：双纤芯蝶形皮线光缆。</w:t>
            </w:r>
            <w:r>
              <w:rPr>
                <w:rFonts w:hint="eastAsia" w:ascii="宋体" w:hAnsi="宋体" w:cs="宋体"/>
                <w:color w:val="auto"/>
                <w:sz w:val="22"/>
                <w:szCs w:val="22"/>
                <w:highlight w:val="none"/>
              </w:rPr>
              <w:br w:type="textWrapping"/>
            </w:r>
            <w:r>
              <w:rPr>
                <w:rFonts w:hint="eastAsia" w:ascii="宋体" w:hAnsi="宋体" w:cs="宋体"/>
                <w:color w:val="auto"/>
                <w:sz w:val="22"/>
                <w:szCs w:val="22"/>
                <w:highlight w:val="none"/>
              </w:rPr>
              <w:t>2、工作环境：-20℃-+60℃环境下使用。</w:t>
            </w:r>
            <w:r>
              <w:rPr>
                <w:rFonts w:hint="eastAsia" w:ascii="宋体" w:hAnsi="宋体" w:cs="宋体"/>
                <w:color w:val="auto"/>
                <w:sz w:val="22"/>
                <w:szCs w:val="22"/>
                <w:highlight w:val="none"/>
              </w:rPr>
              <w:br w:type="textWrapping"/>
            </w:r>
            <w:r>
              <w:rPr>
                <w:rFonts w:hint="eastAsia" w:ascii="宋体" w:hAnsi="宋体" w:cs="宋体"/>
                <w:color w:val="auto"/>
                <w:sz w:val="22"/>
                <w:szCs w:val="22"/>
                <w:highlight w:val="none"/>
              </w:rPr>
              <w:t>3、外护套采用低烟无卤阻燃护套。</w:t>
            </w:r>
            <w:r>
              <w:rPr>
                <w:rFonts w:hint="eastAsia" w:ascii="宋体" w:hAnsi="宋体" w:cs="宋体"/>
                <w:color w:val="auto"/>
                <w:sz w:val="22"/>
                <w:szCs w:val="22"/>
                <w:highlight w:val="none"/>
              </w:rPr>
              <w:br w:type="textWrapping"/>
            </w:r>
            <w:r>
              <w:rPr>
                <w:rFonts w:hint="eastAsia" w:ascii="宋体" w:hAnsi="宋体" w:cs="宋体"/>
                <w:color w:val="auto"/>
                <w:sz w:val="22"/>
                <w:szCs w:val="22"/>
                <w:highlight w:val="none"/>
              </w:rPr>
              <w:t>4、光纤内置加强钢丝。</w:t>
            </w:r>
            <w:r>
              <w:rPr>
                <w:rFonts w:hint="eastAsia" w:ascii="宋体" w:hAnsi="宋体" w:cs="宋体"/>
                <w:color w:val="auto"/>
                <w:sz w:val="22"/>
                <w:szCs w:val="22"/>
                <w:highlight w:val="none"/>
              </w:rPr>
              <w:br w:type="textWrapping"/>
            </w:r>
            <w:r>
              <w:rPr>
                <w:rFonts w:hint="eastAsia" w:ascii="宋体" w:hAnsi="宋体" w:cs="宋体"/>
                <w:color w:val="auto"/>
                <w:sz w:val="22"/>
                <w:szCs w:val="22"/>
                <w:highlight w:val="none"/>
              </w:rPr>
              <w:t>▲5、采用低水峰B1.3单模纤芯，光纤纤芯符合</w:t>
            </w:r>
            <w:r>
              <w:rPr>
                <w:rFonts w:hint="eastAsia" w:asciiTheme="minorEastAsia" w:hAnsiTheme="minorEastAsia" w:eastAsiaTheme="minorEastAsia" w:cstheme="minorEastAsia"/>
                <w:color w:val="auto"/>
                <w:highlight w:val="none"/>
              </w:rPr>
              <w:t>GB/T 9771.7‑2020</w:t>
            </w:r>
            <w:r>
              <w:rPr>
                <w:rFonts w:hint="eastAsia" w:ascii="宋体" w:hAnsi="宋体" w:cs="宋体"/>
                <w:color w:val="auto"/>
                <w:sz w:val="22"/>
                <w:szCs w:val="22"/>
                <w:highlight w:val="none"/>
              </w:rPr>
              <w:t>标准。</w:t>
            </w:r>
          </w:p>
        </w:tc>
        <w:tc>
          <w:tcPr>
            <w:tcW w:w="1275" w:type="dxa"/>
            <w:shd w:val="clear" w:color="auto" w:fill="auto"/>
            <w:vAlign w:val="center"/>
          </w:tcPr>
          <w:p w14:paraId="3A871554">
            <w:pPr>
              <w:spacing w:line="360" w:lineRule="exact"/>
              <w:jc w:val="center"/>
              <w:rPr>
                <w:rFonts w:hint="eastAsia" w:ascii="宋体" w:hAnsi="宋体" w:cs="宋体"/>
                <w:b/>
                <w:bCs/>
                <w:color w:val="auto"/>
                <w:sz w:val="24"/>
                <w:highlight w:val="none"/>
              </w:rPr>
            </w:pPr>
            <w:r>
              <w:rPr>
                <w:rFonts w:hint="eastAsia" w:ascii="宋体" w:hAnsi="宋体" w:cs="宋体"/>
                <w:color w:val="auto"/>
                <w:sz w:val="22"/>
                <w:szCs w:val="22"/>
                <w:highlight w:val="none"/>
              </w:rPr>
              <w:t>0.00026</w:t>
            </w:r>
          </w:p>
        </w:tc>
        <w:tc>
          <w:tcPr>
            <w:tcW w:w="1391" w:type="dxa"/>
            <w:shd w:val="clear" w:color="auto" w:fill="auto"/>
            <w:vAlign w:val="center"/>
          </w:tcPr>
          <w:p w14:paraId="2E6B1EB7">
            <w:pPr>
              <w:spacing w:line="360" w:lineRule="exact"/>
              <w:jc w:val="center"/>
              <w:rPr>
                <w:rFonts w:hint="eastAsia" w:ascii="宋体" w:hAnsi="宋体" w:cs="宋体"/>
                <w:b/>
                <w:bCs/>
                <w:color w:val="auto"/>
                <w:sz w:val="24"/>
                <w:highlight w:val="none"/>
              </w:rPr>
            </w:pPr>
            <w:r>
              <w:rPr>
                <w:rFonts w:hint="eastAsia" w:ascii="宋体" w:hAnsi="宋体" w:cs="宋体"/>
                <w:color w:val="auto"/>
                <w:sz w:val="22"/>
                <w:szCs w:val="22"/>
                <w:highlight w:val="none"/>
              </w:rPr>
              <w:t>10.14</w:t>
            </w:r>
          </w:p>
        </w:tc>
      </w:tr>
      <w:tr w14:paraId="2E334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416" w:type="dxa"/>
            <w:shd w:val="clear" w:color="auto" w:fill="auto"/>
            <w:vAlign w:val="center"/>
          </w:tcPr>
          <w:p w14:paraId="1CD352AD">
            <w:pPr>
              <w:spacing w:line="400" w:lineRule="exact"/>
              <w:jc w:val="center"/>
              <w:rPr>
                <w:rFonts w:hint="eastAsia" w:ascii="宋体" w:hAnsi="宋体" w:cs="宋体"/>
                <w:color w:val="auto"/>
                <w:sz w:val="24"/>
                <w:highlight w:val="none"/>
              </w:rPr>
            </w:pPr>
            <w:r>
              <w:rPr>
                <w:rFonts w:hint="eastAsia" w:ascii="宋体" w:hAnsi="宋体" w:cs="宋体"/>
                <w:color w:val="auto"/>
                <w:sz w:val="20"/>
                <w:szCs w:val="20"/>
                <w:highlight w:val="none"/>
              </w:rPr>
              <w:t>6</w:t>
            </w:r>
          </w:p>
        </w:tc>
        <w:tc>
          <w:tcPr>
            <w:tcW w:w="1247" w:type="dxa"/>
            <w:shd w:val="clear" w:color="auto" w:fill="auto"/>
            <w:vAlign w:val="center"/>
          </w:tcPr>
          <w:p w14:paraId="1B28B48D">
            <w:pPr>
              <w:spacing w:line="400" w:lineRule="exact"/>
              <w:jc w:val="center"/>
              <w:rPr>
                <w:rFonts w:hint="eastAsia" w:ascii="宋体" w:hAnsi="宋体" w:cs="宋体"/>
                <w:color w:val="auto"/>
                <w:kern w:val="0"/>
                <w:sz w:val="24"/>
                <w:highlight w:val="none"/>
              </w:rPr>
            </w:pPr>
            <w:r>
              <w:rPr>
                <w:rFonts w:hint="eastAsia" w:ascii="宋体" w:hAnsi="宋体" w:cs="宋体"/>
                <w:color w:val="auto"/>
                <w:highlight w:val="none"/>
              </w:rPr>
              <w:t>SC-LC光纤跳线1</w:t>
            </w:r>
          </w:p>
        </w:tc>
        <w:tc>
          <w:tcPr>
            <w:tcW w:w="690" w:type="dxa"/>
            <w:shd w:val="clear" w:color="000000" w:fill="FFFFFF"/>
            <w:vAlign w:val="center"/>
          </w:tcPr>
          <w:p w14:paraId="38148419">
            <w:pPr>
              <w:spacing w:line="400" w:lineRule="exact"/>
              <w:jc w:val="center"/>
              <w:rPr>
                <w:rFonts w:hint="eastAsia" w:ascii="宋体" w:hAnsi="宋体" w:cs="宋体"/>
                <w:color w:val="auto"/>
                <w:highlight w:val="none"/>
              </w:rPr>
            </w:pPr>
            <w:r>
              <w:rPr>
                <w:rFonts w:hint="eastAsia" w:ascii="宋体" w:hAnsi="宋体" w:cs="宋体"/>
                <w:color w:val="auto"/>
                <w:highlight w:val="none"/>
              </w:rPr>
              <w:t>593</w:t>
            </w:r>
          </w:p>
        </w:tc>
        <w:tc>
          <w:tcPr>
            <w:tcW w:w="540" w:type="dxa"/>
            <w:shd w:val="clear" w:color="000000" w:fill="FFFFFF"/>
            <w:vAlign w:val="center"/>
          </w:tcPr>
          <w:p w14:paraId="76F0D7B0">
            <w:pPr>
              <w:spacing w:line="400" w:lineRule="exact"/>
              <w:jc w:val="center"/>
              <w:rPr>
                <w:rFonts w:hint="eastAsia" w:ascii="宋体" w:hAnsi="宋体" w:cs="宋体"/>
                <w:color w:val="auto"/>
                <w:highlight w:val="none"/>
              </w:rPr>
            </w:pPr>
            <w:r>
              <w:rPr>
                <w:rFonts w:hint="eastAsia" w:ascii="宋体" w:hAnsi="宋体" w:cs="宋体"/>
                <w:color w:val="auto"/>
                <w:highlight w:val="none"/>
              </w:rPr>
              <w:t>条</w:t>
            </w:r>
          </w:p>
        </w:tc>
        <w:tc>
          <w:tcPr>
            <w:tcW w:w="4395" w:type="dxa"/>
            <w:shd w:val="clear" w:color="000000" w:fill="FFFFFF"/>
            <w:vAlign w:val="center"/>
          </w:tcPr>
          <w:p w14:paraId="62940656">
            <w:pPr>
              <w:adjustRightInd w:val="0"/>
              <w:snapToGrid w:val="0"/>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1、2米SC-LC单模光纤跳线；</w:t>
            </w:r>
          </w:p>
          <w:p w14:paraId="63C3F05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2、符合GB/T 21022、GB/T 18310 系列标准； </w:t>
            </w:r>
          </w:p>
          <w:p w14:paraId="6EE78D3F">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3、插入损耗≤0.3dB；</w:t>
            </w:r>
          </w:p>
          <w:p w14:paraId="442295B5">
            <w:pPr>
              <w:pStyle w:val="33"/>
              <w:rPr>
                <w:rFonts w:hint="eastAsia" w:ascii="宋体" w:hAnsi="宋体" w:cs="宋体"/>
                <w:color w:val="auto"/>
                <w:szCs w:val="21"/>
                <w:highlight w:val="none"/>
              </w:rPr>
            </w:pPr>
            <w:r>
              <w:rPr>
                <w:rFonts w:hint="eastAsia" w:ascii="宋体" w:hAnsi="宋体" w:cs="宋体"/>
                <w:color w:val="auto"/>
                <w:szCs w:val="21"/>
                <w:highlight w:val="none"/>
              </w:rPr>
              <w:t>4、回波损耗：≥55dB。</w:t>
            </w:r>
          </w:p>
        </w:tc>
        <w:tc>
          <w:tcPr>
            <w:tcW w:w="1275" w:type="dxa"/>
            <w:shd w:val="clear" w:color="auto" w:fill="auto"/>
            <w:vAlign w:val="center"/>
          </w:tcPr>
          <w:p w14:paraId="27F73130">
            <w:pPr>
              <w:spacing w:line="360" w:lineRule="exact"/>
              <w:jc w:val="center"/>
              <w:rPr>
                <w:rFonts w:hint="eastAsia" w:ascii="宋体" w:hAnsi="宋体" w:cs="宋体"/>
                <w:b/>
                <w:bCs/>
                <w:color w:val="auto"/>
                <w:sz w:val="24"/>
                <w:highlight w:val="none"/>
              </w:rPr>
            </w:pPr>
            <w:r>
              <w:rPr>
                <w:rFonts w:hint="eastAsia" w:ascii="宋体" w:hAnsi="宋体" w:cs="宋体"/>
                <w:color w:val="auto"/>
                <w:sz w:val="22"/>
                <w:szCs w:val="22"/>
                <w:highlight w:val="none"/>
              </w:rPr>
              <w:t>0.0046</w:t>
            </w:r>
          </w:p>
        </w:tc>
        <w:tc>
          <w:tcPr>
            <w:tcW w:w="1391" w:type="dxa"/>
            <w:shd w:val="clear" w:color="auto" w:fill="auto"/>
            <w:vAlign w:val="center"/>
          </w:tcPr>
          <w:p w14:paraId="3F4BB1AF">
            <w:pPr>
              <w:spacing w:line="360" w:lineRule="exact"/>
              <w:jc w:val="center"/>
              <w:rPr>
                <w:rFonts w:hint="eastAsia" w:ascii="宋体" w:hAnsi="宋体" w:cs="宋体"/>
                <w:b/>
                <w:bCs/>
                <w:color w:val="auto"/>
                <w:sz w:val="24"/>
                <w:highlight w:val="none"/>
              </w:rPr>
            </w:pPr>
            <w:r>
              <w:rPr>
                <w:rFonts w:hint="eastAsia" w:ascii="宋体" w:hAnsi="宋体" w:cs="宋体"/>
                <w:color w:val="auto"/>
                <w:sz w:val="22"/>
                <w:szCs w:val="22"/>
                <w:highlight w:val="none"/>
              </w:rPr>
              <w:t>2.7278</w:t>
            </w:r>
          </w:p>
        </w:tc>
      </w:tr>
      <w:tr w14:paraId="08E37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416" w:type="dxa"/>
            <w:shd w:val="clear" w:color="auto" w:fill="auto"/>
            <w:vAlign w:val="center"/>
          </w:tcPr>
          <w:p w14:paraId="66CCFD60">
            <w:pPr>
              <w:spacing w:line="400" w:lineRule="exact"/>
              <w:jc w:val="center"/>
              <w:rPr>
                <w:rFonts w:hint="eastAsia" w:ascii="宋体" w:hAnsi="宋体" w:cs="宋体"/>
                <w:color w:val="auto"/>
                <w:sz w:val="24"/>
                <w:highlight w:val="none"/>
              </w:rPr>
            </w:pPr>
            <w:r>
              <w:rPr>
                <w:rFonts w:hint="eastAsia" w:ascii="宋体" w:hAnsi="宋体" w:cs="宋体"/>
                <w:color w:val="auto"/>
                <w:sz w:val="20"/>
                <w:szCs w:val="20"/>
                <w:highlight w:val="none"/>
              </w:rPr>
              <w:t>7</w:t>
            </w:r>
          </w:p>
        </w:tc>
        <w:tc>
          <w:tcPr>
            <w:tcW w:w="1247" w:type="dxa"/>
            <w:shd w:val="clear" w:color="auto" w:fill="auto"/>
            <w:vAlign w:val="center"/>
          </w:tcPr>
          <w:p w14:paraId="48DE390F">
            <w:pPr>
              <w:spacing w:line="400" w:lineRule="exact"/>
              <w:jc w:val="center"/>
              <w:rPr>
                <w:rFonts w:hint="eastAsia" w:ascii="宋体" w:hAnsi="宋体" w:cs="宋体"/>
                <w:color w:val="auto"/>
                <w:kern w:val="0"/>
                <w:sz w:val="24"/>
                <w:highlight w:val="none"/>
              </w:rPr>
            </w:pPr>
            <w:r>
              <w:rPr>
                <w:rFonts w:hint="eastAsia" w:ascii="宋体" w:hAnsi="宋体" w:cs="宋体"/>
                <w:color w:val="auto"/>
                <w:highlight w:val="none"/>
              </w:rPr>
              <w:t>SC-LC光纤跳线2</w:t>
            </w:r>
          </w:p>
        </w:tc>
        <w:tc>
          <w:tcPr>
            <w:tcW w:w="690" w:type="dxa"/>
            <w:shd w:val="clear" w:color="000000" w:fill="FFFFFF"/>
            <w:vAlign w:val="center"/>
          </w:tcPr>
          <w:p w14:paraId="419F802A">
            <w:pPr>
              <w:spacing w:line="400" w:lineRule="exact"/>
              <w:jc w:val="center"/>
              <w:rPr>
                <w:rFonts w:hint="eastAsia" w:ascii="宋体" w:hAnsi="宋体" w:cs="宋体"/>
                <w:color w:val="auto"/>
                <w:highlight w:val="none"/>
              </w:rPr>
            </w:pPr>
            <w:r>
              <w:rPr>
                <w:rFonts w:hint="eastAsia" w:ascii="宋体" w:hAnsi="宋体" w:cs="宋体"/>
                <w:color w:val="auto"/>
                <w:highlight w:val="none"/>
              </w:rPr>
              <w:t>21</w:t>
            </w:r>
          </w:p>
        </w:tc>
        <w:tc>
          <w:tcPr>
            <w:tcW w:w="540" w:type="dxa"/>
            <w:shd w:val="clear" w:color="000000" w:fill="FFFFFF"/>
            <w:vAlign w:val="center"/>
          </w:tcPr>
          <w:p w14:paraId="77D00A52">
            <w:pPr>
              <w:spacing w:line="400" w:lineRule="exact"/>
              <w:jc w:val="center"/>
              <w:rPr>
                <w:rFonts w:hint="eastAsia" w:ascii="宋体" w:hAnsi="宋体" w:cs="宋体"/>
                <w:color w:val="auto"/>
                <w:highlight w:val="none"/>
              </w:rPr>
            </w:pPr>
            <w:r>
              <w:rPr>
                <w:rFonts w:hint="eastAsia" w:ascii="宋体" w:hAnsi="宋体" w:cs="宋体"/>
                <w:color w:val="auto"/>
                <w:highlight w:val="none"/>
              </w:rPr>
              <w:t>条</w:t>
            </w:r>
          </w:p>
        </w:tc>
        <w:tc>
          <w:tcPr>
            <w:tcW w:w="4395" w:type="dxa"/>
            <w:shd w:val="clear" w:color="000000" w:fill="FFFFFF"/>
            <w:vAlign w:val="center"/>
          </w:tcPr>
          <w:p w14:paraId="721ACF05">
            <w:pPr>
              <w:adjustRightInd w:val="0"/>
              <w:snapToGrid w:val="0"/>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1、8米SC-LC单模光纤跳线；</w:t>
            </w:r>
          </w:p>
          <w:p w14:paraId="0984DD72">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2、符合GB/T 21022、GB/T 18310 系列标准； </w:t>
            </w:r>
          </w:p>
          <w:p w14:paraId="493014BD">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3、插入损耗≤0.3dB；</w:t>
            </w:r>
          </w:p>
          <w:p w14:paraId="54986496">
            <w:pPr>
              <w:adjustRightInd w:val="0"/>
              <w:snapToGrid w:val="0"/>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4、回波损耗：≥55dB。</w:t>
            </w:r>
          </w:p>
        </w:tc>
        <w:tc>
          <w:tcPr>
            <w:tcW w:w="1275" w:type="dxa"/>
            <w:shd w:val="clear" w:color="auto" w:fill="auto"/>
            <w:vAlign w:val="center"/>
          </w:tcPr>
          <w:p w14:paraId="508D86C2">
            <w:pPr>
              <w:spacing w:line="360" w:lineRule="exact"/>
              <w:jc w:val="center"/>
              <w:rPr>
                <w:rFonts w:hint="eastAsia" w:ascii="宋体" w:hAnsi="宋体" w:cs="宋体"/>
                <w:b/>
                <w:bCs/>
                <w:color w:val="auto"/>
                <w:sz w:val="24"/>
                <w:highlight w:val="none"/>
              </w:rPr>
            </w:pPr>
            <w:r>
              <w:rPr>
                <w:rFonts w:hint="eastAsia" w:ascii="宋体" w:hAnsi="宋体" w:cs="宋体"/>
                <w:color w:val="auto"/>
                <w:sz w:val="22"/>
                <w:szCs w:val="22"/>
                <w:highlight w:val="none"/>
              </w:rPr>
              <w:t>0.009</w:t>
            </w:r>
          </w:p>
        </w:tc>
        <w:tc>
          <w:tcPr>
            <w:tcW w:w="1391" w:type="dxa"/>
            <w:shd w:val="clear" w:color="auto" w:fill="auto"/>
            <w:vAlign w:val="center"/>
          </w:tcPr>
          <w:p w14:paraId="67C068AB">
            <w:pPr>
              <w:spacing w:line="360" w:lineRule="exact"/>
              <w:jc w:val="center"/>
              <w:rPr>
                <w:rFonts w:hint="eastAsia" w:ascii="宋体" w:hAnsi="宋体" w:cs="宋体"/>
                <w:b/>
                <w:bCs/>
                <w:color w:val="auto"/>
                <w:sz w:val="24"/>
                <w:highlight w:val="none"/>
              </w:rPr>
            </w:pPr>
            <w:r>
              <w:rPr>
                <w:rFonts w:hint="eastAsia" w:ascii="宋体" w:hAnsi="宋体" w:cs="宋体"/>
                <w:color w:val="auto"/>
                <w:sz w:val="22"/>
                <w:szCs w:val="22"/>
                <w:highlight w:val="none"/>
              </w:rPr>
              <w:t>0.189</w:t>
            </w:r>
          </w:p>
        </w:tc>
      </w:tr>
      <w:tr w14:paraId="0296A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416" w:type="dxa"/>
            <w:shd w:val="clear" w:color="auto" w:fill="auto"/>
            <w:vAlign w:val="center"/>
          </w:tcPr>
          <w:p w14:paraId="36C24BA3">
            <w:pPr>
              <w:spacing w:line="400" w:lineRule="exact"/>
              <w:jc w:val="center"/>
              <w:rPr>
                <w:rFonts w:hint="eastAsia" w:ascii="宋体" w:hAnsi="宋体" w:cs="宋体"/>
                <w:color w:val="auto"/>
                <w:sz w:val="24"/>
                <w:highlight w:val="none"/>
              </w:rPr>
            </w:pPr>
            <w:r>
              <w:rPr>
                <w:rFonts w:hint="eastAsia" w:ascii="宋体" w:hAnsi="宋体" w:cs="宋体"/>
                <w:color w:val="auto"/>
                <w:sz w:val="20"/>
                <w:szCs w:val="20"/>
                <w:highlight w:val="none"/>
              </w:rPr>
              <w:t>8</w:t>
            </w:r>
          </w:p>
        </w:tc>
        <w:tc>
          <w:tcPr>
            <w:tcW w:w="1247" w:type="dxa"/>
            <w:shd w:val="clear" w:color="auto" w:fill="auto"/>
            <w:vAlign w:val="center"/>
          </w:tcPr>
          <w:p w14:paraId="5DC19182">
            <w:pPr>
              <w:spacing w:line="400" w:lineRule="exact"/>
              <w:jc w:val="center"/>
              <w:rPr>
                <w:rFonts w:hint="eastAsia" w:ascii="宋体" w:hAnsi="宋体" w:cs="宋体"/>
                <w:color w:val="auto"/>
                <w:kern w:val="0"/>
                <w:sz w:val="24"/>
                <w:highlight w:val="none"/>
              </w:rPr>
            </w:pPr>
            <w:r>
              <w:rPr>
                <w:rFonts w:hint="eastAsia" w:ascii="宋体" w:hAnsi="宋体" w:cs="宋体"/>
                <w:color w:val="auto"/>
                <w:highlight w:val="none"/>
              </w:rPr>
              <w:t>FC-FC光纤跳线</w:t>
            </w:r>
          </w:p>
        </w:tc>
        <w:tc>
          <w:tcPr>
            <w:tcW w:w="690" w:type="dxa"/>
            <w:shd w:val="clear" w:color="000000" w:fill="FFFFFF"/>
            <w:vAlign w:val="center"/>
          </w:tcPr>
          <w:p w14:paraId="10DCE053">
            <w:pPr>
              <w:spacing w:line="400" w:lineRule="exact"/>
              <w:jc w:val="center"/>
              <w:rPr>
                <w:rFonts w:hint="eastAsia" w:ascii="宋体" w:hAnsi="宋体" w:cs="宋体"/>
                <w:color w:val="auto"/>
                <w:highlight w:val="none"/>
              </w:rPr>
            </w:pPr>
            <w:r>
              <w:rPr>
                <w:rFonts w:hint="eastAsia" w:ascii="宋体" w:hAnsi="宋体" w:cs="宋体"/>
                <w:color w:val="auto"/>
                <w:highlight w:val="none"/>
              </w:rPr>
              <w:t>21</w:t>
            </w:r>
          </w:p>
        </w:tc>
        <w:tc>
          <w:tcPr>
            <w:tcW w:w="540" w:type="dxa"/>
            <w:shd w:val="clear" w:color="000000" w:fill="FFFFFF"/>
            <w:vAlign w:val="center"/>
          </w:tcPr>
          <w:p w14:paraId="7BEF515D">
            <w:pPr>
              <w:spacing w:line="400" w:lineRule="exact"/>
              <w:jc w:val="center"/>
              <w:rPr>
                <w:rFonts w:hint="eastAsia" w:ascii="宋体" w:hAnsi="宋体" w:cs="宋体"/>
                <w:color w:val="auto"/>
                <w:highlight w:val="none"/>
              </w:rPr>
            </w:pPr>
            <w:r>
              <w:rPr>
                <w:rFonts w:hint="eastAsia" w:ascii="宋体" w:hAnsi="宋体" w:cs="宋体"/>
                <w:color w:val="auto"/>
                <w:highlight w:val="none"/>
              </w:rPr>
              <w:t>条</w:t>
            </w:r>
          </w:p>
        </w:tc>
        <w:tc>
          <w:tcPr>
            <w:tcW w:w="4395" w:type="dxa"/>
            <w:shd w:val="clear" w:color="000000" w:fill="FFFFFF"/>
            <w:vAlign w:val="center"/>
          </w:tcPr>
          <w:p w14:paraId="4C6F50E2">
            <w:pPr>
              <w:adjustRightInd w:val="0"/>
              <w:snapToGrid w:val="0"/>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1、3米FC-FC单模光纤跳线；</w:t>
            </w:r>
          </w:p>
          <w:p w14:paraId="657EC3E4">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2、符合GB/T 21022、GB/T 18310 系列标准； </w:t>
            </w:r>
          </w:p>
          <w:p w14:paraId="4B2E0135">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3、插入损耗≤0.3dB；</w:t>
            </w:r>
          </w:p>
          <w:p w14:paraId="3EF12000">
            <w:pPr>
              <w:adjustRightInd w:val="0"/>
              <w:snapToGrid w:val="0"/>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4、回波损耗：≥55dB。</w:t>
            </w:r>
          </w:p>
        </w:tc>
        <w:tc>
          <w:tcPr>
            <w:tcW w:w="1275" w:type="dxa"/>
            <w:shd w:val="clear" w:color="auto" w:fill="auto"/>
            <w:vAlign w:val="center"/>
          </w:tcPr>
          <w:p w14:paraId="6E3CC545">
            <w:pPr>
              <w:spacing w:line="360" w:lineRule="exact"/>
              <w:jc w:val="center"/>
              <w:rPr>
                <w:rFonts w:hint="eastAsia" w:ascii="宋体" w:hAnsi="宋体" w:cs="宋体"/>
                <w:b/>
                <w:bCs/>
                <w:color w:val="auto"/>
                <w:sz w:val="24"/>
                <w:highlight w:val="none"/>
              </w:rPr>
            </w:pPr>
            <w:r>
              <w:rPr>
                <w:rFonts w:hint="eastAsia" w:ascii="宋体" w:hAnsi="宋体" w:cs="宋体"/>
                <w:color w:val="auto"/>
                <w:sz w:val="22"/>
                <w:szCs w:val="22"/>
                <w:highlight w:val="none"/>
              </w:rPr>
              <w:t>0.005</w:t>
            </w:r>
          </w:p>
        </w:tc>
        <w:tc>
          <w:tcPr>
            <w:tcW w:w="1391" w:type="dxa"/>
            <w:shd w:val="clear" w:color="auto" w:fill="auto"/>
            <w:vAlign w:val="center"/>
          </w:tcPr>
          <w:p w14:paraId="36703369">
            <w:pPr>
              <w:spacing w:line="360" w:lineRule="exact"/>
              <w:jc w:val="center"/>
              <w:rPr>
                <w:rFonts w:hint="eastAsia" w:ascii="宋体" w:hAnsi="宋体" w:cs="宋体"/>
                <w:b/>
                <w:bCs/>
                <w:color w:val="auto"/>
                <w:sz w:val="24"/>
                <w:highlight w:val="none"/>
              </w:rPr>
            </w:pPr>
            <w:r>
              <w:rPr>
                <w:rFonts w:hint="eastAsia" w:ascii="宋体" w:hAnsi="宋体" w:cs="宋体"/>
                <w:color w:val="auto"/>
                <w:sz w:val="22"/>
                <w:szCs w:val="22"/>
                <w:highlight w:val="none"/>
              </w:rPr>
              <w:t>0.105</w:t>
            </w:r>
          </w:p>
        </w:tc>
      </w:tr>
      <w:tr w14:paraId="76C48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416" w:type="dxa"/>
            <w:shd w:val="clear" w:color="auto" w:fill="auto"/>
            <w:vAlign w:val="center"/>
          </w:tcPr>
          <w:p w14:paraId="5443FD3C">
            <w:pPr>
              <w:spacing w:line="400" w:lineRule="exact"/>
              <w:jc w:val="center"/>
              <w:rPr>
                <w:rFonts w:hint="eastAsia" w:ascii="宋体" w:hAnsi="宋体" w:cs="宋体"/>
                <w:color w:val="auto"/>
                <w:sz w:val="24"/>
                <w:highlight w:val="none"/>
              </w:rPr>
            </w:pPr>
            <w:r>
              <w:rPr>
                <w:rFonts w:hint="eastAsia" w:ascii="宋体" w:hAnsi="宋体" w:cs="宋体"/>
                <w:color w:val="auto"/>
                <w:sz w:val="20"/>
                <w:szCs w:val="20"/>
                <w:highlight w:val="none"/>
              </w:rPr>
              <w:t>9</w:t>
            </w:r>
          </w:p>
        </w:tc>
        <w:tc>
          <w:tcPr>
            <w:tcW w:w="1247" w:type="dxa"/>
            <w:shd w:val="clear" w:color="auto" w:fill="auto"/>
            <w:vAlign w:val="center"/>
          </w:tcPr>
          <w:p w14:paraId="4EC8685F">
            <w:pPr>
              <w:spacing w:line="400" w:lineRule="exact"/>
              <w:jc w:val="center"/>
              <w:rPr>
                <w:rFonts w:hint="eastAsia" w:ascii="宋体" w:hAnsi="宋体" w:cs="宋体"/>
                <w:color w:val="auto"/>
                <w:kern w:val="0"/>
                <w:sz w:val="24"/>
                <w:highlight w:val="none"/>
              </w:rPr>
            </w:pPr>
            <w:r>
              <w:rPr>
                <w:rFonts w:hint="eastAsia" w:ascii="宋体" w:hAnsi="宋体" w:cs="宋体"/>
                <w:color w:val="auto"/>
                <w:highlight w:val="none"/>
              </w:rPr>
              <w:t>FC-SC光纤跳线</w:t>
            </w:r>
          </w:p>
        </w:tc>
        <w:tc>
          <w:tcPr>
            <w:tcW w:w="690" w:type="dxa"/>
            <w:shd w:val="clear" w:color="000000" w:fill="FFFFFF"/>
            <w:vAlign w:val="center"/>
          </w:tcPr>
          <w:p w14:paraId="50BACE6B">
            <w:pPr>
              <w:spacing w:line="400" w:lineRule="exact"/>
              <w:jc w:val="center"/>
              <w:rPr>
                <w:rFonts w:hint="eastAsia" w:ascii="宋体" w:hAnsi="宋体" w:cs="宋体"/>
                <w:color w:val="auto"/>
                <w:highlight w:val="none"/>
              </w:rPr>
            </w:pPr>
            <w:r>
              <w:rPr>
                <w:rFonts w:hint="eastAsia" w:ascii="宋体" w:hAnsi="宋体" w:cs="宋体"/>
                <w:color w:val="auto"/>
                <w:highlight w:val="none"/>
              </w:rPr>
              <w:t>21</w:t>
            </w:r>
          </w:p>
        </w:tc>
        <w:tc>
          <w:tcPr>
            <w:tcW w:w="540" w:type="dxa"/>
            <w:shd w:val="clear" w:color="000000" w:fill="FFFFFF"/>
            <w:vAlign w:val="center"/>
          </w:tcPr>
          <w:p w14:paraId="20106D06">
            <w:pPr>
              <w:spacing w:line="400" w:lineRule="exact"/>
              <w:jc w:val="center"/>
              <w:rPr>
                <w:rFonts w:hint="eastAsia" w:ascii="宋体" w:hAnsi="宋体" w:cs="宋体"/>
                <w:color w:val="auto"/>
                <w:highlight w:val="none"/>
              </w:rPr>
            </w:pPr>
            <w:r>
              <w:rPr>
                <w:rFonts w:hint="eastAsia" w:ascii="宋体" w:hAnsi="宋体" w:cs="宋体"/>
                <w:color w:val="auto"/>
                <w:highlight w:val="none"/>
              </w:rPr>
              <w:t>条</w:t>
            </w:r>
          </w:p>
        </w:tc>
        <w:tc>
          <w:tcPr>
            <w:tcW w:w="4395" w:type="dxa"/>
            <w:shd w:val="clear" w:color="000000" w:fill="FFFFFF"/>
            <w:vAlign w:val="center"/>
          </w:tcPr>
          <w:p w14:paraId="0EB0495B">
            <w:pPr>
              <w:adjustRightInd w:val="0"/>
              <w:snapToGrid w:val="0"/>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1、8米FC-SC单模光纤跳线；</w:t>
            </w:r>
          </w:p>
          <w:p w14:paraId="1BFAE50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2、符合GB/T 21022、GB/T 18310 系列标准； </w:t>
            </w:r>
          </w:p>
          <w:p w14:paraId="0331F805">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3、插入损耗≤0.3dB；</w:t>
            </w:r>
          </w:p>
          <w:p w14:paraId="2F04988E">
            <w:pPr>
              <w:adjustRightInd w:val="0"/>
              <w:snapToGrid w:val="0"/>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4、回波损耗：≥55dB。</w:t>
            </w:r>
          </w:p>
        </w:tc>
        <w:tc>
          <w:tcPr>
            <w:tcW w:w="1275" w:type="dxa"/>
            <w:shd w:val="clear" w:color="auto" w:fill="auto"/>
            <w:vAlign w:val="center"/>
          </w:tcPr>
          <w:p w14:paraId="107D44A6">
            <w:pPr>
              <w:spacing w:line="360" w:lineRule="exact"/>
              <w:jc w:val="center"/>
              <w:rPr>
                <w:rFonts w:hint="eastAsia" w:ascii="宋体" w:hAnsi="宋体" w:cs="宋体"/>
                <w:b/>
                <w:bCs/>
                <w:color w:val="auto"/>
                <w:sz w:val="24"/>
                <w:highlight w:val="none"/>
              </w:rPr>
            </w:pPr>
            <w:r>
              <w:rPr>
                <w:rFonts w:hint="eastAsia" w:ascii="宋体" w:hAnsi="宋体" w:cs="宋体"/>
                <w:color w:val="auto"/>
                <w:sz w:val="22"/>
                <w:szCs w:val="22"/>
                <w:highlight w:val="none"/>
              </w:rPr>
              <w:t>0.009</w:t>
            </w:r>
          </w:p>
        </w:tc>
        <w:tc>
          <w:tcPr>
            <w:tcW w:w="1391" w:type="dxa"/>
            <w:shd w:val="clear" w:color="auto" w:fill="auto"/>
            <w:vAlign w:val="center"/>
          </w:tcPr>
          <w:p w14:paraId="2DFB9E86">
            <w:pPr>
              <w:spacing w:line="360" w:lineRule="exact"/>
              <w:jc w:val="center"/>
              <w:rPr>
                <w:rFonts w:hint="eastAsia" w:ascii="宋体" w:hAnsi="宋体" w:cs="宋体"/>
                <w:b/>
                <w:bCs/>
                <w:color w:val="auto"/>
                <w:sz w:val="24"/>
                <w:highlight w:val="none"/>
              </w:rPr>
            </w:pPr>
            <w:r>
              <w:rPr>
                <w:rFonts w:hint="eastAsia" w:ascii="宋体" w:hAnsi="宋体" w:cs="宋体"/>
                <w:color w:val="auto"/>
                <w:sz w:val="22"/>
                <w:szCs w:val="22"/>
                <w:highlight w:val="none"/>
              </w:rPr>
              <w:t>0.189</w:t>
            </w:r>
          </w:p>
        </w:tc>
      </w:tr>
      <w:tr w14:paraId="613D7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416" w:type="dxa"/>
            <w:shd w:val="clear" w:color="auto" w:fill="auto"/>
            <w:vAlign w:val="center"/>
          </w:tcPr>
          <w:p w14:paraId="2B4E04E1">
            <w:pPr>
              <w:spacing w:line="400" w:lineRule="exact"/>
              <w:jc w:val="center"/>
              <w:rPr>
                <w:rFonts w:hint="eastAsia" w:ascii="宋体" w:hAnsi="宋体" w:cs="宋体"/>
                <w:color w:val="auto"/>
                <w:sz w:val="24"/>
                <w:highlight w:val="none"/>
              </w:rPr>
            </w:pPr>
            <w:r>
              <w:rPr>
                <w:rFonts w:hint="eastAsia" w:ascii="宋体" w:hAnsi="宋体" w:cs="宋体"/>
                <w:color w:val="auto"/>
                <w:sz w:val="20"/>
                <w:szCs w:val="20"/>
                <w:highlight w:val="none"/>
              </w:rPr>
              <w:t>10</w:t>
            </w:r>
          </w:p>
        </w:tc>
        <w:tc>
          <w:tcPr>
            <w:tcW w:w="1247" w:type="dxa"/>
            <w:shd w:val="clear" w:color="auto" w:fill="auto"/>
            <w:vAlign w:val="center"/>
          </w:tcPr>
          <w:p w14:paraId="1FAE7229">
            <w:pPr>
              <w:spacing w:line="400" w:lineRule="exact"/>
              <w:jc w:val="center"/>
              <w:rPr>
                <w:rFonts w:hint="eastAsia" w:ascii="宋体" w:hAnsi="宋体" w:cs="宋体"/>
                <w:color w:val="auto"/>
                <w:kern w:val="0"/>
                <w:sz w:val="24"/>
                <w:highlight w:val="none"/>
              </w:rPr>
            </w:pPr>
            <w:r>
              <w:rPr>
                <w:rFonts w:hint="eastAsia" w:ascii="宋体" w:hAnsi="宋体" w:cs="宋体"/>
                <w:color w:val="auto"/>
                <w:highlight w:val="none"/>
              </w:rPr>
              <w:t>SC尾纤</w:t>
            </w:r>
          </w:p>
        </w:tc>
        <w:tc>
          <w:tcPr>
            <w:tcW w:w="690" w:type="dxa"/>
            <w:shd w:val="clear" w:color="000000" w:fill="FFFFFF"/>
            <w:vAlign w:val="center"/>
          </w:tcPr>
          <w:p w14:paraId="0F156988">
            <w:pPr>
              <w:spacing w:line="400" w:lineRule="exact"/>
              <w:jc w:val="center"/>
              <w:rPr>
                <w:rFonts w:hint="eastAsia" w:ascii="宋体" w:hAnsi="宋体" w:cs="宋体"/>
                <w:color w:val="auto"/>
                <w:highlight w:val="none"/>
              </w:rPr>
            </w:pPr>
            <w:r>
              <w:rPr>
                <w:rFonts w:hint="eastAsia" w:ascii="宋体" w:hAnsi="宋体" w:cs="宋体"/>
                <w:color w:val="auto"/>
                <w:highlight w:val="none"/>
              </w:rPr>
              <w:t>1194</w:t>
            </w:r>
          </w:p>
        </w:tc>
        <w:tc>
          <w:tcPr>
            <w:tcW w:w="540" w:type="dxa"/>
            <w:shd w:val="clear" w:color="000000" w:fill="FFFFFF"/>
            <w:vAlign w:val="center"/>
          </w:tcPr>
          <w:p w14:paraId="531CBA79">
            <w:pPr>
              <w:spacing w:line="400" w:lineRule="exact"/>
              <w:jc w:val="center"/>
              <w:rPr>
                <w:rFonts w:hint="eastAsia" w:ascii="宋体" w:hAnsi="宋体" w:cs="宋体"/>
                <w:color w:val="auto"/>
                <w:highlight w:val="none"/>
              </w:rPr>
            </w:pPr>
            <w:r>
              <w:rPr>
                <w:rFonts w:hint="eastAsia" w:ascii="宋体" w:hAnsi="宋体" w:cs="宋体"/>
                <w:color w:val="auto"/>
                <w:highlight w:val="none"/>
              </w:rPr>
              <w:t>条</w:t>
            </w:r>
          </w:p>
        </w:tc>
        <w:tc>
          <w:tcPr>
            <w:tcW w:w="4395" w:type="dxa"/>
            <w:shd w:val="clear" w:color="000000" w:fill="FFFFFF"/>
            <w:vAlign w:val="center"/>
          </w:tcPr>
          <w:p w14:paraId="4CF0082C">
            <w:pPr>
              <w:adjustRightInd w:val="0"/>
              <w:snapToGrid w:val="0"/>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1、1米SC单模尾纤；</w:t>
            </w:r>
          </w:p>
          <w:p w14:paraId="2F764B24">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2、符合GB/T 21022、GB/T 18310 系列标准； </w:t>
            </w:r>
          </w:p>
          <w:p w14:paraId="682D5EAC">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3、插入损耗≤0.3dB；</w:t>
            </w:r>
          </w:p>
          <w:p w14:paraId="2F95C7F9">
            <w:pPr>
              <w:adjustRightInd w:val="0"/>
              <w:snapToGrid w:val="0"/>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4、回波损耗：≥55dB。</w:t>
            </w:r>
          </w:p>
        </w:tc>
        <w:tc>
          <w:tcPr>
            <w:tcW w:w="1275" w:type="dxa"/>
            <w:shd w:val="clear" w:color="auto" w:fill="auto"/>
            <w:vAlign w:val="center"/>
          </w:tcPr>
          <w:p w14:paraId="3C116E04">
            <w:pPr>
              <w:spacing w:line="360" w:lineRule="exact"/>
              <w:jc w:val="center"/>
              <w:rPr>
                <w:rFonts w:hint="eastAsia" w:ascii="宋体" w:hAnsi="宋体" w:cs="宋体"/>
                <w:b/>
                <w:bCs/>
                <w:color w:val="auto"/>
                <w:sz w:val="24"/>
                <w:highlight w:val="none"/>
              </w:rPr>
            </w:pPr>
            <w:r>
              <w:rPr>
                <w:rFonts w:hint="eastAsia" w:ascii="宋体" w:hAnsi="宋体" w:cs="宋体"/>
                <w:color w:val="auto"/>
                <w:sz w:val="22"/>
                <w:szCs w:val="22"/>
                <w:highlight w:val="none"/>
              </w:rPr>
              <w:t>0.0025</w:t>
            </w:r>
          </w:p>
        </w:tc>
        <w:tc>
          <w:tcPr>
            <w:tcW w:w="1391" w:type="dxa"/>
            <w:shd w:val="clear" w:color="auto" w:fill="auto"/>
            <w:vAlign w:val="center"/>
          </w:tcPr>
          <w:p w14:paraId="2ADF57F9">
            <w:pPr>
              <w:spacing w:line="360" w:lineRule="exact"/>
              <w:jc w:val="center"/>
              <w:rPr>
                <w:rFonts w:hint="eastAsia" w:ascii="宋体" w:hAnsi="宋体" w:cs="宋体"/>
                <w:b/>
                <w:bCs/>
                <w:color w:val="auto"/>
                <w:sz w:val="24"/>
                <w:highlight w:val="none"/>
              </w:rPr>
            </w:pPr>
            <w:r>
              <w:rPr>
                <w:rFonts w:hint="eastAsia" w:ascii="宋体" w:hAnsi="宋体" w:cs="宋体"/>
                <w:color w:val="auto"/>
                <w:sz w:val="22"/>
                <w:szCs w:val="22"/>
                <w:highlight w:val="none"/>
              </w:rPr>
              <w:t>2.985</w:t>
            </w:r>
          </w:p>
        </w:tc>
      </w:tr>
      <w:tr w14:paraId="4E596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416" w:type="dxa"/>
            <w:shd w:val="clear" w:color="auto" w:fill="auto"/>
            <w:vAlign w:val="center"/>
          </w:tcPr>
          <w:p w14:paraId="040CA91E">
            <w:pPr>
              <w:spacing w:line="400" w:lineRule="exact"/>
              <w:jc w:val="center"/>
              <w:rPr>
                <w:rFonts w:hint="eastAsia" w:ascii="宋体" w:hAnsi="宋体" w:cs="宋体"/>
                <w:color w:val="auto"/>
                <w:sz w:val="24"/>
                <w:highlight w:val="none"/>
              </w:rPr>
            </w:pPr>
            <w:r>
              <w:rPr>
                <w:rFonts w:hint="eastAsia" w:ascii="宋体" w:hAnsi="宋体" w:cs="宋体"/>
                <w:color w:val="auto"/>
                <w:sz w:val="20"/>
                <w:szCs w:val="20"/>
                <w:highlight w:val="none"/>
              </w:rPr>
              <w:t>11</w:t>
            </w:r>
          </w:p>
        </w:tc>
        <w:tc>
          <w:tcPr>
            <w:tcW w:w="1247" w:type="dxa"/>
            <w:shd w:val="clear" w:color="auto" w:fill="auto"/>
            <w:vAlign w:val="center"/>
          </w:tcPr>
          <w:p w14:paraId="7F9526F5">
            <w:pPr>
              <w:spacing w:line="400" w:lineRule="exact"/>
              <w:jc w:val="center"/>
              <w:rPr>
                <w:rFonts w:hint="eastAsia" w:ascii="宋体" w:hAnsi="宋体" w:cs="宋体"/>
                <w:color w:val="auto"/>
                <w:kern w:val="0"/>
                <w:sz w:val="24"/>
                <w:highlight w:val="none"/>
              </w:rPr>
            </w:pPr>
            <w:r>
              <w:rPr>
                <w:rFonts w:hint="eastAsia" w:ascii="宋体" w:hAnsi="宋体" w:cs="宋体"/>
                <w:color w:val="auto"/>
                <w:highlight w:val="none"/>
              </w:rPr>
              <w:t>48口光纤配线架</w:t>
            </w:r>
          </w:p>
        </w:tc>
        <w:tc>
          <w:tcPr>
            <w:tcW w:w="690" w:type="dxa"/>
            <w:shd w:val="clear" w:color="000000" w:fill="FFFFFF"/>
            <w:vAlign w:val="center"/>
          </w:tcPr>
          <w:p w14:paraId="3909A0CE">
            <w:pPr>
              <w:spacing w:line="400" w:lineRule="exact"/>
              <w:jc w:val="center"/>
              <w:rPr>
                <w:rFonts w:hint="eastAsia" w:ascii="宋体" w:hAnsi="宋体" w:cs="宋体"/>
                <w:color w:val="auto"/>
                <w:highlight w:val="none"/>
              </w:rPr>
            </w:pPr>
            <w:r>
              <w:rPr>
                <w:rFonts w:hint="eastAsia" w:ascii="宋体" w:hAnsi="宋体" w:cs="宋体"/>
                <w:color w:val="auto"/>
                <w:highlight w:val="none"/>
              </w:rPr>
              <w:t>14</w:t>
            </w:r>
          </w:p>
        </w:tc>
        <w:tc>
          <w:tcPr>
            <w:tcW w:w="540" w:type="dxa"/>
            <w:shd w:val="clear" w:color="000000" w:fill="FFFFFF"/>
            <w:vAlign w:val="center"/>
          </w:tcPr>
          <w:p w14:paraId="0F53AC9C">
            <w:pPr>
              <w:spacing w:line="400" w:lineRule="exact"/>
              <w:jc w:val="center"/>
              <w:rPr>
                <w:rFonts w:hint="eastAsia" w:ascii="宋体" w:hAnsi="宋体" w:cs="宋体"/>
                <w:color w:val="auto"/>
                <w:highlight w:val="none"/>
              </w:rPr>
            </w:pPr>
            <w:r>
              <w:rPr>
                <w:rFonts w:hint="eastAsia" w:ascii="宋体" w:hAnsi="宋体" w:cs="宋体"/>
                <w:color w:val="auto"/>
                <w:highlight w:val="none"/>
              </w:rPr>
              <w:t>个</w:t>
            </w:r>
          </w:p>
        </w:tc>
        <w:tc>
          <w:tcPr>
            <w:tcW w:w="4395" w:type="dxa"/>
            <w:shd w:val="clear" w:color="000000" w:fill="FFFFFF"/>
            <w:vAlign w:val="center"/>
          </w:tcPr>
          <w:p w14:paraId="526951A4">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1、配线架能够安装连接各种不同种类的光缆，可以匹配不同的光纤适配器。</w:t>
            </w:r>
          </w:p>
          <w:p w14:paraId="2D6DD1E0">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2、内部配有4个12口的熔接盘和48个LC双口耦合器。</w:t>
            </w:r>
          </w:p>
          <w:p w14:paraId="69195B49">
            <w:pPr>
              <w:adjustRightInd w:val="0"/>
              <w:snapToGrid w:val="0"/>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3、配线架内部配有绕线盘、热缩管等。</w:t>
            </w:r>
          </w:p>
        </w:tc>
        <w:tc>
          <w:tcPr>
            <w:tcW w:w="1275" w:type="dxa"/>
            <w:shd w:val="clear" w:color="auto" w:fill="auto"/>
            <w:vAlign w:val="center"/>
          </w:tcPr>
          <w:p w14:paraId="4FBB99AA">
            <w:pPr>
              <w:spacing w:line="360" w:lineRule="exact"/>
              <w:jc w:val="center"/>
              <w:rPr>
                <w:rFonts w:hint="eastAsia" w:ascii="宋体" w:hAnsi="宋体" w:cs="宋体"/>
                <w:b/>
                <w:bCs/>
                <w:color w:val="auto"/>
                <w:sz w:val="24"/>
                <w:highlight w:val="none"/>
              </w:rPr>
            </w:pPr>
            <w:r>
              <w:rPr>
                <w:rFonts w:hint="eastAsia" w:ascii="宋体" w:hAnsi="宋体" w:cs="宋体"/>
                <w:color w:val="auto"/>
                <w:sz w:val="22"/>
                <w:szCs w:val="22"/>
                <w:highlight w:val="none"/>
              </w:rPr>
              <w:t>0.135</w:t>
            </w:r>
          </w:p>
        </w:tc>
        <w:tc>
          <w:tcPr>
            <w:tcW w:w="1391" w:type="dxa"/>
            <w:shd w:val="clear" w:color="auto" w:fill="auto"/>
            <w:vAlign w:val="center"/>
          </w:tcPr>
          <w:p w14:paraId="6FBE7D3C">
            <w:pPr>
              <w:spacing w:line="360" w:lineRule="exact"/>
              <w:jc w:val="center"/>
              <w:rPr>
                <w:rFonts w:hint="eastAsia" w:ascii="宋体" w:hAnsi="宋体" w:cs="宋体"/>
                <w:b/>
                <w:bCs/>
                <w:color w:val="auto"/>
                <w:sz w:val="24"/>
                <w:highlight w:val="none"/>
              </w:rPr>
            </w:pPr>
            <w:r>
              <w:rPr>
                <w:rFonts w:hint="eastAsia" w:ascii="宋体" w:hAnsi="宋体" w:cs="宋体"/>
                <w:color w:val="auto"/>
                <w:sz w:val="22"/>
                <w:szCs w:val="22"/>
                <w:highlight w:val="none"/>
              </w:rPr>
              <w:t>1.89</w:t>
            </w:r>
          </w:p>
        </w:tc>
      </w:tr>
      <w:tr w14:paraId="1E2B6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416" w:type="dxa"/>
            <w:shd w:val="clear" w:color="auto" w:fill="auto"/>
            <w:vAlign w:val="center"/>
          </w:tcPr>
          <w:p w14:paraId="48A2E08A">
            <w:pPr>
              <w:spacing w:line="400" w:lineRule="exact"/>
              <w:jc w:val="center"/>
              <w:rPr>
                <w:rFonts w:hint="eastAsia" w:ascii="宋体" w:hAnsi="宋体" w:cs="宋体"/>
                <w:color w:val="auto"/>
                <w:sz w:val="24"/>
                <w:highlight w:val="none"/>
              </w:rPr>
            </w:pPr>
            <w:r>
              <w:rPr>
                <w:rFonts w:hint="eastAsia" w:ascii="宋体" w:hAnsi="宋体" w:cs="宋体"/>
                <w:color w:val="auto"/>
                <w:sz w:val="20"/>
                <w:szCs w:val="20"/>
                <w:highlight w:val="none"/>
              </w:rPr>
              <w:t>12</w:t>
            </w:r>
          </w:p>
        </w:tc>
        <w:tc>
          <w:tcPr>
            <w:tcW w:w="1247" w:type="dxa"/>
            <w:shd w:val="clear" w:color="auto" w:fill="auto"/>
            <w:vAlign w:val="center"/>
          </w:tcPr>
          <w:p w14:paraId="2C2C80BD">
            <w:pPr>
              <w:spacing w:line="400" w:lineRule="exact"/>
              <w:jc w:val="center"/>
              <w:rPr>
                <w:rFonts w:hint="eastAsia" w:ascii="宋体" w:hAnsi="宋体" w:cs="宋体"/>
                <w:color w:val="auto"/>
                <w:kern w:val="0"/>
                <w:sz w:val="24"/>
                <w:highlight w:val="none"/>
              </w:rPr>
            </w:pPr>
            <w:r>
              <w:rPr>
                <w:rFonts w:hint="eastAsia" w:ascii="宋体" w:hAnsi="宋体" w:cs="宋体"/>
                <w:color w:val="auto"/>
                <w:highlight w:val="none"/>
              </w:rPr>
              <w:t>明装ONU盒</w:t>
            </w:r>
          </w:p>
        </w:tc>
        <w:tc>
          <w:tcPr>
            <w:tcW w:w="690" w:type="dxa"/>
            <w:shd w:val="clear" w:color="000000" w:fill="FFFFFF"/>
            <w:vAlign w:val="center"/>
          </w:tcPr>
          <w:p w14:paraId="592E5D35">
            <w:pPr>
              <w:spacing w:line="400" w:lineRule="exact"/>
              <w:jc w:val="center"/>
              <w:rPr>
                <w:rFonts w:hint="eastAsia" w:ascii="宋体" w:hAnsi="宋体" w:cs="宋体"/>
                <w:color w:val="auto"/>
                <w:highlight w:val="none"/>
              </w:rPr>
            </w:pPr>
            <w:r>
              <w:rPr>
                <w:rFonts w:hint="eastAsia" w:ascii="宋体" w:hAnsi="宋体" w:cs="宋体"/>
                <w:color w:val="auto"/>
                <w:highlight w:val="none"/>
              </w:rPr>
              <w:t>593</w:t>
            </w:r>
          </w:p>
        </w:tc>
        <w:tc>
          <w:tcPr>
            <w:tcW w:w="540" w:type="dxa"/>
            <w:shd w:val="clear" w:color="000000" w:fill="FFFFFF"/>
            <w:vAlign w:val="center"/>
          </w:tcPr>
          <w:p w14:paraId="0EB9E263">
            <w:pPr>
              <w:spacing w:line="400" w:lineRule="exact"/>
              <w:jc w:val="center"/>
              <w:rPr>
                <w:rFonts w:hint="eastAsia" w:ascii="宋体" w:hAnsi="宋体" w:cs="宋体"/>
                <w:color w:val="auto"/>
                <w:highlight w:val="none"/>
              </w:rPr>
            </w:pPr>
            <w:r>
              <w:rPr>
                <w:rFonts w:hint="eastAsia" w:ascii="宋体" w:hAnsi="宋体" w:cs="宋体"/>
                <w:color w:val="auto"/>
                <w:highlight w:val="none"/>
              </w:rPr>
              <w:t>个</w:t>
            </w:r>
          </w:p>
        </w:tc>
        <w:tc>
          <w:tcPr>
            <w:tcW w:w="4395" w:type="dxa"/>
            <w:shd w:val="clear" w:color="000000" w:fill="FFFFFF"/>
            <w:vAlign w:val="center"/>
          </w:tcPr>
          <w:p w14:paraId="690B91C7">
            <w:pPr>
              <w:adjustRightInd w:val="0"/>
              <w:snapToGrid w:val="0"/>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1、规格：长*宽*深:约425mm*325mm*120mm；</w:t>
            </w:r>
            <w:r>
              <w:rPr>
                <w:rFonts w:hint="eastAsia" w:ascii="宋体" w:hAnsi="宋体" w:cs="宋体"/>
                <w:color w:val="auto"/>
                <w:szCs w:val="21"/>
                <w:highlight w:val="none"/>
              </w:rPr>
              <w:br w:type="textWrapping"/>
            </w:r>
            <w:r>
              <w:rPr>
                <w:rFonts w:hint="eastAsia" w:ascii="宋体" w:hAnsi="宋体" w:cs="宋体"/>
                <w:color w:val="auto"/>
                <w:szCs w:val="21"/>
                <w:highlight w:val="none"/>
              </w:rPr>
              <w:t>2、材质：金属底塑料面盖；</w:t>
            </w:r>
            <w:r>
              <w:rPr>
                <w:rFonts w:hint="eastAsia" w:ascii="宋体" w:hAnsi="宋体" w:cs="宋体"/>
                <w:color w:val="auto"/>
                <w:szCs w:val="21"/>
                <w:highlight w:val="none"/>
              </w:rPr>
              <w:br w:type="textWrapping"/>
            </w:r>
            <w:r>
              <w:rPr>
                <w:rFonts w:hint="eastAsia" w:ascii="宋体" w:hAnsi="宋体" w:cs="宋体"/>
                <w:color w:val="auto"/>
                <w:szCs w:val="21"/>
                <w:highlight w:val="none"/>
              </w:rPr>
              <w:t>3、箱体门面可由采购人根据实际情况定制封面；</w:t>
            </w:r>
            <w:r>
              <w:rPr>
                <w:rFonts w:hint="eastAsia" w:ascii="宋体" w:hAnsi="宋体" w:cs="宋体"/>
                <w:color w:val="auto"/>
                <w:szCs w:val="21"/>
                <w:highlight w:val="none"/>
              </w:rPr>
              <w:br w:type="textWrapping"/>
            </w:r>
            <w:r>
              <w:rPr>
                <w:rFonts w:hint="eastAsia" w:ascii="宋体" w:hAnsi="宋体" w:cs="宋体"/>
                <w:color w:val="auto"/>
                <w:szCs w:val="21"/>
                <w:highlight w:val="none"/>
              </w:rPr>
              <w:t>4、包含1个理线架、1个门锁；</w:t>
            </w:r>
            <w:r>
              <w:rPr>
                <w:rFonts w:hint="eastAsia" w:ascii="宋体" w:hAnsi="宋体" w:cs="宋体"/>
                <w:color w:val="auto"/>
                <w:szCs w:val="21"/>
                <w:highlight w:val="none"/>
              </w:rPr>
              <w:br w:type="textWrapping"/>
            </w:r>
            <w:r>
              <w:rPr>
                <w:rFonts w:hint="eastAsia" w:ascii="宋体" w:hAnsi="宋体" w:cs="宋体"/>
                <w:color w:val="auto"/>
                <w:szCs w:val="21"/>
                <w:highlight w:val="none"/>
              </w:rPr>
              <w:t>5、在箱体上必须预留散热通风口、及进线口。</w:t>
            </w:r>
          </w:p>
        </w:tc>
        <w:tc>
          <w:tcPr>
            <w:tcW w:w="1275" w:type="dxa"/>
            <w:shd w:val="clear" w:color="auto" w:fill="auto"/>
            <w:vAlign w:val="center"/>
          </w:tcPr>
          <w:p w14:paraId="16382300">
            <w:pPr>
              <w:spacing w:line="360" w:lineRule="exact"/>
              <w:jc w:val="center"/>
              <w:rPr>
                <w:rFonts w:hint="eastAsia" w:ascii="宋体" w:hAnsi="宋体" w:cs="宋体"/>
                <w:b/>
                <w:bCs/>
                <w:color w:val="auto"/>
                <w:sz w:val="24"/>
                <w:highlight w:val="none"/>
              </w:rPr>
            </w:pPr>
            <w:r>
              <w:rPr>
                <w:rFonts w:hint="eastAsia" w:ascii="宋体" w:hAnsi="宋体" w:cs="宋体"/>
                <w:color w:val="auto"/>
                <w:sz w:val="22"/>
                <w:szCs w:val="22"/>
                <w:highlight w:val="none"/>
              </w:rPr>
              <w:t>0.02</w:t>
            </w:r>
          </w:p>
        </w:tc>
        <w:tc>
          <w:tcPr>
            <w:tcW w:w="1391" w:type="dxa"/>
            <w:shd w:val="clear" w:color="auto" w:fill="auto"/>
            <w:vAlign w:val="center"/>
          </w:tcPr>
          <w:p w14:paraId="4E753B3A">
            <w:pPr>
              <w:spacing w:line="360" w:lineRule="exact"/>
              <w:jc w:val="center"/>
              <w:rPr>
                <w:rFonts w:hint="eastAsia" w:ascii="宋体" w:hAnsi="宋体" w:cs="宋体"/>
                <w:b/>
                <w:bCs/>
                <w:color w:val="auto"/>
                <w:sz w:val="24"/>
                <w:highlight w:val="none"/>
              </w:rPr>
            </w:pPr>
            <w:r>
              <w:rPr>
                <w:rFonts w:hint="eastAsia" w:ascii="宋体" w:hAnsi="宋体" w:cs="宋体"/>
                <w:color w:val="auto"/>
                <w:sz w:val="22"/>
                <w:szCs w:val="22"/>
                <w:highlight w:val="none"/>
              </w:rPr>
              <w:t>11.86</w:t>
            </w:r>
          </w:p>
        </w:tc>
      </w:tr>
      <w:tr w14:paraId="6A185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416" w:type="dxa"/>
            <w:shd w:val="clear" w:color="auto" w:fill="auto"/>
            <w:vAlign w:val="center"/>
          </w:tcPr>
          <w:p w14:paraId="18B7996C">
            <w:pPr>
              <w:spacing w:line="400" w:lineRule="exact"/>
              <w:jc w:val="center"/>
              <w:rPr>
                <w:rFonts w:hint="eastAsia" w:ascii="宋体" w:hAnsi="宋体" w:cs="宋体"/>
                <w:color w:val="auto"/>
                <w:sz w:val="24"/>
                <w:highlight w:val="none"/>
              </w:rPr>
            </w:pPr>
            <w:r>
              <w:rPr>
                <w:rFonts w:hint="eastAsia" w:ascii="宋体" w:hAnsi="宋体" w:cs="宋体"/>
                <w:color w:val="auto"/>
                <w:sz w:val="20"/>
                <w:szCs w:val="20"/>
                <w:highlight w:val="none"/>
              </w:rPr>
              <w:t>13</w:t>
            </w:r>
          </w:p>
        </w:tc>
        <w:tc>
          <w:tcPr>
            <w:tcW w:w="1247" w:type="dxa"/>
            <w:shd w:val="clear" w:color="auto" w:fill="auto"/>
            <w:vAlign w:val="center"/>
          </w:tcPr>
          <w:p w14:paraId="04BAD803">
            <w:pPr>
              <w:spacing w:line="400" w:lineRule="exact"/>
              <w:jc w:val="center"/>
              <w:rPr>
                <w:rFonts w:hint="eastAsia" w:ascii="宋体" w:hAnsi="宋体" w:cs="宋体"/>
                <w:color w:val="auto"/>
                <w:kern w:val="0"/>
                <w:sz w:val="24"/>
                <w:highlight w:val="none"/>
              </w:rPr>
            </w:pPr>
            <w:r>
              <w:rPr>
                <w:rFonts w:hint="eastAsia" w:ascii="宋体" w:hAnsi="宋体" w:cs="宋体"/>
                <w:color w:val="auto"/>
                <w:highlight w:val="none"/>
              </w:rPr>
              <w:t>ONU电源插座</w:t>
            </w:r>
          </w:p>
        </w:tc>
        <w:tc>
          <w:tcPr>
            <w:tcW w:w="690" w:type="dxa"/>
            <w:shd w:val="clear" w:color="000000" w:fill="FFFFFF"/>
            <w:vAlign w:val="center"/>
          </w:tcPr>
          <w:p w14:paraId="34207AB1">
            <w:pPr>
              <w:spacing w:line="400" w:lineRule="exact"/>
              <w:jc w:val="center"/>
              <w:rPr>
                <w:rFonts w:hint="eastAsia" w:ascii="宋体" w:hAnsi="宋体" w:cs="宋体"/>
                <w:color w:val="auto"/>
                <w:highlight w:val="none"/>
              </w:rPr>
            </w:pPr>
            <w:r>
              <w:rPr>
                <w:rFonts w:hint="eastAsia" w:ascii="宋体" w:hAnsi="宋体" w:cs="宋体"/>
                <w:color w:val="auto"/>
                <w:highlight w:val="none"/>
              </w:rPr>
              <w:t>593</w:t>
            </w:r>
          </w:p>
        </w:tc>
        <w:tc>
          <w:tcPr>
            <w:tcW w:w="540" w:type="dxa"/>
            <w:shd w:val="clear" w:color="000000" w:fill="FFFFFF"/>
            <w:vAlign w:val="center"/>
          </w:tcPr>
          <w:p w14:paraId="0B52DD13">
            <w:pPr>
              <w:spacing w:line="400" w:lineRule="exact"/>
              <w:jc w:val="center"/>
              <w:rPr>
                <w:rFonts w:hint="eastAsia" w:ascii="宋体" w:hAnsi="宋体" w:cs="宋体"/>
                <w:color w:val="auto"/>
                <w:highlight w:val="none"/>
              </w:rPr>
            </w:pPr>
            <w:r>
              <w:rPr>
                <w:rFonts w:hint="eastAsia" w:ascii="宋体" w:hAnsi="宋体" w:cs="宋体"/>
                <w:color w:val="auto"/>
                <w:highlight w:val="none"/>
              </w:rPr>
              <w:t>个</w:t>
            </w:r>
          </w:p>
        </w:tc>
        <w:tc>
          <w:tcPr>
            <w:tcW w:w="4395" w:type="dxa"/>
            <w:shd w:val="clear" w:color="000000" w:fill="FFFFFF"/>
            <w:vAlign w:val="center"/>
          </w:tcPr>
          <w:p w14:paraId="0FBCB219">
            <w:pPr>
              <w:adjustRightInd w:val="0"/>
              <w:snapToGrid w:val="0"/>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1、86型五孔插座</w:t>
            </w:r>
          </w:p>
        </w:tc>
        <w:tc>
          <w:tcPr>
            <w:tcW w:w="1275" w:type="dxa"/>
            <w:shd w:val="clear" w:color="auto" w:fill="auto"/>
            <w:vAlign w:val="center"/>
          </w:tcPr>
          <w:p w14:paraId="4722C73F">
            <w:pPr>
              <w:spacing w:line="360" w:lineRule="exact"/>
              <w:jc w:val="center"/>
              <w:rPr>
                <w:rFonts w:hint="eastAsia" w:ascii="宋体" w:hAnsi="宋体" w:cs="宋体"/>
                <w:b/>
                <w:bCs/>
                <w:color w:val="auto"/>
                <w:sz w:val="24"/>
                <w:highlight w:val="none"/>
              </w:rPr>
            </w:pPr>
            <w:r>
              <w:rPr>
                <w:rFonts w:hint="eastAsia" w:ascii="宋体" w:hAnsi="宋体" w:cs="宋体"/>
                <w:color w:val="auto"/>
                <w:sz w:val="22"/>
                <w:szCs w:val="22"/>
                <w:highlight w:val="none"/>
              </w:rPr>
              <w:t>0.0015</w:t>
            </w:r>
          </w:p>
        </w:tc>
        <w:tc>
          <w:tcPr>
            <w:tcW w:w="1391" w:type="dxa"/>
            <w:shd w:val="clear" w:color="auto" w:fill="auto"/>
            <w:vAlign w:val="center"/>
          </w:tcPr>
          <w:p w14:paraId="0722ADF6">
            <w:pPr>
              <w:spacing w:line="360" w:lineRule="exact"/>
              <w:jc w:val="center"/>
              <w:rPr>
                <w:rFonts w:hint="eastAsia" w:ascii="宋体" w:hAnsi="宋体" w:cs="宋体"/>
                <w:b/>
                <w:bCs/>
                <w:color w:val="auto"/>
                <w:sz w:val="24"/>
                <w:highlight w:val="none"/>
              </w:rPr>
            </w:pPr>
            <w:r>
              <w:rPr>
                <w:rFonts w:hint="eastAsia" w:ascii="宋体" w:hAnsi="宋体" w:cs="宋体"/>
                <w:color w:val="auto"/>
                <w:sz w:val="22"/>
                <w:szCs w:val="22"/>
                <w:highlight w:val="none"/>
              </w:rPr>
              <w:t>0.8895</w:t>
            </w:r>
          </w:p>
        </w:tc>
      </w:tr>
      <w:tr w14:paraId="155CA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416" w:type="dxa"/>
            <w:shd w:val="clear" w:color="auto" w:fill="auto"/>
            <w:vAlign w:val="center"/>
          </w:tcPr>
          <w:p w14:paraId="371A2A5B">
            <w:pPr>
              <w:spacing w:line="400" w:lineRule="exact"/>
              <w:jc w:val="center"/>
              <w:rPr>
                <w:rFonts w:hint="eastAsia" w:ascii="宋体" w:hAnsi="宋体" w:cs="宋体"/>
                <w:color w:val="auto"/>
                <w:sz w:val="24"/>
                <w:highlight w:val="none"/>
              </w:rPr>
            </w:pPr>
            <w:r>
              <w:rPr>
                <w:rFonts w:hint="eastAsia" w:ascii="宋体" w:hAnsi="宋体" w:cs="宋体"/>
                <w:color w:val="auto"/>
                <w:sz w:val="20"/>
                <w:szCs w:val="20"/>
                <w:highlight w:val="none"/>
              </w:rPr>
              <w:t>14</w:t>
            </w:r>
          </w:p>
        </w:tc>
        <w:tc>
          <w:tcPr>
            <w:tcW w:w="1247" w:type="dxa"/>
            <w:shd w:val="clear" w:color="auto" w:fill="auto"/>
            <w:vAlign w:val="center"/>
          </w:tcPr>
          <w:p w14:paraId="13EE6165">
            <w:pPr>
              <w:spacing w:line="400" w:lineRule="exact"/>
              <w:jc w:val="center"/>
              <w:rPr>
                <w:rFonts w:hint="eastAsia" w:ascii="宋体" w:hAnsi="宋体" w:cs="宋体"/>
                <w:color w:val="auto"/>
                <w:kern w:val="0"/>
                <w:sz w:val="24"/>
                <w:highlight w:val="none"/>
              </w:rPr>
            </w:pPr>
            <w:r>
              <w:rPr>
                <w:rFonts w:hint="eastAsia" w:ascii="宋体" w:hAnsi="宋体" w:cs="宋体"/>
                <w:color w:val="auto"/>
                <w:highlight w:val="none"/>
              </w:rPr>
              <w:t>双口信息面板</w:t>
            </w:r>
          </w:p>
        </w:tc>
        <w:tc>
          <w:tcPr>
            <w:tcW w:w="690" w:type="dxa"/>
            <w:shd w:val="clear" w:color="000000" w:fill="FFFFFF"/>
            <w:vAlign w:val="center"/>
          </w:tcPr>
          <w:p w14:paraId="0A672C5A">
            <w:pPr>
              <w:spacing w:line="400" w:lineRule="exact"/>
              <w:jc w:val="center"/>
              <w:rPr>
                <w:rFonts w:hint="eastAsia" w:ascii="宋体" w:hAnsi="宋体" w:cs="宋体"/>
                <w:color w:val="auto"/>
                <w:highlight w:val="none"/>
              </w:rPr>
            </w:pPr>
            <w:r>
              <w:rPr>
                <w:rFonts w:hint="eastAsia" w:ascii="宋体" w:hAnsi="宋体" w:cs="宋体"/>
                <w:color w:val="auto"/>
                <w:highlight w:val="none"/>
              </w:rPr>
              <w:t>814</w:t>
            </w:r>
          </w:p>
        </w:tc>
        <w:tc>
          <w:tcPr>
            <w:tcW w:w="540" w:type="dxa"/>
            <w:shd w:val="clear" w:color="000000" w:fill="FFFFFF"/>
            <w:vAlign w:val="center"/>
          </w:tcPr>
          <w:p w14:paraId="76C5CD37">
            <w:pPr>
              <w:spacing w:line="400" w:lineRule="exact"/>
              <w:jc w:val="center"/>
              <w:rPr>
                <w:rFonts w:hint="eastAsia" w:ascii="宋体" w:hAnsi="宋体" w:cs="宋体"/>
                <w:color w:val="auto"/>
                <w:highlight w:val="none"/>
              </w:rPr>
            </w:pPr>
            <w:r>
              <w:rPr>
                <w:rFonts w:hint="eastAsia" w:ascii="宋体" w:hAnsi="宋体" w:cs="宋体"/>
                <w:color w:val="auto"/>
                <w:highlight w:val="none"/>
              </w:rPr>
              <w:t>套</w:t>
            </w:r>
          </w:p>
        </w:tc>
        <w:tc>
          <w:tcPr>
            <w:tcW w:w="4395" w:type="dxa"/>
            <w:shd w:val="clear" w:color="000000" w:fill="FFFFFF"/>
            <w:vAlign w:val="center"/>
          </w:tcPr>
          <w:p w14:paraId="25C0F272">
            <w:pPr>
              <w:adjustRightInd w:val="0"/>
              <w:snapToGrid w:val="0"/>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1、采用PC材料，2位平口信息面板,规格为约86mm*86mm； </w:t>
            </w:r>
            <w:r>
              <w:rPr>
                <w:rFonts w:hint="eastAsia" w:ascii="宋体" w:hAnsi="宋体" w:cs="宋体"/>
                <w:color w:val="auto"/>
                <w:szCs w:val="21"/>
                <w:highlight w:val="none"/>
              </w:rPr>
              <w:br w:type="textWrapping"/>
            </w:r>
            <w:r>
              <w:rPr>
                <w:rFonts w:hint="eastAsia" w:ascii="宋体" w:hAnsi="宋体" w:cs="宋体"/>
                <w:color w:val="auto"/>
                <w:szCs w:val="21"/>
                <w:highlight w:val="none"/>
              </w:rPr>
              <w:t xml:space="preserve">2、面板表面不可见螺钉孔； </w:t>
            </w:r>
            <w:r>
              <w:rPr>
                <w:rFonts w:hint="eastAsia" w:ascii="宋体" w:hAnsi="宋体" w:cs="宋体"/>
                <w:color w:val="auto"/>
                <w:szCs w:val="21"/>
                <w:highlight w:val="none"/>
              </w:rPr>
              <w:br w:type="textWrapping"/>
            </w:r>
            <w:r>
              <w:rPr>
                <w:rFonts w:hint="eastAsia" w:ascii="宋体" w:hAnsi="宋体" w:cs="宋体"/>
                <w:color w:val="auto"/>
                <w:szCs w:val="21"/>
                <w:highlight w:val="none"/>
              </w:rPr>
              <w:t xml:space="preserve">3、采用扣位式面板设计，面板带防护门； </w:t>
            </w:r>
            <w:r>
              <w:rPr>
                <w:rFonts w:hint="eastAsia" w:ascii="宋体" w:hAnsi="宋体" w:cs="宋体"/>
                <w:color w:val="auto"/>
                <w:szCs w:val="21"/>
                <w:highlight w:val="none"/>
              </w:rPr>
              <w:br w:type="textWrapping"/>
            </w:r>
            <w:r>
              <w:rPr>
                <w:rFonts w:hint="eastAsia" w:ascii="宋体" w:hAnsi="宋体" w:cs="宋体"/>
                <w:color w:val="auto"/>
                <w:szCs w:val="21"/>
                <w:highlight w:val="none"/>
              </w:rPr>
              <w:t xml:space="preserve">4、信息口位置具有标识标签，具有永久标签位置； </w:t>
            </w:r>
            <w:r>
              <w:rPr>
                <w:rFonts w:hint="eastAsia" w:ascii="宋体" w:hAnsi="宋体" w:cs="宋体"/>
                <w:color w:val="auto"/>
                <w:szCs w:val="21"/>
                <w:highlight w:val="none"/>
              </w:rPr>
              <w:br w:type="textWrapping"/>
            </w:r>
            <w:r>
              <w:rPr>
                <w:rFonts w:hint="eastAsia" w:ascii="宋体" w:hAnsi="宋体" w:cs="宋体"/>
                <w:color w:val="auto"/>
                <w:szCs w:val="21"/>
                <w:highlight w:val="none"/>
              </w:rPr>
              <w:t>5、含两个六类非屏蔽模块。</w:t>
            </w:r>
            <w:r>
              <w:rPr>
                <w:rFonts w:hint="eastAsia" w:ascii="宋体" w:hAnsi="宋体" w:cs="宋体"/>
                <w:color w:val="auto"/>
                <w:sz w:val="24"/>
                <w:highlight w:val="none"/>
              </w:rPr>
              <w:t xml:space="preserve"> </w:t>
            </w:r>
          </w:p>
        </w:tc>
        <w:tc>
          <w:tcPr>
            <w:tcW w:w="1275" w:type="dxa"/>
            <w:shd w:val="clear" w:color="auto" w:fill="auto"/>
            <w:vAlign w:val="center"/>
          </w:tcPr>
          <w:p w14:paraId="7966505C">
            <w:pPr>
              <w:spacing w:line="360" w:lineRule="exact"/>
              <w:jc w:val="center"/>
              <w:rPr>
                <w:rFonts w:hint="eastAsia" w:ascii="宋体" w:hAnsi="宋体" w:cs="宋体"/>
                <w:b/>
                <w:bCs/>
                <w:color w:val="auto"/>
                <w:sz w:val="24"/>
                <w:highlight w:val="none"/>
              </w:rPr>
            </w:pPr>
            <w:r>
              <w:rPr>
                <w:rFonts w:hint="eastAsia" w:ascii="宋体" w:hAnsi="宋体" w:cs="宋体"/>
                <w:color w:val="auto"/>
                <w:sz w:val="22"/>
                <w:szCs w:val="22"/>
                <w:highlight w:val="none"/>
              </w:rPr>
              <w:t>0.0055</w:t>
            </w:r>
          </w:p>
        </w:tc>
        <w:tc>
          <w:tcPr>
            <w:tcW w:w="1391" w:type="dxa"/>
            <w:shd w:val="clear" w:color="auto" w:fill="auto"/>
            <w:vAlign w:val="center"/>
          </w:tcPr>
          <w:p w14:paraId="71B593ED">
            <w:pPr>
              <w:spacing w:line="360" w:lineRule="exact"/>
              <w:jc w:val="center"/>
              <w:rPr>
                <w:rFonts w:hint="eastAsia" w:ascii="宋体" w:hAnsi="宋体" w:cs="宋体"/>
                <w:b/>
                <w:bCs/>
                <w:color w:val="auto"/>
                <w:sz w:val="24"/>
                <w:highlight w:val="none"/>
              </w:rPr>
            </w:pPr>
            <w:r>
              <w:rPr>
                <w:rFonts w:hint="eastAsia" w:ascii="宋体" w:hAnsi="宋体" w:cs="宋体"/>
                <w:color w:val="auto"/>
                <w:sz w:val="22"/>
                <w:szCs w:val="22"/>
                <w:highlight w:val="none"/>
              </w:rPr>
              <w:t>4.477</w:t>
            </w:r>
          </w:p>
        </w:tc>
      </w:tr>
      <w:tr w14:paraId="0EF8C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416" w:type="dxa"/>
            <w:shd w:val="clear" w:color="auto" w:fill="auto"/>
            <w:vAlign w:val="center"/>
          </w:tcPr>
          <w:p w14:paraId="22B48065">
            <w:pPr>
              <w:spacing w:line="400" w:lineRule="exact"/>
              <w:jc w:val="center"/>
              <w:rPr>
                <w:rFonts w:hint="eastAsia" w:ascii="宋体" w:hAnsi="宋体" w:cs="宋体"/>
                <w:color w:val="auto"/>
                <w:sz w:val="24"/>
                <w:highlight w:val="none"/>
              </w:rPr>
            </w:pPr>
            <w:r>
              <w:rPr>
                <w:rFonts w:hint="eastAsia" w:ascii="宋体" w:hAnsi="宋体" w:cs="宋体"/>
                <w:color w:val="auto"/>
                <w:sz w:val="20"/>
                <w:szCs w:val="20"/>
                <w:highlight w:val="none"/>
              </w:rPr>
              <w:t>15</w:t>
            </w:r>
          </w:p>
        </w:tc>
        <w:tc>
          <w:tcPr>
            <w:tcW w:w="1247" w:type="dxa"/>
            <w:shd w:val="clear" w:color="auto" w:fill="auto"/>
            <w:vAlign w:val="center"/>
          </w:tcPr>
          <w:p w14:paraId="0B3F84E4">
            <w:pPr>
              <w:spacing w:line="400" w:lineRule="exact"/>
              <w:jc w:val="center"/>
              <w:rPr>
                <w:rFonts w:hint="eastAsia" w:ascii="宋体" w:hAnsi="宋体" w:cs="宋体"/>
                <w:color w:val="auto"/>
                <w:kern w:val="0"/>
                <w:sz w:val="24"/>
                <w:highlight w:val="none"/>
              </w:rPr>
            </w:pPr>
            <w:r>
              <w:rPr>
                <w:rFonts w:hint="eastAsia" w:ascii="宋体" w:hAnsi="宋体" w:cs="宋体"/>
                <w:color w:val="auto"/>
                <w:highlight w:val="none"/>
              </w:rPr>
              <w:t>ONU供电线缆</w:t>
            </w:r>
          </w:p>
        </w:tc>
        <w:tc>
          <w:tcPr>
            <w:tcW w:w="690" w:type="dxa"/>
            <w:shd w:val="clear" w:color="000000" w:fill="FFFFFF"/>
            <w:vAlign w:val="center"/>
          </w:tcPr>
          <w:p w14:paraId="1A7A40EA">
            <w:pPr>
              <w:spacing w:line="400" w:lineRule="exact"/>
              <w:jc w:val="center"/>
              <w:rPr>
                <w:rFonts w:hint="eastAsia" w:ascii="宋体" w:hAnsi="宋体" w:cs="宋体"/>
                <w:color w:val="auto"/>
                <w:highlight w:val="none"/>
              </w:rPr>
            </w:pPr>
            <w:r>
              <w:rPr>
                <w:rFonts w:hint="eastAsia" w:ascii="宋体" w:hAnsi="宋体" w:cs="宋体"/>
                <w:color w:val="auto"/>
                <w:highlight w:val="none"/>
              </w:rPr>
              <w:t>3900</w:t>
            </w:r>
          </w:p>
        </w:tc>
        <w:tc>
          <w:tcPr>
            <w:tcW w:w="540" w:type="dxa"/>
            <w:shd w:val="clear" w:color="000000" w:fill="FFFFFF"/>
            <w:vAlign w:val="center"/>
          </w:tcPr>
          <w:p w14:paraId="52F6FC01">
            <w:pPr>
              <w:spacing w:line="400" w:lineRule="exact"/>
              <w:jc w:val="center"/>
              <w:rPr>
                <w:rFonts w:hint="eastAsia" w:ascii="宋体" w:hAnsi="宋体" w:cs="宋体"/>
                <w:color w:val="auto"/>
                <w:highlight w:val="none"/>
              </w:rPr>
            </w:pPr>
            <w:r>
              <w:rPr>
                <w:rFonts w:hint="eastAsia" w:ascii="宋体" w:hAnsi="宋体" w:cs="宋体"/>
                <w:color w:val="auto"/>
                <w:highlight w:val="none"/>
              </w:rPr>
              <w:t>米</w:t>
            </w:r>
          </w:p>
        </w:tc>
        <w:tc>
          <w:tcPr>
            <w:tcW w:w="4395" w:type="dxa"/>
            <w:shd w:val="clear" w:color="000000" w:fill="FFFFFF"/>
            <w:vAlign w:val="center"/>
          </w:tcPr>
          <w:p w14:paraId="7E243769">
            <w:pPr>
              <w:adjustRightInd w:val="0"/>
              <w:snapToGrid w:val="0"/>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1、RVV2*0.5mm²线缆</w:t>
            </w:r>
          </w:p>
        </w:tc>
        <w:tc>
          <w:tcPr>
            <w:tcW w:w="1275" w:type="dxa"/>
            <w:shd w:val="clear" w:color="auto" w:fill="auto"/>
            <w:vAlign w:val="center"/>
          </w:tcPr>
          <w:p w14:paraId="7F7476B8">
            <w:pPr>
              <w:spacing w:line="360" w:lineRule="exact"/>
              <w:jc w:val="center"/>
              <w:rPr>
                <w:rFonts w:hint="eastAsia" w:ascii="宋体" w:hAnsi="宋体" w:cs="宋体"/>
                <w:b/>
                <w:bCs/>
                <w:color w:val="auto"/>
                <w:sz w:val="24"/>
                <w:highlight w:val="none"/>
              </w:rPr>
            </w:pPr>
            <w:r>
              <w:rPr>
                <w:rFonts w:hint="eastAsia" w:ascii="宋体" w:hAnsi="宋体" w:cs="宋体"/>
                <w:color w:val="auto"/>
                <w:sz w:val="22"/>
                <w:szCs w:val="22"/>
                <w:highlight w:val="none"/>
              </w:rPr>
              <w:t>0.00036</w:t>
            </w:r>
          </w:p>
        </w:tc>
        <w:tc>
          <w:tcPr>
            <w:tcW w:w="1391" w:type="dxa"/>
            <w:shd w:val="clear" w:color="auto" w:fill="auto"/>
            <w:vAlign w:val="center"/>
          </w:tcPr>
          <w:p w14:paraId="335964DD">
            <w:pPr>
              <w:spacing w:line="360" w:lineRule="exact"/>
              <w:jc w:val="center"/>
              <w:rPr>
                <w:rFonts w:hint="eastAsia" w:ascii="宋体" w:hAnsi="宋体" w:cs="宋体"/>
                <w:b/>
                <w:bCs/>
                <w:color w:val="auto"/>
                <w:sz w:val="24"/>
                <w:highlight w:val="none"/>
              </w:rPr>
            </w:pPr>
            <w:r>
              <w:rPr>
                <w:rFonts w:hint="eastAsia" w:ascii="宋体" w:hAnsi="宋体" w:cs="宋体"/>
                <w:color w:val="auto"/>
                <w:sz w:val="22"/>
                <w:szCs w:val="22"/>
                <w:highlight w:val="none"/>
              </w:rPr>
              <w:t>1.404</w:t>
            </w:r>
          </w:p>
        </w:tc>
      </w:tr>
      <w:tr w14:paraId="415C2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416" w:type="dxa"/>
            <w:shd w:val="clear" w:color="auto" w:fill="auto"/>
            <w:vAlign w:val="center"/>
          </w:tcPr>
          <w:p w14:paraId="654BF331">
            <w:pPr>
              <w:spacing w:line="400" w:lineRule="exact"/>
              <w:jc w:val="center"/>
              <w:rPr>
                <w:rFonts w:hint="eastAsia" w:ascii="宋体" w:hAnsi="宋体" w:cs="宋体"/>
                <w:color w:val="auto"/>
                <w:sz w:val="24"/>
                <w:highlight w:val="none"/>
              </w:rPr>
            </w:pPr>
            <w:r>
              <w:rPr>
                <w:rFonts w:hint="eastAsia" w:ascii="宋体" w:hAnsi="宋体" w:cs="宋体"/>
                <w:color w:val="auto"/>
                <w:sz w:val="20"/>
                <w:szCs w:val="20"/>
                <w:highlight w:val="none"/>
              </w:rPr>
              <w:t>16</w:t>
            </w:r>
          </w:p>
        </w:tc>
        <w:tc>
          <w:tcPr>
            <w:tcW w:w="1247" w:type="dxa"/>
            <w:shd w:val="clear" w:color="auto" w:fill="auto"/>
            <w:vAlign w:val="center"/>
          </w:tcPr>
          <w:p w14:paraId="524E1DA8">
            <w:pPr>
              <w:spacing w:line="400" w:lineRule="exact"/>
              <w:jc w:val="center"/>
              <w:rPr>
                <w:rFonts w:hint="eastAsia" w:ascii="宋体" w:hAnsi="宋体" w:cs="宋体"/>
                <w:color w:val="auto"/>
                <w:kern w:val="0"/>
                <w:sz w:val="24"/>
                <w:highlight w:val="none"/>
              </w:rPr>
            </w:pPr>
            <w:r>
              <w:rPr>
                <w:rFonts w:hint="eastAsia" w:ascii="宋体" w:hAnsi="宋体" w:cs="宋体"/>
                <w:color w:val="auto"/>
                <w:highlight w:val="none"/>
              </w:rPr>
              <w:t>光纤测试</w:t>
            </w:r>
          </w:p>
        </w:tc>
        <w:tc>
          <w:tcPr>
            <w:tcW w:w="690" w:type="dxa"/>
            <w:shd w:val="clear" w:color="000000" w:fill="FFFFFF"/>
            <w:vAlign w:val="center"/>
          </w:tcPr>
          <w:p w14:paraId="7D5EA611">
            <w:pPr>
              <w:spacing w:line="400" w:lineRule="exact"/>
              <w:jc w:val="center"/>
              <w:rPr>
                <w:rFonts w:hint="eastAsia" w:ascii="宋体" w:hAnsi="宋体" w:cs="宋体"/>
                <w:color w:val="auto"/>
                <w:highlight w:val="none"/>
              </w:rPr>
            </w:pPr>
            <w:r>
              <w:rPr>
                <w:rFonts w:hint="eastAsia" w:ascii="宋体" w:hAnsi="宋体" w:cs="宋体"/>
                <w:color w:val="auto"/>
                <w:highlight w:val="none"/>
              </w:rPr>
              <w:t>1204</w:t>
            </w:r>
          </w:p>
        </w:tc>
        <w:tc>
          <w:tcPr>
            <w:tcW w:w="540" w:type="dxa"/>
            <w:shd w:val="clear" w:color="000000" w:fill="FFFFFF"/>
            <w:vAlign w:val="center"/>
          </w:tcPr>
          <w:p w14:paraId="2874FC17">
            <w:pPr>
              <w:spacing w:line="400" w:lineRule="exact"/>
              <w:jc w:val="center"/>
              <w:rPr>
                <w:rFonts w:hint="eastAsia" w:ascii="宋体" w:hAnsi="宋体" w:cs="宋体"/>
                <w:color w:val="auto"/>
                <w:highlight w:val="none"/>
              </w:rPr>
            </w:pPr>
            <w:r>
              <w:rPr>
                <w:rFonts w:hint="eastAsia" w:ascii="宋体" w:hAnsi="宋体" w:cs="宋体"/>
                <w:color w:val="auto"/>
                <w:highlight w:val="none"/>
              </w:rPr>
              <w:t>链路</w:t>
            </w:r>
          </w:p>
        </w:tc>
        <w:tc>
          <w:tcPr>
            <w:tcW w:w="4395" w:type="dxa"/>
            <w:shd w:val="clear" w:color="000000" w:fill="FFFFFF"/>
            <w:vAlign w:val="center"/>
          </w:tcPr>
          <w:p w14:paraId="7262722A">
            <w:pPr>
              <w:adjustRightInd w:val="0"/>
              <w:snapToGrid w:val="0"/>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1、对光纤链路采用专业仪器（如OTDR）进行测试，并提供测试报告。</w:t>
            </w:r>
          </w:p>
        </w:tc>
        <w:tc>
          <w:tcPr>
            <w:tcW w:w="1275" w:type="dxa"/>
            <w:shd w:val="clear" w:color="auto" w:fill="auto"/>
            <w:vAlign w:val="center"/>
          </w:tcPr>
          <w:p w14:paraId="69D4C5C0">
            <w:pPr>
              <w:spacing w:line="360" w:lineRule="exact"/>
              <w:jc w:val="center"/>
              <w:rPr>
                <w:rFonts w:hint="eastAsia" w:ascii="宋体" w:hAnsi="宋体" w:cs="宋体"/>
                <w:b/>
                <w:bCs/>
                <w:color w:val="auto"/>
                <w:sz w:val="24"/>
                <w:highlight w:val="none"/>
              </w:rPr>
            </w:pPr>
            <w:r>
              <w:rPr>
                <w:rFonts w:hint="eastAsia" w:ascii="宋体" w:hAnsi="宋体" w:cs="宋体"/>
                <w:color w:val="auto"/>
                <w:sz w:val="22"/>
                <w:szCs w:val="22"/>
                <w:highlight w:val="none"/>
              </w:rPr>
              <w:t>0.0015</w:t>
            </w:r>
          </w:p>
        </w:tc>
        <w:tc>
          <w:tcPr>
            <w:tcW w:w="1391" w:type="dxa"/>
            <w:shd w:val="clear" w:color="auto" w:fill="auto"/>
            <w:vAlign w:val="center"/>
          </w:tcPr>
          <w:p w14:paraId="2508120C">
            <w:pPr>
              <w:spacing w:line="360" w:lineRule="exact"/>
              <w:jc w:val="center"/>
              <w:rPr>
                <w:rFonts w:hint="eastAsia" w:ascii="宋体" w:hAnsi="宋体" w:cs="宋体"/>
                <w:b/>
                <w:bCs/>
                <w:color w:val="auto"/>
                <w:sz w:val="24"/>
                <w:highlight w:val="none"/>
              </w:rPr>
            </w:pPr>
            <w:r>
              <w:rPr>
                <w:rFonts w:hint="eastAsia" w:ascii="宋体" w:hAnsi="宋体" w:cs="宋体"/>
                <w:color w:val="auto"/>
                <w:sz w:val="22"/>
                <w:szCs w:val="22"/>
                <w:highlight w:val="none"/>
              </w:rPr>
              <w:t>1.806</w:t>
            </w:r>
          </w:p>
        </w:tc>
      </w:tr>
      <w:tr w14:paraId="18B39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416" w:type="dxa"/>
            <w:shd w:val="clear" w:color="auto" w:fill="auto"/>
            <w:vAlign w:val="center"/>
          </w:tcPr>
          <w:p w14:paraId="35C8083E">
            <w:pPr>
              <w:spacing w:line="400" w:lineRule="exact"/>
              <w:jc w:val="center"/>
              <w:rPr>
                <w:rFonts w:hint="eastAsia" w:ascii="宋体" w:hAnsi="宋体" w:cs="宋体"/>
                <w:color w:val="auto"/>
                <w:sz w:val="24"/>
                <w:highlight w:val="none"/>
              </w:rPr>
            </w:pPr>
            <w:r>
              <w:rPr>
                <w:rFonts w:hint="eastAsia" w:ascii="宋体" w:hAnsi="宋体" w:cs="宋体"/>
                <w:color w:val="auto"/>
                <w:sz w:val="20"/>
                <w:szCs w:val="20"/>
                <w:highlight w:val="none"/>
              </w:rPr>
              <w:t>17</w:t>
            </w:r>
          </w:p>
        </w:tc>
        <w:tc>
          <w:tcPr>
            <w:tcW w:w="1247" w:type="dxa"/>
            <w:shd w:val="clear" w:color="auto" w:fill="auto"/>
            <w:vAlign w:val="center"/>
          </w:tcPr>
          <w:p w14:paraId="6D5E14D6">
            <w:pPr>
              <w:spacing w:line="400" w:lineRule="exact"/>
              <w:jc w:val="center"/>
              <w:rPr>
                <w:rFonts w:hint="eastAsia" w:ascii="宋体" w:hAnsi="宋体" w:cs="宋体"/>
                <w:color w:val="auto"/>
                <w:kern w:val="0"/>
                <w:sz w:val="24"/>
                <w:highlight w:val="none"/>
              </w:rPr>
            </w:pPr>
            <w:r>
              <w:rPr>
                <w:rFonts w:hint="eastAsia" w:ascii="宋体" w:hAnsi="宋体" w:cs="宋体"/>
                <w:color w:val="auto"/>
                <w:highlight w:val="none"/>
              </w:rPr>
              <w:t>六类网线</w:t>
            </w:r>
          </w:p>
        </w:tc>
        <w:tc>
          <w:tcPr>
            <w:tcW w:w="690" w:type="dxa"/>
            <w:shd w:val="clear" w:color="000000" w:fill="FFFFFF"/>
            <w:vAlign w:val="center"/>
          </w:tcPr>
          <w:p w14:paraId="018741CE">
            <w:pPr>
              <w:spacing w:line="400" w:lineRule="exact"/>
              <w:jc w:val="center"/>
              <w:rPr>
                <w:rFonts w:hint="eastAsia" w:ascii="宋体" w:hAnsi="宋体" w:cs="宋体"/>
                <w:color w:val="auto"/>
                <w:highlight w:val="none"/>
              </w:rPr>
            </w:pPr>
            <w:r>
              <w:rPr>
                <w:rFonts w:hint="eastAsia" w:ascii="宋体" w:hAnsi="宋体" w:cs="宋体"/>
                <w:color w:val="auto"/>
                <w:highlight w:val="none"/>
              </w:rPr>
              <w:t>34</w:t>
            </w:r>
          </w:p>
        </w:tc>
        <w:tc>
          <w:tcPr>
            <w:tcW w:w="540" w:type="dxa"/>
            <w:shd w:val="clear" w:color="000000" w:fill="FFFFFF"/>
            <w:vAlign w:val="center"/>
          </w:tcPr>
          <w:p w14:paraId="41FA28FB">
            <w:pPr>
              <w:spacing w:line="400" w:lineRule="exact"/>
              <w:jc w:val="center"/>
              <w:rPr>
                <w:rFonts w:hint="eastAsia" w:ascii="宋体" w:hAnsi="宋体" w:cs="宋体"/>
                <w:color w:val="auto"/>
                <w:highlight w:val="none"/>
              </w:rPr>
            </w:pPr>
            <w:r>
              <w:rPr>
                <w:rFonts w:hint="eastAsia" w:ascii="宋体" w:hAnsi="宋体" w:cs="宋体"/>
                <w:color w:val="auto"/>
                <w:highlight w:val="none"/>
              </w:rPr>
              <w:t>箱</w:t>
            </w:r>
          </w:p>
        </w:tc>
        <w:tc>
          <w:tcPr>
            <w:tcW w:w="4395" w:type="dxa"/>
            <w:shd w:val="clear" w:color="000000" w:fill="FFFFFF"/>
            <w:vAlign w:val="center"/>
          </w:tcPr>
          <w:p w14:paraId="2D50B2DB">
            <w:pPr>
              <w:adjustRightInd w:val="0"/>
              <w:snapToGrid w:val="0"/>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1、非屏蔽带十字骨架双绞线,长度≥305米/箱。兼容所有Cat.6非屏蔽系统，符合‌YD/T 1019-2023‌、GB/T 18233.1</w:t>
            </w:r>
            <w:r>
              <w:rPr>
                <w:rFonts w:hint="eastAsia" w:ascii="宋体" w:hAnsi="宋体" w:cs="宋体"/>
                <w:color w:val="auto"/>
                <w:szCs w:val="21"/>
                <w:highlight w:val="none"/>
              </w:rPr>
              <w:noBreakHyphen/>
            </w:r>
            <w:r>
              <w:rPr>
                <w:rFonts w:hint="eastAsia" w:ascii="宋体" w:hAnsi="宋体" w:cs="宋体"/>
                <w:color w:val="auto"/>
                <w:szCs w:val="21"/>
                <w:highlight w:val="none"/>
              </w:rPr>
              <w:t>2022标准；</w:t>
            </w:r>
            <w:r>
              <w:rPr>
                <w:rFonts w:hint="eastAsia" w:ascii="宋体" w:hAnsi="宋体" w:cs="宋体"/>
                <w:color w:val="auto"/>
                <w:szCs w:val="21"/>
                <w:highlight w:val="none"/>
              </w:rPr>
              <w:br w:type="textWrapping"/>
            </w:r>
            <w:r>
              <w:rPr>
                <w:rFonts w:hint="eastAsia" w:ascii="宋体" w:hAnsi="宋体" w:cs="宋体"/>
                <w:color w:val="auto"/>
                <w:szCs w:val="21"/>
                <w:highlight w:val="none"/>
              </w:rPr>
              <w:t>2、环路电阻（20℃时）：≤ 176Ω/km  容抗：54nF/100m  阻抗：100±15Ω；</w:t>
            </w:r>
            <w:r>
              <w:rPr>
                <w:rFonts w:hint="eastAsia" w:ascii="宋体" w:hAnsi="宋体" w:cs="宋体"/>
                <w:color w:val="auto"/>
                <w:szCs w:val="21"/>
                <w:highlight w:val="none"/>
              </w:rPr>
              <w:br w:type="textWrapping"/>
            </w:r>
            <w:r>
              <w:rPr>
                <w:rFonts w:hint="eastAsia" w:ascii="宋体" w:hAnsi="宋体" w:cs="宋体"/>
                <w:color w:val="auto"/>
                <w:szCs w:val="21"/>
                <w:highlight w:val="none"/>
              </w:rPr>
              <w:t>3、线缆带宽达到250Mhz；</w:t>
            </w:r>
            <w:r>
              <w:rPr>
                <w:rFonts w:hint="eastAsia" w:ascii="宋体" w:hAnsi="宋体" w:cs="宋体"/>
                <w:color w:val="auto"/>
                <w:szCs w:val="21"/>
                <w:highlight w:val="none"/>
              </w:rPr>
              <w:br w:type="textWrapping"/>
            </w:r>
            <w:r>
              <w:rPr>
                <w:rFonts w:hint="eastAsia" w:ascii="宋体" w:hAnsi="宋体" w:cs="宋体"/>
                <w:color w:val="auto"/>
                <w:szCs w:val="21"/>
                <w:highlight w:val="none"/>
              </w:rPr>
              <w:t>4、弯曲半径：固定时≥48mm，牵引时≥22.5mm，拉伸强度≤93N；</w:t>
            </w:r>
            <w:r>
              <w:rPr>
                <w:rFonts w:hint="eastAsia" w:ascii="宋体" w:hAnsi="宋体" w:cs="宋体"/>
                <w:color w:val="auto"/>
                <w:szCs w:val="21"/>
                <w:highlight w:val="none"/>
              </w:rPr>
              <w:br w:type="textWrapping"/>
            </w:r>
            <w:r>
              <w:rPr>
                <w:rFonts w:hint="eastAsia" w:ascii="宋体" w:hAnsi="宋体" w:cs="宋体"/>
                <w:color w:val="auto"/>
                <w:szCs w:val="21"/>
                <w:highlight w:val="none"/>
              </w:rPr>
              <w:t>5、烟密度：符合GB/T 18380.12</w:t>
            </w:r>
            <w:r>
              <w:rPr>
                <w:rFonts w:hint="eastAsia" w:ascii="宋体" w:hAnsi="宋体" w:cs="宋体"/>
                <w:color w:val="auto"/>
                <w:szCs w:val="21"/>
                <w:highlight w:val="none"/>
              </w:rPr>
              <w:noBreakHyphen/>
            </w:r>
            <w:r>
              <w:rPr>
                <w:rFonts w:hint="eastAsia" w:ascii="宋体" w:hAnsi="宋体" w:cs="宋体"/>
                <w:color w:val="auto"/>
                <w:szCs w:val="21"/>
                <w:highlight w:val="none"/>
              </w:rPr>
              <w:t>2022标准，燃烧性能：符合GB/T 18380.12</w:t>
            </w:r>
            <w:r>
              <w:rPr>
                <w:rFonts w:hint="eastAsia" w:ascii="宋体" w:hAnsi="宋体" w:cs="宋体"/>
                <w:color w:val="auto"/>
                <w:szCs w:val="21"/>
                <w:highlight w:val="none"/>
              </w:rPr>
              <w:noBreakHyphen/>
            </w:r>
            <w:r>
              <w:rPr>
                <w:rFonts w:hint="eastAsia" w:ascii="宋体" w:hAnsi="宋体" w:cs="宋体"/>
                <w:color w:val="auto"/>
                <w:szCs w:val="21"/>
                <w:highlight w:val="none"/>
              </w:rPr>
              <w:t>2022标准；</w:t>
            </w:r>
            <w:r>
              <w:rPr>
                <w:rFonts w:hint="eastAsia" w:ascii="宋体" w:hAnsi="宋体" w:cs="宋体"/>
                <w:color w:val="auto"/>
                <w:szCs w:val="21"/>
                <w:highlight w:val="none"/>
              </w:rPr>
              <w:br w:type="textWrapping"/>
            </w:r>
            <w:r>
              <w:rPr>
                <w:rFonts w:hint="eastAsia" w:ascii="宋体" w:hAnsi="宋体" w:cs="宋体"/>
                <w:color w:val="auto"/>
                <w:szCs w:val="21"/>
                <w:highlight w:val="none"/>
              </w:rPr>
              <w:t>6、温度范围：安装时：0℃-+50℃，工作时：-20℃-+60℃；</w:t>
            </w:r>
            <w:r>
              <w:rPr>
                <w:rFonts w:hint="eastAsia" w:ascii="宋体" w:hAnsi="宋体" w:cs="宋体"/>
                <w:color w:val="auto"/>
                <w:szCs w:val="21"/>
                <w:highlight w:val="none"/>
              </w:rPr>
              <w:br w:type="textWrapping"/>
            </w:r>
            <w:r>
              <w:rPr>
                <w:rFonts w:hint="eastAsia" w:ascii="宋体" w:hAnsi="宋体" w:cs="宋体"/>
                <w:color w:val="auto"/>
                <w:szCs w:val="21"/>
                <w:highlight w:val="none"/>
              </w:rPr>
              <w:t>7、导线尺寸：约(n*n*AWG) 4×2×23AWG，环路电阻（20℃时）：≤155Ω/km，容抗：≤50pF/m ，阻抗：100±15Ω；</w:t>
            </w:r>
            <w:r>
              <w:rPr>
                <w:rFonts w:hint="eastAsia" w:ascii="宋体" w:hAnsi="宋体" w:cs="宋体"/>
                <w:color w:val="auto"/>
                <w:szCs w:val="21"/>
                <w:highlight w:val="none"/>
              </w:rPr>
              <w:br w:type="textWrapping"/>
            </w:r>
            <w:r>
              <w:rPr>
                <w:rFonts w:hint="eastAsia" w:ascii="宋体" w:hAnsi="宋体" w:cs="宋体"/>
                <w:color w:val="auto"/>
                <w:szCs w:val="21"/>
                <w:highlight w:val="none"/>
              </w:rPr>
              <w:t>8、芯线直径：≥0.53mm；外径：≥6mm。</w:t>
            </w:r>
            <w:r>
              <w:rPr>
                <w:rFonts w:hint="eastAsia" w:ascii="宋体" w:hAnsi="宋体" w:cs="宋体"/>
                <w:color w:val="auto"/>
                <w:szCs w:val="21"/>
                <w:highlight w:val="none"/>
              </w:rPr>
              <w:br w:type="textWrapping"/>
            </w:r>
            <w:r>
              <w:rPr>
                <w:rFonts w:hint="eastAsia" w:ascii="宋体" w:hAnsi="宋体" w:cs="宋体"/>
                <w:color w:val="auto"/>
                <w:szCs w:val="21"/>
                <w:highlight w:val="none"/>
              </w:rPr>
              <w:t>▲9、产品通过六类非屏蔽性能、六类非屏蔽连接信道、六类非屏蔽燃烧测试性能等测试。</w:t>
            </w:r>
          </w:p>
        </w:tc>
        <w:tc>
          <w:tcPr>
            <w:tcW w:w="1275" w:type="dxa"/>
            <w:shd w:val="clear" w:color="auto" w:fill="auto"/>
            <w:vAlign w:val="center"/>
          </w:tcPr>
          <w:p w14:paraId="36B0FB16">
            <w:pPr>
              <w:spacing w:line="360" w:lineRule="exact"/>
              <w:jc w:val="center"/>
              <w:rPr>
                <w:rFonts w:hint="eastAsia" w:ascii="宋体" w:hAnsi="宋体" w:cs="宋体"/>
                <w:b/>
                <w:bCs/>
                <w:color w:val="auto"/>
                <w:sz w:val="24"/>
                <w:highlight w:val="none"/>
              </w:rPr>
            </w:pPr>
            <w:r>
              <w:rPr>
                <w:rFonts w:hint="eastAsia" w:ascii="宋体" w:hAnsi="宋体" w:cs="宋体"/>
                <w:color w:val="auto"/>
                <w:sz w:val="22"/>
                <w:szCs w:val="22"/>
                <w:highlight w:val="none"/>
              </w:rPr>
              <w:t>0.118</w:t>
            </w:r>
          </w:p>
        </w:tc>
        <w:tc>
          <w:tcPr>
            <w:tcW w:w="1391" w:type="dxa"/>
            <w:shd w:val="clear" w:color="auto" w:fill="auto"/>
            <w:vAlign w:val="center"/>
          </w:tcPr>
          <w:p w14:paraId="135FFE6F">
            <w:pPr>
              <w:spacing w:line="360" w:lineRule="exact"/>
              <w:jc w:val="center"/>
              <w:rPr>
                <w:rFonts w:hint="eastAsia" w:ascii="宋体" w:hAnsi="宋体" w:cs="宋体"/>
                <w:b/>
                <w:bCs/>
                <w:color w:val="auto"/>
                <w:sz w:val="24"/>
                <w:highlight w:val="none"/>
              </w:rPr>
            </w:pPr>
            <w:r>
              <w:rPr>
                <w:rFonts w:hint="eastAsia" w:ascii="宋体" w:hAnsi="宋体" w:cs="宋体"/>
                <w:color w:val="auto"/>
                <w:sz w:val="22"/>
                <w:szCs w:val="22"/>
                <w:highlight w:val="none"/>
              </w:rPr>
              <w:t>4.012</w:t>
            </w:r>
          </w:p>
        </w:tc>
      </w:tr>
      <w:tr w14:paraId="4B19E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416" w:type="dxa"/>
            <w:shd w:val="clear" w:color="auto" w:fill="auto"/>
            <w:vAlign w:val="center"/>
          </w:tcPr>
          <w:p w14:paraId="08170713">
            <w:pPr>
              <w:spacing w:line="400" w:lineRule="exact"/>
              <w:jc w:val="center"/>
              <w:rPr>
                <w:rFonts w:hint="eastAsia" w:ascii="宋体" w:hAnsi="宋体" w:cs="宋体"/>
                <w:color w:val="auto"/>
                <w:sz w:val="24"/>
                <w:highlight w:val="none"/>
              </w:rPr>
            </w:pPr>
            <w:r>
              <w:rPr>
                <w:rFonts w:hint="eastAsia" w:ascii="宋体" w:hAnsi="宋体" w:cs="宋体"/>
                <w:color w:val="auto"/>
                <w:sz w:val="20"/>
                <w:szCs w:val="20"/>
                <w:highlight w:val="none"/>
              </w:rPr>
              <w:t>18</w:t>
            </w:r>
          </w:p>
        </w:tc>
        <w:tc>
          <w:tcPr>
            <w:tcW w:w="1247" w:type="dxa"/>
            <w:shd w:val="clear" w:color="auto" w:fill="auto"/>
            <w:vAlign w:val="center"/>
          </w:tcPr>
          <w:p w14:paraId="1C12047D">
            <w:pPr>
              <w:spacing w:line="400" w:lineRule="exact"/>
              <w:jc w:val="center"/>
              <w:rPr>
                <w:rFonts w:hint="eastAsia" w:ascii="宋体" w:hAnsi="宋体" w:cs="宋体"/>
                <w:color w:val="auto"/>
                <w:kern w:val="0"/>
                <w:sz w:val="24"/>
                <w:highlight w:val="none"/>
              </w:rPr>
            </w:pPr>
            <w:r>
              <w:rPr>
                <w:rFonts w:hint="eastAsia" w:ascii="宋体" w:hAnsi="宋体" w:cs="宋体"/>
                <w:color w:val="auto"/>
                <w:highlight w:val="none"/>
              </w:rPr>
              <w:t>光纤熔接</w:t>
            </w:r>
          </w:p>
        </w:tc>
        <w:tc>
          <w:tcPr>
            <w:tcW w:w="690" w:type="dxa"/>
            <w:shd w:val="clear" w:color="000000" w:fill="FFFFFF"/>
            <w:vAlign w:val="center"/>
          </w:tcPr>
          <w:p w14:paraId="18F5927B">
            <w:pPr>
              <w:spacing w:line="400" w:lineRule="exact"/>
              <w:jc w:val="center"/>
              <w:rPr>
                <w:rFonts w:hint="eastAsia" w:ascii="宋体" w:hAnsi="宋体" w:cs="宋体"/>
                <w:color w:val="auto"/>
                <w:highlight w:val="none"/>
              </w:rPr>
            </w:pPr>
            <w:r>
              <w:rPr>
                <w:rFonts w:hint="eastAsia" w:ascii="宋体" w:hAnsi="宋体" w:cs="宋体"/>
                <w:color w:val="auto"/>
                <w:highlight w:val="none"/>
              </w:rPr>
              <w:t>2388</w:t>
            </w:r>
          </w:p>
        </w:tc>
        <w:tc>
          <w:tcPr>
            <w:tcW w:w="540" w:type="dxa"/>
            <w:shd w:val="clear" w:color="000000" w:fill="FFFFFF"/>
            <w:vAlign w:val="center"/>
          </w:tcPr>
          <w:p w14:paraId="1CC22350">
            <w:pPr>
              <w:spacing w:line="400" w:lineRule="exact"/>
              <w:jc w:val="center"/>
              <w:rPr>
                <w:rFonts w:hint="eastAsia" w:ascii="宋体" w:hAnsi="宋体" w:cs="宋体"/>
                <w:color w:val="auto"/>
                <w:highlight w:val="none"/>
              </w:rPr>
            </w:pPr>
            <w:r>
              <w:rPr>
                <w:rFonts w:hint="eastAsia" w:ascii="宋体" w:hAnsi="宋体" w:cs="宋体"/>
                <w:color w:val="auto"/>
                <w:highlight w:val="none"/>
              </w:rPr>
              <w:t>芯</w:t>
            </w:r>
          </w:p>
        </w:tc>
        <w:tc>
          <w:tcPr>
            <w:tcW w:w="4395" w:type="dxa"/>
            <w:shd w:val="clear" w:color="000000" w:fill="FFFFFF"/>
            <w:vAlign w:val="center"/>
          </w:tcPr>
          <w:p w14:paraId="04321DBD">
            <w:pPr>
              <w:adjustRightInd w:val="0"/>
              <w:snapToGrid w:val="0"/>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1、光纤熔接，含所需的辅材。</w:t>
            </w:r>
          </w:p>
        </w:tc>
        <w:tc>
          <w:tcPr>
            <w:tcW w:w="1275" w:type="dxa"/>
            <w:shd w:val="clear" w:color="auto" w:fill="auto"/>
            <w:vAlign w:val="center"/>
          </w:tcPr>
          <w:p w14:paraId="61930A05">
            <w:pPr>
              <w:spacing w:line="360" w:lineRule="exact"/>
              <w:jc w:val="center"/>
              <w:rPr>
                <w:rFonts w:hint="eastAsia" w:ascii="宋体" w:hAnsi="宋体" w:cs="宋体"/>
                <w:b/>
                <w:bCs/>
                <w:color w:val="auto"/>
                <w:sz w:val="24"/>
                <w:highlight w:val="none"/>
              </w:rPr>
            </w:pPr>
            <w:r>
              <w:rPr>
                <w:rFonts w:hint="eastAsia" w:ascii="宋体" w:hAnsi="宋体" w:cs="宋体"/>
                <w:color w:val="auto"/>
                <w:sz w:val="22"/>
                <w:szCs w:val="22"/>
                <w:highlight w:val="none"/>
              </w:rPr>
              <w:t>0.0015</w:t>
            </w:r>
          </w:p>
        </w:tc>
        <w:tc>
          <w:tcPr>
            <w:tcW w:w="1391" w:type="dxa"/>
            <w:shd w:val="clear" w:color="auto" w:fill="auto"/>
            <w:vAlign w:val="center"/>
          </w:tcPr>
          <w:p w14:paraId="697B66DE">
            <w:pPr>
              <w:spacing w:line="360" w:lineRule="exact"/>
              <w:jc w:val="center"/>
              <w:rPr>
                <w:rFonts w:hint="eastAsia" w:ascii="宋体" w:hAnsi="宋体" w:cs="宋体"/>
                <w:b/>
                <w:bCs/>
                <w:color w:val="auto"/>
                <w:sz w:val="24"/>
                <w:highlight w:val="none"/>
              </w:rPr>
            </w:pPr>
            <w:r>
              <w:rPr>
                <w:rFonts w:hint="eastAsia" w:ascii="宋体" w:hAnsi="宋体" w:cs="宋体"/>
                <w:color w:val="auto"/>
                <w:sz w:val="22"/>
                <w:szCs w:val="22"/>
                <w:highlight w:val="none"/>
              </w:rPr>
              <w:t>3.582</w:t>
            </w:r>
          </w:p>
        </w:tc>
      </w:tr>
      <w:tr w14:paraId="1B114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416" w:type="dxa"/>
            <w:shd w:val="clear" w:color="auto" w:fill="auto"/>
            <w:vAlign w:val="center"/>
          </w:tcPr>
          <w:p w14:paraId="4126DA24">
            <w:pPr>
              <w:spacing w:line="400" w:lineRule="exact"/>
              <w:jc w:val="center"/>
              <w:rPr>
                <w:rFonts w:hint="eastAsia" w:ascii="宋体" w:hAnsi="宋体" w:cs="宋体"/>
                <w:color w:val="auto"/>
                <w:sz w:val="24"/>
                <w:highlight w:val="none"/>
              </w:rPr>
            </w:pPr>
            <w:r>
              <w:rPr>
                <w:rFonts w:hint="eastAsia" w:ascii="宋体" w:hAnsi="宋体" w:cs="宋体"/>
                <w:color w:val="auto"/>
                <w:sz w:val="20"/>
                <w:szCs w:val="20"/>
                <w:highlight w:val="none"/>
              </w:rPr>
              <w:t>19</w:t>
            </w:r>
          </w:p>
        </w:tc>
        <w:tc>
          <w:tcPr>
            <w:tcW w:w="1247" w:type="dxa"/>
            <w:shd w:val="clear" w:color="auto" w:fill="auto"/>
            <w:vAlign w:val="center"/>
          </w:tcPr>
          <w:p w14:paraId="296D8A55">
            <w:pPr>
              <w:spacing w:line="400" w:lineRule="exact"/>
              <w:jc w:val="center"/>
              <w:rPr>
                <w:rFonts w:hint="eastAsia" w:ascii="宋体" w:hAnsi="宋体" w:cs="宋体"/>
                <w:color w:val="auto"/>
                <w:kern w:val="0"/>
                <w:sz w:val="24"/>
                <w:highlight w:val="none"/>
              </w:rPr>
            </w:pPr>
            <w:r>
              <w:rPr>
                <w:rFonts w:hint="eastAsia" w:ascii="宋体" w:hAnsi="宋体" w:cs="宋体"/>
                <w:color w:val="auto"/>
                <w:highlight w:val="none"/>
              </w:rPr>
              <w:t>12芯光纤终端盒</w:t>
            </w:r>
          </w:p>
        </w:tc>
        <w:tc>
          <w:tcPr>
            <w:tcW w:w="690" w:type="dxa"/>
            <w:shd w:val="clear" w:color="000000" w:fill="FFFFFF"/>
            <w:vAlign w:val="center"/>
          </w:tcPr>
          <w:p w14:paraId="36647AD1">
            <w:pPr>
              <w:spacing w:line="400" w:lineRule="exact"/>
              <w:jc w:val="center"/>
              <w:rPr>
                <w:rFonts w:hint="eastAsia" w:ascii="宋体" w:hAnsi="宋体" w:cs="宋体"/>
                <w:color w:val="auto"/>
                <w:highlight w:val="none"/>
              </w:rPr>
            </w:pPr>
            <w:r>
              <w:rPr>
                <w:rFonts w:hint="eastAsia" w:ascii="宋体" w:hAnsi="宋体" w:cs="宋体"/>
                <w:color w:val="auto"/>
                <w:highlight w:val="none"/>
              </w:rPr>
              <w:t>3</w:t>
            </w:r>
          </w:p>
        </w:tc>
        <w:tc>
          <w:tcPr>
            <w:tcW w:w="540" w:type="dxa"/>
            <w:shd w:val="clear" w:color="000000" w:fill="FFFFFF"/>
            <w:vAlign w:val="center"/>
          </w:tcPr>
          <w:p w14:paraId="7AB123FA">
            <w:pPr>
              <w:spacing w:line="400" w:lineRule="exact"/>
              <w:jc w:val="center"/>
              <w:rPr>
                <w:rFonts w:hint="eastAsia" w:ascii="宋体" w:hAnsi="宋体" w:cs="宋体"/>
                <w:color w:val="auto"/>
                <w:highlight w:val="none"/>
              </w:rPr>
            </w:pPr>
            <w:r>
              <w:rPr>
                <w:rFonts w:hint="eastAsia" w:ascii="宋体" w:hAnsi="宋体" w:cs="宋体"/>
                <w:color w:val="auto"/>
                <w:highlight w:val="none"/>
              </w:rPr>
              <w:t>个</w:t>
            </w:r>
          </w:p>
        </w:tc>
        <w:tc>
          <w:tcPr>
            <w:tcW w:w="4395" w:type="dxa"/>
            <w:shd w:val="clear" w:color="000000" w:fill="FFFFFF"/>
            <w:vAlign w:val="center"/>
          </w:tcPr>
          <w:p w14:paraId="0F1C4B73">
            <w:pPr>
              <w:adjustRightInd w:val="0"/>
              <w:snapToGrid w:val="0"/>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1、6口12芯终端盒，配6个LC双口耦合器及尾纤。</w:t>
            </w:r>
          </w:p>
        </w:tc>
        <w:tc>
          <w:tcPr>
            <w:tcW w:w="1275" w:type="dxa"/>
            <w:shd w:val="clear" w:color="auto" w:fill="auto"/>
            <w:vAlign w:val="center"/>
          </w:tcPr>
          <w:p w14:paraId="0C476561">
            <w:pPr>
              <w:spacing w:line="360" w:lineRule="exact"/>
              <w:jc w:val="center"/>
              <w:rPr>
                <w:rFonts w:hint="eastAsia" w:ascii="宋体" w:hAnsi="宋体" w:cs="宋体"/>
                <w:b/>
                <w:bCs/>
                <w:color w:val="auto"/>
                <w:sz w:val="24"/>
                <w:highlight w:val="none"/>
              </w:rPr>
            </w:pPr>
            <w:r>
              <w:rPr>
                <w:rFonts w:hint="eastAsia" w:ascii="宋体" w:hAnsi="宋体" w:cs="宋体"/>
                <w:color w:val="auto"/>
                <w:sz w:val="22"/>
                <w:szCs w:val="22"/>
                <w:highlight w:val="none"/>
              </w:rPr>
              <w:t>0.028</w:t>
            </w:r>
          </w:p>
        </w:tc>
        <w:tc>
          <w:tcPr>
            <w:tcW w:w="1391" w:type="dxa"/>
            <w:shd w:val="clear" w:color="auto" w:fill="auto"/>
            <w:vAlign w:val="center"/>
          </w:tcPr>
          <w:p w14:paraId="396C4266">
            <w:pPr>
              <w:spacing w:line="360" w:lineRule="exact"/>
              <w:jc w:val="center"/>
              <w:rPr>
                <w:rFonts w:hint="eastAsia" w:ascii="宋体" w:hAnsi="宋体" w:cs="宋体"/>
                <w:b/>
                <w:bCs/>
                <w:color w:val="auto"/>
                <w:sz w:val="24"/>
                <w:highlight w:val="none"/>
              </w:rPr>
            </w:pPr>
            <w:r>
              <w:rPr>
                <w:rFonts w:hint="eastAsia" w:ascii="宋体" w:hAnsi="宋体" w:cs="宋体"/>
                <w:color w:val="auto"/>
                <w:sz w:val="22"/>
                <w:szCs w:val="22"/>
                <w:highlight w:val="none"/>
              </w:rPr>
              <w:t>0.084</w:t>
            </w:r>
          </w:p>
        </w:tc>
      </w:tr>
      <w:tr w14:paraId="5D41F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416" w:type="dxa"/>
            <w:shd w:val="clear" w:color="auto" w:fill="auto"/>
            <w:vAlign w:val="center"/>
          </w:tcPr>
          <w:p w14:paraId="4E108532">
            <w:pPr>
              <w:spacing w:line="400" w:lineRule="exact"/>
              <w:jc w:val="center"/>
              <w:rPr>
                <w:rFonts w:hint="eastAsia" w:ascii="宋体" w:hAnsi="宋体" w:cs="宋体"/>
                <w:color w:val="auto"/>
                <w:sz w:val="24"/>
                <w:highlight w:val="none"/>
              </w:rPr>
            </w:pPr>
            <w:r>
              <w:rPr>
                <w:rFonts w:hint="eastAsia" w:ascii="宋体" w:hAnsi="宋体" w:cs="宋体"/>
                <w:color w:val="auto"/>
                <w:sz w:val="20"/>
                <w:szCs w:val="20"/>
                <w:highlight w:val="none"/>
              </w:rPr>
              <w:t>20</w:t>
            </w:r>
          </w:p>
        </w:tc>
        <w:tc>
          <w:tcPr>
            <w:tcW w:w="1247" w:type="dxa"/>
            <w:shd w:val="clear" w:color="auto" w:fill="auto"/>
            <w:vAlign w:val="center"/>
          </w:tcPr>
          <w:p w14:paraId="1CDFCDA2">
            <w:pPr>
              <w:spacing w:line="400" w:lineRule="exact"/>
              <w:jc w:val="center"/>
              <w:rPr>
                <w:rFonts w:hint="eastAsia" w:ascii="宋体" w:hAnsi="宋体" w:cs="宋体"/>
                <w:color w:val="auto"/>
                <w:kern w:val="0"/>
                <w:sz w:val="24"/>
                <w:highlight w:val="none"/>
              </w:rPr>
            </w:pPr>
            <w:r>
              <w:rPr>
                <w:rFonts w:hint="eastAsia" w:ascii="宋体" w:hAnsi="宋体" w:cs="宋体"/>
                <w:color w:val="auto"/>
                <w:highlight w:val="none"/>
              </w:rPr>
              <w:t>壁挂机柜</w:t>
            </w:r>
          </w:p>
        </w:tc>
        <w:tc>
          <w:tcPr>
            <w:tcW w:w="690" w:type="dxa"/>
            <w:shd w:val="clear" w:color="000000" w:fill="FFFFFF"/>
            <w:vAlign w:val="center"/>
          </w:tcPr>
          <w:p w14:paraId="5F965D3F">
            <w:pPr>
              <w:spacing w:line="400" w:lineRule="exact"/>
              <w:jc w:val="center"/>
              <w:rPr>
                <w:rFonts w:hint="eastAsia" w:ascii="宋体" w:hAnsi="宋体" w:cs="宋体"/>
                <w:color w:val="auto"/>
                <w:highlight w:val="none"/>
              </w:rPr>
            </w:pPr>
            <w:r>
              <w:rPr>
                <w:rFonts w:hint="eastAsia" w:ascii="宋体" w:hAnsi="宋体" w:cs="宋体"/>
                <w:color w:val="auto"/>
                <w:highlight w:val="none"/>
              </w:rPr>
              <w:t>3</w:t>
            </w:r>
          </w:p>
        </w:tc>
        <w:tc>
          <w:tcPr>
            <w:tcW w:w="540" w:type="dxa"/>
            <w:shd w:val="clear" w:color="000000" w:fill="FFFFFF"/>
            <w:vAlign w:val="center"/>
          </w:tcPr>
          <w:p w14:paraId="7BD9FD31">
            <w:pPr>
              <w:spacing w:line="400" w:lineRule="exact"/>
              <w:jc w:val="center"/>
              <w:rPr>
                <w:rFonts w:hint="eastAsia" w:ascii="宋体" w:hAnsi="宋体" w:cs="宋体"/>
                <w:color w:val="auto"/>
                <w:highlight w:val="none"/>
              </w:rPr>
            </w:pPr>
            <w:r>
              <w:rPr>
                <w:rFonts w:hint="eastAsia" w:ascii="宋体" w:hAnsi="宋体" w:cs="宋体"/>
                <w:color w:val="auto"/>
                <w:highlight w:val="none"/>
              </w:rPr>
              <w:t>个</w:t>
            </w:r>
          </w:p>
        </w:tc>
        <w:tc>
          <w:tcPr>
            <w:tcW w:w="4395" w:type="dxa"/>
            <w:shd w:val="clear" w:color="000000" w:fill="FFFFFF"/>
            <w:vAlign w:val="center"/>
          </w:tcPr>
          <w:p w14:paraId="2E10A0F7">
            <w:pPr>
              <w:adjustRightInd w:val="0"/>
              <w:snapToGrid w:val="0"/>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1、17U壁挂网络机柜，规格：约600*600*1000mm（宽*深*高）</w:t>
            </w:r>
          </w:p>
          <w:p w14:paraId="4EFBF973">
            <w:pPr>
              <w:adjustRightInd w:val="0"/>
              <w:snapToGrid w:val="0"/>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2、19英寸，符合GB/T 19520.16</w:t>
            </w:r>
            <w:r>
              <w:rPr>
                <w:rFonts w:hint="eastAsia" w:ascii="宋体" w:hAnsi="宋体" w:cs="宋体"/>
                <w:color w:val="auto"/>
                <w:szCs w:val="21"/>
                <w:highlight w:val="none"/>
              </w:rPr>
              <w:noBreakHyphen/>
            </w:r>
            <w:r>
              <w:rPr>
                <w:rFonts w:hint="eastAsia" w:ascii="宋体" w:hAnsi="宋体" w:cs="宋体"/>
                <w:color w:val="auto"/>
                <w:szCs w:val="21"/>
                <w:highlight w:val="none"/>
              </w:rPr>
              <w:t>2014</w:t>
            </w:r>
            <w:r>
              <w:rPr>
                <w:rFonts w:hint="eastAsia"/>
                <w:color w:val="auto"/>
                <w:highlight w:val="none"/>
              </w:rPr>
              <w:t>标准</w:t>
            </w:r>
            <w:r>
              <w:rPr>
                <w:rFonts w:hint="eastAsia" w:ascii="宋体" w:hAnsi="宋体" w:cs="宋体"/>
                <w:color w:val="auto"/>
                <w:szCs w:val="21"/>
                <w:highlight w:val="none"/>
              </w:rPr>
              <w:t>的立柱，成型材结构，落地式机柜的结构：框架、底部加固以达到增强机柜强度的效果。侧后为可拆钢板门，采用高强度的优质冷轧钢板。</w:t>
            </w:r>
          </w:p>
        </w:tc>
        <w:tc>
          <w:tcPr>
            <w:tcW w:w="1275" w:type="dxa"/>
            <w:shd w:val="clear" w:color="auto" w:fill="auto"/>
            <w:vAlign w:val="center"/>
          </w:tcPr>
          <w:p w14:paraId="77EB1569">
            <w:pPr>
              <w:spacing w:line="360" w:lineRule="exact"/>
              <w:jc w:val="center"/>
              <w:rPr>
                <w:rFonts w:hint="eastAsia" w:ascii="宋体" w:hAnsi="宋体" w:cs="宋体"/>
                <w:b/>
                <w:bCs/>
                <w:color w:val="auto"/>
                <w:sz w:val="24"/>
                <w:highlight w:val="none"/>
              </w:rPr>
            </w:pPr>
            <w:r>
              <w:rPr>
                <w:rFonts w:hint="eastAsia" w:ascii="宋体" w:hAnsi="宋体" w:cs="宋体"/>
                <w:color w:val="auto"/>
                <w:sz w:val="22"/>
                <w:szCs w:val="22"/>
                <w:highlight w:val="none"/>
              </w:rPr>
              <w:t>0.125</w:t>
            </w:r>
          </w:p>
        </w:tc>
        <w:tc>
          <w:tcPr>
            <w:tcW w:w="1391" w:type="dxa"/>
            <w:shd w:val="clear" w:color="auto" w:fill="auto"/>
            <w:vAlign w:val="center"/>
          </w:tcPr>
          <w:p w14:paraId="33028324">
            <w:pPr>
              <w:spacing w:line="360" w:lineRule="exact"/>
              <w:jc w:val="center"/>
              <w:rPr>
                <w:rFonts w:hint="eastAsia" w:ascii="宋体" w:hAnsi="宋体" w:cs="宋体"/>
                <w:b/>
                <w:bCs/>
                <w:color w:val="auto"/>
                <w:sz w:val="24"/>
                <w:highlight w:val="none"/>
              </w:rPr>
            </w:pPr>
            <w:r>
              <w:rPr>
                <w:rFonts w:hint="eastAsia" w:ascii="宋体" w:hAnsi="宋体" w:cs="宋体"/>
                <w:color w:val="auto"/>
                <w:sz w:val="22"/>
                <w:szCs w:val="22"/>
                <w:highlight w:val="none"/>
              </w:rPr>
              <w:t>0.375</w:t>
            </w:r>
          </w:p>
        </w:tc>
      </w:tr>
      <w:tr w14:paraId="43977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416" w:type="dxa"/>
            <w:shd w:val="clear" w:color="auto" w:fill="auto"/>
            <w:vAlign w:val="center"/>
          </w:tcPr>
          <w:p w14:paraId="144077D5">
            <w:pPr>
              <w:spacing w:line="400" w:lineRule="exact"/>
              <w:jc w:val="center"/>
              <w:rPr>
                <w:rFonts w:hint="eastAsia" w:ascii="宋体" w:hAnsi="宋体" w:cs="宋体"/>
                <w:color w:val="auto"/>
                <w:sz w:val="24"/>
                <w:highlight w:val="none"/>
              </w:rPr>
            </w:pPr>
            <w:r>
              <w:rPr>
                <w:rFonts w:hint="eastAsia" w:ascii="宋体" w:hAnsi="宋体" w:cs="宋体"/>
                <w:color w:val="auto"/>
                <w:sz w:val="20"/>
                <w:szCs w:val="20"/>
                <w:highlight w:val="none"/>
              </w:rPr>
              <w:t>21</w:t>
            </w:r>
          </w:p>
        </w:tc>
        <w:tc>
          <w:tcPr>
            <w:tcW w:w="1247" w:type="dxa"/>
            <w:shd w:val="clear" w:color="auto" w:fill="auto"/>
            <w:vAlign w:val="center"/>
          </w:tcPr>
          <w:p w14:paraId="3DF31E3F">
            <w:pPr>
              <w:spacing w:line="400" w:lineRule="exact"/>
              <w:jc w:val="center"/>
              <w:rPr>
                <w:rFonts w:hint="eastAsia" w:ascii="宋体" w:hAnsi="宋体" w:cs="宋体"/>
                <w:color w:val="auto"/>
                <w:kern w:val="0"/>
                <w:sz w:val="24"/>
                <w:highlight w:val="none"/>
              </w:rPr>
            </w:pPr>
            <w:r>
              <w:rPr>
                <w:rFonts w:hint="eastAsia" w:ascii="宋体" w:hAnsi="宋体" w:cs="宋体"/>
                <w:color w:val="auto"/>
                <w:highlight w:val="none"/>
              </w:rPr>
              <w:t>施工耗材</w:t>
            </w:r>
          </w:p>
        </w:tc>
        <w:tc>
          <w:tcPr>
            <w:tcW w:w="690" w:type="dxa"/>
            <w:shd w:val="clear" w:color="000000" w:fill="FFFFFF"/>
            <w:vAlign w:val="center"/>
          </w:tcPr>
          <w:p w14:paraId="25ABD244">
            <w:pPr>
              <w:spacing w:line="400" w:lineRule="exact"/>
              <w:jc w:val="center"/>
              <w:rPr>
                <w:rFonts w:hint="eastAsia" w:ascii="宋体" w:hAnsi="宋体" w:cs="宋体"/>
                <w:color w:val="auto"/>
                <w:highlight w:val="none"/>
              </w:rPr>
            </w:pPr>
            <w:r>
              <w:rPr>
                <w:rFonts w:hint="eastAsia" w:ascii="宋体" w:hAnsi="宋体" w:cs="宋体"/>
                <w:color w:val="auto"/>
                <w:highlight w:val="none"/>
              </w:rPr>
              <w:t>1</w:t>
            </w:r>
          </w:p>
        </w:tc>
        <w:tc>
          <w:tcPr>
            <w:tcW w:w="540" w:type="dxa"/>
            <w:shd w:val="clear" w:color="000000" w:fill="FFFFFF"/>
            <w:vAlign w:val="center"/>
          </w:tcPr>
          <w:p w14:paraId="1943F19E">
            <w:pPr>
              <w:spacing w:line="400" w:lineRule="exact"/>
              <w:jc w:val="center"/>
              <w:rPr>
                <w:rFonts w:hint="eastAsia" w:ascii="宋体" w:hAnsi="宋体" w:cs="宋体"/>
                <w:color w:val="auto"/>
                <w:highlight w:val="none"/>
              </w:rPr>
            </w:pPr>
            <w:r>
              <w:rPr>
                <w:rFonts w:hint="eastAsia" w:ascii="宋体" w:hAnsi="宋体" w:cs="宋体"/>
                <w:color w:val="auto"/>
                <w:highlight w:val="none"/>
              </w:rPr>
              <w:t>项</w:t>
            </w:r>
          </w:p>
        </w:tc>
        <w:tc>
          <w:tcPr>
            <w:tcW w:w="4395" w:type="dxa"/>
            <w:shd w:val="clear" w:color="000000" w:fill="FFFFFF"/>
            <w:vAlign w:val="center"/>
          </w:tcPr>
          <w:p w14:paraId="52450E5D">
            <w:pPr>
              <w:adjustRightInd w:val="0"/>
              <w:snapToGrid w:val="0"/>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1、满足本弱电工程项目所有施工所需的阻燃PVC线管、线槽、自攻钉、钢钉、水晶头、尼龙扎带、电工胶布、波纹管、膨胀螺丝、胶塞、腻子粉等所有施工耗材配件。</w:t>
            </w:r>
          </w:p>
        </w:tc>
        <w:tc>
          <w:tcPr>
            <w:tcW w:w="1275" w:type="dxa"/>
            <w:shd w:val="clear" w:color="auto" w:fill="auto"/>
            <w:vAlign w:val="center"/>
          </w:tcPr>
          <w:p w14:paraId="09C68AEC">
            <w:pPr>
              <w:spacing w:line="360" w:lineRule="exact"/>
              <w:jc w:val="center"/>
              <w:rPr>
                <w:rFonts w:hint="eastAsia" w:ascii="宋体" w:hAnsi="宋体" w:cs="宋体"/>
                <w:b/>
                <w:bCs/>
                <w:color w:val="auto"/>
                <w:sz w:val="24"/>
                <w:highlight w:val="none"/>
              </w:rPr>
            </w:pPr>
            <w:r>
              <w:rPr>
                <w:rFonts w:hint="eastAsia" w:ascii="宋体" w:hAnsi="宋体" w:cs="宋体"/>
                <w:color w:val="auto"/>
                <w:sz w:val="22"/>
                <w:szCs w:val="22"/>
                <w:highlight w:val="none"/>
              </w:rPr>
              <w:t>2.415</w:t>
            </w:r>
          </w:p>
        </w:tc>
        <w:tc>
          <w:tcPr>
            <w:tcW w:w="1391" w:type="dxa"/>
            <w:shd w:val="clear" w:color="auto" w:fill="auto"/>
            <w:vAlign w:val="center"/>
          </w:tcPr>
          <w:p w14:paraId="23FD7B55">
            <w:pPr>
              <w:spacing w:line="360" w:lineRule="exact"/>
              <w:jc w:val="center"/>
              <w:rPr>
                <w:rFonts w:hint="eastAsia" w:ascii="宋体" w:hAnsi="宋体" w:cs="宋体"/>
                <w:b/>
                <w:bCs/>
                <w:color w:val="auto"/>
                <w:sz w:val="24"/>
                <w:highlight w:val="none"/>
              </w:rPr>
            </w:pPr>
            <w:r>
              <w:rPr>
                <w:rFonts w:hint="eastAsia" w:ascii="宋体" w:hAnsi="宋体" w:cs="宋体"/>
                <w:color w:val="auto"/>
                <w:sz w:val="22"/>
                <w:szCs w:val="22"/>
                <w:highlight w:val="none"/>
              </w:rPr>
              <w:t>2.415</w:t>
            </w:r>
          </w:p>
        </w:tc>
      </w:tr>
      <w:tr w14:paraId="16FC4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416" w:type="dxa"/>
            <w:shd w:val="clear" w:color="auto" w:fill="auto"/>
            <w:vAlign w:val="center"/>
          </w:tcPr>
          <w:p w14:paraId="20C1E485">
            <w:pPr>
              <w:spacing w:line="400" w:lineRule="exact"/>
              <w:jc w:val="center"/>
              <w:rPr>
                <w:rFonts w:hint="eastAsia" w:ascii="宋体" w:hAnsi="宋体" w:cs="宋体"/>
                <w:color w:val="auto"/>
                <w:sz w:val="24"/>
                <w:highlight w:val="none"/>
              </w:rPr>
            </w:pPr>
            <w:r>
              <w:rPr>
                <w:rFonts w:hint="eastAsia" w:ascii="宋体" w:hAnsi="宋体" w:cs="宋体"/>
                <w:color w:val="auto"/>
                <w:sz w:val="20"/>
                <w:szCs w:val="20"/>
                <w:highlight w:val="none"/>
              </w:rPr>
              <w:t>22</w:t>
            </w:r>
          </w:p>
        </w:tc>
        <w:tc>
          <w:tcPr>
            <w:tcW w:w="1247" w:type="dxa"/>
            <w:shd w:val="clear" w:color="auto" w:fill="auto"/>
            <w:vAlign w:val="center"/>
          </w:tcPr>
          <w:p w14:paraId="3725AB37">
            <w:pPr>
              <w:spacing w:line="400" w:lineRule="exact"/>
              <w:jc w:val="center"/>
              <w:rPr>
                <w:rFonts w:hint="eastAsia" w:ascii="宋体" w:hAnsi="宋体" w:cs="宋体"/>
                <w:color w:val="auto"/>
                <w:kern w:val="0"/>
                <w:sz w:val="24"/>
                <w:highlight w:val="none"/>
              </w:rPr>
            </w:pPr>
            <w:r>
              <w:rPr>
                <w:rFonts w:hint="eastAsia" w:ascii="宋体" w:hAnsi="宋体" w:cs="宋体"/>
                <w:color w:val="auto"/>
                <w:highlight w:val="none"/>
              </w:rPr>
              <w:t>系统集成服务</w:t>
            </w:r>
          </w:p>
        </w:tc>
        <w:tc>
          <w:tcPr>
            <w:tcW w:w="690" w:type="dxa"/>
            <w:shd w:val="clear" w:color="000000" w:fill="FFFFFF"/>
            <w:vAlign w:val="center"/>
          </w:tcPr>
          <w:p w14:paraId="32E7BDF4">
            <w:pPr>
              <w:spacing w:line="400" w:lineRule="exact"/>
              <w:jc w:val="center"/>
              <w:rPr>
                <w:rFonts w:hint="eastAsia" w:ascii="宋体" w:hAnsi="宋体" w:cs="宋体"/>
                <w:color w:val="auto"/>
                <w:highlight w:val="none"/>
              </w:rPr>
            </w:pPr>
            <w:r>
              <w:rPr>
                <w:rFonts w:hint="eastAsia" w:ascii="宋体" w:hAnsi="宋体" w:cs="宋体"/>
                <w:color w:val="auto"/>
                <w:highlight w:val="none"/>
              </w:rPr>
              <w:t>1</w:t>
            </w:r>
          </w:p>
        </w:tc>
        <w:tc>
          <w:tcPr>
            <w:tcW w:w="540" w:type="dxa"/>
            <w:shd w:val="clear" w:color="000000" w:fill="FFFFFF"/>
            <w:vAlign w:val="center"/>
          </w:tcPr>
          <w:p w14:paraId="6BF02831">
            <w:pPr>
              <w:spacing w:line="400" w:lineRule="exact"/>
              <w:jc w:val="center"/>
              <w:rPr>
                <w:rFonts w:hint="eastAsia" w:ascii="宋体" w:hAnsi="宋体" w:cs="宋体"/>
                <w:color w:val="auto"/>
                <w:highlight w:val="none"/>
              </w:rPr>
            </w:pPr>
            <w:r>
              <w:rPr>
                <w:rFonts w:hint="eastAsia" w:ascii="宋体" w:hAnsi="宋体" w:cs="宋体"/>
                <w:color w:val="auto"/>
                <w:highlight w:val="none"/>
              </w:rPr>
              <w:t>项</w:t>
            </w:r>
          </w:p>
        </w:tc>
        <w:tc>
          <w:tcPr>
            <w:tcW w:w="4395" w:type="dxa"/>
            <w:shd w:val="clear" w:color="000000" w:fill="FFFFFF"/>
            <w:vAlign w:val="center"/>
          </w:tcPr>
          <w:p w14:paraId="531D7563">
            <w:pPr>
              <w:adjustRightInd w:val="0"/>
              <w:snapToGrid w:val="0"/>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1、项目实施按采购人项目方案要求实施，包含本项目OLT、XGSPON板卡、ONU等设备的安装、调试，线缆及设备标签的制作等</w:t>
            </w:r>
          </w:p>
          <w:p w14:paraId="5F3443CC">
            <w:pPr>
              <w:adjustRightInd w:val="0"/>
              <w:snapToGrid w:val="0"/>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2、施工完成后场地清理、垃圾清运及保洁。</w:t>
            </w:r>
          </w:p>
        </w:tc>
        <w:tc>
          <w:tcPr>
            <w:tcW w:w="1275" w:type="dxa"/>
            <w:shd w:val="clear" w:color="auto" w:fill="auto"/>
            <w:vAlign w:val="center"/>
          </w:tcPr>
          <w:p w14:paraId="689AD8E9">
            <w:pPr>
              <w:spacing w:line="360" w:lineRule="exact"/>
              <w:jc w:val="center"/>
              <w:rPr>
                <w:rFonts w:hint="eastAsia" w:ascii="宋体" w:hAnsi="宋体" w:cs="宋体"/>
                <w:b/>
                <w:bCs/>
                <w:color w:val="auto"/>
                <w:sz w:val="24"/>
                <w:highlight w:val="none"/>
              </w:rPr>
            </w:pPr>
            <w:r>
              <w:rPr>
                <w:rFonts w:hint="eastAsia" w:ascii="宋体" w:hAnsi="宋体" w:cs="宋体"/>
                <w:color w:val="auto"/>
                <w:sz w:val="22"/>
                <w:szCs w:val="22"/>
                <w:highlight w:val="none"/>
              </w:rPr>
              <w:t>8.2</w:t>
            </w:r>
          </w:p>
        </w:tc>
        <w:tc>
          <w:tcPr>
            <w:tcW w:w="1391" w:type="dxa"/>
            <w:shd w:val="clear" w:color="auto" w:fill="auto"/>
            <w:vAlign w:val="center"/>
          </w:tcPr>
          <w:p w14:paraId="7ABE5B8C">
            <w:pPr>
              <w:spacing w:line="360" w:lineRule="exact"/>
              <w:jc w:val="center"/>
              <w:rPr>
                <w:rFonts w:hint="eastAsia" w:ascii="宋体" w:hAnsi="宋体" w:cs="宋体"/>
                <w:b/>
                <w:bCs/>
                <w:color w:val="auto"/>
                <w:sz w:val="24"/>
                <w:highlight w:val="none"/>
              </w:rPr>
            </w:pPr>
            <w:r>
              <w:rPr>
                <w:rFonts w:hint="eastAsia" w:ascii="宋体" w:hAnsi="宋体" w:cs="宋体"/>
                <w:color w:val="auto"/>
                <w:sz w:val="22"/>
                <w:szCs w:val="22"/>
                <w:highlight w:val="none"/>
              </w:rPr>
              <w:t>8.2</w:t>
            </w:r>
          </w:p>
        </w:tc>
      </w:tr>
      <w:tr w14:paraId="4F75A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9954" w:type="dxa"/>
            <w:gridSpan w:val="7"/>
            <w:vAlign w:val="center"/>
          </w:tcPr>
          <w:p w14:paraId="35C130B0">
            <w:pPr>
              <w:spacing w:line="400" w:lineRule="exact"/>
              <w:jc w:val="left"/>
              <w:rPr>
                <w:rFonts w:hint="eastAsia" w:ascii="宋体" w:hAnsi="宋体" w:cs="宋体"/>
                <w:color w:val="auto"/>
                <w:sz w:val="24"/>
                <w:highlight w:val="none"/>
              </w:rPr>
            </w:pPr>
            <w:r>
              <w:rPr>
                <w:rFonts w:hint="eastAsia" w:ascii="宋体" w:hAnsi="宋体" w:cs="宋体"/>
                <w:color w:val="auto"/>
                <w:sz w:val="24"/>
                <w:highlight w:val="none"/>
              </w:rPr>
              <w:t>▲</w:t>
            </w:r>
            <w:r>
              <w:rPr>
                <w:rFonts w:hint="eastAsia" w:ascii="宋体" w:hAnsi="宋体" w:cs="宋体"/>
                <w:b/>
                <w:color w:val="auto"/>
                <w:sz w:val="24"/>
                <w:highlight w:val="none"/>
              </w:rPr>
              <w:t>商务要求表：</w:t>
            </w:r>
          </w:p>
        </w:tc>
      </w:tr>
      <w:tr w14:paraId="5683F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2353" w:type="dxa"/>
            <w:gridSpan w:val="3"/>
            <w:vAlign w:val="center"/>
          </w:tcPr>
          <w:p w14:paraId="6EEB1561">
            <w:pPr>
              <w:widowControl/>
              <w:jc w:val="center"/>
              <w:rPr>
                <w:rFonts w:hint="eastAsia" w:ascii="宋体" w:hAnsi="宋体" w:cs="宋体"/>
                <w:b/>
                <w:bCs/>
                <w:color w:val="auto"/>
                <w:kern w:val="1"/>
                <w:szCs w:val="21"/>
                <w:highlight w:val="none"/>
              </w:rPr>
            </w:pPr>
            <w:r>
              <w:rPr>
                <w:rFonts w:hint="eastAsia" w:ascii="宋体" w:hAnsi="宋体" w:cs="宋体"/>
                <w:b/>
                <w:bCs/>
                <w:color w:val="auto"/>
                <w:szCs w:val="21"/>
                <w:highlight w:val="none"/>
              </w:rPr>
              <w:t>合同签订时间</w:t>
            </w:r>
          </w:p>
        </w:tc>
        <w:tc>
          <w:tcPr>
            <w:tcW w:w="7601" w:type="dxa"/>
            <w:gridSpan w:val="4"/>
            <w:vAlign w:val="center"/>
          </w:tcPr>
          <w:p w14:paraId="4BA00F9E">
            <w:pPr>
              <w:widowControl/>
              <w:jc w:val="left"/>
              <w:rPr>
                <w:rFonts w:hint="eastAsia" w:ascii="宋体" w:hAnsi="宋体" w:cs="宋体"/>
                <w:color w:val="auto"/>
                <w:szCs w:val="21"/>
                <w:highlight w:val="none"/>
              </w:rPr>
            </w:pPr>
            <w:r>
              <w:rPr>
                <w:rFonts w:hint="eastAsia" w:ascii="宋体" w:hAnsi="宋体" w:cs="宋体"/>
                <w:color w:val="auto"/>
                <w:szCs w:val="21"/>
                <w:highlight w:val="none"/>
              </w:rPr>
              <w:t>自成交通知书发出之日起25日内（成交供应商需在成交通知书发出之日起15日内反馈签订的合同文本于采购人）。</w:t>
            </w:r>
          </w:p>
        </w:tc>
      </w:tr>
      <w:tr w14:paraId="513B8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2353" w:type="dxa"/>
            <w:gridSpan w:val="3"/>
            <w:vAlign w:val="center"/>
          </w:tcPr>
          <w:p w14:paraId="1EC5179D">
            <w:pPr>
              <w:jc w:val="center"/>
              <w:rPr>
                <w:rFonts w:hint="eastAsia" w:ascii="宋体" w:hAnsi="宋体" w:cs="宋体"/>
                <w:color w:val="auto"/>
                <w:kern w:val="1"/>
                <w:szCs w:val="21"/>
                <w:highlight w:val="none"/>
              </w:rPr>
            </w:pPr>
            <w:r>
              <w:rPr>
                <w:rFonts w:hint="eastAsia" w:ascii="宋体" w:hAnsi="宋体" w:cs="宋体"/>
                <w:b/>
                <w:color w:val="auto"/>
                <w:szCs w:val="21"/>
                <w:highlight w:val="none"/>
              </w:rPr>
              <w:t>交货时间及地点</w:t>
            </w:r>
          </w:p>
        </w:tc>
        <w:tc>
          <w:tcPr>
            <w:tcW w:w="7601" w:type="dxa"/>
            <w:gridSpan w:val="4"/>
            <w:vAlign w:val="center"/>
          </w:tcPr>
          <w:p w14:paraId="0A27991C">
            <w:pPr>
              <w:tabs>
                <w:tab w:val="left" w:pos="420"/>
              </w:tabs>
              <w:jc w:val="left"/>
              <w:rPr>
                <w:rFonts w:hint="eastAsia" w:ascii="宋体" w:hAnsi="宋体" w:cs="宋体"/>
                <w:color w:val="auto"/>
                <w:szCs w:val="21"/>
                <w:highlight w:val="none"/>
              </w:rPr>
            </w:pPr>
            <w:r>
              <w:rPr>
                <w:rFonts w:hint="eastAsia" w:ascii="宋体" w:hAnsi="宋体" w:cs="宋体"/>
                <w:color w:val="auto"/>
                <w:szCs w:val="21"/>
                <w:highlight w:val="none"/>
              </w:rPr>
              <w:t>交货时间：自签订合同之日起90日历天内到货安装调试完成并通过验收。</w:t>
            </w:r>
          </w:p>
          <w:p w14:paraId="2C298E0E">
            <w:pPr>
              <w:tabs>
                <w:tab w:val="left" w:pos="420"/>
              </w:tabs>
              <w:jc w:val="left"/>
              <w:rPr>
                <w:rFonts w:hint="eastAsia" w:ascii="宋体" w:hAnsi="宋体" w:cs="宋体"/>
                <w:color w:val="auto"/>
                <w:szCs w:val="21"/>
                <w:highlight w:val="none"/>
              </w:rPr>
            </w:pPr>
            <w:r>
              <w:rPr>
                <w:rFonts w:hint="eastAsia" w:ascii="宋体" w:hAnsi="宋体" w:cs="宋体"/>
                <w:color w:val="auto"/>
                <w:szCs w:val="21"/>
                <w:highlight w:val="none"/>
              </w:rPr>
              <w:t>交货地点：广西大学用户指定地点。</w:t>
            </w:r>
          </w:p>
        </w:tc>
      </w:tr>
      <w:tr w14:paraId="0F300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2353" w:type="dxa"/>
            <w:gridSpan w:val="3"/>
            <w:vAlign w:val="center"/>
          </w:tcPr>
          <w:p w14:paraId="730988E4">
            <w:pPr>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货物验收</w:t>
            </w:r>
          </w:p>
        </w:tc>
        <w:tc>
          <w:tcPr>
            <w:tcW w:w="7601" w:type="dxa"/>
            <w:gridSpan w:val="4"/>
            <w:vAlign w:val="center"/>
          </w:tcPr>
          <w:p w14:paraId="4FD5755C">
            <w:pPr>
              <w:tabs>
                <w:tab w:val="left" w:pos="420"/>
              </w:tabs>
              <w:jc w:val="left"/>
              <w:rPr>
                <w:rFonts w:hint="eastAsia" w:ascii="宋体" w:hAnsi="宋体" w:cs="宋体"/>
                <w:color w:val="auto"/>
                <w:szCs w:val="21"/>
                <w:highlight w:val="none"/>
              </w:rPr>
            </w:pPr>
            <w:r>
              <w:rPr>
                <w:rFonts w:hint="eastAsia" w:ascii="宋体" w:hAnsi="宋体" w:cs="宋体"/>
                <w:color w:val="auto"/>
                <w:szCs w:val="21"/>
                <w:highlight w:val="none"/>
              </w:rPr>
              <w:t>1.货物验收时由采购人对照采购文件的《技术参数及性能（配置）要求》进行全面核对检验，对所有要求出具的文件和材料的原件进行核查，如不符合采购文件要求或提供虚假承诺、虚假检测报告等任何虚假材料的，采购人有权拒绝验收并认定成交供应商违约，采购人有权单方解除合同，成交供应商承担所有责任和费用，采购人保留进一步追究责任的权利。</w:t>
            </w:r>
          </w:p>
          <w:p w14:paraId="4B041EDE">
            <w:pPr>
              <w:tabs>
                <w:tab w:val="left" w:pos="420"/>
              </w:tabs>
              <w:jc w:val="left"/>
              <w:rPr>
                <w:rFonts w:hint="eastAsia" w:ascii="宋体" w:hAnsi="宋体" w:cs="宋体"/>
                <w:color w:val="auto"/>
                <w:szCs w:val="21"/>
                <w:highlight w:val="none"/>
              </w:rPr>
            </w:pPr>
            <w:r>
              <w:rPr>
                <w:rFonts w:hint="eastAsia" w:ascii="宋体" w:hAnsi="宋体" w:cs="宋体"/>
                <w:color w:val="auto"/>
                <w:szCs w:val="21"/>
                <w:highlight w:val="none"/>
              </w:rPr>
              <w:t>2.货物经过双方检验认可后，签署验收报告。由成交供应商提供产品保修文件。</w:t>
            </w:r>
          </w:p>
          <w:p w14:paraId="7820F952">
            <w:pPr>
              <w:tabs>
                <w:tab w:val="left" w:pos="420"/>
              </w:tabs>
              <w:jc w:val="left"/>
              <w:rPr>
                <w:rFonts w:hint="eastAsia" w:ascii="宋体" w:hAnsi="宋体" w:cs="宋体"/>
                <w:color w:val="auto"/>
                <w:szCs w:val="21"/>
                <w:highlight w:val="none"/>
              </w:rPr>
            </w:pPr>
            <w:r>
              <w:rPr>
                <w:rFonts w:hint="eastAsia" w:ascii="宋体" w:hAnsi="宋体" w:cs="宋体"/>
                <w:color w:val="auto"/>
                <w:szCs w:val="21"/>
                <w:highlight w:val="none"/>
              </w:rPr>
              <w:t>3.当满足以下条件时，采购人才向成交供应商签发货物验收报告：</w:t>
            </w:r>
          </w:p>
          <w:p w14:paraId="2409B45B">
            <w:pPr>
              <w:tabs>
                <w:tab w:val="left" w:pos="420"/>
              </w:tabs>
              <w:jc w:val="left"/>
              <w:rPr>
                <w:rFonts w:hint="eastAsia" w:ascii="宋体" w:hAnsi="宋体" w:cs="宋体"/>
                <w:color w:val="auto"/>
                <w:szCs w:val="21"/>
                <w:highlight w:val="none"/>
              </w:rPr>
            </w:pPr>
            <w:r>
              <w:rPr>
                <w:rFonts w:hint="eastAsia" w:ascii="宋体" w:hAnsi="宋体" w:cs="宋体"/>
                <w:color w:val="auto"/>
                <w:szCs w:val="21"/>
                <w:highlight w:val="none"/>
              </w:rPr>
              <w:t>（1）成交供应商已按照合同规定提供了全部产品及完整的技术资料。</w:t>
            </w:r>
          </w:p>
          <w:p w14:paraId="2358BA63">
            <w:pPr>
              <w:tabs>
                <w:tab w:val="left" w:pos="420"/>
              </w:tabs>
              <w:jc w:val="left"/>
              <w:rPr>
                <w:rFonts w:hint="eastAsia" w:ascii="宋体" w:hAnsi="宋体" w:cs="宋体"/>
                <w:color w:val="auto"/>
                <w:szCs w:val="21"/>
                <w:highlight w:val="none"/>
              </w:rPr>
            </w:pPr>
            <w:r>
              <w:rPr>
                <w:rFonts w:hint="eastAsia" w:ascii="宋体" w:hAnsi="宋体" w:cs="宋体"/>
                <w:color w:val="auto"/>
                <w:szCs w:val="21"/>
                <w:highlight w:val="none"/>
              </w:rPr>
              <w:t>（2）货物各项参数完全符合《技术参数及性能（配置）要求》的要求，性能满足要求。</w:t>
            </w:r>
          </w:p>
          <w:p w14:paraId="1DF32BB4">
            <w:pPr>
              <w:tabs>
                <w:tab w:val="left" w:pos="420"/>
              </w:tabs>
              <w:jc w:val="left"/>
              <w:rPr>
                <w:rFonts w:hint="eastAsia" w:ascii="宋体" w:hAnsi="宋体" w:cs="宋体"/>
                <w:color w:val="auto"/>
                <w:szCs w:val="21"/>
                <w:highlight w:val="none"/>
              </w:rPr>
            </w:pPr>
            <w:r>
              <w:rPr>
                <w:rFonts w:hint="eastAsia" w:ascii="宋体" w:hAnsi="宋体" w:cs="宋体"/>
                <w:color w:val="auto"/>
                <w:szCs w:val="21"/>
                <w:highlight w:val="none"/>
              </w:rPr>
              <w:t>（3）成交供应商需负责安装、调试（测试），并完成采购人的使用操作培训。</w:t>
            </w:r>
          </w:p>
          <w:p w14:paraId="14E053A9">
            <w:pPr>
              <w:tabs>
                <w:tab w:val="left" w:pos="420"/>
              </w:tabs>
              <w:jc w:val="left"/>
              <w:rPr>
                <w:rFonts w:hint="eastAsia" w:ascii="宋体" w:hAnsi="宋体" w:cs="宋体"/>
                <w:color w:val="auto"/>
                <w:szCs w:val="21"/>
                <w:highlight w:val="none"/>
              </w:rPr>
            </w:pPr>
            <w:r>
              <w:rPr>
                <w:rFonts w:hint="eastAsia" w:ascii="宋体" w:hAnsi="宋体" w:cs="宋体"/>
                <w:color w:val="auto"/>
                <w:szCs w:val="21"/>
                <w:highlight w:val="none"/>
              </w:rPr>
              <w:t>4.采购人预验收及履约验收过程中所产生的一切费用均由成交供应商承担，报价时应考虑相关费用。</w:t>
            </w:r>
          </w:p>
          <w:p w14:paraId="7CF647DE">
            <w:pPr>
              <w:tabs>
                <w:tab w:val="left" w:pos="420"/>
              </w:tabs>
              <w:jc w:val="left"/>
              <w:rPr>
                <w:rFonts w:hint="eastAsia" w:ascii="宋体" w:hAnsi="宋体" w:cs="宋体"/>
                <w:color w:val="auto"/>
                <w:szCs w:val="21"/>
                <w:highlight w:val="none"/>
              </w:rPr>
            </w:pPr>
            <w:r>
              <w:rPr>
                <w:rFonts w:hint="eastAsia" w:ascii="宋体" w:hAnsi="宋体" w:cs="宋体"/>
                <w:color w:val="auto"/>
                <w:szCs w:val="21"/>
                <w:highlight w:val="none"/>
              </w:rPr>
              <w:t>5.成交产品不能涉及任何法律纠纷。</w:t>
            </w:r>
          </w:p>
        </w:tc>
      </w:tr>
      <w:tr w14:paraId="30190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2353" w:type="dxa"/>
            <w:gridSpan w:val="3"/>
            <w:vAlign w:val="center"/>
          </w:tcPr>
          <w:p w14:paraId="40CEBC19">
            <w:pPr>
              <w:jc w:val="center"/>
              <w:rPr>
                <w:rFonts w:hint="eastAsia" w:ascii="宋体" w:hAnsi="宋体" w:cs="宋体"/>
                <w:color w:val="auto"/>
                <w:szCs w:val="21"/>
                <w:highlight w:val="none"/>
              </w:rPr>
            </w:pPr>
            <w:r>
              <w:rPr>
                <w:rFonts w:hint="eastAsia" w:ascii="宋体" w:hAnsi="宋体" w:cs="宋体"/>
                <w:color w:val="auto"/>
                <w:szCs w:val="21"/>
                <w:highlight w:val="none"/>
              </w:rPr>
              <w:t>质量保证要求</w:t>
            </w:r>
          </w:p>
        </w:tc>
        <w:tc>
          <w:tcPr>
            <w:tcW w:w="7601" w:type="dxa"/>
            <w:gridSpan w:val="4"/>
          </w:tcPr>
          <w:p w14:paraId="5612EF2F">
            <w:pPr>
              <w:tabs>
                <w:tab w:val="left" w:pos="420"/>
              </w:tabs>
              <w:jc w:val="left"/>
              <w:rPr>
                <w:rFonts w:hint="eastAsia" w:ascii="宋体" w:hAnsi="宋体" w:cs="宋体"/>
                <w:color w:val="auto"/>
                <w:kern w:val="0"/>
                <w:szCs w:val="21"/>
                <w:highlight w:val="none"/>
              </w:rPr>
            </w:pPr>
            <w:r>
              <w:rPr>
                <w:rFonts w:hint="eastAsia" w:ascii="宋体" w:hAnsi="宋体" w:cs="宋体"/>
                <w:color w:val="auto"/>
                <w:szCs w:val="21"/>
                <w:highlight w:val="none"/>
              </w:rPr>
              <w:t>1.按国家有关产品“三包”规定执行“三包”政策，提供整机原厂质量保证期不少于1年（分项货物或配置有明确要求的按分项要求；生产厂家承诺的质量保证期更长的按生产厂家的承诺期限），质量保证期从交货验收合格之日起计。</w:t>
            </w:r>
          </w:p>
          <w:p w14:paraId="2F6ED1B1">
            <w:pPr>
              <w:tabs>
                <w:tab w:val="left" w:pos="420"/>
              </w:tabs>
              <w:jc w:val="left"/>
              <w:rPr>
                <w:rFonts w:hint="eastAsia" w:ascii="宋体" w:hAnsi="宋体" w:cs="宋体"/>
                <w:color w:val="auto"/>
                <w:szCs w:val="21"/>
                <w:highlight w:val="none"/>
              </w:rPr>
            </w:pPr>
            <w:r>
              <w:rPr>
                <w:rFonts w:hint="eastAsia" w:ascii="宋体" w:hAnsi="宋体" w:cs="宋体"/>
                <w:color w:val="auto"/>
                <w:kern w:val="0"/>
                <w:szCs w:val="21"/>
                <w:highlight w:val="none"/>
              </w:rPr>
              <w:t>2</w:t>
            </w:r>
            <w:r>
              <w:rPr>
                <w:rFonts w:hint="eastAsia" w:ascii="宋体" w:hAnsi="宋体" w:cs="宋体"/>
                <w:color w:val="auto"/>
                <w:szCs w:val="21"/>
                <w:highlight w:val="none"/>
              </w:rPr>
              <w:t>.</w:t>
            </w:r>
            <w:r>
              <w:rPr>
                <w:rFonts w:hint="eastAsia" w:ascii="宋体" w:hAnsi="宋体" w:cs="宋体"/>
                <w:color w:val="auto"/>
                <w:kern w:val="0"/>
                <w:szCs w:val="21"/>
                <w:highlight w:val="none"/>
              </w:rPr>
              <w:t>在质量保证期内，由成交供应商对出现的</w:t>
            </w:r>
            <w:r>
              <w:rPr>
                <w:rFonts w:hint="eastAsia" w:ascii="宋体" w:hAnsi="宋体" w:cs="宋体"/>
                <w:color w:val="auto"/>
                <w:szCs w:val="21"/>
                <w:highlight w:val="none"/>
              </w:rPr>
              <w:t>任何故障及损失，成交供应商负责维修、更换配件，并负责软件更新升级、系统维护和远程服务。</w:t>
            </w:r>
          </w:p>
          <w:p w14:paraId="496F3131">
            <w:pPr>
              <w:tabs>
                <w:tab w:val="left" w:pos="420"/>
              </w:tabs>
              <w:jc w:val="left"/>
              <w:rPr>
                <w:rFonts w:hint="eastAsia" w:ascii="宋体" w:hAnsi="宋体" w:cs="宋体"/>
                <w:color w:val="auto"/>
                <w:szCs w:val="21"/>
                <w:highlight w:val="none"/>
              </w:rPr>
            </w:pPr>
            <w:r>
              <w:rPr>
                <w:rFonts w:hint="eastAsia" w:ascii="宋体" w:hAnsi="宋体" w:cs="宋体"/>
                <w:color w:val="auto"/>
                <w:szCs w:val="21"/>
                <w:highlight w:val="none"/>
              </w:rPr>
              <w:t>3.质量保证期满后，终身维护，且以市场最优惠价格提供维修和备件更换、软件更新升级，且承诺为用户提供终身技术咨询服务。</w:t>
            </w:r>
          </w:p>
          <w:p w14:paraId="49BEFFFD">
            <w:pPr>
              <w:tabs>
                <w:tab w:val="left" w:pos="420"/>
              </w:tabs>
              <w:jc w:val="left"/>
              <w:rPr>
                <w:rFonts w:hint="eastAsia" w:ascii="宋体" w:hAnsi="宋体" w:cs="宋体"/>
                <w:color w:val="auto"/>
                <w:szCs w:val="21"/>
                <w:highlight w:val="none"/>
              </w:rPr>
            </w:pPr>
            <w:r>
              <w:rPr>
                <w:rFonts w:hint="eastAsia" w:ascii="宋体" w:hAnsi="宋体" w:cs="宋体"/>
                <w:color w:val="auto"/>
                <w:szCs w:val="21"/>
                <w:highlight w:val="none"/>
              </w:rPr>
              <w:t>4.成交供应商应为质量保证期服务配备充足的技术人员、工具和备件并保证提供的联系方式畅通。</w:t>
            </w:r>
          </w:p>
          <w:p w14:paraId="3F6F68EC">
            <w:pPr>
              <w:tabs>
                <w:tab w:val="left" w:pos="420"/>
              </w:tabs>
              <w:jc w:val="left"/>
              <w:rPr>
                <w:rFonts w:hint="eastAsia" w:ascii="宋体" w:hAnsi="宋体" w:cs="宋体"/>
                <w:color w:val="auto"/>
                <w:szCs w:val="21"/>
                <w:highlight w:val="none"/>
              </w:rPr>
            </w:pPr>
            <w:r>
              <w:rPr>
                <w:rFonts w:hint="eastAsia" w:ascii="宋体" w:hAnsi="宋体" w:cs="宋体"/>
                <w:color w:val="auto"/>
                <w:szCs w:val="21"/>
                <w:highlight w:val="none"/>
              </w:rPr>
              <w:t>5.成交供应商在质量保证期内应对设备进行定期巡检。</w:t>
            </w:r>
          </w:p>
        </w:tc>
      </w:tr>
      <w:tr w14:paraId="16ABA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2353" w:type="dxa"/>
            <w:gridSpan w:val="3"/>
            <w:vAlign w:val="center"/>
          </w:tcPr>
          <w:p w14:paraId="4A61F874">
            <w:pPr>
              <w:jc w:val="center"/>
              <w:rPr>
                <w:rFonts w:hint="eastAsia" w:ascii="宋体" w:hAnsi="宋体" w:cs="宋体"/>
                <w:color w:val="auto"/>
                <w:szCs w:val="21"/>
                <w:highlight w:val="none"/>
              </w:rPr>
            </w:pPr>
            <w:r>
              <w:rPr>
                <w:rFonts w:hint="eastAsia" w:ascii="宋体" w:hAnsi="宋体" w:cs="宋体"/>
                <w:color w:val="auto"/>
                <w:szCs w:val="21"/>
                <w:highlight w:val="none"/>
              </w:rPr>
              <w:t>售后服务要求</w:t>
            </w:r>
          </w:p>
        </w:tc>
        <w:tc>
          <w:tcPr>
            <w:tcW w:w="7601" w:type="dxa"/>
            <w:gridSpan w:val="4"/>
          </w:tcPr>
          <w:p w14:paraId="2B85533B">
            <w:pPr>
              <w:tabs>
                <w:tab w:val="left" w:pos="420"/>
              </w:tabs>
              <w:jc w:val="left"/>
              <w:rPr>
                <w:rFonts w:hint="eastAsia" w:ascii="宋体" w:hAnsi="宋体" w:cs="宋体"/>
                <w:color w:val="auto"/>
                <w:szCs w:val="21"/>
                <w:highlight w:val="none"/>
              </w:rPr>
            </w:pPr>
            <w:r>
              <w:rPr>
                <w:rFonts w:hint="eastAsia" w:ascii="宋体" w:hAnsi="宋体" w:cs="宋体"/>
                <w:color w:val="auto"/>
                <w:szCs w:val="21"/>
                <w:highlight w:val="none"/>
              </w:rPr>
              <w:t>1.负责送货上门、提供产品原厂工程师现场安装、安装调试服务、技术培训和12个月远程服务。</w:t>
            </w:r>
          </w:p>
          <w:p w14:paraId="34D6D726">
            <w:pPr>
              <w:tabs>
                <w:tab w:val="left" w:pos="420"/>
              </w:tabs>
              <w:jc w:val="left"/>
              <w:rPr>
                <w:rFonts w:hint="eastAsia" w:ascii="宋体" w:hAnsi="宋体" w:cs="宋体"/>
                <w:color w:val="auto"/>
                <w:szCs w:val="21"/>
                <w:highlight w:val="none"/>
              </w:rPr>
            </w:pPr>
            <w:r>
              <w:rPr>
                <w:rFonts w:hint="eastAsia" w:ascii="宋体" w:hAnsi="宋体" w:cs="宋体"/>
                <w:color w:val="auto"/>
                <w:szCs w:val="21"/>
                <w:highlight w:val="none"/>
              </w:rPr>
              <w:t>2.维修响应：售后服务要求7天×8小时工作制，成交供应商在接到用户维修电话后1小时内响应，3小时内到达现场处理，一般情况下24小时内恢复正常使用。若不能修复须有合理应对方案。</w:t>
            </w:r>
            <w:bookmarkStart w:id="43" w:name="_Hlk207210930"/>
            <w:r>
              <w:rPr>
                <w:rFonts w:hint="eastAsia" w:ascii="宋体" w:hAnsi="宋体" w:cs="宋体"/>
                <w:color w:val="auto"/>
                <w:szCs w:val="21"/>
                <w:highlight w:val="none"/>
              </w:rPr>
              <w:t>如果成交供应商未在上述时间内作出响应,则采购人有权自行或委托他人解决相关问题或查找和解决合同货物的故障，成交供应商应承担由此发生的全部费用。</w:t>
            </w:r>
          </w:p>
          <w:bookmarkEnd w:id="43"/>
          <w:p w14:paraId="3108A90B">
            <w:pPr>
              <w:pStyle w:val="33"/>
              <w:jc w:val="left"/>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bCs/>
                <w:color w:val="auto"/>
                <w:kern w:val="0"/>
                <w:szCs w:val="21"/>
                <w:highlight w:val="none"/>
              </w:rPr>
              <w:t>质量保证期</w:t>
            </w:r>
            <w:r>
              <w:rPr>
                <w:rFonts w:hint="eastAsia" w:ascii="宋体" w:hAnsi="宋体" w:cs="宋体"/>
                <w:color w:val="auto"/>
                <w:szCs w:val="21"/>
                <w:highlight w:val="none"/>
              </w:rPr>
              <w:t>内因设备性能故障检修三次仍不能正常使用的，一个月内重新更换新设备交付采购人。在超出</w:t>
            </w:r>
            <w:r>
              <w:rPr>
                <w:rFonts w:hint="eastAsia" w:ascii="宋体" w:hAnsi="宋体" w:cs="宋体"/>
                <w:bCs/>
                <w:color w:val="auto"/>
                <w:kern w:val="0"/>
                <w:szCs w:val="21"/>
                <w:highlight w:val="none"/>
              </w:rPr>
              <w:t>质量保证期</w:t>
            </w:r>
            <w:r>
              <w:rPr>
                <w:rFonts w:hint="eastAsia" w:ascii="宋体" w:hAnsi="宋体" w:cs="宋体"/>
                <w:color w:val="auto"/>
                <w:szCs w:val="21"/>
                <w:highlight w:val="none"/>
              </w:rPr>
              <w:t>后，如产品发生故障，可派技术员上门服务；如需更换配件，配件均按市场最优惠价格供应。</w:t>
            </w:r>
          </w:p>
          <w:p w14:paraId="3449D57A">
            <w:pPr>
              <w:jc w:val="left"/>
              <w:rPr>
                <w:rFonts w:hint="eastAsia" w:ascii="宋体" w:hAnsi="宋体" w:cs="宋体"/>
                <w:color w:val="auto"/>
                <w:szCs w:val="21"/>
                <w:highlight w:val="none"/>
              </w:rPr>
            </w:pPr>
            <w:r>
              <w:rPr>
                <w:rFonts w:hint="eastAsia" w:ascii="宋体" w:hAnsi="宋体" w:cs="宋体"/>
                <w:color w:val="auto"/>
                <w:szCs w:val="21"/>
                <w:highlight w:val="none"/>
              </w:rPr>
              <w:t>4.终身提供技术协助服务。</w:t>
            </w:r>
          </w:p>
          <w:p w14:paraId="0F8F71EE">
            <w:pPr>
              <w:tabs>
                <w:tab w:val="left" w:pos="420"/>
              </w:tabs>
              <w:jc w:val="left"/>
              <w:rPr>
                <w:rFonts w:hint="eastAsia" w:ascii="宋体" w:hAnsi="宋体" w:cs="宋体"/>
                <w:color w:val="auto"/>
                <w:szCs w:val="21"/>
                <w:highlight w:val="none"/>
              </w:rPr>
            </w:pPr>
            <w:r>
              <w:rPr>
                <w:rFonts w:hint="eastAsia" w:ascii="宋体" w:hAnsi="宋体" w:cs="宋体"/>
                <w:color w:val="auto"/>
                <w:szCs w:val="21"/>
                <w:highlight w:val="none"/>
              </w:rPr>
              <w:t>5.提供原厂技术人员对采购人的操作技术培训和相关技术资料。提供不少于2次/每年的主要设备厂商工程师安装配置等实操培训课程，场地、交通等与培训相关的费用均由成交供应商承担。</w:t>
            </w:r>
          </w:p>
          <w:p w14:paraId="0D126B51">
            <w:pPr>
              <w:tabs>
                <w:tab w:val="left" w:pos="420"/>
              </w:tabs>
              <w:jc w:val="left"/>
              <w:rPr>
                <w:rFonts w:hint="eastAsia" w:ascii="宋体" w:hAnsi="宋体" w:cs="宋体"/>
                <w:color w:val="auto"/>
                <w:szCs w:val="21"/>
                <w:highlight w:val="none"/>
              </w:rPr>
            </w:pPr>
            <w:r>
              <w:rPr>
                <w:rFonts w:hint="eastAsia" w:ascii="宋体" w:hAnsi="宋体" w:cs="宋体"/>
                <w:color w:val="auto"/>
                <w:szCs w:val="21"/>
                <w:highlight w:val="none"/>
              </w:rPr>
              <w:t>6.提供验收与培训时开机实验必须的配件及耗材,以保障验收与培训的正常开展。</w:t>
            </w:r>
          </w:p>
        </w:tc>
      </w:tr>
      <w:tr w14:paraId="63299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2353" w:type="dxa"/>
            <w:gridSpan w:val="3"/>
            <w:vAlign w:val="center"/>
          </w:tcPr>
          <w:p w14:paraId="52ADC4C4">
            <w:pPr>
              <w:jc w:val="center"/>
              <w:rPr>
                <w:rFonts w:hint="eastAsia" w:ascii="宋体" w:hAnsi="宋体" w:cs="宋体"/>
                <w:color w:val="auto"/>
                <w:kern w:val="0"/>
                <w:szCs w:val="21"/>
                <w:highlight w:val="none"/>
              </w:rPr>
            </w:pPr>
            <w:r>
              <w:rPr>
                <w:rFonts w:hint="eastAsia" w:ascii="宋体" w:hAnsi="宋体" w:cs="宋体"/>
                <w:color w:val="auto"/>
                <w:szCs w:val="21"/>
                <w:highlight w:val="none"/>
              </w:rPr>
              <w:t>履约保证金收取及退付</w:t>
            </w:r>
          </w:p>
        </w:tc>
        <w:tc>
          <w:tcPr>
            <w:tcW w:w="7601" w:type="dxa"/>
            <w:gridSpan w:val="4"/>
          </w:tcPr>
          <w:p w14:paraId="6F62634D">
            <w:pPr>
              <w:pStyle w:val="33"/>
              <w:jc w:val="left"/>
              <w:rPr>
                <w:rFonts w:hint="eastAsia" w:ascii="宋体" w:hAnsi="宋体" w:cs="宋体"/>
                <w:b/>
                <w:color w:val="auto"/>
                <w:szCs w:val="21"/>
                <w:highlight w:val="none"/>
              </w:rPr>
            </w:pPr>
            <w:r>
              <w:rPr>
                <w:rFonts w:hint="eastAsia" w:ascii="宋体" w:hAnsi="宋体" w:cs="宋体"/>
                <w:color w:val="auto"/>
                <w:szCs w:val="21"/>
                <w:highlight w:val="none"/>
              </w:rPr>
              <w:t>1.履约保证金金额：履约保证金为合同金额的5%（成交供应商为中小微企业的，履约保证金为合同金额的2%。以响应文件中提交的中小企业声明函为依据）；</w:t>
            </w:r>
            <w:r>
              <w:rPr>
                <w:rFonts w:hint="eastAsia" w:ascii="宋体" w:hAnsi="宋体" w:cs="宋体"/>
                <w:bCs/>
                <w:color w:val="auto"/>
                <w:szCs w:val="21"/>
                <w:highlight w:val="none"/>
              </w:rPr>
              <w:t>签订合同时交至指定账户</w:t>
            </w:r>
            <w:r>
              <w:rPr>
                <w:rFonts w:hint="eastAsia" w:ascii="宋体" w:hAnsi="宋体" w:cs="宋体"/>
                <w:b/>
                <w:color w:val="auto"/>
                <w:szCs w:val="21"/>
                <w:highlight w:val="none"/>
              </w:rPr>
              <w:t>。</w:t>
            </w:r>
          </w:p>
          <w:p w14:paraId="2C88617B">
            <w:pPr>
              <w:tabs>
                <w:tab w:val="left" w:pos="420"/>
              </w:tabs>
              <w:jc w:val="left"/>
              <w:rPr>
                <w:rFonts w:hint="eastAsia" w:ascii="宋体" w:hAnsi="宋体" w:cs="宋体"/>
                <w:color w:val="auto"/>
                <w:szCs w:val="21"/>
                <w:highlight w:val="none"/>
              </w:rPr>
            </w:pPr>
            <w:r>
              <w:rPr>
                <w:rFonts w:hint="eastAsia" w:ascii="宋体" w:hAnsi="宋体" w:cs="宋体"/>
                <w:color w:val="auto"/>
                <w:szCs w:val="21"/>
                <w:highlight w:val="none"/>
              </w:rPr>
              <w:t>2.履约保证金递交方式：银行转账、保函等非现金方式。由成交供应商在签订合同时按规定的金额直接缴入以下采购人账户或将保函原件交给采购人。</w:t>
            </w:r>
          </w:p>
          <w:p w14:paraId="071083BA">
            <w:pPr>
              <w:tabs>
                <w:tab w:val="left" w:pos="420"/>
              </w:tabs>
              <w:jc w:val="left"/>
              <w:rPr>
                <w:rFonts w:hint="eastAsia" w:ascii="宋体" w:hAnsi="宋体" w:cs="宋体"/>
                <w:color w:val="auto"/>
                <w:szCs w:val="21"/>
                <w:highlight w:val="none"/>
              </w:rPr>
            </w:pPr>
            <w:r>
              <w:rPr>
                <w:rFonts w:hint="eastAsia" w:ascii="宋体" w:hAnsi="宋体" w:cs="宋体"/>
                <w:color w:val="auto"/>
                <w:szCs w:val="21"/>
                <w:highlight w:val="none"/>
              </w:rPr>
              <w:t>统一社会信用代码：124500004985009929</w:t>
            </w:r>
          </w:p>
          <w:p w14:paraId="1F9A3A75">
            <w:pPr>
              <w:tabs>
                <w:tab w:val="left" w:pos="420"/>
              </w:tabs>
              <w:jc w:val="left"/>
              <w:rPr>
                <w:rFonts w:hint="eastAsia" w:ascii="宋体" w:hAnsi="宋体" w:cs="宋体"/>
                <w:color w:val="auto"/>
                <w:szCs w:val="21"/>
                <w:highlight w:val="none"/>
              </w:rPr>
            </w:pPr>
            <w:r>
              <w:rPr>
                <w:rFonts w:hint="eastAsia" w:ascii="宋体" w:hAnsi="宋体" w:cs="宋体"/>
                <w:color w:val="auto"/>
                <w:szCs w:val="21"/>
                <w:highlight w:val="none"/>
              </w:rPr>
              <w:t>户名：广西大学</w:t>
            </w:r>
          </w:p>
          <w:p w14:paraId="7AC163B5">
            <w:pPr>
              <w:tabs>
                <w:tab w:val="left" w:pos="420"/>
              </w:tabs>
              <w:jc w:val="left"/>
              <w:rPr>
                <w:rFonts w:hint="eastAsia" w:ascii="宋体" w:hAnsi="宋体" w:cs="宋体"/>
                <w:color w:val="auto"/>
                <w:szCs w:val="21"/>
                <w:highlight w:val="none"/>
              </w:rPr>
            </w:pPr>
            <w:r>
              <w:rPr>
                <w:rFonts w:hint="eastAsia" w:ascii="宋体" w:hAnsi="宋体" w:cs="宋体"/>
                <w:color w:val="auto"/>
                <w:szCs w:val="21"/>
                <w:highlight w:val="none"/>
              </w:rPr>
              <w:t>开户行：中国银行广西南宁市西大支行（行号：104611010324）</w:t>
            </w:r>
          </w:p>
          <w:p w14:paraId="681B0259">
            <w:pPr>
              <w:tabs>
                <w:tab w:val="left" w:pos="420"/>
              </w:tabs>
              <w:jc w:val="left"/>
              <w:rPr>
                <w:rFonts w:hint="eastAsia" w:ascii="宋体" w:hAnsi="宋体" w:cs="宋体"/>
                <w:color w:val="auto"/>
                <w:szCs w:val="21"/>
                <w:highlight w:val="none"/>
              </w:rPr>
            </w:pPr>
            <w:r>
              <w:rPr>
                <w:rFonts w:hint="eastAsia" w:ascii="宋体" w:hAnsi="宋体" w:cs="宋体"/>
                <w:color w:val="auto"/>
                <w:szCs w:val="21"/>
                <w:highlight w:val="none"/>
              </w:rPr>
              <w:t>账号：618 457 484 938</w:t>
            </w:r>
          </w:p>
          <w:p w14:paraId="6F360A3D">
            <w:pPr>
              <w:tabs>
                <w:tab w:val="left" w:pos="420"/>
              </w:tabs>
              <w:jc w:val="left"/>
              <w:rPr>
                <w:rFonts w:hint="eastAsia" w:ascii="宋体" w:hAnsi="宋体" w:cs="宋体"/>
                <w:color w:val="auto"/>
                <w:szCs w:val="21"/>
                <w:highlight w:val="none"/>
              </w:rPr>
            </w:pPr>
            <w:r>
              <w:rPr>
                <w:rFonts w:hint="eastAsia" w:ascii="宋体" w:hAnsi="宋体" w:cs="宋体"/>
                <w:color w:val="auto"/>
                <w:szCs w:val="21"/>
                <w:highlight w:val="none"/>
              </w:rPr>
              <w:t>地址：广西壮族自治区南宁市大学东路100号  电话：0771-3232888</w:t>
            </w:r>
          </w:p>
          <w:p w14:paraId="0733B44F">
            <w:pPr>
              <w:tabs>
                <w:tab w:val="left" w:pos="420"/>
              </w:tabs>
              <w:jc w:val="left"/>
              <w:rPr>
                <w:rFonts w:hint="eastAsia" w:ascii="宋体" w:hAnsi="宋体" w:cs="宋体"/>
                <w:b/>
                <w:color w:val="auto"/>
                <w:szCs w:val="21"/>
                <w:highlight w:val="none"/>
              </w:rPr>
            </w:pPr>
            <w:r>
              <w:rPr>
                <w:rFonts w:hint="eastAsia" w:ascii="宋体" w:hAnsi="宋体" w:cs="宋体"/>
                <w:b/>
                <w:color w:val="auto"/>
                <w:szCs w:val="21"/>
                <w:highlight w:val="none"/>
              </w:rPr>
              <w:t>缴纳履约保证金注明：“项目名称+项目编号”履约保证金。</w:t>
            </w:r>
          </w:p>
          <w:p w14:paraId="6598EEC6">
            <w:pPr>
              <w:tabs>
                <w:tab w:val="left" w:pos="420"/>
              </w:tabs>
              <w:jc w:val="left"/>
              <w:rPr>
                <w:rFonts w:hint="eastAsia" w:ascii="宋体" w:hAnsi="宋体" w:cs="宋体"/>
                <w:color w:val="auto"/>
                <w:szCs w:val="21"/>
                <w:highlight w:val="none"/>
              </w:rPr>
            </w:pPr>
            <w:r>
              <w:rPr>
                <w:rFonts w:hint="eastAsia" w:ascii="宋体" w:hAnsi="宋体" w:cs="宋体"/>
                <w:color w:val="auto"/>
                <w:szCs w:val="21"/>
                <w:highlight w:val="none"/>
              </w:rPr>
              <w:t>3.履约保证金退付方式、时间及条件：成交供应商若不能完全履行合同，履约保证金不予退还；成交供应商若完全履行合同，货物验收合格后，成交供应商凭履约保证金财务凭证到采购人财务部门办理无息退还手续。</w:t>
            </w:r>
          </w:p>
          <w:p w14:paraId="370D04FC">
            <w:pPr>
              <w:tabs>
                <w:tab w:val="left" w:pos="420"/>
              </w:tabs>
              <w:jc w:val="left"/>
              <w:rPr>
                <w:rFonts w:hint="eastAsia" w:ascii="宋体" w:hAnsi="宋体" w:cs="宋体"/>
                <w:color w:val="auto"/>
                <w:szCs w:val="21"/>
                <w:highlight w:val="none"/>
              </w:rPr>
            </w:pPr>
            <w:r>
              <w:rPr>
                <w:rFonts w:hint="eastAsia" w:ascii="宋体" w:hAnsi="宋体" w:cs="宋体"/>
                <w:color w:val="auto"/>
                <w:szCs w:val="21"/>
                <w:highlight w:val="none"/>
              </w:rPr>
              <w:t>4.备注：</w:t>
            </w:r>
          </w:p>
          <w:p w14:paraId="09851656">
            <w:pPr>
              <w:tabs>
                <w:tab w:val="left" w:pos="420"/>
              </w:tabs>
              <w:jc w:val="left"/>
              <w:rPr>
                <w:rFonts w:hint="eastAsia" w:ascii="宋体" w:hAnsi="宋体" w:cs="宋体"/>
                <w:color w:val="auto"/>
                <w:szCs w:val="21"/>
                <w:highlight w:val="none"/>
              </w:rPr>
            </w:pPr>
            <w:r>
              <w:rPr>
                <w:rFonts w:hint="eastAsia" w:ascii="宋体" w:hAnsi="宋体" w:cs="宋体"/>
                <w:color w:val="auto"/>
                <w:szCs w:val="21"/>
                <w:highlight w:val="none"/>
              </w:rPr>
              <w:t>（1）履约保证金必须足额缴纳，或出具的保函额度必须足额且保函有效期不能低于合同履行期限（即签订采购合同之日起至履行完合同约定的权利及义务之日止），否则视为无效履约保证金。</w:t>
            </w:r>
          </w:p>
          <w:p w14:paraId="51B68C1A">
            <w:pPr>
              <w:pStyle w:val="33"/>
              <w:jc w:val="left"/>
              <w:rPr>
                <w:rFonts w:hint="eastAsia" w:ascii="宋体" w:hAnsi="宋体" w:cs="宋体"/>
                <w:color w:val="auto"/>
                <w:szCs w:val="21"/>
                <w:highlight w:val="none"/>
              </w:rPr>
            </w:pPr>
            <w:r>
              <w:rPr>
                <w:rFonts w:hint="eastAsia" w:ascii="宋体" w:hAnsi="宋体" w:cs="宋体"/>
                <w:color w:val="auto"/>
                <w:szCs w:val="21"/>
                <w:highlight w:val="none"/>
              </w:rPr>
              <w:t>（2）采用保函的，必须为无条件的保函，否则视为无效履约保证金。</w:t>
            </w:r>
          </w:p>
        </w:tc>
      </w:tr>
      <w:tr w14:paraId="01C47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2353" w:type="dxa"/>
            <w:gridSpan w:val="3"/>
            <w:vAlign w:val="center"/>
          </w:tcPr>
          <w:p w14:paraId="4DA197EA">
            <w:pPr>
              <w:jc w:val="center"/>
              <w:rPr>
                <w:rFonts w:hint="eastAsia" w:ascii="宋体" w:hAnsi="宋体" w:cs="宋体"/>
                <w:color w:val="auto"/>
                <w:szCs w:val="21"/>
                <w:highlight w:val="none"/>
              </w:rPr>
            </w:pPr>
            <w:r>
              <w:rPr>
                <w:rFonts w:hint="eastAsia" w:ascii="宋体" w:hAnsi="宋体" w:cs="宋体"/>
                <w:color w:val="auto"/>
                <w:szCs w:val="21"/>
                <w:highlight w:val="none"/>
              </w:rPr>
              <w:t>付款方式</w:t>
            </w:r>
          </w:p>
        </w:tc>
        <w:tc>
          <w:tcPr>
            <w:tcW w:w="7601" w:type="dxa"/>
            <w:gridSpan w:val="4"/>
            <w:vAlign w:val="center"/>
          </w:tcPr>
          <w:p w14:paraId="3A3048EF">
            <w:pPr>
              <w:tabs>
                <w:tab w:val="left" w:pos="420"/>
              </w:tabs>
              <w:jc w:val="left"/>
              <w:rPr>
                <w:rFonts w:hint="eastAsia" w:ascii="宋体" w:hAnsi="宋体" w:cs="宋体"/>
                <w:color w:val="auto"/>
                <w:szCs w:val="21"/>
                <w:highlight w:val="none"/>
              </w:rPr>
            </w:pPr>
            <w:r>
              <w:rPr>
                <w:rFonts w:hint="eastAsia" w:ascii="宋体" w:hAnsi="宋体" w:cs="宋体"/>
                <w:color w:val="auto"/>
                <w:szCs w:val="21"/>
                <w:highlight w:val="none"/>
              </w:rPr>
              <w:t>本项目无预付款，全部货物安装调试完毕、完成所有服务内容并经验收合格后，采购人</w:t>
            </w:r>
            <w:bookmarkStart w:id="44" w:name="OLE_LINK9"/>
            <w:r>
              <w:rPr>
                <w:rFonts w:hint="eastAsia" w:ascii="宋体" w:hAnsi="宋体" w:cs="宋体"/>
                <w:color w:val="auto"/>
                <w:szCs w:val="21"/>
                <w:highlight w:val="none"/>
              </w:rPr>
              <w:t>办理完支付手续后</w:t>
            </w:r>
            <w:bookmarkEnd w:id="44"/>
            <w:r>
              <w:rPr>
                <w:rFonts w:hint="eastAsia" w:ascii="宋体" w:hAnsi="宋体" w:cs="宋体"/>
                <w:color w:val="auto"/>
                <w:szCs w:val="21"/>
                <w:highlight w:val="none"/>
              </w:rPr>
              <w:t>一次性向成交供应商支付全部合同款（无息）；付款前，成交供应商开具等额增值税专用发票给采购人。</w:t>
            </w:r>
          </w:p>
        </w:tc>
      </w:tr>
      <w:tr w14:paraId="4EFBE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1" w:hRule="atLeast"/>
          <w:jc w:val="center"/>
        </w:trPr>
        <w:tc>
          <w:tcPr>
            <w:tcW w:w="2353" w:type="dxa"/>
            <w:gridSpan w:val="3"/>
            <w:vAlign w:val="center"/>
          </w:tcPr>
          <w:p w14:paraId="69965164">
            <w:pPr>
              <w:jc w:val="center"/>
              <w:rPr>
                <w:rFonts w:hint="eastAsia" w:ascii="宋体" w:hAnsi="宋体" w:cs="宋体"/>
                <w:b/>
                <w:color w:val="auto"/>
                <w:kern w:val="1"/>
                <w:szCs w:val="21"/>
                <w:highlight w:val="none"/>
              </w:rPr>
            </w:pPr>
            <w:r>
              <w:rPr>
                <w:rFonts w:hint="eastAsia" w:ascii="宋体" w:hAnsi="宋体" w:cs="宋体"/>
                <w:b/>
                <w:color w:val="auto"/>
                <w:szCs w:val="21"/>
                <w:highlight w:val="none"/>
              </w:rPr>
              <w:t>其他要求</w:t>
            </w:r>
          </w:p>
        </w:tc>
        <w:tc>
          <w:tcPr>
            <w:tcW w:w="7601" w:type="dxa"/>
            <w:gridSpan w:val="4"/>
            <w:vAlign w:val="center"/>
          </w:tcPr>
          <w:p w14:paraId="72436ACF">
            <w:pPr>
              <w:pStyle w:val="33"/>
              <w:rPr>
                <w:rFonts w:hint="eastAsia" w:ascii="宋体" w:hAnsi="宋体" w:cs="宋体"/>
                <w:color w:val="auto"/>
                <w:szCs w:val="21"/>
                <w:highlight w:val="none"/>
              </w:rPr>
            </w:pPr>
            <w:r>
              <w:rPr>
                <w:rFonts w:hint="eastAsia" w:ascii="宋体" w:hAnsi="宋体" w:cs="宋体"/>
                <w:color w:val="auto"/>
                <w:szCs w:val="21"/>
                <w:highlight w:val="none"/>
              </w:rPr>
              <w:t>1.要求供货产品是全新的、未经改装的、合格的、满足本项目技术需求及要求的货物。所有零部件、配件必须是未经使用的全新的并符合国家有关质量安全标准的产品。提供设备使用培训、操作技能训练等；提供相关设备说明书、管理和配置指南手册、使用手册和故障定位/排除指南手册等。</w:t>
            </w:r>
          </w:p>
          <w:p w14:paraId="64F9FBA2">
            <w:pPr>
              <w:pStyle w:val="33"/>
              <w:rPr>
                <w:rFonts w:hint="eastAsia" w:ascii="宋体" w:hAnsi="宋体" w:cs="宋体"/>
                <w:color w:val="auto"/>
                <w:szCs w:val="21"/>
                <w:highlight w:val="none"/>
              </w:rPr>
            </w:pPr>
            <w:r>
              <w:rPr>
                <w:rFonts w:hint="eastAsia" w:ascii="宋体" w:hAnsi="宋体" w:cs="宋体"/>
                <w:color w:val="auto"/>
                <w:szCs w:val="21"/>
                <w:highlight w:val="none"/>
              </w:rPr>
              <w:t>2.本项目实行总价包干制，报价合计金额包括货物价款、配套软件、标准附件、随配附件、备品备件、辅助材料、专用工具、包装、运抵指定交货地点、运输、装卸、完工清场清洁、货到就位、安装、调试、检验、技术培训、技术资料、售后服务、保险、投标费用、预验收及履约验收及售后服务、人工费、一切税费等全部费用。税费因政策等原因发生变化的，由成交供应商承担。合同履行过程中，采购人不再支付合同以外的其他费用。</w:t>
            </w:r>
          </w:p>
          <w:p w14:paraId="50E98184">
            <w:pPr>
              <w:pStyle w:val="33"/>
              <w:rPr>
                <w:rFonts w:hint="eastAsia" w:ascii="宋体" w:hAnsi="宋体" w:cs="宋体"/>
                <w:color w:val="auto"/>
                <w:szCs w:val="21"/>
                <w:highlight w:val="none"/>
              </w:rPr>
            </w:pPr>
            <w:r>
              <w:rPr>
                <w:rFonts w:hint="eastAsia" w:ascii="宋体" w:hAnsi="宋体" w:cs="宋体"/>
                <w:color w:val="auto"/>
                <w:szCs w:val="21"/>
                <w:highlight w:val="none"/>
              </w:rPr>
              <w:t>3.成交供应商承担货物交付验收前的运输、安装等作业工人人身、设备安全责任。验收前，如果设备丢失、因供应商自身原因及第三方原因导致损坏，成交供应商应自行负责并承担不能交付货物的责任。</w:t>
            </w:r>
          </w:p>
          <w:p w14:paraId="0698F4E4">
            <w:pPr>
              <w:pStyle w:val="33"/>
              <w:rPr>
                <w:rFonts w:hint="eastAsia" w:ascii="宋体" w:hAnsi="宋体" w:cs="宋体"/>
                <w:color w:val="auto"/>
                <w:szCs w:val="21"/>
                <w:highlight w:val="none"/>
              </w:rPr>
            </w:pPr>
            <w:r>
              <w:rPr>
                <w:rFonts w:hint="eastAsia" w:ascii="宋体" w:hAnsi="宋体" w:cs="宋体"/>
                <w:color w:val="auto"/>
                <w:szCs w:val="21"/>
                <w:highlight w:val="none"/>
              </w:rPr>
              <w:t>4.本项目不接受进口产品（即通过中国海关报关验放进入中国境内且产自关境外的产品）参与</w:t>
            </w:r>
            <w:r>
              <w:rPr>
                <w:rFonts w:hint="eastAsia" w:ascii="宋体" w:hAnsi="宋体" w:cs="宋体"/>
                <w:color w:val="auto"/>
                <w:szCs w:val="21"/>
                <w:highlight w:val="none"/>
                <w:lang w:bidi="ar"/>
              </w:rPr>
              <w:t>竞争性谈判</w:t>
            </w:r>
            <w:r>
              <w:rPr>
                <w:rFonts w:hint="eastAsia" w:ascii="宋体" w:hAnsi="宋体" w:cs="宋体"/>
                <w:color w:val="auto"/>
                <w:szCs w:val="21"/>
                <w:highlight w:val="none"/>
              </w:rPr>
              <w:t>，如有此类产品参与</w:t>
            </w:r>
            <w:r>
              <w:rPr>
                <w:rFonts w:hint="eastAsia" w:ascii="宋体" w:hAnsi="宋体" w:cs="宋体"/>
                <w:color w:val="auto"/>
                <w:szCs w:val="21"/>
                <w:highlight w:val="none"/>
                <w:lang w:bidi="ar"/>
              </w:rPr>
              <w:t>竞争性谈判</w:t>
            </w:r>
            <w:r>
              <w:rPr>
                <w:rFonts w:hint="eastAsia" w:ascii="宋体" w:hAnsi="宋体" w:cs="宋体"/>
                <w:color w:val="auto"/>
                <w:szCs w:val="21"/>
                <w:highlight w:val="none"/>
              </w:rPr>
              <w:t>的按无效响应处理。</w:t>
            </w:r>
          </w:p>
          <w:p w14:paraId="260D4684">
            <w:pPr>
              <w:pStyle w:val="33"/>
              <w:rPr>
                <w:color w:val="auto"/>
                <w:szCs w:val="21"/>
                <w:highlight w:val="none"/>
              </w:rPr>
            </w:pPr>
            <w:r>
              <w:rPr>
                <w:rFonts w:hint="eastAsia" w:ascii="宋体" w:hAnsi="宋体" w:cs="宋体"/>
                <w:color w:val="auto"/>
                <w:szCs w:val="21"/>
                <w:highlight w:val="none"/>
              </w:rPr>
              <w:t>5、本分标的核心产品为：第2项“</w:t>
            </w:r>
            <w:r>
              <w:rPr>
                <w:rFonts w:hint="eastAsia" w:ascii="宋体" w:hAnsi="宋体" w:cs="宋体"/>
                <w:color w:val="auto"/>
                <w:kern w:val="0"/>
                <w:sz w:val="24"/>
                <w:highlight w:val="none"/>
              </w:rPr>
              <w:t>XGS-PON ONU</w:t>
            </w:r>
            <w:r>
              <w:rPr>
                <w:rFonts w:hint="eastAsia" w:ascii="宋体" w:hAnsi="宋体" w:cs="宋体"/>
                <w:color w:val="auto"/>
                <w:szCs w:val="21"/>
                <w:highlight w:val="none"/>
              </w:rPr>
              <w:t>”</w:t>
            </w:r>
          </w:p>
        </w:tc>
      </w:tr>
    </w:tbl>
    <w:p w14:paraId="46736F9B">
      <w:pPr>
        <w:rPr>
          <w:rFonts w:hint="eastAsia" w:ascii="宋体" w:hAnsi="宋体" w:cs="宋体"/>
          <w:color w:val="auto"/>
          <w:highlight w:val="none"/>
        </w:rPr>
      </w:pPr>
      <w:r>
        <w:rPr>
          <w:rFonts w:hint="eastAsia" w:ascii="宋体" w:hAnsi="宋体" w:cs="宋体"/>
          <w:color w:val="auto"/>
          <w:highlight w:val="none"/>
        </w:rPr>
        <w:br w:type="page"/>
      </w:r>
    </w:p>
    <w:p w14:paraId="2BCDFA0C">
      <w:pPr>
        <w:spacing w:line="428" w:lineRule="exact"/>
        <w:ind w:left="119"/>
        <w:rPr>
          <w:rFonts w:hint="eastAsia" w:ascii="宋体" w:hAnsi="宋体" w:cs="宋体"/>
          <w:color w:val="auto"/>
          <w:sz w:val="24"/>
          <w:szCs w:val="32"/>
          <w:highlight w:val="none"/>
        </w:rPr>
      </w:pPr>
      <w:r>
        <w:rPr>
          <w:rFonts w:hint="eastAsia" w:ascii="宋体" w:hAnsi="宋体" w:cs="宋体"/>
          <w:color w:val="auto"/>
          <w:sz w:val="24"/>
          <w:szCs w:val="32"/>
          <w:highlight w:val="none"/>
        </w:rPr>
        <w:t>分标2</w:t>
      </w:r>
    </w:p>
    <w:tbl>
      <w:tblPr>
        <w:tblStyle w:val="26"/>
        <w:tblW w:w="99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6"/>
        <w:gridCol w:w="1247"/>
        <w:gridCol w:w="690"/>
        <w:gridCol w:w="540"/>
        <w:gridCol w:w="4395"/>
        <w:gridCol w:w="1275"/>
        <w:gridCol w:w="1391"/>
      </w:tblGrid>
      <w:tr w14:paraId="6E7E7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exact"/>
          <w:jc w:val="center"/>
        </w:trPr>
        <w:tc>
          <w:tcPr>
            <w:tcW w:w="416" w:type="dxa"/>
            <w:vAlign w:val="center"/>
          </w:tcPr>
          <w:p w14:paraId="1D8178D9">
            <w:pPr>
              <w:spacing w:line="400" w:lineRule="exact"/>
              <w:jc w:val="center"/>
              <w:rPr>
                <w:rFonts w:hint="eastAsia" w:ascii="宋体" w:hAnsi="宋体" w:cs="宋体"/>
                <w:b/>
                <w:bCs/>
                <w:color w:val="auto"/>
                <w:sz w:val="24"/>
                <w:highlight w:val="none"/>
              </w:rPr>
            </w:pPr>
            <w:r>
              <w:rPr>
                <w:rFonts w:hint="eastAsia" w:ascii="宋体" w:hAnsi="宋体" w:cs="宋体"/>
                <w:b/>
                <w:bCs/>
                <w:color w:val="auto"/>
                <w:sz w:val="24"/>
                <w:highlight w:val="none"/>
              </w:rPr>
              <w:t>序号</w:t>
            </w:r>
          </w:p>
        </w:tc>
        <w:tc>
          <w:tcPr>
            <w:tcW w:w="1247" w:type="dxa"/>
            <w:vAlign w:val="center"/>
          </w:tcPr>
          <w:p w14:paraId="0B05DAF3">
            <w:pPr>
              <w:spacing w:line="400" w:lineRule="exact"/>
              <w:jc w:val="center"/>
              <w:rPr>
                <w:rFonts w:hint="eastAsia" w:ascii="宋体" w:hAnsi="宋体" w:cs="宋体"/>
                <w:b/>
                <w:bCs/>
                <w:color w:val="auto"/>
                <w:sz w:val="24"/>
                <w:highlight w:val="none"/>
              </w:rPr>
            </w:pPr>
            <w:r>
              <w:rPr>
                <w:rFonts w:hint="eastAsia" w:ascii="宋体" w:hAnsi="宋体" w:cs="宋体"/>
                <w:b/>
                <w:bCs/>
                <w:color w:val="auto"/>
                <w:sz w:val="24"/>
                <w:highlight w:val="none"/>
              </w:rPr>
              <w:t>标的名称</w:t>
            </w:r>
          </w:p>
        </w:tc>
        <w:tc>
          <w:tcPr>
            <w:tcW w:w="690" w:type="dxa"/>
            <w:vAlign w:val="center"/>
          </w:tcPr>
          <w:p w14:paraId="7AAD6601">
            <w:pPr>
              <w:spacing w:line="400" w:lineRule="exact"/>
              <w:jc w:val="center"/>
              <w:rPr>
                <w:rFonts w:hint="eastAsia" w:ascii="宋体" w:hAnsi="宋体" w:cs="宋体"/>
                <w:b/>
                <w:bCs/>
                <w:color w:val="auto"/>
                <w:sz w:val="24"/>
                <w:highlight w:val="none"/>
              </w:rPr>
            </w:pPr>
            <w:r>
              <w:rPr>
                <w:rFonts w:hint="eastAsia" w:ascii="宋体" w:hAnsi="宋体" w:cs="宋体"/>
                <w:b/>
                <w:bCs/>
                <w:color w:val="auto"/>
                <w:sz w:val="24"/>
                <w:highlight w:val="none"/>
              </w:rPr>
              <w:t>数量</w:t>
            </w:r>
          </w:p>
        </w:tc>
        <w:tc>
          <w:tcPr>
            <w:tcW w:w="540" w:type="dxa"/>
            <w:vAlign w:val="center"/>
          </w:tcPr>
          <w:p w14:paraId="692F2A60">
            <w:pPr>
              <w:spacing w:line="400" w:lineRule="exact"/>
              <w:jc w:val="center"/>
              <w:rPr>
                <w:rFonts w:hint="eastAsia" w:ascii="宋体" w:hAnsi="宋体" w:cs="宋体"/>
                <w:b/>
                <w:bCs/>
                <w:color w:val="auto"/>
                <w:sz w:val="24"/>
                <w:highlight w:val="none"/>
              </w:rPr>
            </w:pPr>
            <w:r>
              <w:rPr>
                <w:rFonts w:hint="eastAsia" w:ascii="宋体" w:hAnsi="宋体" w:cs="宋体"/>
                <w:b/>
                <w:bCs/>
                <w:color w:val="auto"/>
                <w:sz w:val="24"/>
                <w:highlight w:val="none"/>
              </w:rPr>
              <w:t>单位</w:t>
            </w:r>
          </w:p>
        </w:tc>
        <w:tc>
          <w:tcPr>
            <w:tcW w:w="4395" w:type="dxa"/>
            <w:vAlign w:val="center"/>
          </w:tcPr>
          <w:p w14:paraId="51798203">
            <w:pPr>
              <w:spacing w:line="400" w:lineRule="exact"/>
              <w:jc w:val="center"/>
              <w:rPr>
                <w:rFonts w:hint="eastAsia" w:ascii="宋体" w:hAnsi="宋体" w:cs="宋体"/>
                <w:b/>
                <w:bCs/>
                <w:color w:val="auto"/>
                <w:sz w:val="24"/>
                <w:highlight w:val="none"/>
              </w:rPr>
            </w:pPr>
            <w:r>
              <w:rPr>
                <w:rFonts w:hint="eastAsia" w:ascii="宋体" w:hAnsi="宋体" w:cs="宋体"/>
                <w:b/>
                <w:bCs/>
                <w:color w:val="auto"/>
                <w:kern w:val="0"/>
                <w:sz w:val="24"/>
                <w:highlight w:val="none"/>
              </w:rPr>
              <w:t>技术参数及性能（配置）要求</w:t>
            </w:r>
          </w:p>
        </w:tc>
        <w:tc>
          <w:tcPr>
            <w:tcW w:w="1275" w:type="dxa"/>
          </w:tcPr>
          <w:p w14:paraId="3D7D7E76">
            <w:pPr>
              <w:spacing w:line="400" w:lineRule="exact"/>
              <w:jc w:val="center"/>
              <w:rPr>
                <w:rFonts w:hint="eastAsia" w:ascii="宋体" w:hAnsi="宋体" w:cs="宋体"/>
                <w:b/>
                <w:bCs/>
                <w:color w:val="auto"/>
                <w:sz w:val="24"/>
                <w:highlight w:val="none"/>
              </w:rPr>
            </w:pPr>
            <w:r>
              <w:rPr>
                <w:rFonts w:hint="eastAsia" w:ascii="宋体" w:hAnsi="宋体" w:cs="宋体"/>
                <w:b/>
                <w:bCs/>
                <w:color w:val="auto"/>
                <w:kern w:val="0"/>
                <w:sz w:val="24"/>
                <w:highlight w:val="none"/>
              </w:rPr>
              <w:t>预算单价（万元/人民币）</w:t>
            </w:r>
          </w:p>
        </w:tc>
        <w:tc>
          <w:tcPr>
            <w:tcW w:w="1391" w:type="dxa"/>
          </w:tcPr>
          <w:p w14:paraId="126958C0">
            <w:pPr>
              <w:spacing w:line="400" w:lineRule="exact"/>
              <w:jc w:val="center"/>
              <w:rPr>
                <w:rFonts w:hint="eastAsia" w:ascii="宋体" w:hAnsi="宋体" w:cs="宋体"/>
                <w:b/>
                <w:bCs/>
                <w:color w:val="auto"/>
                <w:sz w:val="24"/>
                <w:highlight w:val="none"/>
              </w:rPr>
            </w:pPr>
            <w:r>
              <w:rPr>
                <w:rFonts w:hint="eastAsia" w:ascii="宋体" w:hAnsi="宋体" w:cs="宋体"/>
                <w:b/>
                <w:bCs/>
                <w:color w:val="auto"/>
                <w:kern w:val="0"/>
                <w:sz w:val="24"/>
                <w:highlight w:val="none"/>
              </w:rPr>
              <w:t>单项预算合计（万元/人民币）</w:t>
            </w:r>
          </w:p>
        </w:tc>
      </w:tr>
      <w:tr w14:paraId="63F78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416" w:type="dxa"/>
            <w:vAlign w:val="center"/>
          </w:tcPr>
          <w:p w14:paraId="355FC317">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1</w:t>
            </w:r>
          </w:p>
        </w:tc>
        <w:tc>
          <w:tcPr>
            <w:tcW w:w="1247" w:type="dxa"/>
            <w:vAlign w:val="center"/>
          </w:tcPr>
          <w:p w14:paraId="594DBF2D">
            <w:pPr>
              <w:spacing w:line="400" w:lineRule="exact"/>
              <w:jc w:val="center"/>
              <w:rPr>
                <w:rFonts w:hint="eastAsia" w:ascii="宋体" w:hAnsi="宋体" w:cs="宋体"/>
                <w:color w:val="auto"/>
                <w:kern w:val="0"/>
                <w:sz w:val="24"/>
                <w:highlight w:val="none"/>
              </w:rPr>
            </w:pPr>
            <w:r>
              <w:rPr>
                <w:rFonts w:hint="eastAsia" w:ascii="宋体" w:hAnsi="宋体" w:cs="宋体"/>
                <w:color w:val="auto"/>
                <w:highlight w:val="none"/>
              </w:rPr>
              <w:t>XGS PON板卡</w:t>
            </w:r>
          </w:p>
        </w:tc>
        <w:tc>
          <w:tcPr>
            <w:tcW w:w="690" w:type="dxa"/>
            <w:vAlign w:val="center"/>
          </w:tcPr>
          <w:p w14:paraId="3365223D">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1</w:t>
            </w:r>
          </w:p>
        </w:tc>
        <w:tc>
          <w:tcPr>
            <w:tcW w:w="540" w:type="dxa"/>
            <w:vAlign w:val="center"/>
          </w:tcPr>
          <w:p w14:paraId="464E7169">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块</w:t>
            </w:r>
          </w:p>
        </w:tc>
        <w:tc>
          <w:tcPr>
            <w:tcW w:w="4395" w:type="dxa"/>
            <w:vAlign w:val="center"/>
          </w:tcPr>
          <w:p w14:paraId="1840ACD3">
            <w:pPr>
              <w:adjustRightInd w:val="0"/>
              <w:snapToGrid w:val="0"/>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1、不低于16端口XGSPON COMBO OLT接口板,支持Type B单/双归属(含XGS-PON COMBO光模块)</w:t>
            </w:r>
            <w:r>
              <w:rPr>
                <w:rFonts w:hint="eastAsia" w:ascii="宋体" w:hAnsi="宋体" w:cs="宋体"/>
                <w:color w:val="auto"/>
                <w:szCs w:val="21"/>
                <w:highlight w:val="none"/>
              </w:rPr>
              <w:br w:type="textWrapping"/>
            </w:r>
            <w:r>
              <w:rPr>
                <w:rFonts w:hint="eastAsia" w:ascii="宋体" w:hAnsi="宋体" w:cs="宋体"/>
                <w:color w:val="auto"/>
                <w:szCs w:val="21"/>
                <w:highlight w:val="none"/>
              </w:rPr>
              <w:t>2、支持实时流氓ONT检测和隔离，确保业务稳定运行</w:t>
            </w:r>
            <w:r>
              <w:rPr>
                <w:rFonts w:hint="eastAsia" w:ascii="宋体" w:hAnsi="宋体" w:cs="宋体"/>
                <w:color w:val="auto"/>
                <w:szCs w:val="21"/>
                <w:highlight w:val="none"/>
              </w:rPr>
              <w:br w:type="textWrapping"/>
            </w:r>
            <w:r>
              <w:rPr>
                <w:rFonts w:hint="eastAsia" w:ascii="宋体" w:hAnsi="宋体" w:cs="宋体"/>
                <w:color w:val="auto"/>
                <w:szCs w:val="21"/>
                <w:highlight w:val="none"/>
              </w:rPr>
              <w:t>▲3、必须要与现网OLT（华为：SmartAX EA5800-X15）兼容使用，（响应时须在响应文件中提供兼容承诺函，并加盖投标人公章。）如无法对接兼容，需重新提供一整套可替换原有OLT及配套满足现有PON端口的设备，并提供单套最多可以管理≥15000台设备的可无限期使用的正版网络管理平台</w:t>
            </w:r>
            <w:r>
              <w:rPr>
                <w:rFonts w:hint="eastAsia" w:ascii="宋体" w:hAnsi="宋体" w:cs="宋体"/>
                <w:color w:val="auto"/>
                <w:szCs w:val="21"/>
                <w:highlight w:val="none"/>
              </w:rPr>
              <w:br w:type="textWrapping"/>
            </w:r>
            <w:r>
              <w:rPr>
                <w:rFonts w:hint="eastAsia" w:ascii="宋体" w:hAnsi="宋体" w:cs="宋体"/>
                <w:color w:val="auto"/>
                <w:szCs w:val="21"/>
                <w:highlight w:val="none"/>
              </w:rPr>
              <w:t>▲4、为保证服务质量，供货时须提供原厂供货证明。</w:t>
            </w:r>
          </w:p>
          <w:p w14:paraId="2DA18813">
            <w:pPr>
              <w:adjustRightInd w:val="0"/>
              <w:snapToGrid w:val="0"/>
              <w:spacing w:line="320" w:lineRule="exact"/>
              <w:jc w:val="left"/>
              <w:rPr>
                <w:rFonts w:hint="eastAsia" w:ascii="宋体" w:hAnsi="宋体" w:cs="宋体"/>
                <w:color w:val="auto"/>
                <w:highlight w:val="none"/>
              </w:rPr>
            </w:pPr>
            <w:r>
              <w:rPr>
                <w:rFonts w:hint="eastAsia" w:ascii="宋体" w:hAnsi="宋体" w:cs="宋体"/>
                <w:color w:val="auto"/>
                <w:szCs w:val="21"/>
                <w:highlight w:val="none"/>
              </w:rPr>
              <w:t>5、为保证网络安全，板卡主芯片为自研芯片。（供货时须提供国家认可的第三方检测报告，检测报告应包含芯片照片和芯片型号）；</w:t>
            </w:r>
          </w:p>
        </w:tc>
        <w:tc>
          <w:tcPr>
            <w:tcW w:w="1275" w:type="dxa"/>
            <w:vAlign w:val="center"/>
          </w:tcPr>
          <w:p w14:paraId="75432782">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9.98</w:t>
            </w:r>
          </w:p>
        </w:tc>
        <w:tc>
          <w:tcPr>
            <w:tcW w:w="1391" w:type="dxa"/>
            <w:vAlign w:val="center"/>
          </w:tcPr>
          <w:p w14:paraId="73565B15">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9.98</w:t>
            </w:r>
          </w:p>
        </w:tc>
      </w:tr>
      <w:tr w14:paraId="41C10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416" w:type="dxa"/>
            <w:vAlign w:val="center"/>
          </w:tcPr>
          <w:p w14:paraId="0DC8B510">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2</w:t>
            </w:r>
          </w:p>
        </w:tc>
        <w:tc>
          <w:tcPr>
            <w:tcW w:w="1247" w:type="dxa"/>
            <w:vAlign w:val="center"/>
          </w:tcPr>
          <w:p w14:paraId="4A94B506">
            <w:pPr>
              <w:spacing w:line="400" w:lineRule="exact"/>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XGS-PON ONU</w:t>
            </w:r>
          </w:p>
        </w:tc>
        <w:tc>
          <w:tcPr>
            <w:tcW w:w="690" w:type="dxa"/>
            <w:vAlign w:val="center"/>
          </w:tcPr>
          <w:p w14:paraId="4E126712">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543</w:t>
            </w:r>
          </w:p>
        </w:tc>
        <w:tc>
          <w:tcPr>
            <w:tcW w:w="540" w:type="dxa"/>
            <w:vAlign w:val="center"/>
          </w:tcPr>
          <w:p w14:paraId="03A08E3F">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台</w:t>
            </w:r>
          </w:p>
        </w:tc>
        <w:tc>
          <w:tcPr>
            <w:tcW w:w="4395" w:type="dxa"/>
            <w:vAlign w:val="center"/>
          </w:tcPr>
          <w:p w14:paraId="47921000">
            <w:pPr>
              <w:pStyle w:val="8"/>
              <w:rPr>
                <w:rFonts w:hint="eastAsia" w:ascii="宋体" w:hAnsi="宋体" w:cs="宋体"/>
                <w:bCs/>
                <w:color w:val="auto"/>
                <w:sz w:val="24"/>
                <w:highlight w:val="none"/>
              </w:rPr>
            </w:pPr>
            <w:r>
              <w:rPr>
                <w:rFonts w:hint="eastAsia" w:ascii="宋体" w:hAnsi="宋体" w:cs="宋体"/>
                <w:color w:val="auto"/>
                <w:szCs w:val="21"/>
                <w:highlight w:val="none"/>
              </w:rPr>
              <w:t>▲1、支持86盒、挂墙安装，内置Wi-Fi天线</w:t>
            </w:r>
            <w:r>
              <w:rPr>
                <w:rFonts w:hint="eastAsia" w:ascii="宋体" w:hAnsi="宋体" w:cs="宋体"/>
                <w:color w:val="auto"/>
                <w:szCs w:val="21"/>
                <w:highlight w:val="none"/>
              </w:rPr>
              <w:br w:type="textWrapping"/>
            </w:r>
            <w:r>
              <w:rPr>
                <w:rFonts w:hint="eastAsia" w:ascii="宋体" w:hAnsi="宋体" w:cs="宋体"/>
                <w:color w:val="auto"/>
                <w:szCs w:val="21"/>
                <w:highlight w:val="none"/>
              </w:rPr>
              <w:t>▲2、上行网络侧接口：不少于1*XGS-PON，下行用户侧接口：不少于4*GE电口，不少于1*POTS口，支持2.4G&amp;5G Wi-Fi 7；</w:t>
            </w:r>
            <w:r>
              <w:rPr>
                <w:rFonts w:hint="eastAsia" w:ascii="宋体" w:hAnsi="宋体" w:cs="宋体"/>
                <w:color w:val="auto"/>
                <w:szCs w:val="21"/>
                <w:highlight w:val="none"/>
              </w:rPr>
              <w:br w:type="textWrapping"/>
            </w:r>
            <w:r>
              <w:rPr>
                <w:rFonts w:hint="eastAsia" w:ascii="宋体" w:hAnsi="宋体" w:cs="宋体"/>
                <w:color w:val="auto"/>
                <w:szCs w:val="21"/>
                <w:highlight w:val="none"/>
              </w:rPr>
              <w:t>3、支持Type B单归属和双归属组网保护；</w:t>
            </w:r>
            <w:r>
              <w:rPr>
                <w:rFonts w:hint="eastAsia" w:ascii="宋体" w:hAnsi="宋体" w:cs="宋体"/>
                <w:color w:val="auto"/>
                <w:szCs w:val="21"/>
                <w:highlight w:val="none"/>
              </w:rPr>
              <w:br w:type="textWrapping"/>
            </w:r>
            <w:r>
              <w:rPr>
                <w:rFonts w:hint="eastAsia" w:ascii="宋体" w:hAnsi="宋体" w:cs="宋体"/>
                <w:color w:val="auto"/>
                <w:szCs w:val="21"/>
                <w:highlight w:val="none"/>
              </w:rPr>
              <w:t>4、支持流氓 ONU 检测和隔离；</w:t>
            </w:r>
            <w:r>
              <w:rPr>
                <w:rFonts w:hint="eastAsia" w:ascii="宋体" w:hAnsi="宋体" w:cs="宋体"/>
                <w:color w:val="auto"/>
                <w:szCs w:val="21"/>
                <w:highlight w:val="none"/>
              </w:rPr>
              <w:br w:type="textWrapping"/>
            </w:r>
            <w:r>
              <w:rPr>
                <w:rFonts w:hint="eastAsia" w:ascii="宋体" w:hAnsi="宋体" w:cs="宋体"/>
                <w:color w:val="auto"/>
                <w:szCs w:val="21"/>
                <w:highlight w:val="none"/>
              </w:rPr>
              <w:t>5、Wi-Fi支持2.4GHz IEEE 802.11 b/g/n/ax/be协议 和5GHz IEEE 802.11 a/n/ac/ax/be协议，Wi-Fi7 MIMO数不少于2*2，空口速率：688 Mbit/s(2.4GHz)和2882 Mbit/s(5GHz)，</w:t>
            </w:r>
            <w:r>
              <w:rPr>
                <w:rFonts w:hint="eastAsia" w:ascii="宋体" w:hAnsi="宋体" w:cs="宋体"/>
                <w:color w:val="auto"/>
                <w:szCs w:val="21"/>
                <w:highlight w:val="none"/>
              </w:rPr>
              <w:br w:type="textWrapping"/>
            </w:r>
            <w:r>
              <w:rPr>
                <w:rFonts w:hint="eastAsia" w:ascii="宋体" w:hAnsi="宋体" w:cs="宋体"/>
                <w:color w:val="auto"/>
                <w:szCs w:val="21"/>
                <w:highlight w:val="none"/>
              </w:rPr>
              <w:t>▲6、支持4096-QAM和160MHz频宽，供货时提供无线电发射设备型号核准证证明。</w:t>
            </w:r>
            <w:r>
              <w:rPr>
                <w:rFonts w:hint="eastAsia" w:ascii="宋体" w:hAnsi="宋体" w:cs="宋体"/>
                <w:color w:val="auto"/>
                <w:szCs w:val="21"/>
                <w:highlight w:val="none"/>
              </w:rPr>
              <w:br w:type="textWrapping"/>
            </w:r>
            <w:r>
              <w:rPr>
                <w:rFonts w:hint="eastAsia" w:ascii="宋体" w:hAnsi="宋体" w:cs="宋体"/>
                <w:color w:val="auto"/>
                <w:szCs w:val="21"/>
                <w:highlight w:val="none"/>
              </w:rPr>
              <w:t>7、支持Fit AP工作模式，支持通过 OLT 内置 AC 对 Wi-Fi ONU 进行的集中管理和维护，支持 802.11k、802.11v 协议的智能漫游</w:t>
            </w:r>
            <w:r>
              <w:rPr>
                <w:rFonts w:hint="eastAsia" w:ascii="宋体" w:hAnsi="宋体" w:cs="宋体"/>
                <w:color w:val="auto"/>
                <w:szCs w:val="21"/>
                <w:highlight w:val="none"/>
              </w:rPr>
              <w:br w:type="textWrapping"/>
            </w:r>
            <w:r>
              <w:rPr>
                <w:rFonts w:hint="eastAsia" w:ascii="宋体" w:hAnsi="宋体" w:cs="宋体"/>
                <w:color w:val="auto"/>
                <w:szCs w:val="21"/>
                <w:highlight w:val="none"/>
              </w:rPr>
              <w:t>▲8、Wi-Fi单射频支持的最大SSID数量不少于8，Wi-Fi单射频最大接入用户数不少于64</w:t>
            </w:r>
            <w:r>
              <w:rPr>
                <w:rFonts w:hint="eastAsia" w:ascii="宋体" w:hAnsi="宋体" w:cs="宋体"/>
                <w:color w:val="auto"/>
                <w:szCs w:val="21"/>
                <w:highlight w:val="none"/>
              </w:rPr>
              <w:br w:type="textWrapping"/>
            </w:r>
            <w:r>
              <w:rPr>
                <w:rFonts w:hint="eastAsia" w:ascii="宋体" w:hAnsi="宋体" w:cs="宋体"/>
                <w:color w:val="auto"/>
                <w:szCs w:val="21"/>
                <w:highlight w:val="none"/>
              </w:rPr>
              <w:t>▲9、支持 802.1X 认证、MAC 地址认证安全接入认证</w:t>
            </w:r>
            <w:r>
              <w:rPr>
                <w:rFonts w:hint="eastAsia" w:ascii="宋体" w:hAnsi="宋体" w:cs="宋体"/>
                <w:color w:val="auto"/>
                <w:szCs w:val="21"/>
                <w:highlight w:val="none"/>
              </w:rPr>
              <w:br w:type="textWrapping"/>
            </w:r>
            <w:r>
              <w:rPr>
                <w:rFonts w:hint="eastAsia" w:ascii="宋体" w:hAnsi="宋体" w:cs="宋体"/>
                <w:color w:val="auto"/>
                <w:szCs w:val="21"/>
                <w:highlight w:val="none"/>
              </w:rPr>
              <w:t>10、语音支持 G.711A/u，G.722，G.729a/b 编解码</w:t>
            </w:r>
            <w:r>
              <w:rPr>
                <w:rFonts w:hint="eastAsia" w:ascii="宋体" w:hAnsi="宋体" w:cs="宋体"/>
                <w:color w:val="auto"/>
                <w:szCs w:val="21"/>
                <w:highlight w:val="none"/>
              </w:rPr>
              <w:br w:type="textWrapping"/>
            </w:r>
            <w:r>
              <w:rPr>
                <w:rFonts w:hint="eastAsia" w:ascii="宋体" w:hAnsi="宋体" w:cs="宋体"/>
                <w:color w:val="auto"/>
                <w:szCs w:val="21"/>
                <w:highlight w:val="none"/>
              </w:rPr>
              <w:t>▲11、为保证系统整体兼容性，所有ONU必须为同一品牌且必须要与现网OLT（华为：SmartAX EA5800-X15）兼容,或与第1项“</w:t>
            </w:r>
            <w:r>
              <w:rPr>
                <w:rFonts w:hint="eastAsia" w:ascii="宋体" w:hAnsi="宋体" w:cs="宋体"/>
                <w:color w:val="auto"/>
                <w:highlight w:val="none"/>
              </w:rPr>
              <w:t>XGS PON板卡</w:t>
            </w:r>
            <w:r>
              <w:rPr>
                <w:rFonts w:hint="eastAsia" w:ascii="宋体" w:hAnsi="宋体" w:cs="宋体"/>
                <w:color w:val="auto"/>
                <w:szCs w:val="21"/>
                <w:highlight w:val="none"/>
              </w:rPr>
              <w:t>”所配套的OLT兼容。（响应时须在响应文件中提供兼容承诺函，并加盖投标人公章）</w:t>
            </w:r>
            <w:r>
              <w:rPr>
                <w:rFonts w:hint="eastAsia" w:ascii="宋体" w:hAnsi="宋体" w:cs="宋体"/>
                <w:color w:val="auto"/>
                <w:szCs w:val="21"/>
                <w:highlight w:val="none"/>
              </w:rPr>
              <w:br w:type="textWrapping"/>
            </w:r>
            <w:r>
              <w:rPr>
                <w:rFonts w:hint="eastAsia" w:ascii="宋体" w:hAnsi="宋体" w:cs="宋体"/>
                <w:color w:val="auto"/>
                <w:sz w:val="22"/>
                <w:szCs w:val="22"/>
                <w:highlight w:val="none"/>
              </w:rPr>
              <w:t>▲</w:t>
            </w:r>
            <w:r>
              <w:rPr>
                <w:rFonts w:hint="eastAsia" w:ascii="宋体" w:hAnsi="宋体" w:cs="宋体"/>
                <w:color w:val="auto"/>
                <w:szCs w:val="21"/>
                <w:highlight w:val="none"/>
              </w:rPr>
              <w:t>12、供货时提供工信部颁发的电信设备进网许可证</w:t>
            </w:r>
          </w:p>
        </w:tc>
        <w:tc>
          <w:tcPr>
            <w:tcW w:w="1275" w:type="dxa"/>
            <w:vAlign w:val="center"/>
          </w:tcPr>
          <w:p w14:paraId="51B03CA6">
            <w:pPr>
              <w:spacing w:line="520" w:lineRule="exact"/>
              <w:jc w:val="center"/>
              <w:rPr>
                <w:rFonts w:hint="eastAsia" w:ascii="宋体" w:hAnsi="宋体" w:cs="宋体"/>
                <w:bCs/>
                <w:color w:val="auto"/>
                <w:szCs w:val="21"/>
                <w:highlight w:val="none"/>
              </w:rPr>
            </w:pPr>
            <w:r>
              <w:rPr>
                <w:rFonts w:hint="eastAsia" w:ascii="宋体" w:hAnsi="宋体" w:cs="宋体"/>
                <w:bCs/>
                <w:color w:val="auto"/>
                <w:szCs w:val="21"/>
                <w:highlight w:val="none"/>
              </w:rPr>
              <w:t>0.099</w:t>
            </w:r>
          </w:p>
        </w:tc>
        <w:tc>
          <w:tcPr>
            <w:tcW w:w="1391" w:type="dxa"/>
            <w:vAlign w:val="center"/>
          </w:tcPr>
          <w:p w14:paraId="44A33EE7">
            <w:pPr>
              <w:spacing w:line="520" w:lineRule="exact"/>
              <w:jc w:val="center"/>
              <w:rPr>
                <w:rFonts w:hint="eastAsia" w:ascii="宋体" w:hAnsi="宋体" w:cs="宋体"/>
                <w:bCs/>
                <w:color w:val="auto"/>
                <w:szCs w:val="21"/>
                <w:highlight w:val="none"/>
              </w:rPr>
            </w:pPr>
            <w:r>
              <w:rPr>
                <w:rFonts w:hint="eastAsia" w:ascii="宋体" w:hAnsi="宋体" w:cs="宋体"/>
                <w:bCs/>
                <w:color w:val="auto"/>
                <w:szCs w:val="21"/>
                <w:highlight w:val="none"/>
              </w:rPr>
              <w:t>53.757</w:t>
            </w:r>
          </w:p>
        </w:tc>
      </w:tr>
      <w:tr w14:paraId="003C4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416" w:type="dxa"/>
            <w:shd w:val="clear" w:color="auto" w:fill="auto"/>
            <w:vAlign w:val="center"/>
          </w:tcPr>
          <w:p w14:paraId="776834C9">
            <w:pPr>
              <w:spacing w:line="400" w:lineRule="exact"/>
              <w:jc w:val="center"/>
              <w:rPr>
                <w:rFonts w:hint="eastAsia" w:ascii="宋体" w:hAnsi="宋体" w:cs="宋体"/>
                <w:color w:val="auto"/>
                <w:sz w:val="24"/>
                <w:highlight w:val="none"/>
              </w:rPr>
            </w:pPr>
            <w:r>
              <w:rPr>
                <w:rFonts w:hint="eastAsia" w:ascii="宋体" w:hAnsi="宋体" w:cs="宋体"/>
                <w:color w:val="auto"/>
                <w:sz w:val="20"/>
                <w:szCs w:val="20"/>
                <w:highlight w:val="none"/>
              </w:rPr>
              <w:t>3</w:t>
            </w:r>
          </w:p>
        </w:tc>
        <w:tc>
          <w:tcPr>
            <w:tcW w:w="1247" w:type="dxa"/>
            <w:shd w:val="clear" w:color="auto" w:fill="auto"/>
            <w:vAlign w:val="center"/>
          </w:tcPr>
          <w:p w14:paraId="294C59C9">
            <w:pPr>
              <w:spacing w:line="400" w:lineRule="exact"/>
              <w:jc w:val="center"/>
              <w:rPr>
                <w:rFonts w:hint="eastAsia" w:ascii="宋体" w:hAnsi="宋体" w:cs="宋体"/>
                <w:color w:val="auto"/>
                <w:kern w:val="0"/>
                <w:sz w:val="24"/>
                <w:highlight w:val="none"/>
              </w:rPr>
            </w:pPr>
            <w:r>
              <w:rPr>
                <w:rFonts w:hint="eastAsia" w:ascii="宋体" w:hAnsi="宋体" w:cs="宋体"/>
                <w:color w:val="auto"/>
                <w:highlight w:val="none"/>
              </w:rPr>
              <w:t>光分路器</w:t>
            </w:r>
          </w:p>
        </w:tc>
        <w:tc>
          <w:tcPr>
            <w:tcW w:w="690" w:type="dxa"/>
            <w:shd w:val="clear" w:color="000000" w:fill="FFFFFF"/>
            <w:vAlign w:val="center"/>
          </w:tcPr>
          <w:p w14:paraId="556E98E7">
            <w:pPr>
              <w:spacing w:line="400" w:lineRule="exact"/>
              <w:jc w:val="center"/>
              <w:rPr>
                <w:rFonts w:hint="eastAsia" w:ascii="宋体" w:hAnsi="宋体" w:cs="宋体"/>
                <w:color w:val="auto"/>
                <w:highlight w:val="none"/>
              </w:rPr>
            </w:pPr>
            <w:r>
              <w:rPr>
                <w:rFonts w:hint="eastAsia" w:ascii="宋体" w:hAnsi="宋体" w:cs="宋体"/>
                <w:color w:val="auto"/>
                <w:highlight w:val="none"/>
              </w:rPr>
              <w:t>20</w:t>
            </w:r>
          </w:p>
        </w:tc>
        <w:tc>
          <w:tcPr>
            <w:tcW w:w="540" w:type="dxa"/>
            <w:shd w:val="clear" w:color="000000" w:fill="FFFFFF"/>
            <w:vAlign w:val="center"/>
          </w:tcPr>
          <w:p w14:paraId="055A06DE">
            <w:pPr>
              <w:spacing w:line="400" w:lineRule="exact"/>
              <w:jc w:val="center"/>
              <w:rPr>
                <w:rFonts w:hint="eastAsia" w:ascii="宋体" w:hAnsi="宋体" w:cs="宋体"/>
                <w:color w:val="auto"/>
                <w:highlight w:val="none"/>
              </w:rPr>
            </w:pPr>
            <w:r>
              <w:rPr>
                <w:rFonts w:hint="eastAsia" w:ascii="宋体" w:hAnsi="宋体" w:cs="宋体"/>
                <w:color w:val="auto"/>
                <w:highlight w:val="none"/>
              </w:rPr>
              <w:t>个</w:t>
            </w:r>
          </w:p>
        </w:tc>
        <w:tc>
          <w:tcPr>
            <w:tcW w:w="4395" w:type="dxa"/>
            <w:shd w:val="clear" w:color="000000" w:fill="FFFFFF"/>
            <w:vAlign w:val="center"/>
          </w:tcPr>
          <w:p w14:paraId="4651DD0A">
            <w:pPr>
              <w:adjustRightInd w:val="0"/>
              <w:snapToGrid w:val="0"/>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1、托盘式1:32光分路器</w:t>
            </w:r>
          </w:p>
        </w:tc>
        <w:tc>
          <w:tcPr>
            <w:tcW w:w="1275" w:type="dxa"/>
            <w:shd w:val="clear" w:color="auto" w:fill="auto"/>
            <w:vAlign w:val="center"/>
          </w:tcPr>
          <w:p w14:paraId="035DA944">
            <w:pPr>
              <w:spacing w:line="360" w:lineRule="exact"/>
              <w:jc w:val="center"/>
              <w:rPr>
                <w:rFonts w:hint="eastAsia" w:ascii="宋体" w:hAnsi="宋体" w:cs="宋体"/>
                <w:b/>
                <w:bCs/>
                <w:color w:val="auto"/>
                <w:sz w:val="24"/>
                <w:highlight w:val="none"/>
              </w:rPr>
            </w:pPr>
            <w:r>
              <w:rPr>
                <w:rFonts w:hint="eastAsia" w:ascii="宋体" w:hAnsi="宋体" w:cs="宋体"/>
                <w:color w:val="auto"/>
                <w:sz w:val="22"/>
                <w:szCs w:val="22"/>
                <w:highlight w:val="none"/>
              </w:rPr>
              <w:t>0.097</w:t>
            </w:r>
          </w:p>
        </w:tc>
        <w:tc>
          <w:tcPr>
            <w:tcW w:w="1391" w:type="dxa"/>
            <w:shd w:val="clear" w:color="auto" w:fill="auto"/>
            <w:vAlign w:val="center"/>
          </w:tcPr>
          <w:p w14:paraId="1845AE1E">
            <w:pPr>
              <w:spacing w:line="360" w:lineRule="exact"/>
              <w:jc w:val="center"/>
              <w:rPr>
                <w:rFonts w:hint="eastAsia" w:ascii="宋体" w:hAnsi="宋体" w:cs="宋体"/>
                <w:b/>
                <w:bCs/>
                <w:color w:val="auto"/>
                <w:sz w:val="24"/>
                <w:highlight w:val="none"/>
              </w:rPr>
            </w:pPr>
            <w:r>
              <w:rPr>
                <w:rFonts w:hint="eastAsia" w:ascii="宋体" w:hAnsi="宋体" w:cs="宋体"/>
                <w:color w:val="auto"/>
                <w:sz w:val="22"/>
                <w:szCs w:val="22"/>
                <w:highlight w:val="none"/>
              </w:rPr>
              <w:t>1.94</w:t>
            </w:r>
          </w:p>
        </w:tc>
      </w:tr>
      <w:tr w14:paraId="44C2D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416" w:type="dxa"/>
            <w:shd w:val="clear" w:color="auto" w:fill="auto"/>
            <w:vAlign w:val="center"/>
          </w:tcPr>
          <w:p w14:paraId="5C9A8B6E">
            <w:pPr>
              <w:spacing w:line="400" w:lineRule="exact"/>
              <w:jc w:val="center"/>
              <w:rPr>
                <w:rFonts w:hint="eastAsia" w:ascii="宋体" w:hAnsi="宋体" w:cs="宋体"/>
                <w:color w:val="auto"/>
                <w:sz w:val="24"/>
                <w:highlight w:val="none"/>
              </w:rPr>
            </w:pPr>
            <w:r>
              <w:rPr>
                <w:rFonts w:hint="eastAsia" w:ascii="宋体" w:hAnsi="宋体" w:cs="宋体"/>
                <w:color w:val="auto"/>
                <w:sz w:val="20"/>
                <w:szCs w:val="20"/>
                <w:highlight w:val="none"/>
              </w:rPr>
              <w:t>4</w:t>
            </w:r>
          </w:p>
        </w:tc>
        <w:tc>
          <w:tcPr>
            <w:tcW w:w="1247" w:type="dxa"/>
            <w:shd w:val="clear" w:color="auto" w:fill="auto"/>
            <w:vAlign w:val="center"/>
          </w:tcPr>
          <w:p w14:paraId="535CC138">
            <w:pPr>
              <w:spacing w:line="400" w:lineRule="exact"/>
              <w:jc w:val="center"/>
              <w:rPr>
                <w:rFonts w:hint="eastAsia" w:ascii="宋体" w:hAnsi="宋体" w:cs="宋体"/>
                <w:color w:val="auto"/>
                <w:kern w:val="0"/>
                <w:sz w:val="24"/>
                <w:highlight w:val="none"/>
              </w:rPr>
            </w:pPr>
            <w:r>
              <w:rPr>
                <w:rFonts w:hint="eastAsia" w:ascii="宋体" w:hAnsi="宋体" w:cs="宋体"/>
                <w:color w:val="auto"/>
                <w:highlight w:val="none"/>
              </w:rPr>
              <w:t>皮线光缆</w:t>
            </w:r>
          </w:p>
        </w:tc>
        <w:tc>
          <w:tcPr>
            <w:tcW w:w="690" w:type="dxa"/>
            <w:shd w:val="clear" w:color="000000" w:fill="FFFFFF"/>
            <w:vAlign w:val="center"/>
          </w:tcPr>
          <w:p w14:paraId="61F9B446">
            <w:pPr>
              <w:spacing w:line="400" w:lineRule="exact"/>
              <w:jc w:val="center"/>
              <w:rPr>
                <w:rFonts w:hint="eastAsia" w:ascii="宋体" w:hAnsi="宋体" w:cs="宋体"/>
                <w:color w:val="auto"/>
                <w:highlight w:val="none"/>
              </w:rPr>
            </w:pPr>
            <w:r>
              <w:rPr>
                <w:rFonts w:hint="eastAsia" w:ascii="宋体" w:hAnsi="宋体" w:cs="宋体"/>
                <w:color w:val="auto"/>
                <w:highlight w:val="none"/>
              </w:rPr>
              <w:t>36800</w:t>
            </w:r>
          </w:p>
        </w:tc>
        <w:tc>
          <w:tcPr>
            <w:tcW w:w="540" w:type="dxa"/>
            <w:shd w:val="clear" w:color="000000" w:fill="FFFFFF"/>
            <w:vAlign w:val="center"/>
          </w:tcPr>
          <w:p w14:paraId="0A8D4752">
            <w:pPr>
              <w:spacing w:line="400" w:lineRule="exact"/>
              <w:jc w:val="center"/>
              <w:rPr>
                <w:rFonts w:hint="eastAsia" w:ascii="宋体" w:hAnsi="宋体" w:cs="宋体"/>
                <w:color w:val="auto"/>
                <w:highlight w:val="none"/>
              </w:rPr>
            </w:pPr>
            <w:r>
              <w:rPr>
                <w:rFonts w:hint="eastAsia" w:ascii="宋体" w:hAnsi="宋体" w:cs="宋体"/>
                <w:color w:val="auto"/>
                <w:highlight w:val="none"/>
              </w:rPr>
              <w:t>米</w:t>
            </w:r>
          </w:p>
        </w:tc>
        <w:tc>
          <w:tcPr>
            <w:tcW w:w="4395" w:type="dxa"/>
            <w:shd w:val="clear" w:color="000000" w:fill="FFFFFF"/>
            <w:vAlign w:val="center"/>
          </w:tcPr>
          <w:p w14:paraId="08209726">
            <w:pPr>
              <w:adjustRightInd w:val="0"/>
              <w:snapToGrid w:val="0"/>
              <w:spacing w:line="320" w:lineRule="exact"/>
              <w:jc w:val="left"/>
              <w:rPr>
                <w:rFonts w:hint="eastAsia" w:ascii="宋体" w:hAnsi="宋体" w:cs="宋体"/>
                <w:color w:val="auto"/>
                <w:szCs w:val="21"/>
                <w:highlight w:val="none"/>
              </w:rPr>
            </w:pPr>
            <w:r>
              <w:rPr>
                <w:rFonts w:hint="eastAsia" w:ascii="宋体" w:hAnsi="宋体" w:cs="宋体"/>
                <w:color w:val="auto"/>
                <w:sz w:val="22"/>
                <w:szCs w:val="22"/>
                <w:highlight w:val="none"/>
              </w:rPr>
              <w:t>1、规格：双纤芯蝶形皮线光缆。</w:t>
            </w:r>
            <w:r>
              <w:rPr>
                <w:rFonts w:hint="eastAsia" w:ascii="宋体" w:hAnsi="宋体" w:cs="宋体"/>
                <w:color w:val="auto"/>
                <w:sz w:val="22"/>
                <w:szCs w:val="22"/>
                <w:highlight w:val="none"/>
              </w:rPr>
              <w:br w:type="textWrapping"/>
            </w:r>
            <w:r>
              <w:rPr>
                <w:rFonts w:hint="eastAsia" w:ascii="宋体" w:hAnsi="宋体" w:cs="宋体"/>
                <w:color w:val="auto"/>
                <w:sz w:val="22"/>
                <w:szCs w:val="22"/>
                <w:highlight w:val="none"/>
              </w:rPr>
              <w:t>2、工作环境：-20℃-+60℃环境下使用。</w:t>
            </w:r>
            <w:r>
              <w:rPr>
                <w:rFonts w:hint="eastAsia" w:ascii="宋体" w:hAnsi="宋体" w:cs="宋体"/>
                <w:color w:val="auto"/>
                <w:sz w:val="22"/>
                <w:szCs w:val="22"/>
                <w:highlight w:val="none"/>
              </w:rPr>
              <w:br w:type="textWrapping"/>
            </w:r>
            <w:r>
              <w:rPr>
                <w:rFonts w:hint="eastAsia" w:ascii="宋体" w:hAnsi="宋体" w:cs="宋体"/>
                <w:color w:val="auto"/>
                <w:sz w:val="22"/>
                <w:szCs w:val="22"/>
                <w:highlight w:val="none"/>
              </w:rPr>
              <w:t>3、外护套采用低烟无卤阻燃护套。</w:t>
            </w:r>
            <w:r>
              <w:rPr>
                <w:rFonts w:hint="eastAsia" w:ascii="宋体" w:hAnsi="宋体" w:cs="宋体"/>
                <w:color w:val="auto"/>
                <w:sz w:val="22"/>
                <w:szCs w:val="22"/>
                <w:highlight w:val="none"/>
              </w:rPr>
              <w:br w:type="textWrapping"/>
            </w:r>
            <w:r>
              <w:rPr>
                <w:rFonts w:hint="eastAsia" w:ascii="宋体" w:hAnsi="宋体" w:cs="宋体"/>
                <w:color w:val="auto"/>
                <w:sz w:val="22"/>
                <w:szCs w:val="22"/>
                <w:highlight w:val="none"/>
              </w:rPr>
              <w:t>4、光纤内置加强钢丝。</w:t>
            </w:r>
            <w:r>
              <w:rPr>
                <w:rFonts w:hint="eastAsia" w:ascii="宋体" w:hAnsi="宋体" w:cs="宋体"/>
                <w:color w:val="auto"/>
                <w:sz w:val="22"/>
                <w:szCs w:val="22"/>
                <w:highlight w:val="none"/>
              </w:rPr>
              <w:br w:type="textWrapping"/>
            </w:r>
            <w:r>
              <w:rPr>
                <w:rFonts w:hint="eastAsia" w:ascii="宋体" w:hAnsi="宋体" w:cs="宋体"/>
                <w:color w:val="auto"/>
                <w:sz w:val="22"/>
                <w:szCs w:val="22"/>
                <w:highlight w:val="none"/>
              </w:rPr>
              <w:t>▲5、采用低水峰B1.3单模纤芯，光纤纤芯符合</w:t>
            </w:r>
            <w:r>
              <w:rPr>
                <w:rFonts w:hint="eastAsia" w:asciiTheme="minorEastAsia" w:hAnsiTheme="minorEastAsia" w:eastAsiaTheme="minorEastAsia" w:cstheme="minorEastAsia"/>
                <w:color w:val="auto"/>
                <w:highlight w:val="none"/>
              </w:rPr>
              <w:t>GB/T 9771.7‑2020</w:t>
            </w:r>
            <w:r>
              <w:rPr>
                <w:rFonts w:hint="eastAsia" w:ascii="宋体" w:hAnsi="宋体" w:cs="宋体"/>
                <w:color w:val="auto"/>
                <w:sz w:val="22"/>
                <w:szCs w:val="22"/>
                <w:highlight w:val="none"/>
              </w:rPr>
              <w:t>标准。</w:t>
            </w:r>
          </w:p>
        </w:tc>
        <w:tc>
          <w:tcPr>
            <w:tcW w:w="1275" w:type="dxa"/>
            <w:shd w:val="clear" w:color="auto" w:fill="auto"/>
            <w:vAlign w:val="center"/>
          </w:tcPr>
          <w:p w14:paraId="3B5EDA2D">
            <w:pPr>
              <w:spacing w:line="360" w:lineRule="exact"/>
              <w:jc w:val="center"/>
              <w:rPr>
                <w:rFonts w:hint="eastAsia" w:ascii="宋体" w:hAnsi="宋体" w:cs="宋体"/>
                <w:b/>
                <w:bCs/>
                <w:color w:val="auto"/>
                <w:sz w:val="24"/>
                <w:highlight w:val="none"/>
              </w:rPr>
            </w:pPr>
            <w:r>
              <w:rPr>
                <w:rFonts w:hint="eastAsia" w:ascii="宋体" w:hAnsi="宋体" w:cs="宋体"/>
                <w:color w:val="auto"/>
                <w:sz w:val="22"/>
                <w:szCs w:val="22"/>
                <w:highlight w:val="none"/>
              </w:rPr>
              <w:t>0.00026</w:t>
            </w:r>
          </w:p>
        </w:tc>
        <w:tc>
          <w:tcPr>
            <w:tcW w:w="1391" w:type="dxa"/>
            <w:shd w:val="clear" w:color="auto" w:fill="auto"/>
            <w:vAlign w:val="center"/>
          </w:tcPr>
          <w:p w14:paraId="44E83CCC">
            <w:pPr>
              <w:spacing w:line="360" w:lineRule="exact"/>
              <w:jc w:val="center"/>
              <w:rPr>
                <w:rFonts w:hint="eastAsia" w:ascii="宋体" w:hAnsi="宋体" w:cs="宋体"/>
                <w:b/>
                <w:bCs/>
                <w:color w:val="auto"/>
                <w:sz w:val="24"/>
                <w:highlight w:val="none"/>
              </w:rPr>
            </w:pPr>
            <w:r>
              <w:rPr>
                <w:rFonts w:hint="eastAsia" w:ascii="宋体" w:hAnsi="宋体" w:cs="宋体"/>
                <w:color w:val="auto"/>
                <w:sz w:val="22"/>
                <w:szCs w:val="22"/>
                <w:highlight w:val="none"/>
              </w:rPr>
              <w:t>9.568</w:t>
            </w:r>
          </w:p>
        </w:tc>
      </w:tr>
      <w:tr w14:paraId="4A20A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416" w:type="dxa"/>
            <w:shd w:val="clear" w:color="auto" w:fill="auto"/>
            <w:vAlign w:val="center"/>
          </w:tcPr>
          <w:p w14:paraId="2AA66320">
            <w:pPr>
              <w:spacing w:line="400" w:lineRule="exact"/>
              <w:jc w:val="center"/>
              <w:rPr>
                <w:rFonts w:hint="eastAsia" w:ascii="宋体" w:hAnsi="宋体" w:cs="宋体"/>
                <w:color w:val="auto"/>
                <w:sz w:val="24"/>
                <w:highlight w:val="none"/>
              </w:rPr>
            </w:pPr>
            <w:r>
              <w:rPr>
                <w:rFonts w:hint="eastAsia" w:ascii="宋体" w:hAnsi="宋体" w:cs="宋体"/>
                <w:color w:val="auto"/>
                <w:sz w:val="20"/>
                <w:szCs w:val="20"/>
                <w:highlight w:val="none"/>
              </w:rPr>
              <w:t>5</w:t>
            </w:r>
          </w:p>
        </w:tc>
        <w:tc>
          <w:tcPr>
            <w:tcW w:w="1247" w:type="dxa"/>
            <w:shd w:val="clear" w:color="auto" w:fill="auto"/>
            <w:vAlign w:val="center"/>
          </w:tcPr>
          <w:p w14:paraId="064CA86D">
            <w:pPr>
              <w:spacing w:line="400" w:lineRule="exact"/>
              <w:jc w:val="center"/>
              <w:rPr>
                <w:rFonts w:hint="eastAsia" w:ascii="宋体" w:hAnsi="宋体" w:cs="宋体"/>
                <w:color w:val="auto"/>
                <w:kern w:val="0"/>
                <w:sz w:val="24"/>
                <w:highlight w:val="none"/>
              </w:rPr>
            </w:pPr>
            <w:r>
              <w:rPr>
                <w:rFonts w:hint="eastAsia" w:ascii="宋体" w:hAnsi="宋体" w:cs="宋体"/>
                <w:color w:val="auto"/>
                <w:highlight w:val="none"/>
              </w:rPr>
              <w:t>SC-LC光纤跳线1</w:t>
            </w:r>
          </w:p>
        </w:tc>
        <w:tc>
          <w:tcPr>
            <w:tcW w:w="690" w:type="dxa"/>
            <w:shd w:val="clear" w:color="000000" w:fill="FFFFFF"/>
            <w:vAlign w:val="center"/>
          </w:tcPr>
          <w:p w14:paraId="332A0779">
            <w:pPr>
              <w:spacing w:line="400" w:lineRule="exact"/>
              <w:jc w:val="center"/>
              <w:rPr>
                <w:rFonts w:hint="eastAsia" w:ascii="宋体" w:hAnsi="宋体" w:cs="宋体"/>
                <w:color w:val="auto"/>
                <w:highlight w:val="none"/>
              </w:rPr>
            </w:pPr>
            <w:r>
              <w:rPr>
                <w:rFonts w:hint="eastAsia" w:ascii="宋体" w:hAnsi="宋体" w:cs="宋体"/>
                <w:color w:val="auto"/>
                <w:highlight w:val="none"/>
              </w:rPr>
              <w:t>543</w:t>
            </w:r>
          </w:p>
        </w:tc>
        <w:tc>
          <w:tcPr>
            <w:tcW w:w="540" w:type="dxa"/>
            <w:shd w:val="clear" w:color="000000" w:fill="FFFFFF"/>
            <w:vAlign w:val="center"/>
          </w:tcPr>
          <w:p w14:paraId="16E21B83">
            <w:pPr>
              <w:spacing w:line="400" w:lineRule="exact"/>
              <w:jc w:val="center"/>
              <w:rPr>
                <w:rFonts w:hint="eastAsia" w:ascii="宋体" w:hAnsi="宋体" w:cs="宋体"/>
                <w:color w:val="auto"/>
                <w:highlight w:val="none"/>
              </w:rPr>
            </w:pPr>
            <w:r>
              <w:rPr>
                <w:rFonts w:hint="eastAsia" w:ascii="宋体" w:hAnsi="宋体" w:cs="宋体"/>
                <w:color w:val="auto"/>
                <w:highlight w:val="none"/>
              </w:rPr>
              <w:t>条</w:t>
            </w:r>
          </w:p>
        </w:tc>
        <w:tc>
          <w:tcPr>
            <w:tcW w:w="4395" w:type="dxa"/>
            <w:shd w:val="clear" w:color="000000" w:fill="FFFFFF"/>
            <w:vAlign w:val="center"/>
          </w:tcPr>
          <w:p w14:paraId="355F1870">
            <w:pPr>
              <w:adjustRightInd w:val="0"/>
              <w:snapToGrid w:val="0"/>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1、2米SC-LC单模光纤跳线；</w:t>
            </w:r>
          </w:p>
          <w:p w14:paraId="1C395822">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2、符合GB/T 21022、GB/T 18310 系列标准； </w:t>
            </w:r>
          </w:p>
          <w:p w14:paraId="5EF6C2DA">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3、插入损耗≤0.3dB；</w:t>
            </w:r>
          </w:p>
          <w:p w14:paraId="3B9E0F5F">
            <w:pPr>
              <w:pStyle w:val="33"/>
              <w:rPr>
                <w:rFonts w:hint="eastAsia" w:ascii="宋体" w:hAnsi="宋体" w:cs="宋体"/>
                <w:color w:val="auto"/>
                <w:szCs w:val="21"/>
                <w:highlight w:val="none"/>
              </w:rPr>
            </w:pPr>
            <w:r>
              <w:rPr>
                <w:rFonts w:hint="eastAsia" w:ascii="宋体" w:hAnsi="宋体" w:cs="宋体"/>
                <w:color w:val="auto"/>
                <w:szCs w:val="21"/>
                <w:highlight w:val="none"/>
              </w:rPr>
              <w:t>4、回波损耗：≥55dB。</w:t>
            </w:r>
          </w:p>
        </w:tc>
        <w:tc>
          <w:tcPr>
            <w:tcW w:w="1275" w:type="dxa"/>
            <w:shd w:val="clear" w:color="auto" w:fill="auto"/>
            <w:vAlign w:val="center"/>
          </w:tcPr>
          <w:p w14:paraId="5FC2B812">
            <w:pPr>
              <w:spacing w:line="360" w:lineRule="exact"/>
              <w:jc w:val="center"/>
              <w:rPr>
                <w:rFonts w:hint="eastAsia" w:ascii="宋体" w:hAnsi="宋体" w:cs="宋体"/>
                <w:b/>
                <w:bCs/>
                <w:color w:val="auto"/>
                <w:sz w:val="24"/>
                <w:highlight w:val="none"/>
              </w:rPr>
            </w:pPr>
            <w:r>
              <w:rPr>
                <w:rFonts w:hint="eastAsia" w:ascii="宋体" w:hAnsi="宋体" w:cs="宋体"/>
                <w:color w:val="auto"/>
                <w:sz w:val="22"/>
                <w:szCs w:val="22"/>
                <w:highlight w:val="none"/>
              </w:rPr>
              <w:t>0.0046</w:t>
            </w:r>
          </w:p>
        </w:tc>
        <w:tc>
          <w:tcPr>
            <w:tcW w:w="1391" w:type="dxa"/>
            <w:shd w:val="clear" w:color="auto" w:fill="auto"/>
            <w:vAlign w:val="center"/>
          </w:tcPr>
          <w:p w14:paraId="3823F0C4">
            <w:pPr>
              <w:spacing w:line="360" w:lineRule="exact"/>
              <w:jc w:val="center"/>
              <w:rPr>
                <w:rFonts w:hint="eastAsia" w:ascii="宋体" w:hAnsi="宋体" w:cs="宋体"/>
                <w:b/>
                <w:bCs/>
                <w:color w:val="auto"/>
                <w:sz w:val="24"/>
                <w:highlight w:val="none"/>
              </w:rPr>
            </w:pPr>
            <w:r>
              <w:rPr>
                <w:rFonts w:hint="eastAsia" w:ascii="宋体" w:hAnsi="宋体" w:cs="宋体"/>
                <w:color w:val="auto"/>
                <w:sz w:val="22"/>
                <w:szCs w:val="22"/>
                <w:highlight w:val="none"/>
              </w:rPr>
              <w:t>2.4978</w:t>
            </w:r>
          </w:p>
        </w:tc>
      </w:tr>
      <w:tr w14:paraId="3207E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416" w:type="dxa"/>
            <w:shd w:val="clear" w:color="auto" w:fill="auto"/>
            <w:vAlign w:val="center"/>
          </w:tcPr>
          <w:p w14:paraId="7303E636">
            <w:pPr>
              <w:spacing w:line="400" w:lineRule="exact"/>
              <w:jc w:val="center"/>
              <w:rPr>
                <w:rFonts w:hint="eastAsia" w:ascii="宋体" w:hAnsi="宋体" w:cs="宋体"/>
                <w:color w:val="auto"/>
                <w:sz w:val="24"/>
                <w:highlight w:val="none"/>
              </w:rPr>
            </w:pPr>
            <w:r>
              <w:rPr>
                <w:rFonts w:hint="eastAsia" w:ascii="宋体" w:hAnsi="宋体" w:cs="宋体"/>
                <w:color w:val="auto"/>
                <w:sz w:val="20"/>
                <w:szCs w:val="20"/>
                <w:highlight w:val="none"/>
              </w:rPr>
              <w:t>6</w:t>
            </w:r>
          </w:p>
        </w:tc>
        <w:tc>
          <w:tcPr>
            <w:tcW w:w="1247" w:type="dxa"/>
            <w:shd w:val="clear" w:color="auto" w:fill="auto"/>
            <w:vAlign w:val="center"/>
          </w:tcPr>
          <w:p w14:paraId="24FAD8DA">
            <w:pPr>
              <w:spacing w:line="400" w:lineRule="exact"/>
              <w:jc w:val="center"/>
              <w:rPr>
                <w:rFonts w:hint="eastAsia" w:ascii="宋体" w:hAnsi="宋体" w:cs="宋体"/>
                <w:color w:val="auto"/>
                <w:kern w:val="0"/>
                <w:sz w:val="24"/>
                <w:highlight w:val="none"/>
              </w:rPr>
            </w:pPr>
            <w:r>
              <w:rPr>
                <w:rFonts w:hint="eastAsia" w:ascii="宋体" w:hAnsi="宋体" w:cs="宋体"/>
                <w:color w:val="auto"/>
                <w:highlight w:val="none"/>
              </w:rPr>
              <w:t>SC-LC光纤跳线2</w:t>
            </w:r>
          </w:p>
        </w:tc>
        <w:tc>
          <w:tcPr>
            <w:tcW w:w="690" w:type="dxa"/>
            <w:shd w:val="clear" w:color="000000" w:fill="FFFFFF"/>
            <w:vAlign w:val="center"/>
          </w:tcPr>
          <w:p w14:paraId="7D519BD6">
            <w:pPr>
              <w:spacing w:line="400" w:lineRule="exact"/>
              <w:jc w:val="center"/>
              <w:rPr>
                <w:rFonts w:hint="eastAsia" w:ascii="宋体" w:hAnsi="宋体" w:cs="宋体"/>
                <w:color w:val="auto"/>
                <w:highlight w:val="none"/>
              </w:rPr>
            </w:pPr>
            <w:r>
              <w:rPr>
                <w:rFonts w:hint="eastAsia" w:ascii="宋体" w:hAnsi="宋体" w:cs="宋体"/>
                <w:color w:val="auto"/>
                <w:highlight w:val="none"/>
              </w:rPr>
              <w:t>20</w:t>
            </w:r>
          </w:p>
        </w:tc>
        <w:tc>
          <w:tcPr>
            <w:tcW w:w="540" w:type="dxa"/>
            <w:shd w:val="clear" w:color="000000" w:fill="FFFFFF"/>
            <w:vAlign w:val="center"/>
          </w:tcPr>
          <w:p w14:paraId="193C3382">
            <w:pPr>
              <w:spacing w:line="400" w:lineRule="exact"/>
              <w:jc w:val="center"/>
              <w:rPr>
                <w:rFonts w:hint="eastAsia" w:ascii="宋体" w:hAnsi="宋体" w:cs="宋体"/>
                <w:color w:val="auto"/>
                <w:highlight w:val="none"/>
              </w:rPr>
            </w:pPr>
            <w:r>
              <w:rPr>
                <w:rFonts w:hint="eastAsia" w:ascii="宋体" w:hAnsi="宋体" w:cs="宋体"/>
                <w:color w:val="auto"/>
                <w:highlight w:val="none"/>
              </w:rPr>
              <w:t>条</w:t>
            </w:r>
          </w:p>
        </w:tc>
        <w:tc>
          <w:tcPr>
            <w:tcW w:w="4395" w:type="dxa"/>
            <w:shd w:val="clear" w:color="000000" w:fill="FFFFFF"/>
            <w:vAlign w:val="center"/>
          </w:tcPr>
          <w:p w14:paraId="3BD47103">
            <w:pPr>
              <w:adjustRightInd w:val="0"/>
              <w:snapToGrid w:val="0"/>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1、8米SC-LC单模光纤跳线；</w:t>
            </w:r>
          </w:p>
          <w:p w14:paraId="600053B5">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2、符合GB/T 21022、GB/T 18310 系列标准； </w:t>
            </w:r>
          </w:p>
          <w:p w14:paraId="07983BDF">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3、插入损耗≤0.3dB；</w:t>
            </w:r>
          </w:p>
          <w:p w14:paraId="763D89D0">
            <w:pPr>
              <w:adjustRightInd w:val="0"/>
              <w:snapToGrid w:val="0"/>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4、回波损耗：≥55dB。</w:t>
            </w:r>
          </w:p>
        </w:tc>
        <w:tc>
          <w:tcPr>
            <w:tcW w:w="1275" w:type="dxa"/>
            <w:shd w:val="clear" w:color="auto" w:fill="auto"/>
            <w:vAlign w:val="center"/>
          </w:tcPr>
          <w:p w14:paraId="3963A4B7">
            <w:pPr>
              <w:spacing w:line="360" w:lineRule="exact"/>
              <w:jc w:val="center"/>
              <w:rPr>
                <w:rFonts w:hint="eastAsia" w:ascii="宋体" w:hAnsi="宋体" w:cs="宋体"/>
                <w:b/>
                <w:bCs/>
                <w:color w:val="auto"/>
                <w:sz w:val="24"/>
                <w:highlight w:val="none"/>
              </w:rPr>
            </w:pPr>
            <w:r>
              <w:rPr>
                <w:rFonts w:hint="eastAsia" w:ascii="宋体" w:hAnsi="宋体" w:cs="宋体"/>
                <w:color w:val="auto"/>
                <w:sz w:val="22"/>
                <w:szCs w:val="22"/>
                <w:highlight w:val="none"/>
              </w:rPr>
              <w:t>0.009</w:t>
            </w:r>
          </w:p>
        </w:tc>
        <w:tc>
          <w:tcPr>
            <w:tcW w:w="1391" w:type="dxa"/>
            <w:shd w:val="clear" w:color="auto" w:fill="auto"/>
            <w:vAlign w:val="center"/>
          </w:tcPr>
          <w:p w14:paraId="1B60DEC3">
            <w:pPr>
              <w:spacing w:line="360" w:lineRule="exact"/>
              <w:jc w:val="center"/>
              <w:rPr>
                <w:rFonts w:hint="eastAsia" w:ascii="宋体" w:hAnsi="宋体" w:cs="宋体"/>
                <w:b/>
                <w:bCs/>
                <w:color w:val="auto"/>
                <w:sz w:val="24"/>
                <w:highlight w:val="none"/>
              </w:rPr>
            </w:pPr>
            <w:r>
              <w:rPr>
                <w:rFonts w:hint="eastAsia" w:ascii="宋体" w:hAnsi="宋体" w:cs="宋体"/>
                <w:color w:val="auto"/>
                <w:sz w:val="22"/>
                <w:szCs w:val="22"/>
                <w:highlight w:val="none"/>
              </w:rPr>
              <w:t>0.18</w:t>
            </w:r>
          </w:p>
        </w:tc>
      </w:tr>
      <w:tr w14:paraId="5CA1A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416" w:type="dxa"/>
            <w:shd w:val="clear" w:color="auto" w:fill="auto"/>
            <w:vAlign w:val="center"/>
          </w:tcPr>
          <w:p w14:paraId="6E3C04E4">
            <w:pPr>
              <w:spacing w:line="400" w:lineRule="exact"/>
              <w:jc w:val="center"/>
              <w:rPr>
                <w:rFonts w:hint="eastAsia" w:ascii="宋体" w:hAnsi="宋体" w:cs="宋体"/>
                <w:color w:val="auto"/>
                <w:sz w:val="24"/>
                <w:highlight w:val="none"/>
              </w:rPr>
            </w:pPr>
            <w:r>
              <w:rPr>
                <w:rFonts w:hint="eastAsia" w:ascii="宋体" w:hAnsi="宋体" w:cs="宋体"/>
                <w:color w:val="auto"/>
                <w:sz w:val="20"/>
                <w:szCs w:val="20"/>
                <w:highlight w:val="none"/>
              </w:rPr>
              <w:t>7</w:t>
            </w:r>
          </w:p>
        </w:tc>
        <w:tc>
          <w:tcPr>
            <w:tcW w:w="1247" w:type="dxa"/>
            <w:shd w:val="clear" w:color="auto" w:fill="auto"/>
            <w:vAlign w:val="center"/>
          </w:tcPr>
          <w:p w14:paraId="0C7E48FF">
            <w:pPr>
              <w:spacing w:line="400" w:lineRule="exact"/>
              <w:jc w:val="center"/>
              <w:rPr>
                <w:rFonts w:hint="eastAsia" w:ascii="宋体" w:hAnsi="宋体" w:cs="宋体"/>
                <w:color w:val="auto"/>
                <w:kern w:val="0"/>
                <w:sz w:val="24"/>
                <w:highlight w:val="none"/>
              </w:rPr>
            </w:pPr>
            <w:r>
              <w:rPr>
                <w:rFonts w:hint="eastAsia" w:ascii="宋体" w:hAnsi="宋体" w:cs="宋体"/>
                <w:color w:val="auto"/>
                <w:highlight w:val="none"/>
              </w:rPr>
              <w:t>FC-FC光纤跳线</w:t>
            </w:r>
          </w:p>
        </w:tc>
        <w:tc>
          <w:tcPr>
            <w:tcW w:w="690" w:type="dxa"/>
            <w:shd w:val="clear" w:color="000000" w:fill="FFFFFF"/>
            <w:vAlign w:val="center"/>
          </w:tcPr>
          <w:p w14:paraId="5363E874">
            <w:pPr>
              <w:spacing w:line="400" w:lineRule="exact"/>
              <w:jc w:val="center"/>
              <w:rPr>
                <w:rFonts w:hint="eastAsia" w:ascii="宋体" w:hAnsi="宋体" w:cs="宋体"/>
                <w:color w:val="auto"/>
                <w:highlight w:val="none"/>
              </w:rPr>
            </w:pPr>
            <w:r>
              <w:rPr>
                <w:rFonts w:hint="eastAsia" w:ascii="宋体" w:hAnsi="宋体" w:cs="宋体"/>
                <w:color w:val="auto"/>
                <w:highlight w:val="none"/>
              </w:rPr>
              <w:t>20</w:t>
            </w:r>
          </w:p>
        </w:tc>
        <w:tc>
          <w:tcPr>
            <w:tcW w:w="540" w:type="dxa"/>
            <w:shd w:val="clear" w:color="000000" w:fill="FFFFFF"/>
            <w:vAlign w:val="center"/>
          </w:tcPr>
          <w:p w14:paraId="2DFB8B8D">
            <w:pPr>
              <w:spacing w:line="400" w:lineRule="exact"/>
              <w:jc w:val="center"/>
              <w:rPr>
                <w:rFonts w:hint="eastAsia" w:ascii="宋体" w:hAnsi="宋体" w:cs="宋体"/>
                <w:color w:val="auto"/>
                <w:highlight w:val="none"/>
              </w:rPr>
            </w:pPr>
            <w:r>
              <w:rPr>
                <w:rFonts w:hint="eastAsia" w:ascii="宋体" w:hAnsi="宋体" w:cs="宋体"/>
                <w:color w:val="auto"/>
                <w:highlight w:val="none"/>
              </w:rPr>
              <w:t>条</w:t>
            </w:r>
          </w:p>
        </w:tc>
        <w:tc>
          <w:tcPr>
            <w:tcW w:w="4395" w:type="dxa"/>
            <w:shd w:val="clear" w:color="000000" w:fill="FFFFFF"/>
            <w:vAlign w:val="center"/>
          </w:tcPr>
          <w:p w14:paraId="5EE3FC19">
            <w:pPr>
              <w:adjustRightInd w:val="0"/>
              <w:snapToGrid w:val="0"/>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1、3米FC-FC单模光纤跳线；</w:t>
            </w:r>
          </w:p>
          <w:p w14:paraId="6B4B2C56">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2、符合GB/T 21022、GB/T 18310 系列标准； </w:t>
            </w:r>
          </w:p>
          <w:p w14:paraId="3DF0D69A">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3、插入损耗≤0.3dB；</w:t>
            </w:r>
          </w:p>
          <w:p w14:paraId="5B65B96C">
            <w:pPr>
              <w:adjustRightInd w:val="0"/>
              <w:snapToGrid w:val="0"/>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4、回波损耗：≥55dB。</w:t>
            </w:r>
          </w:p>
        </w:tc>
        <w:tc>
          <w:tcPr>
            <w:tcW w:w="1275" w:type="dxa"/>
            <w:shd w:val="clear" w:color="auto" w:fill="auto"/>
            <w:vAlign w:val="center"/>
          </w:tcPr>
          <w:p w14:paraId="39A24D4D">
            <w:pPr>
              <w:spacing w:line="360" w:lineRule="exact"/>
              <w:jc w:val="center"/>
              <w:rPr>
                <w:rFonts w:hint="eastAsia" w:ascii="宋体" w:hAnsi="宋体" w:cs="宋体"/>
                <w:b/>
                <w:bCs/>
                <w:color w:val="auto"/>
                <w:sz w:val="24"/>
                <w:highlight w:val="none"/>
              </w:rPr>
            </w:pPr>
            <w:r>
              <w:rPr>
                <w:rFonts w:hint="eastAsia" w:ascii="宋体" w:hAnsi="宋体" w:cs="宋体"/>
                <w:color w:val="auto"/>
                <w:sz w:val="22"/>
                <w:szCs w:val="22"/>
                <w:highlight w:val="none"/>
              </w:rPr>
              <w:t>0.005</w:t>
            </w:r>
          </w:p>
        </w:tc>
        <w:tc>
          <w:tcPr>
            <w:tcW w:w="1391" w:type="dxa"/>
            <w:shd w:val="clear" w:color="auto" w:fill="auto"/>
            <w:vAlign w:val="center"/>
          </w:tcPr>
          <w:p w14:paraId="79A9C8E7">
            <w:pPr>
              <w:spacing w:line="360" w:lineRule="exact"/>
              <w:jc w:val="center"/>
              <w:rPr>
                <w:rFonts w:hint="eastAsia" w:ascii="宋体" w:hAnsi="宋体" w:cs="宋体"/>
                <w:b/>
                <w:bCs/>
                <w:color w:val="auto"/>
                <w:sz w:val="24"/>
                <w:highlight w:val="none"/>
              </w:rPr>
            </w:pPr>
            <w:r>
              <w:rPr>
                <w:rFonts w:hint="eastAsia" w:ascii="宋体" w:hAnsi="宋体" w:cs="宋体"/>
                <w:color w:val="auto"/>
                <w:sz w:val="22"/>
                <w:szCs w:val="22"/>
                <w:highlight w:val="none"/>
              </w:rPr>
              <w:t>0.1</w:t>
            </w:r>
          </w:p>
        </w:tc>
      </w:tr>
      <w:tr w14:paraId="34612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416" w:type="dxa"/>
            <w:shd w:val="clear" w:color="auto" w:fill="auto"/>
            <w:vAlign w:val="center"/>
          </w:tcPr>
          <w:p w14:paraId="7566064C">
            <w:pPr>
              <w:spacing w:line="400" w:lineRule="exact"/>
              <w:jc w:val="center"/>
              <w:rPr>
                <w:rFonts w:hint="eastAsia" w:ascii="宋体" w:hAnsi="宋体" w:cs="宋体"/>
                <w:color w:val="auto"/>
                <w:sz w:val="24"/>
                <w:highlight w:val="none"/>
              </w:rPr>
            </w:pPr>
            <w:r>
              <w:rPr>
                <w:rFonts w:hint="eastAsia" w:ascii="宋体" w:hAnsi="宋体" w:cs="宋体"/>
                <w:color w:val="auto"/>
                <w:sz w:val="20"/>
                <w:szCs w:val="20"/>
                <w:highlight w:val="none"/>
              </w:rPr>
              <w:t>8</w:t>
            </w:r>
          </w:p>
        </w:tc>
        <w:tc>
          <w:tcPr>
            <w:tcW w:w="1247" w:type="dxa"/>
            <w:shd w:val="clear" w:color="auto" w:fill="auto"/>
            <w:vAlign w:val="center"/>
          </w:tcPr>
          <w:p w14:paraId="60E738BD">
            <w:pPr>
              <w:spacing w:line="400" w:lineRule="exact"/>
              <w:jc w:val="center"/>
              <w:rPr>
                <w:rFonts w:hint="eastAsia" w:ascii="宋体" w:hAnsi="宋体" w:cs="宋体"/>
                <w:color w:val="auto"/>
                <w:kern w:val="0"/>
                <w:sz w:val="24"/>
                <w:highlight w:val="none"/>
              </w:rPr>
            </w:pPr>
            <w:r>
              <w:rPr>
                <w:rFonts w:hint="eastAsia" w:ascii="宋体" w:hAnsi="宋体" w:cs="宋体"/>
                <w:color w:val="auto"/>
                <w:highlight w:val="none"/>
              </w:rPr>
              <w:t>FC-SC光纤跳线</w:t>
            </w:r>
          </w:p>
        </w:tc>
        <w:tc>
          <w:tcPr>
            <w:tcW w:w="690" w:type="dxa"/>
            <w:shd w:val="clear" w:color="000000" w:fill="FFFFFF"/>
            <w:vAlign w:val="center"/>
          </w:tcPr>
          <w:p w14:paraId="512C393F">
            <w:pPr>
              <w:spacing w:line="400" w:lineRule="exact"/>
              <w:jc w:val="center"/>
              <w:rPr>
                <w:rFonts w:hint="eastAsia" w:ascii="宋体" w:hAnsi="宋体" w:cs="宋体"/>
                <w:color w:val="auto"/>
                <w:highlight w:val="none"/>
              </w:rPr>
            </w:pPr>
            <w:r>
              <w:rPr>
                <w:rFonts w:hint="eastAsia" w:ascii="宋体" w:hAnsi="宋体" w:cs="宋体"/>
                <w:color w:val="auto"/>
                <w:highlight w:val="none"/>
              </w:rPr>
              <w:t>20</w:t>
            </w:r>
          </w:p>
        </w:tc>
        <w:tc>
          <w:tcPr>
            <w:tcW w:w="540" w:type="dxa"/>
            <w:shd w:val="clear" w:color="000000" w:fill="FFFFFF"/>
            <w:vAlign w:val="center"/>
          </w:tcPr>
          <w:p w14:paraId="66B06D14">
            <w:pPr>
              <w:spacing w:line="400" w:lineRule="exact"/>
              <w:jc w:val="center"/>
              <w:rPr>
                <w:rFonts w:hint="eastAsia" w:ascii="宋体" w:hAnsi="宋体" w:cs="宋体"/>
                <w:color w:val="auto"/>
                <w:highlight w:val="none"/>
              </w:rPr>
            </w:pPr>
            <w:r>
              <w:rPr>
                <w:rFonts w:hint="eastAsia" w:ascii="宋体" w:hAnsi="宋体" w:cs="宋体"/>
                <w:color w:val="auto"/>
                <w:highlight w:val="none"/>
              </w:rPr>
              <w:t>条</w:t>
            </w:r>
          </w:p>
        </w:tc>
        <w:tc>
          <w:tcPr>
            <w:tcW w:w="4395" w:type="dxa"/>
            <w:shd w:val="clear" w:color="000000" w:fill="FFFFFF"/>
            <w:vAlign w:val="center"/>
          </w:tcPr>
          <w:p w14:paraId="13D9C50B">
            <w:pPr>
              <w:adjustRightInd w:val="0"/>
              <w:snapToGrid w:val="0"/>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1、8米FC-SC单模光纤跳线；</w:t>
            </w:r>
          </w:p>
          <w:p w14:paraId="2468EC59">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2、符合GB/T 21022、GB/T 18310 系列标准； </w:t>
            </w:r>
          </w:p>
          <w:p w14:paraId="683FD265">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3、插入损耗≤0.3dB；</w:t>
            </w:r>
          </w:p>
          <w:p w14:paraId="73775224">
            <w:pPr>
              <w:adjustRightInd w:val="0"/>
              <w:snapToGrid w:val="0"/>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4、回波损耗：≥55dB。</w:t>
            </w:r>
          </w:p>
        </w:tc>
        <w:tc>
          <w:tcPr>
            <w:tcW w:w="1275" w:type="dxa"/>
            <w:shd w:val="clear" w:color="auto" w:fill="auto"/>
            <w:vAlign w:val="center"/>
          </w:tcPr>
          <w:p w14:paraId="73C44A3E">
            <w:pPr>
              <w:spacing w:line="360" w:lineRule="exact"/>
              <w:jc w:val="center"/>
              <w:rPr>
                <w:rFonts w:hint="eastAsia" w:ascii="宋体" w:hAnsi="宋体" w:cs="宋体"/>
                <w:b/>
                <w:bCs/>
                <w:color w:val="auto"/>
                <w:sz w:val="24"/>
                <w:highlight w:val="none"/>
              </w:rPr>
            </w:pPr>
            <w:r>
              <w:rPr>
                <w:rFonts w:hint="eastAsia" w:ascii="宋体" w:hAnsi="宋体" w:cs="宋体"/>
                <w:color w:val="auto"/>
                <w:sz w:val="22"/>
                <w:szCs w:val="22"/>
                <w:highlight w:val="none"/>
              </w:rPr>
              <w:t>0.009</w:t>
            </w:r>
          </w:p>
        </w:tc>
        <w:tc>
          <w:tcPr>
            <w:tcW w:w="1391" w:type="dxa"/>
            <w:shd w:val="clear" w:color="auto" w:fill="auto"/>
            <w:vAlign w:val="center"/>
          </w:tcPr>
          <w:p w14:paraId="6A191B88">
            <w:pPr>
              <w:spacing w:line="360" w:lineRule="exact"/>
              <w:jc w:val="center"/>
              <w:rPr>
                <w:rFonts w:hint="eastAsia" w:ascii="宋体" w:hAnsi="宋体" w:cs="宋体"/>
                <w:b/>
                <w:bCs/>
                <w:color w:val="auto"/>
                <w:sz w:val="24"/>
                <w:highlight w:val="none"/>
              </w:rPr>
            </w:pPr>
            <w:r>
              <w:rPr>
                <w:rFonts w:hint="eastAsia" w:ascii="宋体" w:hAnsi="宋体" w:cs="宋体"/>
                <w:color w:val="auto"/>
                <w:sz w:val="22"/>
                <w:szCs w:val="22"/>
                <w:highlight w:val="none"/>
              </w:rPr>
              <w:t>0.18</w:t>
            </w:r>
          </w:p>
        </w:tc>
      </w:tr>
      <w:tr w14:paraId="3110D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416" w:type="dxa"/>
            <w:shd w:val="clear" w:color="auto" w:fill="auto"/>
            <w:vAlign w:val="center"/>
          </w:tcPr>
          <w:p w14:paraId="419CD911">
            <w:pPr>
              <w:spacing w:line="400" w:lineRule="exact"/>
              <w:jc w:val="center"/>
              <w:rPr>
                <w:rFonts w:hint="eastAsia" w:ascii="宋体" w:hAnsi="宋体" w:cs="宋体"/>
                <w:color w:val="auto"/>
                <w:sz w:val="24"/>
                <w:highlight w:val="none"/>
              </w:rPr>
            </w:pPr>
            <w:r>
              <w:rPr>
                <w:rFonts w:hint="eastAsia" w:ascii="宋体" w:hAnsi="宋体" w:cs="宋体"/>
                <w:color w:val="auto"/>
                <w:sz w:val="20"/>
                <w:szCs w:val="20"/>
                <w:highlight w:val="none"/>
              </w:rPr>
              <w:t>9</w:t>
            </w:r>
          </w:p>
        </w:tc>
        <w:tc>
          <w:tcPr>
            <w:tcW w:w="1247" w:type="dxa"/>
            <w:shd w:val="clear" w:color="auto" w:fill="auto"/>
            <w:vAlign w:val="center"/>
          </w:tcPr>
          <w:p w14:paraId="05618303">
            <w:pPr>
              <w:spacing w:line="400" w:lineRule="exact"/>
              <w:jc w:val="center"/>
              <w:rPr>
                <w:rFonts w:hint="eastAsia" w:ascii="宋体" w:hAnsi="宋体" w:cs="宋体"/>
                <w:color w:val="auto"/>
                <w:kern w:val="0"/>
                <w:sz w:val="24"/>
                <w:highlight w:val="none"/>
              </w:rPr>
            </w:pPr>
            <w:r>
              <w:rPr>
                <w:rFonts w:hint="eastAsia" w:ascii="宋体" w:hAnsi="宋体" w:cs="宋体"/>
                <w:color w:val="auto"/>
                <w:highlight w:val="none"/>
              </w:rPr>
              <w:t>SC尾纤</w:t>
            </w:r>
          </w:p>
        </w:tc>
        <w:tc>
          <w:tcPr>
            <w:tcW w:w="690" w:type="dxa"/>
            <w:shd w:val="clear" w:color="000000" w:fill="FFFFFF"/>
            <w:vAlign w:val="center"/>
          </w:tcPr>
          <w:p w14:paraId="1FD477DE">
            <w:pPr>
              <w:spacing w:line="400" w:lineRule="exact"/>
              <w:jc w:val="center"/>
              <w:rPr>
                <w:rFonts w:hint="eastAsia" w:ascii="宋体" w:hAnsi="宋体" w:cs="宋体"/>
                <w:color w:val="auto"/>
                <w:highlight w:val="none"/>
              </w:rPr>
            </w:pPr>
            <w:r>
              <w:rPr>
                <w:rFonts w:hint="eastAsia" w:ascii="宋体" w:hAnsi="宋体" w:cs="宋体"/>
                <w:color w:val="auto"/>
                <w:highlight w:val="none"/>
              </w:rPr>
              <w:t>1086</w:t>
            </w:r>
          </w:p>
        </w:tc>
        <w:tc>
          <w:tcPr>
            <w:tcW w:w="540" w:type="dxa"/>
            <w:shd w:val="clear" w:color="000000" w:fill="FFFFFF"/>
            <w:vAlign w:val="center"/>
          </w:tcPr>
          <w:p w14:paraId="04BEAE92">
            <w:pPr>
              <w:spacing w:line="400" w:lineRule="exact"/>
              <w:jc w:val="center"/>
              <w:rPr>
                <w:rFonts w:hint="eastAsia" w:ascii="宋体" w:hAnsi="宋体" w:cs="宋体"/>
                <w:color w:val="auto"/>
                <w:highlight w:val="none"/>
              </w:rPr>
            </w:pPr>
            <w:r>
              <w:rPr>
                <w:rFonts w:hint="eastAsia" w:ascii="宋体" w:hAnsi="宋体" w:cs="宋体"/>
                <w:color w:val="auto"/>
                <w:highlight w:val="none"/>
              </w:rPr>
              <w:t>条</w:t>
            </w:r>
          </w:p>
        </w:tc>
        <w:tc>
          <w:tcPr>
            <w:tcW w:w="4395" w:type="dxa"/>
            <w:shd w:val="clear" w:color="000000" w:fill="FFFFFF"/>
            <w:vAlign w:val="center"/>
          </w:tcPr>
          <w:p w14:paraId="682CC2C5">
            <w:pPr>
              <w:adjustRightInd w:val="0"/>
              <w:snapToGrid w:val="0"/>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1、1米SC单模尾纤；</w:t>
            </w:r>
          </w:p>
          <w:p w14:paraId="1838FFB2">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2、符合GB/T 21022、GB/T 18310 系列标准； </w:t>
            </w:r>
          </w:p>
          <w:p w14:paraId="5DB61A5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3、插入损耗≤0.3dB；</w:t>
            </w:r>
          </w:p>
          <w:p w14:paraId="2E1E65A9">
            <w:pPr>
              <w:adjustRightInd w:val="0"/>
              <w:snapToGrid w:val="0"/>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4、回波损耗：≥55dB。</w:t>
            </w:r>
          </w:p>
        </w:tc>
        <w:tc>
          <w:tcPr>
            <w:tcW w:w="1275" w:type="dxa"/>
            <w:shd w:val="clear" w:color="auto" w:fill="auto"/>
            <w:vAlign w:val="center"/>
          </w:tcPr>
          <w:p w14:paraId="0A23DDAC">
            <w:pPr>
              <w:spacing w:line="360" w:lineRule="exact"/>
              <w:jc w:val="center"/>
              <w:rPr>
                <w:rFonts w:hint="eastAsia" w:ascii="宋体" w:hAnsi="宋体" w:cs="宋体"/>
                <w:b/>
                <w:bCs/>
                <w:color w:val="auto"/>
                <w:sz w:val="24"/>
                <w:highlight w:val="none"/>
              </w:rPr>
            </w:pPr>
            <w:r>
              <w:rPr>
                <w:rFonts w:hint="eastAsia" w:ascii="宋体" w:hAnsi="宋体" w:cs="宋体"/>
                <w:color w:val="auto"/>
                <w:sz w:val="22"/>
                <w:szCs w:val="22"/>
                <w:highlight w:val="none"/>
              </w:rPr>
              <w:t>0.0025</w:t>
            </w:r>
          </w:p>
        </w:tc>
        <w:tc>
          <w:tcPr>
            <w:tcW w:w="1391" w:type="dxa"/>
            <w:shd w:val="clear" w:color="auto" w:fill="auto"/>
            <w:vAlign w:val="center"/>
          </w:tcPr>
          <w:p w14:paraId="03D18991">
            <w:pPr>
              <w:spacing w:line="360" w:lineRule="exact"/>
              <w:jc w:val="center"/>
              <w:rPr>
                <w:rFonts w:hint="eastAsia" w:ascii="宋体" w:hAnsi="宋体" w:cs="宋体"/>
                <w:b/>
                <w:bCs/>
                <w:color w:val="auto"/>
                <w:sz w:val="24"/>
                <w:highlight w:val="none"/>
              </w:rPr>
            </w:pPr>
            <w:r>
              <w:rPr>
                <w:rFonts w:hint="eastAsia" w:ascii="宋体" w:hAnsi="宋体" w:cs="宋体"/>
                <w:color w:val="auto"/>
                <w:sz w:val="22"/>
                <w:szCs w:val="22"/>
                <w:highlight w:val="none"/>
              </w:rPr>
              <w:t>2.715</w:t>
            </w:r>
          </w:p>
        </w:tc>
      </w:tr>
      <w:tr w14:paraId="564C4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416" w:type="dxa"/>
            <w:shd w:val="clear" w:color="auto" w:fill="auto"/>
            <w:vAlign w:val="center"/>
          </w:tcPr>
          <w:p w14:paraId="04C1495C">
            <w:pPr>
              <w:spacing w:line="400" w:lineRule="exact"/>
              <w:jc w:val="center"/>
              <w:rPr>
                <w:rFonts w:hint="eastAsia" w:ascii="宋体" w:hAnsi="宋体" w:cs="宋体"/>
                <w:color w:val="auto"/>
                <w:sz w:val="24"/>
                <w:highlight w:val="none"/>
              </w:rPr>
            </w:pPr>
            <w:r>
              <w:rPr>
                <w:rFonts w:hint="eastAsia" w:ascii="宋体" w:hAnsi="宋体" w:cs="宋体"/>
                <w:color w:val="auto"/>
                <w:sz w:val="20"/>
                <w:szCs w:val="20"/>
                <w:highlight w:val="none"/>
              </w:rPr>
              <w:t>10</w:t>
            </w:r>
          </w:p>
        </w:tc>
        <w:tc>
          <w:tcPr>
            <w:tcW w:w="1247" w:type="dxa"/>
            <w:shd w:val="clear" w:color="auto" w:fill="auto"/>
            <w:vAlign w:val="center"/>
          </w:tcPr>
          <w:p w14:paraId="734E319A">
            <w:pPr>
              <w:spacing w:line="400" w:lineRule="exact"/>
              <w:jc w:val="center"/>
              <w:rPr>
                <w:rFonts w:hint="eastAsia" w:ascii="宋体" w:hAnsi="宋体" w:cs="宋体"/>
                <w:color w:val="auto"/>
                <w:kern w:val="0"/>
                <w:sz w:val="24"/>
                <w:highlight w:val="none"/>
              </w:rPr>
            </w:pPr>
            <w:r>
              <w:rPr>
                <w:rFonts w:hint="eastAsia" w:ascii="宋体" w:hAnsi="宋体" w:cs="宋体"/>
                <w:color w:val="auto"/>
                <w:highlight w:val="none"/>
              </w:rPr>
              <w:t>48口光纤配线架</w:t>
            </w:r>
          </w:p>
        </w:tc>
        <w:tc>
          <w:tcPr>
            <w:tcW w:w="690" w:type="dxa"/>
            <w:shd w:val="clear" w:color="000000" w:fill="FFFFFF"/>
            <w:vAlign w:val="center"/>
          </w:tcPr>
          <w:p w14:paraId="7033F51D">
            <w:pPr>
              <w:spacing w:line="400" w:lineRule="exact"/>
              <w:jc w:val="center"/>
              <w:rPr>
                <w:rFonts w:hint="eastAsia" w:ascii="宋体" w:hAnsi="宋体" w:cs="宋体"/>
                <w:color w:val="auto"/>
                <w:highlight w:val="none"/>
              </w:rPr>
            </w:pPr>
            <w:r>
              <w:rPr>
                <w:rFonts w:hint="eastAsia" w:ascii="宋体" w:hAnsi="宋体" w:cs="宋体"/>
                <w:color w:val="auto"/>
                <w:highlight w:val="none"/>
              </w:rPr>
              <w:t>13</w:t>
            </w:r>
          </w:p>
        </w:tc>
        <w:tc>
          <w:tcPr>
            <w:tcW w:w="540" w:type="dxa"/>
            <w:shd w:val="clear" w:color="000000" w:fill="FFFFFF"/>
            <w:vAlign w:val="center"/>
          </w:tcPr>
          <w:p w14:paraId="3FDE8A95">
            <w:pPr>
              <w:spacing w:line="400" w:lineRule="exact"/>
              <w:jc w:val="center"/>
              <w:rPr>
                <w:rFonts w:hint="eastAsia" w:ascii="宋体" w:hAnsi="宋体" w:cs="宋体"/>
                <w:color w:val="auto"/>
                <w:highlight w:val="none"/>
              </w:rPr>
            </w:pPr>
            <w:r>
              <w:rPr>
                <w:rFonts w:hint="eastAsia" w:ascii="宋体" w:hAnsi="宋体" w:cs="宋体"/>
                <w:color w:val="auto"/>
                <w:highlight w:val="none"/>
              </w:rPr>
              <w:t>个</w:t>
            </w:r>
          </w:p>
        </w:tc>
        <w:tc>
          <w:tcPr>
            <w:tcW w:w="4395" w:type="dxa"/>
            <w:shd w:val="clear" w:color="000000" w:fill="FFFFFF"/>
            <w:vAlign w:val="center"/>
          </w:tcPr>
          <w:p w14:paraId="6F90D8B4">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1、配线架能够安装连接各种不同种类的光缆，可以匹配不同的光纤适配器。</w:t>
            </w:r>
          </w:p>
          <w:p w14:paraId="22D66861">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2、内部配有4个12口的熔接盘和48个LC双口耦合器。</w:t>
            </w:r>
          </w:p>
          <w:p w14:paraId="166F15CD">
            <w:pPr>
              <w:adjustRightInd w:val="0"/>
              <w:snapToGrid w:val="0"/>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3、配线架内部配有绕线盘、热缩管等。</w:t>
            </w:r>
          </w:p>
        </w:tc>
        <w:tc>
          <w:tcPr>
            <w:tcW w:w="1275" w:type="dxa"/>
            <w:shd w:val="clear" w:color="auto" w:fill="auto"/>
            <w:vAlign w:val="center"/>
          </w:tcPr>
          <w:p w14:paraId="32874E24">
            <w:pPr>
              <w:spacing w:line="360" w:lineRule="exact"/>
              <w:jc w:val="center"/>
              <w:rPr>
                <w:rFonts w:hint="eastAsia" w:ascii="宋体" w:hAnsi="宋体" w:cs="宋体"/>
                <w:b/>
                <w:bCs/>
                <w:color w:val="auto"/>
                <w:sz w:val="24"/>
                <w:highlight w:val="none"/>
              </w:rPr>
            </w:pPr>
            <w:r>
              <w:rPr>
                <w:rFonts w:hint="eastAsia" w:ascii="宋体" w:hAnsi="宋体" w:cs="宋体"/>
                <w:color w:val="auto"/>
                <w:sz w:val="22"/>
                <w:szCs w:val="22"/>
                <w:highlight w:val="none"/>
              </w:rPr>
              <w:t>0.135</w:t>
            </w:r>
          </w:p>
        </w:tc>
        <w:tc>
          <w:tcPr>
            <w:tcW w:w="1391" w:type="dxa"/>
            <w:shd w:val="clear" w:color="auto" w:fill="auto"/>
            <w:vAlign w:val="center"/>
          </w:tcPr>
          <w:p w14:paraId="02DC67CD">
            <w:pPr>
              <w:spacing w:line="360" w:lineRule="exact"/>
              <w:jc w:val="center"/>
              <w:rPr>
                <w:rFonts w:hint="eastAsia" w:ascii="宋体" w:hAnsi="宋体" w:cs="宋体"/>
                <w:b/>
                <w:bCs/>
                <w:color w:val="auto"/>
                <w:sz w:val="24"/>
                <w:highlight w:val="none"/>
              </w:rPr>
            </w:pPr>
            <w:r>
              <w:rPr>
                <w:rFonts w:hint="eastAsia" w:ascii="宋体" w:hAnsi="宋体" w:cs="宋体"/>
                <w:color w:val="auto"/>
                <w:sz w:val="22"/>
                <w:szCs w:val="22"/>
                <w:highlight w:val="none"/>
              </w:rPr>
              <w:t>1.755</w:t>
            </w:r>
          </w:p>
        </w:tc>
      </w:tr>
      <w:tr w14:paraId="36BDB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416" w:type="dxa"/>
            <w:shd w:val="clear" w:color="auto" w:fill="auto"/>
            <w:vAlign w:val="center"/>
          </w:tcPr>
          <w:p w14:paraId="301ED6D2">
            <w:pPr>
              <w:spacing w:line="400" w:lineRule="exact"/>
              <w:jc w:val="center"/>
              <w:rPr>
                <w:rFonts w:hint="eastAsia" w:ascii="宋体" w:hAnsi="宋体" w:cs="宋体"/>
                <w:color w:val="auto"/>
                <w:sz w:val="24"/>
                <w:highlight w:val="none"/>
              </w:rPr>
            </w:pPr>
            <w:r>
              <w:rPr>
                <w:rFonts w:hint="eastAsia" w:ascii="宋体" w:hAnsi="宋体" w:cs="宋体"/>
                <w:color w:val="auto"/>
                <w:sz w:val="20"/>
                <w:szCs w:val="20"/>
                <w:highlight w:val="none"/>
              </w:rPr>
              <w:t>11</w:t>
            </w:r>
          </w:p>
        </w:tc>
        <w:tc>
          <w:tcPr>
            <w:tcW w:w="1247" w:type="dxa"/>
            <w:shd w:val="clear" w:color="auto" w:fill="auto"/>
            <w:vAlign w:val="center"/>
          </w:tcPr>
          <w:p w14:paraId="218A72B4">
            <w:pPr>
              <w:spacing w:line="400" w:lineRule="exact"/>
              <w:jc w:val="center"/>
              <w:rPr>
                <w:rFonts w:hint="eastAsia" w:ascii="宋体" w:hAnsi="宋体" w:cs="宋体"/>
                <w:color w:val="auto"/>
                <w:kern w:val="0"/>
                <w:sz w:val="24"/>
                <w:highlight w:val="none"/>
              </w:rPr>
            </w:pPr>
            <w:r>
              <w:rPr>
                <w:rFonts w:hint="eastAsia" w:ascii="宋体" w:hAnsi="宋体" w:cs="宋体"/>
                <w:color w:val="auto"/>
                <w:highlight w:val="none"/>
              </w:rPr>
              <w:t>明装ONU盒</w:t>
            </w:r>
          </w:p>
        </w:tc>
        <w:tc>
          <w:tcPr>
            <w:tcW w:w="690" w:type="dxa"/>
            <w:shd w:val="clear" w:color="000000" w:fill="FFFFFF"/>
            <w:vAlign w:val="center"/>
          </w:tcPr>
          <w:p w14:paraId="6CB02586">
            <w:pPr>
              <w:spacing w:line="400" w:lineRule="exact"/>
              <w:jc w:val="center"/>
              <w:rPr>
                <w:rFonts w:hint="eastAsia" w:ascii="宋体" w:hAnsi="宋体" w:cs="宋体"/>
                <w:color w:val="auto"/>
                <w:highlight w:val="none"/>
              </w:rPr>
            </w:pPr>
            <w:r>
              <w:rPr>
                <w:rFonts w:hint="eastAsia" w:ascii="宋体" w:hAnsi="宋体" w:cs="宋体"/>
                <w:color w:val="auto"/>
                <w:highlight w:val="none"/>
              </w:rPr>
              <w:t>543</w:t>
            </w:r>
          </w:p>
        </w:tc>
        <w:tc>
          <w:tcPr>
            <w:tcW w:w="540" w:type="dxa"/>
            <w:shd w:val="clear" w:color="000000" w:fill="FFFFFF"/>
            <w:vAlign w:val="center"/>
          </w:tcPr>
          <w:p w14:paraId="21F1ED39">
            <w:pPr>
              <w:spacing w:line="400" w:lineRule="exact"/>
              <w:jc w:val="center"/>
              <w:rPr>
                <w:rFonts w:hint="eastAsia" w:ascii="宋体" w:hAnsi="宋体" w:cs="宋体"/>
                <w:color w:val="auto"/>
                <w:highlight w:val="none"/>
              </w:rPr>
            </w:pPr>
            <w:r>
              <w:rPr>
                <w:rFonts w:hint="eastAsia" w:ascii="宋体" w:hAnsi="宋体" w:cs="宋体"/>
                <w:color w:val="auto"/>
                <w:highlight w:val="none"/>
              </w:rPr>
              <w:t>个</w:t>
            </w:r>
          </w:p>
        </w:tc>
        <w:tc>
          <w:tcPr>
            <w:tcW w:w="4395" w:type="dxa"/>
            <w:shd w:val="clear" w:color="000000" w:fill="FFFFFF"/>
            <w:vAlign w:val="center"/>
          </w:tcPr>
          <w:p w14:paraId="3532CD6C">
            <w:pPr>
              <w:adjustRightInd w:val="0"/>
              <w:snapToGrid w:val="0"/>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1、规格：长*宽*深:约425mm*325mm*120mm；</w:t>
            </w:r>
            <w:r>
              <w:rPr>
                <w:rFonts w:hint="eastAsia" w:ascii="宋体" w:hAnsi="宋体" w:cs="宋体"/>
                <w:color w:val="auto"/>
                <w:szCs w:val="21"/>
                <w:highlight w:val="none"/>
              </w:rPr>
              <w:br w:type="textWrapping"/>
            </w:r>
            <w:r>
              <w:rPr>
                <w:rFonts w:hint="eastAsia" w:ascii="宋体" w:hAnsi="宋体" w:cs="宋体"/>
                <w:color w:val="auto"/>
                <w:szCs w:val="21"/>
                <w:highlight w:val="none"/>
              </w:rPr>
              <w:t>2、材质：金属底塑料面盖；</w:t>
            </w:r>
            <w:r>
              <w:rPr>
                <w:rFonts w:hint="eastAsia" w:ascii="宋体" w:hAnsi="宋体" w:cs="宋体"/>
                <w:color w:val="auto"/>
                <w:szCs w:val="21"/>
                <w:highlight w:val="none"/>
              </w:rPr>
              <w:br w:type="textWrapping"/>
            </w:r>
            <w:r>
              <w:rPr>
                <w:rFonts w:hint="eastAsia" w:ascii="宋体" w:hAnsi="宋体" w:cs="宋体"/>
                <w:color w:val="auto"/>
                <w:szCs w:val="21"/>
                <w:highlight w:val="none"/>
              </w:rPr>
              <w:t>3、箱体门面由采购人根据实际情况定制封面；</w:t>
            </w:r>
            <w:r>
              <w:rPr>
                <w:rFonts w:hint="eastAsia" w:ascii="宋体" w:hAnsi="宋体" w:cs="宋体"/>
                <w:color w:val="auto"/>
                <w:szCs w:val="21"/>
                <w:highlight w:val="none"/>
              </w:rPr>
              <w:br w:type="textWrapping"/>
            </w:r>
            <w:r>
              <w:rPr>
                <w:rFonts w:hint="eastAsia" w:ascii="宋体" w:hAnsi="宋体" w:cs="宋体"/>
                <w:color w:val="auto"/>
                <w:szCs w:val="21"/>
                <w:highlight w:val="none"/>
              </w:rPr>
              <w:t>4、包含1个理线架、1个门锁；</w:t>
            </w:r>
            <w:r>
              <w:rPr>
                <w:rFonts w:hint="eastAsia" w:ascii="宋体" w:hAnsi="宋体" w:cs="宋体"/>
                <w:color w:val="auto"/>
                <w:szCs w:val="21"/>
                <w:highlight w:val="none"/>
              </w:rPr>
              <w:br w:type="textWrapping"/>
            </w:r>
            <w:r>
              <w:rPr>
                <w:rFonts w:hint="eastAsia" w:ascii="宋体" w:hAnsi="宋体" w:cs="宋体"/>
                <w:color w:val="auto"/>
                <w:szCs w:val="21"/>
                <w:highlight w:val="none"/>
              </w:rPr>
              <w:t>5、在箱体上必须预留散热通风口、及进线口。</w:t>
            </w:r>
          </w:p>
        </w:tc>
        <w:tc>
          <w:tcPr>
            <w:tcW w:w="1275" w:type="dxa"/>
            <w:shd w:val="clear" w:color="auto" w:fill="auto"/>
            <w:vAlign w:val="center"/>
          </w:tcPr>
          <w:p w14:paraId="4A680176">
            <w:pPr>
              <w:spacing w:line="360" w:lineRule="exact"/>
              <w:jc w:val="center"/>
              <w:rPr>
                <w:rFonts w:hint="eastAsia" w:ascii="宋体" w:hAnsi="宋体" w:cs="宋体"/>
                <w:b/>
                <w:bCs/>
                <w:color w:val="auto"/>
                <w:sz w:val="24"/>
                <w:highlight w:val="none"/>
              </w:rPr>
            </w:pPr>
            <w:r>
              <w:rPr>
                <w:rFonts w:hint="eastAsia" w:ascii="宋体" w:hAnsi="宋体" w:cs="宋体"/>
                <w:color w:val="auto"/>
                <w:sz w:val="22"/>
                <w:szCs w:val="22"/>
                <w:highlight w:val="none"/>
              </w:rPr>
              <w:t>0.02</w:t>
            </w:r>
          </w:p>
        </w:tc>
        <w:tc>
          <w:tcPr>
            <w:tcW w:w="1391" w:type="dxa"/>
            <w:shd w:val="clear" w:color="auto" w:fill="auto"/>
            <w:vAlign w:val="center"/>
          </w:tcPr>
          <w:p w14:paraId="1DAC92BA">
            <w:pPr>
              <w:spacing w:line="360" w:lineRule="exact"/>
              <w:jc w:val="center"/>
              <w:rPr>
                <w:rFonts w:hint="eastAsia" w:ascii="宋体" w:hAnsi="宋体" w:cs="宋体"/>
                <w:b/>
                <w:bCs/>
                <w:color w:val="auto"/>
                <w:sz w:val="24"/>
                <w:highlight w:val="none"/>
              </w:rPr>
            </w:pPr>
            <w:r>
              <w:rPr>
                <w:rFonts w:hint="eastAsia" w:ascii="宋体" w:hAnsi="宋体" w:cs="宋体"/>
                <w:color w:val="auto"/>
                <w:sz w:val="22"/>
                <w:szCs w:val="22"/>
                <w:highlight w:val="none"/>
              </w:rPr>
              <w:t>10.86</w:t>
            </w:r>
          </w:p>
        </w:tc>
      </w:tr>
      <w:tr w14:paraId="02A5A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416" w:type="dxa"/>
            <w:shd w:val="clear" w:color="auto" w:fill="auto"/>
            <w:vAlign w:val="center"/>
          </w:tcPr>
          <w:p w14:paraId="042E9A83">
            <w:pPr>
              <w:spacing w:line="400" w:lineRule="exact"/>
              <w:jc w:val="center"/>
              <w:rPr>
                <w:rFonts w:hint="eastAsia" w:ascii="宋体" w:hAnsi="宋体" w:cs="宋体"/>
                <w:color w:val="auto"/>
                <w:sz w:val="24"/>
                <w:highlight w:val="none"/>
              </w:rPr>
            </w:pPr>
            <w:r>
              <w:rPr>
                <w:rFonts w:hint="eastAsia" w:ascii="宋体" w:hAnsi="宋体" w:cs="宋体"/>
                <w:color w:val="auto"/>
                <w:sz w:val="20"/>
                <w:szCs w:val="20"/>
                <w:highlight w:val="none"/>
              </w:rPr>
              <w:t>12</w:t>
            </w:r>
          </w:p>
        </w:tc>
        <w:tc>
          <w:tcPr>
            <w:tcW w:w="1247" w:type="dxa"/>
            <w:shd w:val="clear" w:color="auto" w:fill="auto"/>
            <w:vAlign w:val="center"/>
          </w:tcPr>
          <w:p w14:paraId="4DA7F5E0">
            <w:pPr>
              <w:spacing w:line="400" w:lineRule="exact"/>
              <w:jc w:val="center"/>
              <w:rPr>
                <w:rFonts w:hint="eastAsia" w:ascii="宋体" w:hAnsi="宋体" w:cs="宋体"/>
                <w:color w:val="auto"/>
                <w:kern w:val="0"/>
                <w:sz w:val="24"/>
                <w:highlight w:val="none"/>
              </w:rPr>
            </w:pPr>
            <w:r>
              <w:rPr>
                <w:rFonts w:hint="eastAsia" w:ascii="宋体" w:hAnsi="宋体" w:cs="宋体"/>
                <w:color w:val="auto"/>
                <w:highlight w:val="none"/>
              </w:rPr>
              <w:t>ONU电源插座</w:t>
            </w:r>
          </w:p>
        </w:tc>
        <w:tc>
          <w:tcPr>
            <w:tcW w:w="690" w:type="dxa"/>
            <w:shd w:val="clear" w:color="000000" w:fill="FFFFFF"/>
            <w:vAlign w:val="center"/>
          </w:tcPr>
          <w:p w14:paraId="720BA37F">
            <w:pPr>
              <w:spacing w:line="400" w:lineRule="exact"/>
              <w:jc w:val="center"/>
              <w:rPr>
                <w:rFonts w:hint="eastAsia" w:ascii="宋体" w:hAnsi="宋体" w:cs="宋体"/>
                <w:color w:val="auto"/>
                <w:highlight w:val="none"/>
              </w:rPr>
            </w:pPr>
            <w:r>
              <w:rPr>
                <w:rFonts w:hint="eastAsia" w:ascii="宋体" w:hAnsi="宋体" w:cs="宋体"/>
                <w:color w:val="auto"/>
                <w:highlight w:val="none"/>
              </w:rPr>
              <w:t>543</w:t>
            </w:r>
          </w:p>
        </w:tc>
        <w:tc>
          <w:tcPr>
            <w:tcW w:w="540" w:type="dxa"/>
            <w:shd w:val="clear" w:color="000000" w:fill="FFFFFF"/>
            <w:vAlign w:val="center"/>
          </w:tcPr>
          <w:p w14:paraId="5554B055">
            <w:pPr>
              <w:spacing w:line="400" w:lineRule="exact"/>
              <w:jc w:val="center"/>
              <w:rPr>
                <w:rFonts w:hint="eastAsia" w:ascii="宋体" w:hAnsi="宋体" w:cs="宋体"/>
                <w:color w:val="auto"/>
                <w:highlight w:val="none"/>
              </w:rPr>
            </w:pPr>
            <w:r>
              <w:rPr>
                <w:rFonts w:hint="eastAsia" w:ascii="宋体" w:hAnsi="宋体" w:cs="宋体"/>
                <w:color w:val="auto"/>
                <w:highlight w:val="none"/>
              </w:rPr>
              <w:t>个</w:t>
            </w:r>
          </w:p>
        </w:tc>
        <w:tc>
          <w:tcPr>
            <w:tcW w:w="4395" w:type="dxa"/>
            <w:shd w:val="clear" w:color="000000" w:fill="FFFFFF"/>
            <w:vAlign w:val="center"/>
          </w:tcPr>
          <w:p w14:paraId="656E7F71">
            <w:pPr>
              <w:adjustRightInd w:val="0"/>
              <w:snapToGrid w:val="0"/>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1、86型五孔插座</w:t>
            </w:r>
          </w:p>
        </w:tc>
        <w:tc>
          <w:tcPr>
            <w:tcW w:w="1275" w:type="dxa"/>
            <w:shd w:val="clear" w:color="auto" w:fill="auto"/>
            <w:vAlign w:val="center"/>
          </w:tcPr>
          <w:p w14:paraId="1B8AE3FE">
            <w:pPr>
              <w:spacing w:line="360" w:lineRule="exact"/>
              <w:jc w:val="center"/>
              <w:rPr>
                <w:rFonts w:hint="eastAsia" w:ascii="宋体" w:hAnsi="宋体" w:cs="宋体"/>
                <w:b/>
                <w:bCs/>
                <w:color w:val="auto"/>
                <w:sz w:val="24"/>
                <w:highlight w:val="none"/>
              </w:rPr>
            </w:pPr>
            <w:r>
              <w:rPr>
                <w:rFonts w:hint="eastAsia" w:ascii="宋体" w:hAnsi="宋体" w:cs="宋体"/>
                <w:color w:val="auto"/>
                <w:sz w:val="22"/>
                <w:szCs w:val="22"/>
                <w:highlight w:val="none"/>
              </w:rPr>
              <w:t>0.0015</w:t>
            </w:r>
          </w:p>
        </w:tc>
        <w:tc>
          <w:tcPr>
            <w:tcW w:w="1391" w:type="dxa"/>
            <w:shd w:val="clear" w:color="auto" w:fill="auto"/>
            <w:vAlign w:val="center"/>
          </w:tcPr>
          <w:p w14:paraId="272306D8">
            <w:pPr>
              <w:spacing w:line="360" w:lineRule="exact"/>
              <w:jc w:val="center"/>
              <w:rPr>
                <w:rFonts w:hint="eastAsia" w:ascii="宋体" w:hAnsi="宋体" w:cs="宋体"/>
                <w:b/>
                <w:bCs/>
                <w:color w:val="auto"/>
                <w:sz w:val="24"/>
                <w:highlight w:val="none"/>
              </w:rPr>
            </w:pPr>
            <w:r>
              <w:rPr>
                <w:rFonts w:hint="eastAsia" w:ascii="宋体" w:hAnsi="宋体" w:cs="宋体"/>
                <w:color w:val="auto"/>
                <w:sz w:val="22"/>
                <w:szCs w:val="22"/>
                <w:highlight w:val="none"/>
              </w:rPr>
              <w:t>0.8145</w:t>
            </w:r>
          </w:p>
        </w:tc>
      </w:tr>
      <w:tr w14:paraId="29BF3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416" w:type="dxa"/>
            <w:shd w:val="clear" w:color="auto" w:fill="auto"/>
            <w:vAlign w:val="center"/>
          </w:tcPr>
          <w:p w14:paraId="6C9C47D5">
            <w:pPr>
              <w:spacing w:line="400" w:lineRule="exact"/>
              <w:jc w:val="center"/>
              <w:rPr>
                <w:rFonts w:hint="eastAsia" w:ascii="宋体" w:hAnsi="宋体" w:cs="宋体"/>
                <w:color w:val="auto"/>
                <w:sz w:val="24"/>
                <w:highlight w:val="none"/>
              </w:rPr>
            </w:pPr>
            <w:r>
              <w:rPr>
                <w:rFonts w:hint="eastAsia" w:ascii="宋体" w:hAnsi="宋体" w:cs="宋体"/>
                <w:color w:val="auto"/>
                <w:sz w:val="20"/>
                <w:szCs w:val="20"/>
                <w:highlight w:val="none"/>
              </w:rPr>
              <w:t>13</w:t>
            </w:r>
          </w:p>
        </w:tc>
        <w:tc>
          <w:tcPr>
            <w:tcW w:w="1247" w:type="dxa"/>
            <w:shd w:val="clear" w:color="auto" w:fill="auto"/>
            <w:vAlign w:val="center"/>
          </w:tcPr>
          <w:p w14:paraId="33538D55">
            <w:pPr>
              <w:spacing w:line="400" w:lineRule="exact"/>
              <w:jc w:val="center"/>
              <w:rPr>
                <w:rFonts w:hint="eastAsia" w:ascii="宋体" w:hAnsi="宋体" w:cs="宋体"/>
                <w:color w:val="auto"/>
                <w:kern w:val="0"/>
                <w:sz w:val="24"/>
                <w:highlight w:val="none"/>
              </w:rPr>
            </w:pPr>
            <w:r>
              <w:rPr>
                <w:rFonts w:hint="eastAsia" w:ascii="宋体" w:hAnsi="宋体" w:cs="宋体"/>
                <w:color w:val="auto"/>
                <w:highlight w:val="none"/>
              </w:rPr>
              <w:t>双口信息面板</w:t>
            </w:r>
          </w:p>
        </w:tc>
        <w:tc>
          <w:tcPr>
            <w:tcW w:w="690" w:type="dxa"/>
            <w:shd w:val="clear" w:color="000000" w:fill="FFFFFF"/>
            <w:vAlign w:val="center"/>
          </w:tcPr>
          <w:p w14:paraId="6C8751F6">
            <w:pPr>
              <w:spacing w:line="400" w:lineRule="exact"/>
              <w:jc w:val="center"/>
              <w:rPr>
                <w:rFonts w:hint="eastAsia" w:ascii="宋体" w:hAnsi="宋体" w:cs="宋体"/>
                <w:color w:val="auto"/>
                <w:highlight w:val="none"/>
              </w:rPr>
            </w:pPr>
            <w:r>
              <w:rPr>
                <w:rFonts w:hint="eastAsia" w:ascii="宋体" w:hAnsi="宋体" w:cs="宋体"/>
                <w:color w:val="auto"/>
                <w:highlight w:val="none"/>
              </w:rPr>
              <w:t>1086</w:t>
            </w:r>
          </w:p>
        </w:tc>
        <w:tc>
          <w:tcPr>
            <w:tcW w:w="540" w:type="dxa"/>
            <w:shd w:val="clear" w:color="000000" w:fill="FFFFFF"/>
            <w:vAlign w:val="center"/>
          </w:tcPr>
          <w:p w14:paraId="3C63ED31">
            <w:pPr>
              <w:spacing w:line="400" w:lineRule="exact"/>
              <w:jc w:val="center"/>
              <w:rPr>
                <w:rFonts w:hint="eastAsia" w:ascii="宋体" w:hAnsi="宋体" w:cs="宋体"/>
                <w:color w:val="auto"/>
                <w:highlight w:val="none"/>
              </w:rPr>
            </w:pPr>
            <w:r>
              <w:rPr>
                <w:rFonts w:hint="eastAsia" w:ascii="宋体" w:hAnsi="宋体" w:cs="宋体"/>
                <w:color w:val="auto"/>
                <w:highlight w:val="none"/>
              </w:rPr>
              <w:t>套</w:t>
            </w:r>
          </w:p>
        </w:tc>
        <w:tc>
          <w:tcPr>
            <w:tcW w:w="4395" w:type="dxa"/>
            <w:shd w:val="clear" w:color="000000" w:fill="FFFFFF"/>
            <w:vAlign w:val="center"/>
          </w:tcPr>
          <w:p w14:paraId="260BDE33">
            <w:pPr>
              <w:adjustRightInd w:val="0"/>
              <w:snapToGrid w:val="0"/>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1、采用PC材料，2位平口信息面板,规格为约86mm*86mm； </w:t>
            </w:r>
            <w:r>
              <w:rPr>
                <w:rFonts w:hint="eastAsia" w:ascii="宋体" w:hAnsi="宋体" w:cs="宋体"/>
                <w:color w:val="auto"/>
                <w:szCs w:val="21"/>
                <w:highlight w:val="none"/>
              </w:rPr>
              <w:br w:type="textWrapping"/>
            </w:r>
            <w:r>
              <w:rPr>
                <w:rFonts w:hint="eastAsia" w:ascii="宋体" w:hAnsi="宋体" w:cs="宋体"/>
                <w:color w:val="auto"/>
                <w:szCs w:val="21"/>
                <w:highlight w:val="none"/>
              </w:rPr>
              <w:t xml:space="preserve">2、面板表面不可见螺钉孔； </w:t>
            </w:r>
            <w:r>
              <w:rPr>
                <w:rFonts w:hint="eastAsia" w:ascii="宋体" w:hAnsi="宋体" w:cs="宋体"/>
                <w:color w:val="auto"/>
                <w:szCs w:val="21"/>
                <w:highlight w:val="none"/>
              </w:rPr>
              <w:br w:type="textWrapping"/>
            </w:r>
            <w:r>
              <w:rPr>
                <w:rFonts w:hint="eastAsia" w:ascii="宋体" w:hAnsi="宋体" w:cs="宋体"/>
                <w:color w:val="auto"/>
                <w:szCs w:val="21"/>
                <w:highlight w:val="none"/>
              </w:rPr>
              <w:t xml:space="preserve">3、采用扣位式面板设计，面板带防护门； </w:t>
            </w:r>
            <w:r>
              <w:rPr>
                <w:rFonts w:hint="eastAsia" w:ascii="宋体" w:hAnsi="宋体" w:cs="宋体"/>
                <w:color w:val="auto"/>
                <w:szCs w:val="21"/>
                <w:highlight w:val="none"/>
              </w:rPr>
              <w:br w:type="textWrapping"/>
            </w:r>
            <w:r>
              <w:rPr>
                <w:rFonts w:hint="eastAsia" w:ascii="宋体" w:hAnsi="宋体" w:cs="宋体"/>
                <w:color w:val="auto"/>
                <w:szCs w:val="21"/>
                <w:highlight w:val="none"/>
              </w:rPr>
              <w:t xml:space="preserve">4、信息口位置具有标识标签，具有永久标签位置； </w:t>
            </w:r>
            <w:r>
              <w:rPr>
                <w:rFonts w:hint="eastAsia" w:ascii="宋体" w:hAnsi="宋体" w:cs="宋体"/>
                <w:color w:val="auto"/>
                <w:szCs w:val="21"/>
                <w:highlight w:val="none"/>
              </w:rPr>
              <w:br w:type="textWrapping"/>
            </w:r>
            <w:r>
              <w:rPr>
                <w:rFonts w:hint="eastAsia" w:ascii="宋体" w:hAnsi="宋体" w:cs="宋体"/>
                <w:color w:val="auto"/>
                <w:szCs w:val="21"/>
                <w:highlight w:val="none"/>
              </w:rPr>
              <w:t>5、含两个六类非屏蔽模块。</w:t>
            </w:r>
            <w:r>
              <w:rPr>
                <w:rFonts w:hint="eastAsia" w:ascii="宋体" w:hAnsi="宋体" w:cs="宋体"/>
                <w:color w:val="auto"/>
                <w:sz w:val="24"/>
                <w:highlight w:val="none"/>
              </w:rPr>
              <w:t xml:space="preserve"> </w:t>
            </w:r>
          </w:p>
        </w:tc>
        <w:tc>
          <w:tcPr>
            <w:tcW w:w="1275" w:type="dxa"/>
            <w:shd w:val="clear" w:color="auto" w:fill="auto"/>
            <w:vAlign w:val="center"/>
          </w:tcPr>
          <w:p w14:paraId="4F554CCD">
            <w:pPr>
              <w:spacing w:line="360" w:lineRule="exact"/>
              <w:jc w:val="center"/>
              <w:rPr>
                <w:rFonts w:hint="eastAsia" w:ascii="宋体" w:hAnsi="宋体" w:cs="宋体"/>
                <w:b/>
                <w:bCs/>
                <w:color w:val="auto"/>
                <w:sz w:val="24"/>
                <w:highlight w:val="none"/>
              </w:rPr>
            </w:pPr>
            <w:r>
              <w:rPr>
                <w:rFonts w:hint="eastAsia" w:ascii="宋体" w:hAnsi="宋体" w:cs="宋体"/>
                <w:color w:val="auto"/>
                <w:sz w:val="22"/>
                <w:szCs w:val="22"/>
                <w:highlight w:val="none"/>
              </w:rPr>
              <w:t>0.0055</w:t>
            </w:r>
          </w:p>
        </w:tc>
        <w:tc>
          <w:tcPr>
            <w:tcW w:w="1391" w:type="dxa"/>
            <w:shd w:val="clear" w:color="auto" w:fill="auto"/>
            <w:vAlign w:val="center"/>
          </w:tcPr>
          <w:p w14:paraId="1E3D5056">
            <w:pPr>
              <w:spacing w:line="360" w:lineRule="exact"/>
              <w:jc w:val="center"/>
              <w:rPr>
                <w:rFonts w:hint="eastAsia" w:ascii="宋体" w:hAnsi="宋体" w:cs="宋体"/>
                <w:b/>
                <w:bCs/>
                <w:color w:val="auto"/>
                <w:sz w:val="24"/>
                <w:highlight w:val="none"/>
              </w:rPr>
            </w:pPr>
            <w:r>
              <w:rPr>
                <w:rFonts w:hint="eastAsia" w:ascii="宋体" w:hAnsi="宋体" w:cs="宋体"/>
                <w:color w:val="auto"/>
                <w:sz w:val="22"/>
                <w:szCs w:val="22"/>
                <w:highlight w:val="none"/>
              </w:rPr>
              <w:t>5.973</w:t>
            </w:r>
          </w:p>
        </w:tc>
      </w:tr>
      <w:tr w14:paraId="2311B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416" w:type="dxa"/>
            <w:shd w:val="clear" w:color="auto" w:fill="auto"/>
            <w:vAlign w:val="center"/>
          </w:tcPr>
          <w:p w14:paraId="13F1DBE7">
            <w:pPr>
              <w:spacing w:line="400" w:lineRule="exact"/>
              <w:jc w:val="center"/>
              <w:rPr>
                <w:rFonts w:hint="eastAsia" w:ascii="宋体" w:hAnsi="宋体" w:cs="宋体"/>
                <w:color w:val="auto"/>
                <w:sz w:val="24"/>
                <w:highlight w:val="none"/>
              </w:rPr>
            </w:pPr>
            <w:r>
              <w:rPr>
                <w:rFonts w:hint="eastAsia" w:ascii="宋体" w:hAnsi="宋体" w:cs="宋体"/>
                <w:color w:val="auto"/>
                <w:sz w:val="20"/>
                <w:szCs w:val="20"/>
                <w:highlight w:val="none"/>
              </w:rPr>
              <w:t>14</w:t>
            </w:r>
          </w:p>
        </w:tc>
        <w:tc>
          <w:tcPr>
            <w:tcW w:w="1247" w:type="dxa"/>
            <w:shd w:val="clear" w:color="auto" w:fill="auto"/>
            <w:vAlign w:val="center"/>
          </w:tcPr>
          <w:p w14:paraId="79B3BF10">
            <w:pPr>
              <w:spacing w:line="400" w:lineRule="exact"/>
              <w:jc w:val="center"/>
              <w:rPr>
                <w:rFonts w:hint="eastAsia" w:ascii="宋体" w:hAnsi="宋体" w:cs="宋体"/>
                <w:color w:val="auto"/>
                <w:kern w:val="0"/>
                <w:sz w:val="24"/>
                <w:highlight w:val="none"/>
              </w:rPr>
            </w:pPr>
            <w:r>
              <w:rPr>
                <w:rFonts w:hint="eastAsia" w:ascii="宋体" w:hAnsi="宋体" w:cs="宋体"/>
                <w:color w:val="auto"/>
                <w:highlight w:val="none"/>
              </w:rPr>
              <w:t>ONU供电线缆</w:t>
            </w:r>
          </w:p>
        </w:tc>
        <w:tc>
          <w:tcPr>
            <w:tcW w:w="690" w:type="dxa"/>
            <w:shd w:val="clear" w:color="000000" w:fill="FFFFFF"/>
            <w:vAlign w:val="center"/>
          </w:tcPr>
          <w:p w14:paraId="6D082BAE">
            <w:pPr>
              <w:spacing w:line="400" w:lineRule="exact"/>
              <w:jc w:val="center"/>
              <w:rPr>
                <w:rFonts w:hint="eastAsia" w:ascii="宋体" w:hAnsi="宋体" w:cs="宋体"/>
                <w:color w:val="auto"/>
                <w:highlight w:val="none"/>
              </w:rPr>
            </w:pPr>
            <w:r>
              <w:rPr>
                <w:rFonts w:hint="eastAsia" w:ascii="宋体" w:hAnsi="宋体" w:cs="宋体"/>
                <w:color w:val="auto"/>
                <w:highlight w:val="none"/>
              </w:rPr>
              <w:t>4300</w:t>
            </w:r>
          </w:p>
        </w:tc>
        <w:tc>
          <w:tcPr>
            <w:tcW w:w="540" w:type="dxa"/>
            <w:shd w:val="clear" w:color="000000" w:fill="FFFFFF"/>
            <w:vAlign w:val="center"/>
          </w:tcPr>
          <w:p w14:paraId="3FDF6322">
            <w:pPr>
              <w:spacing w:line="400" w:lineRule="exact"/>
              <w:jc w:val="center"/>
              <w:rPr>
                <w:rFonts w:hint="eastAsia" w:ascii="宋体" w:hAnsi="宋体" w:cs="宋体"/>
                <w:color w:val="auto"/>
                <w:highlight w:val="none"/>
              </w:rPr>
            </w:pPr>
            <w:r>
              <w:rPr>
                <w:rFonts w:hint="eastAsia" w:ascii="宋体" w:hAnsi="宋体" w:cs="宋体"/>
                <w:color w:val="auto"/>
                <w:highlight w:val="none"/>
              </w:rPr>
              <w:t>米</w:t>
            </w:r>
          </w:p>
        </w:tc>
        <w:tc>
          <w:tcPr>
            <w:tcW w:w="4395" w:type="dxa"/>
            <w:shd w:val="clear" w:color="000000" w:fill="FFFFFF"/>
            <w:vAlign w:val="center"/>
          </w:tcPr>
          <w:p w14:paraId="65F59BF3">
            <w:pPr>
              <w:adjustRightInd w:val="0"/>
              <w:snapToGrid w:val="0"/>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1、RVV2*0.5mm²线缆</w:t>
            </w:r>
          </w:p>
        </w:tc>
        <w:tc>
          <w:tcPr>
            <w:tcW w:w="1275" w:type="dxa"/>
            <w:shd w:val="clear" w:color="auto" w:fill="auto"/>
            <w:vAlign w:val="center"/>
          </w:tcPr>
          <w:p w14:paraId="2B587808">
            <w:pPr>
              <w:spacing w:line="360" w:lineRule="exact"/>
              <w:jc w:val="center"/>
              <w:rPr>
                <w:rFonts w:hint="eastAsia" w:ascii="宋体" w:hAnsi="宋体" w:cs="宋体"/>
                <w:b/>
                <w:bCs/>
                <w:color w:val="auto"/>
                <w:sz w:val="24"/>
                <w:highlight w:val="none"/>
              </w:rPr>
            </w:pPr>
            <w:r>
              <w:rPr>
                <w:rFonts w:hint="eastAsia" w:ascii="宋体" w:hAnsi="宋体" w:cs="宋体"/>
                <w:color w:val="auto"/>
                <w:sz w:val="22"/>
                <w:szCs w:val="22"/>
                <w:highlight w:val="none"/>
              </w:rPr>
              <w:t>0.00036</w:t>
            </w:r>
          </w:p>
        </w:tc>
        <w:tc>
          <w:tcPr>
            <w:tcW w:w="1391" w:type="dxa"/>
            <w:shd w:val="clear" w:color="auto" w:fill="auto"/>
            <w:vAlign w:val="center"/>
          </w:tcPr>
          <w:p w14:paraId="5FA43E67">
            <w:pPr>
              <w:spacing w:line="360" w:lineRule="exact"/>
              <w:jc w:val="center"/>
              <w:rPr>
                <w:rFonts w:hint="eastAsia" w:ascii="宋体" w:hAnsi="宋体" w:cs="宋体"/>
                <w:b/>
                <w:bCs/>
                <w:color w:val="auto"/>
                <w:sz w:val="24"/>
                <w:highlight w:val="none"/>
              </w:rPr>
            </w:pPr>
            <w:r>
              <w:rPr>
                <w:rFonts w:hint="eastAsia" w:ascii="宋体" w:hAnsi="宋体" w:cs="宋体"/>
                <w:color w:val="auto"/>
                <w:sz w:val="22"/>
                <w:szCs w:val="22"/>
                <w:highlight w:val="none"/>
              </w:rPr>
              <w:t>1.548</w:t>
            </w:r>
          </w:p>
        </w:tc>
      </w:tr>
      <w:tr w14:paraId="59F87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416" w:type="dxa"/>
            <w:shd w:val="clear" w:color="auto" w:fill="auto"/>
            <w:vAlign w:val="center"/>
          </w:tcPr>
          <w:p w14:paraId="78C47B17">
            <w:pPr>
              <w:spacing w:line="400" w:lineRule="exact"/>
              <w:jc w:val="center"/>
              <w:rPr>
                <w:rFonts w:hint="eastAsia" w:ascii="宋体" w:hAnsi="宋体" w:cs="宋体"/>
                <w:color w:val="auto"/>
                <w:sz w:val="24"/>
                <w:highlight w:val="none"/>
              </w:rPr>
            </w:pPr>
            <w:r>
              <w:rPr>
                <w:rFonts w:hint="eastAsia" w:ascii="宋体" w:hAnsi="宋体" w:cs="宋体"/>
                <w:color w:val="auto"/>
                <w:sz w:val="20"/>
                <w:szCs w:val="20"/>
                <w:highlight w:val="none"/>
              </w:rPr>
              <w:t>15</w:t>
            </w:r>
          </w:p>
        </w:tc>
        <w:tc>
          <w:tcPr>
            <w:tcW w:w="1247" w:type="dxa"/>
            <w:shd w:val="clear" w:color="auto" w:fill="auto"/>
            <w:vAlign w:val="center"/>
          </w:tcPr>
          <w:p w14:paraId="732A772F">
            <w:pPr>
              <w:spacing w:line="400" w:lineRule="exact"/>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光纤测试</w:t>
            </w:r>
          </w:p>
        </w:tc>
        <w:tc>
          <w:tcPr>
            <w:tcW w:w="690" w:type="dxa"/>
            <w:shd w:val="clear" w:color="000000" w:fill="FFFFFF"/>
            <w:vAlign w:val="center"/>
          </w:tcPr>
          <w:p w14:paraId="218713BA">
            <w:pPr>
              <w:spacing w:line="400" w:lineRule="exact"/>
              <w:jc w:val="center"/>
              <w:rPr>
                <w:rFonts w:hint="eastAsia" w:ascii="宋体" w:hAnsi="宋体" w:cs="宋体"/>
                <w:color w:val="auto"/>
                <w:highlight w:val="none"/>
              </w:rPr>
            </w:pPr>
            <w:r>
              <w:rPr>
                <w:rFonts w:hint="eastAsia" w:ascii="宋体" w:hAnsi="宋体" w:cs="宋体"/>
                <w:color w:val="auto"/>
                <w:highlight w:val="none"/>
              </w:rPr>
              <w:t>1166</w:t>
            </w:r>
          </w:p>
        </w:tc>
        <w:tc>
          <w:tcPr>
            <w:tcW w:w="540" w:type="dxa"/>
            <w:shd w:val="clear" w:color="000000" w:fill="FFFFFF"/>
            <w:vAlign w:val="center"/>
          </w:tcPr>
          <w:p w14:paraId="42665F88">
            <w:pPr>
              <w:spacing w:line="400" w:lineRule="exact"/>
              <w:jc w:val="center"/>
              <w:rPr>
                <w:rFonts w:hint="eastAsia" w:ascii="宋体" w:hAnsi="宋体" w:cs="宋体"/>
                <w:color w:val="auto"/>
                <w:highlight w:val="none"/>
              </w:rPr>
            </w:pPr>
            <w:r>
              <w:rPr>
                <w:rFonts w:hint="eastAsia" w:ascii="宋体" w:hAnsi="宋体" w:cs="宋体"/>
                <w:color w:val="auto"/>
                <w:highlight w:val="none"/>
              </w:rPr>
              <w:t>链路</w:t>
            </w:r>
          </w:p>
        </w:tc>
        <w:tc>
          <w:tcPr>
            <w:tcW w:w="4395" w:type="dxa"/>
            <w:shd w:val="clear" w:color="000000" w:fill="FFFFFF"/>
            <w:vAlign w:val="center"/>
          </w:tcPr>
          <w:p w14:paraId="1730458C">
            <w:pPr>
              <w:adjustRightInd w:val="0"/>
              <w:snapToGrid w:val="0"/>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1、对光纤链路采用专业仪器（如OTDR）进行测试，并提供测试报告。</w:t>
            </w:r>
          </w:p>
        </w:tc>
        <w:tc>
          <w:tcPr>
            <w:tcW w:w="1275" w:type="dxa"/>
            <w:shd w:val="clear" w:color="auto" w:fill="auto"/>
            <w:vAlign w:val="center"/>
          </w:tcPr>
          <w:p w14:paraId="0F1BCBED">
            <w:pPr>
              <w:spacing w:line="360" w:lineRule="exact"/>
              <w:jc w:val="center"/>
              <w:rPr>
                <w:rFonts w:hint="eastAsia" w:ascii="宋体" w:hAnsi="宋体" w:cs="宋体"/>
                <w:b/>
                <w:bCs/>
                <w:color w:val="auto"/>
                <w:sz w:val="24"/>
                <w:highlight w:val="none"/>
              </w:rPr>
            </w:pPr>
            <w:r>
              <w:rPr>
                <w:rFonts w:hint="eastAsia" w:ascii="宋体" w:hAnsi="宋体" w:cs="宋体"/>
                <w:color w:val="auto"/>
                <w:sz w:val="22"/>
                <w:szCs w:val="22"/>
                <w:highlight w:val="none"/>
              </w:rPr>
              <w:t>0.0015</w:t>
            </w:r>
          </w:p>
        </w:tc>
        <w:tc>
          <w:tcPr>
            <w:tcW w:w="1391" w:type="dxa"/>
            <w:shd w:val="clear" w:color="auto" w:fill="auto"/>
            <w:vAlign w:val="center"/>
          </w:tcPr>
          <w:p w14:paraId="7DE65EA7">
            <w:pPr>
              <w:spacing w:line="360" w:lineRule="exact"/>
              <w:jc w:val="center"/>
              <w:rPr>
                <w:rFonts w:hint="eastAsia" w:ascii="宋体" w:hAnsi="宋体" w:cs="宋体"/>
                <w:b/>
                <w:bCs/>
                <w:color w:val="auto"/>
                <w:sz w:val="24"/>
                <w:highlight w:val="none"/>
              </w:rPr>
            </w:pPr>
            <w:r>
              <w:rPr>
                <w:rFonts w:hint="eastAsia" w:ascii="宋体" w:hAnsi="宋体" w:cs="宋体"/>
                <w:color w:val="auto"/>
                <w:sz w:val="22"/>
                <w:szCs w:val="22"/>
                <w:highlight w:val="none"/>
              </w:rPr>
              <w:t>1.749</w:t>
            </w:r>
          </w:p>
        </w:tc>
      </w:tr>
      <w:tr w14:paraId="2AF03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416" w:type="dxa"/>
            <w:shd w:val="clear" w:color="auto" w:fill="auto"/>
            <w:vAlign w:val="center"/>
          </w:tcPr>
          <w:p w14:paraId="4905E082">
            <w:pPr>
              <w:spacing w:line="400" w:lineRule="exact"/>
              <w:jc w:val="center"/>
              <w:rPr>
                <w:rFonts w:hint="eastAsia" w:ascii="宋体" w:hAnsi="宋体" w:cs="宋体"/>
                <w:color w:val="auto"/>
                <w:sz w:val="24"/>
                <w:highlight w:val="none"/>
              </w:rPr>
            </w:pPr>
            <w:r>
              <w:rPr>
                <w:rFonts w:hint="eastAsia" w:ascii="宋体" w:hAnsi="宋体" w:cs="宋体"/>
                <w:color w:val="auto"/>
                <w:sz w:val="20"/>
                <w:szCs w:val="20"/>
                <w:highlight w:val="none"/>
              </w:rPr>
              <w:t>16</w:t>
            </w:r>
          </w:p>
        </w:tc>
        <w:tc>
          <w:tcPr>
            <w:tcW w:w="1247" w:type="dxa"/>
            <w:shd w:val="clear" w:color="auto" w:fill="auto"/>
            <w:vAlign w:val="center"/>
          </w:tcPr>
          <w:p w14:paraId="47262D3D">
            <w:pPr>
              <w:spacing w:line="400" w:lineRule="exact"/>
              <w:jc w:val="center"/>
              <w:rPr>
                <w:rFonts w:hint="eastAsia" w:ascii="宋体" w:hAnsi="宋体" w:cs="宋体"/>
                <w:color w:val="auto"/>
                <w:kern w:val="0"/>
                <w:sz w:val="24"/>
                <w:highlight w:val="none"/>
              </w:rPr>
            </w:pPr>
            <w:r>
              <w:rPr>
                <w:rFonts w:hint="eastAsia" w:ascii="宋体" w:hAnsi="宋体" w:cs="宋体"/>
                <w:color w:val="auto"/>
                <w:highlight w:val="none"/>
              </w:rPr>
              <w:t>六类网线</w:t>
            </w:r>
          </w:p>
        </w:tc>
        <w:tc>
          <w:tcPr>
            <w:tcW w:w="690" w:type="dxa"/>
            <w:shd w:val="clear" w:color="000000" w:fill="FFFFFF"/>
            <w:vAlign w:val="center"/>
          </w:tcPr>
          <w:p w14:paraId="1B894AB4">
            <w:pPr>
              <w:spacing w:line="400" w:lineRule="exact"/>
              <w:jc w:val="center"/>
              <w:rPr>
                <w:rFonts w:hint="eastAsia" w:ascii="宋体" w:hAnsi="宋体" w:cs="宋体"/>
                <w:color w:val="auto"/>
                <w:highlight w:val="none"/>
              </w:rPr>
            </w:pPr>
            <w:r>
              <w:rPr>
                <w:rFonts w:hint="eastAsia" w:ascii="宋体" w:hAnsi="宋体" w:cs="宋体"/>
                <w:color w:val="auto"/>
                <w:highlight w:val="none"/>
              </w:rPr>
              <w:t>52</w:t>
            </w:r>
          </w:p>
        </w:tc>
        <w:tc>
          <w:tcPr>
            <w:tcW w:w="540" w:type="dxa"/>
            <w:shd w:val="clear" w:color="000000" w:fill="FFFFFF"/>
            <w:vAlign w:val="center"/>
          </w:tcPr>
          <w:p w14:paraId="0440361A">
            <w:pPr>
              <w:spacing w:line="400" w:lineRule="exact"/>
              <w:jc w:val="center"/>
              <w:rPr>
                <w:rFonts w:hint="eastAsia" w:ascii="宋体" w:hAnsi="宋体" w:cs="宋体"/>
                <w:color w:val="auto"/>
                <w:highlight w:val="none"/>
              </w:rPr>
            </w:pPr>
            <w:r>
              <w:rPr>
                <w:rFonts w:hint="eastAsia" w:ascii="宋体" w:hAnsi="宋体" w:cs="宋体"/>
                <w:color w:val="auto"/>
                <w:highlight w:val="none"/>
              </w:rPr>
              <w:t>箱</w:t>
            </w:r>
          </w:p>
        </w:tc>
        <w:tc>
          <w:tcPr>
            <w:tcW w:w="4395" w:type="dxa"/>
            <w:shd w:val="clear" w:color="000000" w:fill="FFFFFF"/>
            <w:vAlign w:val="center"/>
          </w:tcPr>
          <w:p w14:paraId="34C10154">
            <w:pPr>
              <w:adjustRightInd w:val="0"/>
              <w:snapToGrid w:val="0"/>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1、非屏蔽带十字骨架双绞线,长度≥305米/箱。兼容所有Cat.6非屏蔽系统，符合‌YD/T 1019-2023‌、GB/T 18233.1</w:t>
            </w:r>
            <w:r>
              <w:rPr>
                <w:rFonts w:hint="eastAsia" w:ascii="宋体" w:hAnsi="宋体" w:cs="宋体"/>
                <w:color w:val="auto"/>
                <w:szCs w:val="21"/>
                <w:highlight w:val="none"/>
              </w:rPr>
              <w:noBreakHyphen/>
            </w:r>
            <w:r>
              <w:rPr>
                <w:rFonts w:hint="eastAsia" w:ascii="宋体" w:hAnsi="宋体" w:cs="宋体"/>
                <w:color w:val="auto"/>
                <w:szCs w:val="21"/>
                <w:highlight w:val="none"/>
              </w:rPr>
              <w:t>2022标准；</w:t>
            </w:r>
            <w:r>
              <w:rPr>
                <w:rFonts w:hint="eastAsia" w:ascii="宋体" w:hAnsi="宋体" w:cs="宋体"/>
                <w:color w:val="auto"/>
                <w:szCs w:val="21"/>
                <w:highlight w:val="none"/>
              </w:rPr>
              <w:br w:type="textWrapping"/>
            </w:r>
            <w:r>
              <w:rPr>
                <w:rFonts w:hint="eastAsia" w:ascii="宋体" w:hAnsi="宋体" w:cs="宋体"/>
                <w:color w:val="auto"/>
                <w:szCs w:val="21"/>
                <w:highlight w:val="none"/>
              </w:rPr>
              <w:t>2、环路电阻（20℃时）：≤ 176Ω/km  容抗：54nF/100m  阻抗：100±15Ω；</w:t>
            </w:r>
            <w:r>
              <w:rPr>
                <w:rFonts w:hint="eastAsia" w:ascii="宋体" w:hAnsi="宋体" w:cs="宋体"/>
                <w:color w:val="auto"/>
                <w:szCs w:val="21"/>
                <w:highlight w:val="none"/>
              </w:rPr>
              <w:br w:type="textWrapping"/>
            </w:r>
            <w:r>
              <w:rPr>
                <w:rFonts w:hint="eastAsia" w:ascii="宋体" w:hAnsi="宋体" w:cs="宋体"/>
                <w:color w:val="auto"/>
                <w:szCs w:val="21"/>
                <w:highlight w:val="none"/>
              </w:rPr>
              <w:t>3、线缆带宽达到250Mhz；</w:t>
            </w:r>
            <w:r>
              <w:rPr>
                <w:rFonts w:hint="eastAsia" w:ascii="宋体" w:hAnsi="宋体" w:cs="宋体"/>
                <w:color w:val="auto"/>
                <w:szCs w:val="21"/>
                <w:highlight w:val="none"/>
              </w:rPr>
              <w:br w:type="textWrapping"/>
            </w:r>
            <w:r>
              <w:rPr>
                <w:rFonts w:hint="eastAsia" w:ascii="宋体" w:hAnsi="宋体" w:cs="宋体"/>
                <w:color w:val="auto"/>
                <w:szCs w:val="21"/>
                <w:highlight w:val="none"/>
              </w:rPr>
              <w:t>4、弯曲半径：固定时≥48mm，牵引时≥22.5mm，拉伸强度≤93N；</w:t>
            </w:r>
            <w:r>
              <w:rPr>
                <w:rFonts w:hint="eastAsia" w:ascii="宋体" w:hAnsi="宋体" w:cs="宋体"/>
                <w:color w:val="auto"/>
                <w:szCs w:val="21"/>
                <w:highlight w:val="none"/>
              </w:rPr>
              <w:br w:type="textWrapping"/>
            </w:r>
            <w:r>
              <w:rPr>
                <w:rFonts w:hint="eastAsia" w:ascii="宋体" w:hAnsi="宋体" w:cs="宋体"/>
                <w:color w:val="auto"/>
                <w:szCs w:val="21"/>
                <w:highlight w:val="none"/>
              </w:rPr>
              <w:t>5、烟密度：符合GB/T 18380.12</w:t>
            </w:r>
            <w:r>
              <w:rPr>
                <w:rFonts w:hint="eastAsia" w:ascii="宋体" w:hAnsi="宋体" w:cs="宋体"/>
                <w:color w:val="auto"/>
                <w:szCs w:val="21"/>
                <w:highlight w:val="none"/>
              </w:rPr>
              <w:noBreakHyphen/>
            </w:r>
            <w:r>
              <w:rPr>
                <w:rFonts w:hint="eastAsia" w:ascii="宋体" w:hAnsi="宋体" w:cs="宋体"/>
                <w:color w:val="auto"/>
                <w:szCs w:val="21"/>
                <w:highlight w:val="none"/>
              </w:rPr>
              <w:t>2022标准，燃烧性能：符合GB/T 18380.12</w:t>
            </w:r>
            <w:r>
              <w:rPr>
                <w:rFonts w:hint="eastAsia" w:ascii="宋体" w:hAnsi="宋体" w:cs="宋体"/>
                <w:color w:val="auto"/>
                <w:szCs w:val="21"/>
                <w:highlight w:val="none"/>
              </w:rPr>
              <w:noBreakHyphen/>
            </w:r>
            <w:r>
              <w:rPr>
                <w:rFonts w:hint="eastAsia" w:ascii="宋体" w:hAnsi="宋体" w:cs="宋体"/>
                <w:color w:val="auto"/>
                <w:szCs w:val="21"/>
                <w:highlight w:val="none"/>
              </w:rPr>
              <w:t>2022标准；</w:t>
            </w:r>
            <w:r>
              <w:rPr>
                <w:rFonts w:hint="eastAsia" w:ascii="宋体" w:hAnsi="宋体" w:cs="宋体"/>
                <w:color w:val="auto"/>
                <w:szCs w:val="21"/>
                <w:highlight w:val="none"/>
              </w:rPr>
              <w:br w:type="textWrapping"/>
            </w:r>
            <w:r>
              <w:rPr>
                <w:rFonts w:hint="eastAsia" w:ascii="宋体" w:hAnsi="宋体" w:cs="宋体"/>
                <w:color w:val="auto"/>
                <w:szCs w:val="21"/>
                <w:highlight w:val="none"/>
              </w:rPr>
              <w:t>6、温度范围：安装时：0℃-+50℃，工作时：-20℃-+60℃；</w:t>
            </w:r>
            <w:r>
              <w:rPr>
                <w:rFonts w:hint="eastAsia" w:ascii="宋体" w:hAnsi="宋体" w:cs="宋体"/>
                <w:color w:val="auto"/>
                <w:szCs w:val="21"/>
                <w:highlight w:val="none"/>
              </w:rPr>
              <w:br w:type="textWrapping"/>
            </w:r>
            <w:r>
              <w:rPr>
                <w:rFonts w:hint="eastAsia" w:ascii="宋体" w:hAnsi="宋体" w:cs="宋体"/>
                <w:color w:val="auto"/>
                <w:szCs w:val="21"/>
                <w:highlight w:val="none"/>
              </w:rPr>
              <w:t>7、导线尺寸：约(n*n*AWG) 4×2×23AWG，环路电阻（20℃时）：≤155Ω/km，容抗：≤50pF/m ，阻抗：100±15Ω；</w:t>
            </w:r>
            <w:r>
              <w:rPr>
                <w:rFonts w:hint="eastAsia" w:ascii="宋体" w:hAnsi="宋体" w:cs="宋体"/>
                <w:color w:val="auto"/>
                <w:szCs w:val="21"/>
                <w:highlight w:val="none"/>
              </w:rPr>
              <w:br w:type="textWrapping"/>
            </w:r>
            <w:r>
              <w:rPr>
                <w:rFonts w:hint="eastAsia" w:ascii="宋体" w:hAnsi="宋体" w:cs="宋体"/>
                <w:color w:val="auto"/>
                <w:szCs w:val="21"/>
                <w:highlight w:val="none"/>
              </w:rPr>
              <w:t>8、芯线直径：≥0.53mm；外径：≥6mm。</w:t>
            </w:r>
            <w:r>
              <w:rPr>
                <w:rFonts w:hint="eastAsia" w:ascii="宋体" w:hAnsi="宋体" w:cs="宋体"/>
                <w:color w:val="auto"/>
                <w:szCs w:val="21"/>
                <w:highlight w:val="none"/>
              </w:rPr>
              <w:br w:type="textWrapping"/>
            </w:r>
            <w:r>
              <w:rPr>
                <w:rFonts w:hint="eastAsia" w:ascii="宋体" w:hAnsi="宋体" w:cs="宋体"/>
                <w:color w:val="auto"/>
                <w:szCs w:val="21"/>
                <w:highlight w:val="none"/>
              </w:rPr>
              <w:t>▲9、产品通过六类非屏蔽性能、六类非屏蔽连接信道、六类非屏蔽燃烧测试性能等测试。</w:t>
            </w:r>
          </w:p>
        </w:tc>
        <w:tc>
          <w:tcPr>
            <w:tcW w:w="1275" w:type="dxa"/>
            <w:shd w:val="clear" w:color="auto" w:fill="auto"/>
            <w:vAlign w:val="center"/>
          </w:tcPr>
          <w:p w14:paraId="3F82E7A3">
            <w:pPr>
              <w:spacing w:line="360" w:lineRule="exact"/>
              <w:jc w:val="center"/>
              <w:rPr>
                <w:rFonts w:hint="eastAsia" w:ascii="宋体" w:hAnsi="宋体" w:cs="宋体"/>
                <w:b/>
                <w:bCs/>
                <w:color w:val="auto"/>
                <w:sz w:val="24"/>
                <w:highlight w:val="none"/>
              </w:rPr>
            </w:pPr>
            <w:r>
              <w:rPr>
                <w:rFonts w:hint="eastAsia" w:ascii="宋体" w:hAnsi="宋体" w:cs="宋体"/>
                <w:color w:val="auto"/>
                <w:sz w:val="22"/>
                <w:szCs w:val="22"/>
                <w:highlight w:val="none"/>
              </w:rPr>
              <w:t>0.118</w:t>
            </w:r>
          </w:p>
        </w:tc>
        <w:tc>
          <w:tcPr>
            <w:tcW w:w="1391" w:type="dxa"/>
            <w:shd w:val="clear" w:color="auto" w:fill="auto"/>
            <w:vAlign w:val="center"/>
          </w:tcPr>
          <w:p w14:paraId="4F946947">
            <w:pPr>
              <w:spacing w:line="360" w:lineRule="exact"/>
              <w:jc w:val="center"/>
              <w:rPr>
                <w:rFonts w:hint="eastAsia" w:ascii="宋体" w:hAnsi="宋体" w:cs="宋体"/>
                <w:b/>
                <w:bCs/>
                <w:color w:val="auto"/>
                <w:sz w:val="24"/>
                <w:highlight w:val="none"/>
              </w:rPr>
            </w:pPr>
            <w:r>
              <w:rPr>
                <w:rFonts w:hint="eastAsia" w:ascii="宋体" w:hAnsi="宋体" w:cs="宋体"/>
                <w:color w:val="auto"/>
                <w:sz w:val="22"/>
                <w:szCs w:val="22"/>
                <w:highlight w:val="none"/>
              </w:rPr>
              <w:t>6.136</w:t>
            </w:r>
          </w:p>
        </w:tc>
      </w:tr>
      <w:tr w14:paraId="6D061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416" w:type="dxa"/>
            <w:shd w:val="clear" w:color="auto" w:fill="auto"/>
            <w:vAlign w:val="center"/>
          </w:tcPr>
          <w:p w14:paraId="3941128B">
            <w:pPr>
              <w:spacing w:line="400" w:lineRule="exact"/>
              <w:jc w:val="center"/>
              <w:rPr>
                <w:rFonts w:hint="eastAsia" w:ascii="宋体" w:hAnsi="宋体" w:cs="宋体"/>
                <w:color w:val="auto"/>
                <w:sz w:val="24"/>
                <w:highlight w:val="none"/>
              </w:rPr>
            </w:pPr>
            <w:r>
              <w:rPr>
                <w:rFonts w:hint="eastAsia" w:ascii="宋体" w:hAnsi="宋体" w:cs="宋体"/>
                <w:color w:val="auto"/>
                <w:sz w:val="20"/>
                <w:szCs w:val="20"/>
                <w:highlight w:val="none"/>
              </w:rPr>
              <w:t>17</w:t>
            </w:r>
          </w:p>
        </w:tc>
        <w:tc>
          <w:tcPr>
            <w:tcW w:w="1247" w:type="dxa"/>
            <w:shd w:val="clear" w:color="auto" w:fill="auto"/>
            <w:vAlign w:val="center"/>
          </w:tcPr>
          <w:p w14:paraId="5A499FF7">
            <w:pPr>
              <w:spacing w:line="400" w:lineRule="exact"/>
              <w:jc w:val="center"/>
              <w:rPr>
                <w:rFonts w:hint="eastAsia" w:ascii="宋体" w:hAnsi="宋体" w:cs="宋体"/>
                <w:color w:val="auto"/>
                <w:kern w:val="0"/>
                <w:sz w:val="24"/>
                <w:highlight w:val="none"/>
              </w:rPr>
            </w:pPr>
            <w:r>
              <w:rPr>
                <w:rFonts w:hint="eastAsia" w:ascii="宋体" w:hAnsi="宋体" w:cs="宋体"/>
                <w:color w:val="auto"/>
                <w:highlight w:val="none"/>
              </w:rPr>
              <w:t>光纤熔接</w:t>
            </w:r>
          </w:p>
        </w:tc>
        <w:tc>
          <w:tcPr>
            <w:tcW w:w="690" w:type="dxa"/>
            <w:shd w:val="clear" w:color="000000" w:fill="FFFFFF"/>
            <w:vAlign w:val="center"/>
          </w:tcPr>
          <w:p w14:paraId="558E872B">
            <w:pPr>
              <w:spacing w:line="400" w:lineRule="exact"/>
              <w:jc w:val="center"/>
              <w:rPr>
                <w:rFonts w:hint="eastAsia" w:ascii="宋体" w:hAnsi="宋体" w:cs="宋体"/>
                <w:color w:val="auto"/>
                <w:highlight w:val="none"/>
              </w:rPr>
            </w:pPr>
            <w:r>
              <w:rPr>
                <w:rFonts w:hint="eastAsia" w:ascii="宋体" w:hAnsi="宋体" w:cs="宋体"/>
                <w:color w:val="auto"/>
                <w:highlight w:val="none"/>
              </w:rPr>
              <w:t>2332</w:t>
            </w:r>
          </w:p>
        </w:tc>
        <w:tc>
          <w:tcPr>
            <w:tcW w:w="540" w:type="dxa"/>
            <w:shd w:val="clear" w:color="000000" w:fill="FFFFFF"/>
            <w:vAlign w:val="center"/>
          </w:tcPr>
          <w:p w14:paraId="2427A045">
            <w:pPr>
              <w:spacing w:line="400" w:lineRule="exact"/>
              <w:jc w:val="center"/>
              <w:rPr>
                <w:rFonts w:hint="eastAsia" w:ascii="宋体" w:hAnsi="宋体" w:cs="宋体"/>
                <w:color w:val="auto"/>
                <w:highlight w:val="none"/>
              </w:rPr>
            </w:pPr>
            <w:r>
              <w:rPr>
                <w:rFonts w:hint="eastAsia" w:ascii="宋体" w:hAnsi="宋体" w:cs="宋体"/>
                <w:color w:val="auto"/>
                <w:highlight w:val="none"/>
              </w:rPr>
              <w:t>芯</w:t>
            </w:r>
          </w:p>
        </w:tc>
        <w:tc>
          <w:tcPr>
            <w:tcW w:w="4395" w:type="dxa"/>
            <w:shd w:val="clear" w:color="000000" w:fill="FFFFFF"/>
            <w:vAlign w:val="center"/>
          </w:tcPr>
          <w:p w14:paraId="4AA8234F">
            <w:pPr>
              <w:adjustRightInd w:val="0"/>
              <w:snapToGrid w:val="0"/>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1、光纤熔接，含所需的辅材。</w:t>
            </w:r>
          </w:p>
        </w:tc>
        <w:tc>
          <w:tcPr>
            <w:tcW w:w="1275" w:type="dxa"/>
            <w:shd w:val="clear" w:color="auto" w:fill="auto"/>
            <w:vAlign w:val="center"/>
          </w:tcPr>
          <w:p w14:paraId="21CB30DE">
            <w:pPr>
              <w:spacing w:line="360" w:lineRule="exact"/>
              <w:jc w:val="center"/>
              <w:rPr>
                <w:rFonts w:hint="eastAsia" w:ascii="宋体" w:hAnsi="宋体" w:cs="宋体"/>
                <w:b/>
                <w:bCs/>
                <w:color w:val="auto"/>
                <w:sz w:val="24"/>
                <w:highlight w:val="none"/>
              </w:rPr>
            </w:pPr>
            <w:r>
              <w:rPr>
                <w:rFonts w:hint="eastAsia" w:ascii="宋体" w:hAnsi="宋体" w:cs="宋体"/>
                <w:color w:val="auto"/>
                <w:sz w:val="22"/>
                <w:szCs w:val="22"/>
                <w:highlight w:val="none"/>
              </w:rPr>
              <w:t>0.0015</w:t>
            </w:r>
          </w:p>
        </w:tc>
        <w:tc>
          <w:tcPr>
            <w:tcW w:w="1391" w:type="dxa"/>
            <w:shd w:val="clear" w:color="auto" w:fill="auto"/>
            <w:vAlign w:val="center"/>
          </w:tcPr>
          <w:p w14:paraId="2AF5DFE2">
            <w:pPr>
              <w:spacing w:line="360" w:lineRule="exact"/>
              <w:jc w:val="center"/>
              <w:rPr>
                <w:rFonts w:hint="eastAsia" w:ascii="宋体" w:hAnsi="宋体" w:cs="宋体"/>
                <w:b/>
                <w:bCs/>
                <w:color w:val="auto"/>
                <w:sz w:val="24"/>
                <w:highlight w:val="none"/>
              </w:rPr>
            </w:pPr>
            <w:r>
              <w:rPr>
                <w:rFonts w:hint="eastAsia" w:ascii="宋体" w:hAnsi="宋体" w:cs="宋体"/>
                <w:color w:val="auto"/>
                <w:sz w:val="22"/>
                <w:szCs w:val="22"/>
                <w:highlight w:val="none"/>
              </w:rPr>
              <w:t>3.498</w:t>
            </w:r>
          </w:p>
        </w:tc>
      </w:tr>
      <w:tr w14:paraId="7D952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416" w:type="dxa"/>
            <w:shd w:val="clear" w:color="auto" w:fill="auto"/>
            <w:vAlign w:val="center"/>
          </w:tcPr>
          <w:p w14:paraId="2B342F64">
            <w:pPr>
              <w:spacing w:line="400" w:lineRule="exact"/>
              <w:jc w:val="center"/>
              <w:rPr>
                <w:rFonts w:hint="eastAsia" w:ascii="宋体" w:hAnsi="宋体" w:cs="宋体"/>
                <w:color w:val="auto"/>
                <w:sz w:val="24"/>
                <w:highlight w:val="none"/>
              </w:rPr>
            </w:pPr>
            <w:r>
              <w:rPr>
                <w:rFonts w:hint="eastAsia" w:ascii="宋体" w:hAnsi="宋体" w:cs="宋体"/>
                <w:color w:val="auto"/>
                <w:sz w:val="20"/>
                <w:szCs w:val="20"/>
                <w:highlight w:val="none"/>
              </w:rPr>
              <w:t>18</w:t>
            </w:r>
          </w:p>
        </w:tc>
        <w:tc>
          <w:tcPr>
            <w:tcW w:w="1247" w:type="dxa"/>
            <w:shd w:val="clear" w:color="auto" w:fill="auto"/>
            <w:vAlign w:val="center"/>
          </w:tcPr>
          <w:p w14:paraId="37480448">
            <w:pPr>
              <w:spacing w:line="400" w:lineRule="exact"/>
              <w:jc w:val="center"/>
              <w:rPr>
                <w:rFonts w:hint="eastAsia" w:ascii="宋体" w:hAnsi="宋体" w:cs="宋体"/>
                <w:color w:val="auto"/>
                <w:kern w:val="0"/>
                <w:sz w:val="24"/>
                <w:highlight w:val="none"/>
              </w:rPr>
            </w:pPr>
            <w:r>
              <w:rPr>
                <w:rFonts w:hint="eastAsia" w:ascii="宋体" w:hAnsi="宋体" w:cs="宋体"/>
                <w:color w:val="auto"/>
                <w:highlight w:val="none"/>
              </w:rPr>
              <w:t>12芯光纤终端盒</w:t>
            </w:r>
          </w:p>
        </w:tc>
        <w:tc>
          <w:tcPr>
            <w:tcW w:w="690" w:type="dxa"/>
            <w:shd w:val="clear" w:color="000000" w:fill="FFFFFF"/>
            <w:vAlign w:val="center"/>
          </w:tcPr>
          <w:p w14:paraId="5FAEA6AD">
            <w:pPr>
              <w:spacing w:line="400" w:lineRule="exact"/>
              <w:jc w:val="center"/>
              <w:rPr>
                <w:rFonts w:hint="eastAsia" w:ascii="宋体" w:hAnsi="宋体" w:cs="宋体"/>
                <w:color w:val="auto"/>
                <w:highlight w:val="none"/>
              </w:rPr>
            </w:pPr>
            <w:r>
              <w:rPr>
                <w:rFonts w:hint="eastAsia" w:ascii="宋体" w:hAnsi="宋体" w:cs="宋体"/>
                <w:color w:val="auto"/>
                <w:highlight w:val="none"/>
              </w:rPr>
              <w:t>6</w:t>
            </w:r>
          </w:p>
        </w:tc>
        <w:tc>
          <w:tcPr>
            <w:tcW w:w="540" w:type="dxa"/>
            <w:shd w:val="clear" w:color="000000" w:fill="FFFFFF"/>
            <w:vAlign w:val="center"/>
          </w:tcPr>
          <w:p w14:paraId="76E3ABC0">
            <w:pPr>
              <w:spacing w:line="400" w:lineRule="exact"/>
              <w:jc w:val="center"/>
              <w:rPr>
                <w:rFonts w:hint="eastAsia" w:ascii="宋体" w:hAnsi="宋体" w:cs="宋体"/>
                <w:color w:val="auto"/>
                <w:highlight w:val="none"/>
              </w:rPr>
            </w:pPr>
            <w:r>
              <w:rPr>
                <w:rFonts w:hint="eastAsia" w:ascii="宋体" w:hAnsi="宋体" w:cs="宋体"/>
                <w:color w:val="auto"/>
                <w:highlight w:val="none"/>
              </w:rPr>
              <w:t>个</w:t>
            </w:r>
          </w:p>
        </w:tc>
        <w:tc>
          <w:tcPr>
            <w:tcW w:w="4395" w:type="dxa"/>
            <w:shd w:val="clear" w:color="000000" w:fill="FFFFFF"/>
            <w:vAlign w:val="center"/>
          </w:tcPr>
          <w:p w14:paraId="69F59123">
            <w:pPr>
              <w:adjustRightInd w:val="0"/>
              <w:snapToGrid w:val="0"/>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1、6口12芯终端盒，配6个LC双口耦合器及尾纤。</w:t>
            </w:r>
          </w:p>
        </w:tc>
        <w:tc>
          <w:tcPr>
            <w:tcW w:w="1275" w:type="dxa"/>
            <w:shd w:val="clear" w:color="auto" w:fill="auto"/>
            <w:vAlign w:val="center"/>
          </w:tcPr>
          <w:p w14:paraId="38E72274">
            <w:pPr>
              <w:spacing w:line="360" w:lineRule="exact"/>
              <w:jc w:val="center"/>
              <w:rPr>
                <w:rFonts w:hint="eastAsia" w:ascii="宋体" w:hAnsi="宋体" w:cs="宋体"/>
                <w:b/>
                <w:bCs/>
                <w:color w:val="auto"/>
                <w:sz w:val="24"/>
                <w:highlight w:val="none"/>
              </w:rPr>
            </w:pPr>
            <w:r>
              <w:rPr>
                <w:rFonts w:hint="eastAsia" w:ascii="宋体" w:hAnsi="宋体" w:cs="宋体"/>
                <w:color w:val="auto"/>
                <w:sz w:val="22"/>
                <w:szCs w:val="22"/>
                <w:highlight w:val="none"/>
              </w:rPr>
              <w:t>0.028</w:t>
            </w:r>
          </w:p>
        </w:tc>
        <w:tc>
          <w:tcPr>
            <w:tcW w:w="1391" w:type="dxa"/>
            <w:shd w:val="clear" w:color="auto" w:fill="auto"/>
            <w:vAlign w:val="center"/>
          </w:tcPr>
          <w:p w14:paraId="751E2C62">
            <w:pPr>
              <w:spacing w:line="360" w:lineRule="exact"/>
              <w:jc w:val="center"/>
              <w:rPr>
                <w:rFonts w:hint="eastAsia" w:ascii="宋体" w:hAnsi="宋体" w:cs="宋体"/>
                <w:b/>
                <w:bCs/>
                <w:color w:val="auto"/>
                <w:sz w:val="24"/>
                <w:highlight w:val="none"/>
              </w:rPr>
            </w:pPr>
            <w:r>
              <w:rPr>
                <w:rFonts w:hint="eastAsia" w:ascii="宋体" w:hAnsi="宋体" w:cs="宋体"/>
                <w:color w:val="auto"/>
                <w:sz w:val="22"/>
                <w:szCs w:val="22"/>
                <w:highlight w:val="none"/>
              </w:rPr>
              <w:t>0.168</w:t>
            </w:r>
          </w:p>
        </w:tc>
      </w:tr>
      <w:tr w14:paraId="2EAEA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416" w:type="dxa"/>
            <w:shd w:val="clear" w:color="auto" w:fill="auto"/>
            <w:vAlign w:val="center"/>
          </w:tcPr>
          <w:p w14:paraId="0F8D8D9C">
            <w:pPr>
              <w:spacing w:line="400" w:lineRule="exact"/>
              <w:jc w:val="center"/>
              <w:rPr>
                <w:rFonts w:hint="eastAsia" w:ascii="宋体" w:hAnsi="宋体" w:cs="宋体"/>
                <w:color w:val="auto"/>
                <w:sz w:val="24"/>
                <w:highlight w:val="none"/>
              </w:rPr>
            </w:pPr>
            <w:r>
              <w:rPr>
                <w:rFonts w:hint="eastAsia" w:ascii="宋体" w:hAnsi="宋体" w:cs="宋体"/>
                <w:color w:val="auto"/>
                <w:sz w:val="20"/>
                <w:szCs w:val="20"/>
                <w:highlight w:val="none"/>
              </w:rPr>
              <w:t>19</w:t>
            </w:r>
          </w:p>
        </w:tc>
        <w:tc>
          <w:tcPr>
            <w:tcW w:w="1247" w:type="dxa"/>
            <w:shd w:val="clear" w:color="auto" w:fill="auto"/>
            <w:vAlign w:val="center"/>
          </w:tcPr>
          <w:p w14:paraId="1B4A8095">
            <w:pPr>
              <w:spacing w:line="400" w:lineRule="exact"/>
              <w:jc w:val="center"/>
              <w:rPr>
                <w:rFonts w:hint="eastAsia" w:ascii="宋体" w:hAnsi="宋体" w:cs="宋体"/>
                <w:color w:val="auto"/>
                <w:kern w:val="0"/>
                <w:sz w:val="24"/>
                <w:highlight w:val="none"/>
              </w:rPr>
            </w:pPr>
            <w:r>
              <w:rPr>
                <w:rFonts w:hint="eastAsia" w:ascii="宋体" w:hAnsi="宋体" w:cs="宋体"/>
                <w:color w:val="auto"/>
                <w:highlight w:val="none"/>
              </w:rPr>
              <w:t>壁挂机柜</w:t>
            </w:r>
          </w:p>
        </w:tc>
        <w:tc>
          <w:tcPr>
            <w:tcW w:w="690" w:type="dxa"/>
            <w:shd w:val="clear" w:color="000000" w:fill="FFFFFF"/>
            <w:vAlign w:val="center"/>
          </w:tcPr>
          <w:p w14:paraId="4CA02DFC">
            <w:pPr>
              <w:spacing w:line="400" w:lineRule="exact"/>
              <w:jc w:val="center"/>
              <w:rPr>
                <w:rFonts w:hint="eastAsia" w:ascii="宋体" w:hAnsi="宋体" w:cs="宋体"/>
                <w:color w:val="auto"/>
                <w:highlight w:val="none"/>
              </w:rPr>
            </w:pPr>
            <w:r>
              <w:rPr>
                <w:rFonts w:hint="eastAsia" w:ascii="宋体" w:hAnsi="宋体" w:cs="宋体"/>
                <w:color w:val="auto"/>
                <w:highlight w:val="none"/>
              </w:rPr>
              <w:t>4</w:t>
            </w:r>
          </w:p>
        </w:tc>
        <w:tc>
          <w:tcPr>
            <w:tcW w:w="540" w:type="dxa"/>
            <w:shd w:val="clear" w:color="000000" w:fill="FFFFFF"/>
            <w:vAlign w:val="center"/>
          </w:tcPr>
          <w:p w14:paraId="0694138C">
            <w:pPr>
              <w:spacing w:line="400" w:lineRule="exact"/>
              <w:jc w:val="center"/>
              <w:rPr>
                <w:rFonts w:hint="eastAsia" w:ascii="宋体" w:hAnsi="宋体" w:cs="宋体"/>
                <w:color w:val="auto"/>
                <w:highlight w:val="none"/>
              </w:rPr>
            </w:pPr>
            <w:r>
              <w:rPr>
                <w:rFonts w:hint="eastAsia" w:ascii="宋体" w:hAnsi="宋体" w:cs="宋体"/>
                <w:color w:val="auto"/>
                <w:highlight w:val="none"/>
              </w:rPr>
              <w:t>个</w:t>
            </w:r>
          </w:p>
        </w:tc>
        <w:tc>
          <w:tcPr>
            <w:tcW w:w="4395" w:type="dxa"/>
            <w:shd w:val="clear" w:color="000000" w:fill="FFFFFF"/>
            <w:vAlign w:val="center"/>
          </w:tcPr>
          <w:p w14:paraId="01537F31">
            <w:pPr>
              <w:adjustRightInd w:val="0"/>
              <w:snapToGrid w:val="0"/>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1、17U壁挂网络机柜，规格：约600*600*1000mm（宽*深*高）</w:t>
            </w:r>
          </w:p>
          <w:p w14:paraId="7B43364A">
            <w:pPr>
              <w:adjustRightInd w:val="0"/>
              <w:snapToGrid w:val="0"/>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2、19英寸，符合GB/T 19520.16</w:t>
            </w:r>
            <w:r>
              <w:rPr>
                <w:rFonts w:hint="eastAsia" w:ascii="宋体" w:hAnsi="宋体" w:cs="宋体"/>
                <w:color w:val="auto"/>
                <w:szCs w:val="21"/>
                <w:highlight w:val="none"/>
              </w:rPr>
              <w:noBreakHyphen/>
            </w:r>
            <w:r>
              <w:rPr>
                <w:rFonts w:hint="eastAsia" w:ascii="宋体" w:hAnsi="宋体" w:cs="宋体"/>
                <w:color w:val="auto"/>
                <w:szCs w:val="21"/>
                <w:highlight w:val="none"/>
              </w:rPr>
              <w:t>2014</w:t>
            </w:r>
            <w:r>
              <w:rPr>
                <w:rFonts w:hint="eastAsia"/>
                <w:color w:val="auto"/>
                <w:highlight w:val="none"/>
              </w:rPr>
              <w:t>标准的</w:t>
            </w:r>
            <w:r>
              <w:rPr>
                <w:rFonts w:hint="eastAsia" w:ascii="宋体" w:hAnsi="宋体" w:cs="宋体"/>
                <w:color w:val="auto"/>
                <w:szCs w:val="21"/>
                <w:highlight w:val="none"/>
              </w:rPr>
              <w:t>立柱，成型材结构，落地式机柜的结构：框架、底部加固以达到增强机柜强度的效果。侧后为可拆钢板门，采用高强度的优质冷轧钢板。</w:t>
            </w:r>
          </w:p>
        </w:tc>
        <w:tc>
          <w:tcPr>
            <w:tcW w:w="1275" w:type="dxa"/>
            <w:shd w:val="clear" w:color="auto" w:fill="auto"/>
            <w:vAlign w:val="center"/>
          </w:tcPr>
          <w:p w14:paraId="58692980">
            <w:pPr>
              <w:spacing w:line="360" w:lineRule="exact"/>
              <w:jc w:val="center"/>
              <w:rPr>
                <w:rFonts w:hint="eastAsia" w:ascii="宋体" w:hAnsi="宋体" w:cs="宋体"/>
                <w:b/>
                <w:bCs/>
                <w:color w:val="auto"/>
                <w:sz w:val="24"/>
                <w:highlight w:val="none"/>
              </w:rPr>
            </w:pPr>
            <w:r>
              <w:rPr>
                <w:rFonts w:hint="eastAsia" w:ascii="宋体" w:hAnsi="宋体" w:cs="宋体"/>
                <w:color w:val="auto"/>
                <w:sz w:val="22"/>
                <w:szCs w:val="22"/>
                <w:highlight w:val="none"/>
              </w:rPr>
              <w:t>0.125</w:t>
            </w:r>
          </w:p>
        </w:tc>
        <w:tc>
          <w:tcPr>
            <w:tcW w:w="1391" w:type="dxa"/>
            <w:shd w:val="clear" w:color="auto" w:fill="auto"/>
            <w:vAlign w:val="center"/>
          </w:tcPr>
          <w:p w14:paraId="25CB9373">
            <w:pPr>
              <w:spacing w:line="360" w:lineRule="exact"/>
              <w:jc w:val="center"/>
              <w:rPr>
                <w:rFonts w:hint="eastAsia" w:ascii="宋体" w:hAnsi="宋体" w:cs="宋体"/>
                <w:b/>
                <w:bCs/>
                <w:color w:val="auto"/>
                <w:sz w:val="24"/>
                <w:highlight w:val="none"/>
              </w:rPr>
            </w:pPr>
            <w:r>
              <w:rPr>
                <w:rFonts w:hint="eastAsia" w:ascii="宋体" w:hAnsi="宋体" w:cs="宋体"/>
                <w:color w:val="auto"/>
                <w:sz w:val="22"/>
                <w:szCs w:val="22"/>
                <w:highlight w:val="none"/>
              </w:rPr>
              <w:t>0.5</w:t>
            </w:r>
          </w:p>
        </w:tc>
      </w:tr>
      <w:tr w14:paraId="18F17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416" w:type="dxa"/>
            <w:shd w:val="clear" w:color="auto" w:fill="auto"/>
            <w:vAlign w:val="center"/>
          </w:tcPr>
          <w:p w14:paraId="5B0BC5BA">
            <w:pPr>
              <w:spacing w:line="400" w:lineRule="exact"/>
              <w:jc w:val="center"/>
              <w:rPr>
                <w:rFonts w:hint="eastAsia" w:ascii="宋体" w:hAnsi="宋体" w:cs="宋体"/>
                <w:color w:val="auto"/>
                <w:sz w:val="24"/>
                <w:highlight w:val="none"/>
              </w:rPr>
            </w:pPr>
            <w:r>
              <w:rPr>
                <w:rFonts w:hint="eastAsia" w:ascii="宋体" w:hAnsi="宋体" w:cs="宋体"/>
                <w:color w:val="auto"/>
                <w:sz w:val="20"/>
                <w:szCs w:val="20"/>
                <w:highlight w:val="none"/>
              </w:rPr>
              <w:t>20</w:t>
            </w:r>
          </w:p>
        </w:tc>
        <w:tc>
          <w:tcPr>
            <w:tcW w:w="1247" w:type="dxa"/>
            <w:shd w:val="clear" w:color="auto" w:fill="auto"/>
            <w:vAlign w:val="center"/>
          </w:tcPr>
          <w:p w14:paraId="1F5E187F">
            <w:pPr>
              <w:spacing w:line="400" w:lineRule="exact"/>
              <w:jc w:val="center"/>
              <w:rPr>
                <w:rFonts w:hint="eastAsia" w:ascii="宋体" w:hAnsi="宋体" w:cs="宋体"/>
                <w:color w:val="auto"/>
                <w:kern w:val="0"/>
                <w:sz w:val="24"/>
                <w:highlight w:val="none"/>
              </w:rPr>
            </w:pPr>
            <w:r>
              <w:rPr>
                <w:rFonts w:hint="eastAsia" w:ascii="宋体" w:hAnsi="宋体" w:cs="宋体"/>
                <w:color w:val="auto"/>
                <w:highlight w:val="none"/>
              </w:rPr>
              <w:t>施工耗材</w:t>
            </w:r>
          </w:p>
        </w:tc>
        <w:tc>
          <w:tcPr>
            <w:tcW w:w="690" w:type="dxa"/>
            <w:shd w:val="clear" w:color="000000" w:fill="FFFFFF"/>
            <w:vAlign w:val="center"/>
          </w:tcPr>
          <w:p w14:paraId="394B42D3">
            <w:pPr>
              <w:spacing w:line="400" w:lineRule="exact"/>
              <w:jc w:val="center"/>
              <w:rPr>
                <w:rFonts w:hint="eastAsia" w:ascii="宋体" w:hAnsi="宋体" w:cs="宋体"/>
                <w:color w:val="auto"/>
                <w:highlight w:val="none"/>
              </w:rPr>
            </w:pPr>
            <w:r>
              <w:rPr>
                <w:rFonts w:hint="eastAsia" w:ascii="宋体" w:hAnsi="宋体" w:cs="宋体"/>
                <w:color w:val="auto"/>
                <w:highlight w:val="none"/>
              </w:rPr>
              <w:t>1</w:t>
            </w:r>
          </w:p>
        </w:tc>
        <w:tc>
          <w:tcPr>
            <w:tcW w:w="540" w:type="dxa"/>
            <w:shd w:val="clear" w:color="000000" w:fill="FFFFFF"/>
            <w:vAlign w:val="center"/>
          </w:tcPr>
          <w:p w14:paraId="247B01B5">
            <w:pPr>
              <w:spacing w:line="400" w:lineRule="exact"/>
              <w:jc w:val="center"/>
              <w:rPr>
                <w:rFonts w:hint="eastAsia" w:ascii="宋体" w:hAnsi="宋体" w:cs="宋体"/>
                <w:color w:val="auto"/>
                <w:highlight w:val="none"/>
              </w:rPr>
            </w:pPr>
            <w:r>
              <w:rPr>
                <w:rFonts w:hint="eastAsia" w:ascii="宋体" w:hAnsi="宋体" w:cs="宋体"/>
                <w:color w:val="auto"/>
                <w:highlight w:val="none"/>
              </w:rPr>
              <w:t>项</w:t>
            </w:r>
          </w:p>
        </w:tc>
        <w:tc>
          <w:tcPr>
            <w:tcW w:w="4395" w:type="dxa"/>
            <w:shd w:val="clear" w:color="000000" w:fill="FFFFFF"/>
            <w:vAlign w:val="center"/>
          </w:tcPr>
          <w:p w14:paraId="066A2B64">
            <w:pPr>
              <w:adjustRightInd w:val="0"/>
              <w:snapToGrid w:val="0"/>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1、满足本弱电工程项目所有施工所需的阻燃PVC线管、线槽、自攻钉、钢钉、水晶头、尼龙扎带、电工胶布、波纹管、膨胀螺丝、胶塞、腻子粉等所有施工耗材配件。</w:t>
            </w:r>
          </w:p>
        </w:tc>
        <w:tc>
          <w:tcPr>
            <w:tcW w:w="1275" w:type="dxa"/>
            <w:shd w:val="clear" w:color="auto" w:fill="auto"/>
            <w:vAlign w:val="center"/>
          </w:tcPr>
          <w:p w14:paraId="0E2DCB45">
            <w:pPr>
              <w:spacing w:line="360" w:lineRule="exact"/>
              <w:jc w:val="center"/>
              <w:rPr>
                <w:rFonts w:hint="eastAsia" w:ascii="宋体" w:hAnsi="宋体" w:cs="宋体"/>
                <w:b/>
                <w:bCs/>
                <w:color w:val="auto"/>
                <w:sz w:val="24"/>
                <w:highlight w:val="none"/>
              </w:rPr>
            </w:pPr>
            <w:r>
              <w:rPr>
                <w:rFonts w:hint="eastAsia" w:ascii="宋体" w:hAnsi="宋体" w:cs="宋体"/>
                <w:color w:val="auto"/>
                <w:sz w:val="22"/>
                <w:szCs w:val="22"/>
                <w:highlight w:val="none"/>
              </w:rPr>
              <w:t>2.211</w:t>
            </w:r>
          </w:p>
        </w:tc>
        <w:tc>
          <w:tcPr>
            <w:tcW w:w="1391" w:type="dxa"/>
            <w:shd w:val="clear" w:color="auto" w:fill="auto"/>
            <w:vAlign w:val="center"/>
          </w:tcPr>
          <w:p w14:paraId="7AA08C62">
            <w:pPr>
              <w:spacing w:line="360" w:lineRule="exact"/>
              <w:jc w:val="center"/>
              <w:rPr>
                <w:rFonts w:hint="eastAsia" w:ascii="宋体" w:hAnsi="宋体" w:cs="宋体"/>
                <w:b/>
                <w:bCs/>
                <w:color w:val="auto"/>
                <w:sz w:val="24"/>
                <w:highlight w:val="none"/>
              </w:rPr>
            </w:pPr>
            <w:r>
              <w:rPr>
                <w:rFonts w:hint="eastAsia" w:ascii="宋体" w:hAnsi="宋体" w:cs="宋体"/>
                <w:color w:val="auto"/>
                <w:sz w:val="22"/>
                <w:szCs w:val="22"/>
                <w:highlight w:val="none"/>
              </w:rPr>
              <w:t>2.211</w:t>
            </w:r>
          </w:p>
        </w:tc>
      </w:tr>
      <w:tr w14:paraId="622CE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416" w:type="dxa"/>
            <w:shd w:val="clear" w:color="auto" w:fill="auto"/>
            <w:vAlign w:val="center"/>
          </w:tcPr>
          <w:p w14:paraId="5B8CB469">
            <w:pPr>
              <w:spacing w:line="400" w:lineRule="exact"/>
              <w:jc w:val="center"/>
              <w:rPr>
                <w:rFonts w:hint="eastAsia" w:ascii="宋体" w:hAnsi="宋体" w:cs="宋体"/>
                <w:color w:val="auto"/>
                <w:sz w:val="24"/>
                <w:highlight w:val="none"/>
              </w:rPr>
            </w:pPr>
            <w:r>
              <w:rPr>
                <w:rFonts w:hint="eastAsia" w:ascii="宋体" w:hAnsi="宋体" w:cs="宋体"/>
                <w:color w:val="auto"/>
                <w:sz w:val="20"/>
                <w:szCs w:val="20"/>
                <w:highlight w:val="none"/>
              </w:rPr>
              <w:t>21</w:t>
            </w:r>
          </w:p>
        </w:tc>
        <w:tc>
          <w:tcPr>
            <w:tcW w:w="1247" w:type="dxa"/>
            <w:shd w:val="clear" w:color="auto" w:fill="auto"/>
            <w:vAlign w:val="center"/>
          </w:tcPr>
          <w:p w14:paraId="4490A924">
            <w:pPr>
              <w:spacing w:line="400" w:lineRule="exact"/>
              <w:jc w:val="center"/>
              <w:rPr>
                <w:rFonts w:hint="eastAsia" w:ascii="宋体" w:hAnsi="宋体" w:cs="宋体"/>
                <w:color w:val="auto"/>
                <w:kern w:val="0"/>
                <w:sz w:val="24"/>
                <w:highlight w:val="none"/>
              </w:rPr>
            </w:pPr>
            <w:r>
              <w:rPr>
                <w:rFonts w:hint="eastAsia" w:ascii="宋体" w:hAnsi="宋体" w:cs="宋体"/>
                <w:color w:val="auto"/>
                <w:highlight w:val="none"/>
              </w:rPr>
              <w:t>系统集成服务</w:t>
            </w:r>
          </w:p>
        </w:tc>
        <w:tc>
          <w:tcPr>
            <w:tcW w:w="690" w:type="dxa"/>
            <w:shd w:val="clear" w:color="000000" w:fill="FFFFFF"/>
            <w:vAlign w:val="center"/>
          </w:tcPr>
          <w:p w14:paraId="3E98A6CC">
            <w:pPr>
              <w:spacing w:line="400" w:lineRule="exact"/>
              <w:jc w:val="center"/>
              <w:rPr>
                <w:rFonts w:hint="eastAsia" w:ascii="宋体" w:hAnsi="宋体" w:cs="宋体"/>
                <w:color w:val="auto"/>
                <w:highlight w:val="none"/>
              </w:rPr>
            </w:pPr>
            <w:r>
              <w:rPr>
                <w:rFonts w:hint="eastAsia" w:ascii="宋体" w:hAnsi="宋体" w:cs="宋体"/>
                <w:color w:val="auto"/>
                <w:highlight w:val="none"/>
              </w:rPr>
              <w:t>1</w:t>
            </w:r>
          </w:p>
        </w:tc>
        <w:tc>
          <w:tcPr>
            <w:tcW w:w="540" w:type="dxa"/>
            <w:shd w:val="clear" w:color="000000" w:fill="FFFFFF"/>
            <w:vAlign w:val="center"/>
          </w:tcPr>
          <w:p w14:paraId="4C00C711">
            <w:pPr>
              <w:spacing w:line="400" w:lineRule="exact"/>
              <w:jc w:val="center"/>
              <w:rPr>
                <w:rFonts w:hint="eastAsia" w:ascii="宋体" w:hAnsi="宋体" w:cs="宋体"/>
                <w:color w:val="auto"/>
                <w:highlight w:val="none"/>
              </w:rPr>
            </w:pPr>
            <w:r>
              <w:rPr>
                <w:rFonts w:hint="eastAsia" w:ascii="宋体" w:hAnsi="宋体" w:cs="宋体"/>
                <w:color w:val="auto"/>
                <w:highlight w:val="none"/>
              </w:rPr>
              <w:t>项</w:t>
            </w:r>
          </w:p>
        </w:tc>
        <w:tc>
          <w:tcPr>
            <w:tcW w:w="4395" w:type="dxa"/>
            <w:shd w:val="clear" w:color="000000" w:fill="FFFFFF"/>
            <w:vAlign w:val="center"/>
          </w:tcPr>
          <w:p w14:paraId="61D66338">
            <w:pPr>
              <w:adjustRightInd w:val="0"/>
              <w:snapToGrid w:val="0"/>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1、项目实施按采购人项目方案要求实施，包含本项目OLT、XGSPON板卡、ONU等设备的安装、调试，线缆及设备标签的制作等</w:t>
            </w:r>
          </w:p>
          <w:p w14:paraId="1301C8DB">
            <w:pPr>
              <w:adjustRightInd w:val="0"/>
              <w:snapToGrid w:val="0"/>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2、施工完成后场地清理、垃圾清运及保洁。</w:t>
            </w:r>
          </w:p>
        </w:tc>
        <w:tc>
          <w:tcPr>
            <w:tcW w:w="1275" w:type="dxa"/>
            <w:shd w:val="clear" w:color="auto" w:fill="auto"/>
            <w:vAlign w:val="center"/>
          </w:tcPr>
          <w:p w14:paraId="5A314D6E">
            <w:pPr>
              <w:spacing w:line="360" w:lineRule="exact"/>
              <w:jc w:val="center"/>
              <w:rPr>
                <w:rFonts w:hint="eastAsia" w:ascii="宋体" w:hAnsi="宋体" w:cs="宋体"/>
                <w:b/>
                <w:bCs/>
                <w:color w:val="auto"/>
                <w:sz w:val="24"/>
                <w:highlight w:val="none"/>
              </w:rPr>
            </w:pPr>
            <w:r>
              <w:rPr>
                <w:rFonts w:hint="eastAsia" w:ascii="宋体" w:hAnsi="宋体" w:cs="宋体"/>
                <w:color w:val="auto"/>
                <w:sz w:val="22"/>
                <w:szCs w:val="22"/>
                <w:highlight w:val="none"/>
              </w:rPr>
              <w:t>8.125</w:t>
            </w:r>
          </w:p>
        </w:tc>
        <w:tc>
          <w:tcPr>
            <w:tcW w:w="1391" w:type="dxa"/>
            <w:shd w:val="clear" w:color="auto" w:fill="auto"/>
            <w:vAlign w:val="center"/>
          </w:tcPr>
          <w:p w14:paraId="2999BE5C">
            <w:pPr>
              <w:spacing w:line="360" w:lineRule="exact"/>
              <w:jc w:val="center"/>
              <w:rPr>
                <w:rFonts w:hint="eastAsia" w:ascii="宋体" w:hAnsi="宋体" w:cs="宋体"/>
                <w:b/>
                <w:bCs/>
                <w:color w:val="auto"/>
                <w:sz w:val="24"/>
                <w:highlight w:val="none"/>
              </w:rPr>
            </w:pPr>
            <w:r>
              <w:rPr>
                <w:rFonts w:hint="eastAsia" w:ascii="宋体" w:hAnsi="宋体" w:cs="宋体"/>
                <w:color w:val="auto"/>
                <w:sz w:val="22"/>
                <w:szCs w:val="22"/>
                <w:highlight w:val="none"/>
              </w:rPr>
              <w:t>8.125</w:t>
            </w:r>
          </w:p>
        </w:tc>
      </w:tr>
      <w:tr w14:paraId="08637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416" w:type="dxa"/>
            <w:shd w:val="clear" w:color="auto" w:fill="auto"/>
            <w:vAlign w:val="center"/>
          </w:tcPr>
          <w:p w14:paraId="3EB5CF7F">
            <w:pPr>
              <w:spacing w:line="400" w:lineRule="exact"/>
              <w:jc w:val="center"/>
              <w:rPr>
                <w:rFonts w:hint="eastAsia" w:ascii="宋体" w:hAnsi="宋体" w:cs="宋体"/>
                <w:color w:val="auto"/>
                <w:sz w:val="20"/>
                <w:szCs w:val="20"/>
                <w:highlight w:val="none"/>
              </w:rPr>
            </w:pPr>
            <w:r>
              <w:rPr>
                <w:rFonts w:hint="eastAsia" w:ascii="宋体" w:hAnsi="宋体" w:cs="宋体"/>
                <w:color w:val="auto"/>
                <w:sz w:val="20"/>
                <w:szCs w:val="20"/>
                <w:highlight w:val="none"/>
              </w:rPr>
              <w:t>22</w:t>
            </w:r>
          </w:p>
        </w:tc>
        <w:tc>
          <w:tcPr>
            <w:tcW w:w="1247" w:type="dxa"/>
            <w:shd w:val="clear" w:color="auto" w:fill="auto"/>
            <w:vAlign w:val="center"/>
          </w:tcPr>
          <w:p w14:paraId="4879BF2F">
            <w:pPr>
              <w:spacing w:line="400" w:lineRule="exact"/>
              <w:jc w:val="center"/>
              <w:rPr>
                <w:rFonts w:hint="eastAsia" w:ascii="宋体" w:hAnsi="宋体" w:cs="宋体"/>
                <w:color w:val="auto"/>
                <w:highlight w:val="none"/>
              </w:rPr>
            </w:pPr>
            <w:r>
              <w:rPr>
                <w:rFonts w:hint="eastAsia" w:ascii="宋体" w:hAnsi="宋体" w:cs="宋体"/>
                <w:color w:val="auto"/>
                <w:highlight w:val="none"/>
              </w:rPr>
              <w:t>驻场服务</w:t>
            </w:r>
          </w:p>
        </w:tc>
        <w:tc>
          <w:tcPr>
            <w:tcW w:w="690" w:type="dxa"/>
            <w:shd w:val="clear" w:color="000000" w:fill="FFFFFF"/>
            <w:vAlign w:val="center"/>
          </w:tcPr>
          <w:p w14:paraId="045ECB0E">
            <w:pPr>
              <w:spacing w:line="400" w:lineRule="exact"/>
              <w:jc w:val="center"/>
              <w:rPr>
                <w:rFonts w:hint="eastAsia" w:ascii="宋体" w:hAnsi="宋体" w:cs="宋体"/>
                <w:color w:val="auto"/>
                <w:highlight w:val="none"/>
              </w:rPr>
            </w:pPr>
            <w:r>
              <w:rPr>
                <w:rFonts w:hint="eastAsia" w:ascii="宋体" w:hAnsi="宋体" w:cs="宋体"/>
                <w:color w:val="auto"/>
                <w:highlight w:val="none"/>
              </w:rPr>
              <w:t>1</w:t>
            </w:r>
          </w:p>
        </w:tc>
        <w:tc>
          <w:tcPr>
            <w:tcW w:w="540" w:type="dxa"/>
            <w:shd w:val="clear" w:color="000000" w:fill="FFFFFF"/>
            <w:vAlign w:val="center"/>
          </w:tcPr>
          <w:p w14:paraId="71C18A29">
            <w:pPr>
              <w:spacing w:line="400" w:lineRule="exact"/>
              <w:jc w:val="center"/>
              <w:rPr>
                <w:rFonts w:hint="eastAsia" w:ascii="宋体" w:hAnsi="宋体" w:cs="宋体"/>
                <w:color w:val="auto"/>
                <w:highlight w:val="none"/>
              </w:rPr>
            </w:pPr>
            <w:r>
              <w:rPr>
                <w:rFonts w:hint="eastAsia" w:ascii="宋体" w:hAnsi="宋体" w:cs="宋体"/>
                <w:color w:val="auto"/>
                <w:highlight w:val="none"/>
              </w:rPr>
              <w:t>项</w:t>
            </w:r>
          </w:p>
        </w:tc>
        <w:tc>
          <w:tcPr>
            <w:tcW w:w="4395" w:type="dxa"/>
            <w:shd w:val="clear" w:color="000000" w:fill="FFFFFF"/>
            <w:vAlign w:val="center"/>
          </w:tcPr>
          <w:p w14:paraId="48CF8FFE">
            <w:pPr>
              <w:adjustRightInd w:val="0"/>
              <w:snapToGrid w:val="0"/>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1.提供一名驻场工程师开展2年期系统的现场部署、网络割接、技术支持、网络维护等相关运维服务，驻场服务时间为全年每周5×8小时（具体上下班时间由招标人根据实际需要作出安排），非工作时间或节假日须提供电话支持服务，如有需要，须到现场解决。驻场工程师具备2年以上高校网络运维的丰富经验，熟悉高校网络运维相关流程。</w:t>
            </w:r>
          </w:p>
          <w:p w14:paraId="5DD3D16C">
            <w:pPr>
              <w:adjustRightInd w:val="0"/>
              <w:snapToGrid w:val="0"/>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2.提供日常的故障处理服务、软件更新服务、巡检服务、健康检查服务、技术支持服务和应急保障服务等，协助招标人开展相关的网络优化和割接等工作。需负责对本次项目涉及的相关设备（ONU、分光器等）进行标识管理，确保资产信息的准确性。接受采购人的定期服务质量考核，如服务质量考核不通过，采购人可要求更换驻场人员。运维服务考核办法详见《驻场运维服务考核办法》。</w:t>
            </w:r>
          </w:p>
        </w:tc>
        <w:tc>
          <w:tcPr>
            <w:tcW w:w="1275" w:type="dxa"/>
            <w:shd w:val="clear" w:color="auto" w:fill="auto"/>
            <w:vAlign w:val="center"/>
          </w:tcPr>
          <w:p w14:paraId="3BB45E21">
            <w:pPr>
              <w:spacing w:line="36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20</w:t>
            </w:r>
          </w:p>
        </w:tc>
        <w:tc>
          <w:tcPr>
            <w:tcW w:w="1391" w:type="dxa"/>
            <w:shd w:val="clear" w:color="auto" w:fill="auto"/>
            <w:vAlign w:val="center"/>
          </w:tcPr>
          <w:p w14:paraId="384C2C54">
            <w:pPr>
              <w:spacing w:line="36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20</w:t>
            </w:r>
          </w:p>
        </w:tc>
      </w:tr>
      <w:tr w14:paraId="59462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9954" w:type="dxa"/>
            <w:gridSpan w:val="7"/>
            <w:vAlign w:val="center"/>
          </w:tcPr>
          <w:p w14:paraId="585F40CF">
            <w:pPr>
              <w:spacing w:line="400" w:lineRule="exact"/>
              <w:jc w:val="left"/>
              <w:rPr>
                <w:rFonts w:hint="eastAsia" w:ascii="宋体" w:hAnsi="宋体" w:cs="宋体"/>
                <w:color w:val="auto"/>
                <w:sz w:val="24"/>
                <w:highlight w:val="none"/>
              </w:rPr>
            </w:pPr>
            <w:r>
              <w:rPr>
                <w:rFonts w:hint="eastAsia" w:ascii="宋体" w:hAnsi="宋体" w:cs="宋体"/>
                <w:color w:val="auto"/>
                <w:sz w:val="24"/>
                <w:highlight w:val="none"/>
              </w:rPr>
              <w:t>▲</w:t>
            </w:r>
            <w:r>
              <w:rPr>
                <w:rFonts w:hint="eastAsia" w:ascii="宋体" w:hAnsi="宋体" w:cs="宋体"/>
                <w:b/>
                <w:color w:val="auto"/>
                <w:sz w:val="24"/>
                <w:highlight w:val="none"/>
              </w:rPr>
              <w:t>商务要求表：</w:t>
            </w:r>
          </w:p>
        </w:tc>
      </w:tr>
      <w:tr w14:paraId="3C524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2353" w:type="dxa"/>
            <w:gridSpan w:val="3"/>
            <w:vAlign w:val="center"/>
          </w:tcPr>
          <w:p w14:paraId="749717FB">
            <w:pPr>
              <w:widowControl/>
              <w:jc w:val="center"/>
              <w:rPr>
                <w:rFonts w:hint="eastAsia" w:ascii="宋体" w:hAnsi="宋体" w:cs="宋体"/>
                <w:b/>
                <w:bCs/>
                <w:color w:val="auto"/>
                <w:kern w:val="1"/>
                <w:szCs w:val="21"/>
                <w:highlight w:val="none"/>
              </w:rPr>
            </w:pPr>
            <w:r>
              <w:rPr>
                <w:rFonts w:hint="eastAsia" w:ascii="宋体" w:hAnsi="宋体" w:cs="宋体"/>
                <w:b/>
                <w:bCs/>
                <w:color w:val="auto"/>
                <w:szCs w:val="21"/>
                <w:highlight w:val="none"/>
              </w:rPr>
              <w:t>合同签订时间</w:t>
            </w:r>
          </w:p>
        </w:tc>
        <w:tc>
          <w:tcPr>
            <w:tcW w:w="7601" w:type="dxa"/>
            <w:gridSpan w:val="4"/>
            <w:vAlign w:val="center"/>
          </w:tcPr>
          <w:p w14:paraId="637FE3C7">
            <w:pPr>
              <w:widowControl/>
              <w:jc w:val="left"/>
              <w:rPr>
                <w:rFonts w:hint="eastAsia" w:ascii="宋体" w:hAnsi="宋体" w:cs="宋体"/>
                <w:color w:val="auto"/>
                <w:szCs w:val="21"/>
                <w:highlight w:val="none"/>
              </w:rPr>
            </w:pPr>
            <w:r>
              <w:rPr>
                <w:rFonts w:hint="eastAsia" w:ascii="宋体" w:hAnsi="宋体" w:cs="宋体"/>
                <w:color w:val="auto"/>
                <w:szCs w:val="21"/>
                <w:highlight w:val="none"/>
              </w:rPr>
              <w:t>自成交通知书发出之日起25日内（中标供应商需在成交通知书发出之日起15日内反馈签订的合同文本于采购人）。</w:t>
            </w:r>
          </w:p>
        </w:tc>
      </w:tr>
      <w:tr w14:paraId="25ADB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2353" w:type="dxa"/>
            <w:gridSpan w:val="3"/>
            <w:vAlign w:val="center"/>
          </w:tcPr>
          <w:p w14:paraId="3AE8E9AC">
            <w:pPr>
              <w:jc w:val="center"/>
              <w:rPr>
                <w:rFonts w:hint="eastAsia" w:ascii="宋体" w:hAnsi="宋体" w:cs="宋体"/>
                <w:color w:val="auto"/>
                <w:kern w:val="1"/>
                <w:szCs w:val="21"/>
                <w:highlight w:val="none"/>
              </w:rPr>
            </w:pPr>
            <w:r>
              <w:rPr>
                <w:rFonts w:hint="eastAsia" w:ascii="宋体" w:hAnsi="宋体" w:cs="宋体"/>
                <w:b/>
                <w:color w:val="auto"/>
                <w:szCs w:val="21"/>
                <w:highlight w:val="none"/>
              </w:rPr>
              <w:t>交货时间及地点</w:t>
            </w:r>
          </w:p>
        </w:tc>
        <w:tc>
          <w:tcPr>
            <w:tcW w:w="7601" w:type="dxa"/>
            <w:gridSpan w:val="4"/>
            <w:vAlign w:val="center"/>
          </w:tcPr>
          <w:p w14:paraId="145945C7">
            <w:pPr>
              <w:tabs>
                <w:tab w:val="left" w:pos="420"/>
              </w:tabs>
              <w:jc w:val="left"/>
              <w:rPr>
                <w:rFonts w:hint="eastAsia" w:ascii="宋体" w:hAnsi="宋体" w:cs="宋体"/>
                <w:color w:val="auto"/>
                <w:szCs w:val="21"/>
                <w:highlight w:val="none"/>
              </w:rPr>
            </w:pPr>
            <w:r>
              <w:rPr>
                <w:rFonts w:hint="eastAsia" w:ascii="宋体" w:hAnsi="宋体" w:cs="宋体"/>
                <w:color w:val="auto"/>
                <w:szCs w:val="21"/>
                <w:highlight w:val="none"/>
              </w:rPr>
              <w:t>交货时间：自签订合同之日起90日历天内到货安装调试完成并通过验收。</w:t>
            </w:r>
          </w:p>
          <w:p w14:paraId="3FD6920C">
            <w:pPr>
              <w:tabs>
                <w:tab w:val="left" w:pos="420"/>
              </w:tabs>
              <w:jc w:val="left"/>
              <w:rPr>
                <w:rFonts w:hint="eastAsia" w:ascii="宋体" w:hAnsi="宋体" w:cs="宋体"/>
                <w:color w:val="auto"/>
                <w:szCs w:val="21"/>
                <w:highlight w:val="none"/>
              </w:rPr>
            </w:pPr>
            <w:r>
              <w:rPr>
                <w:rFonts w:hint="eastAsia" w:ascii="宋体" w:hAnsi="宋体" w:cs="宋体"/>
                <w:color w:val="auto"/>
                <w:szCs w:val="21"/>
                <w:highlight w:val="none"/>
              </w:rPr>
              <w:t>交货地点：广西大学用户指定地点。</w:t>
            </w:r>
          </w:p>
        </w:tc>
      </w:tr>
      <w:tr w14:paraId="35B62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2353" w:type="dxa"/>
            <w:gridSpan w:val="3"/>
            <w:vAlign w:val="center"/>
          </w:tcPr>
          <w:p w14:paraId="15474F71">
            <w:pPr>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货物验收</w:t>
            </w:r>
          </w:p>
        </w:tc>
        <w:tc>
          <w:tcPr>
            <w:tcW w:w="7601" w:type="dxa"/>
            <w:gridSpan w:val="4"/>
            <w:vAlign w:val="center"/>
          </w:tcPr>
          <w:p w14:paraId="6BBF58AC">
            <w:pPr>
              <w:tabs>
                <w:tab w:val="left" w:pos="420"/>
              </w:tabs>
              <w:jc w:val="left"/>
              <w:rPr>
                <w:rFonts w:hint="eastAsia" w:ascii="宋体" w:hAnsi="宋体" w:cs="宋体"/>
                <w:color w:val="auto"/>
                <w:szCs w:val="21"/>
                <w:highlight w:val="none"/>
              </w:rPr>
            </w:pPr>
            <w:r>
              <w:rPr>
                <w:rFonts w:hint="eastAsia" w:ascii="宋体" w:hAnsi="宋体" w:cs="宋体"/>
                <w:color w:val="auto"/>
                <w:szCs w:val="21"/>
                <w:highlight w:val="none"/>
              </w:rPr>
              <w:t>1.货物验收时由采购人对照采购文件的《技术参数及性能（配置）要求》进行全面核对检验，对所有要求出具的文件和材料的原件进行核查，如不符合采购文件要求或提供虚假承诺、虚假检测报告等任何虚假材料的，采购人有权拒绝验收并认定成交供应商违约，采购人有权单方解除合同，成交供应商承担所有责任和费用，采购人保留进一步追究责任的权利。</w:t>
            </w:r>
          </w:p>
          <w:p w14:paraId="26B9A849">
            <w:pPr>
              <w:tabs>
                <w:tab w:val="left" w:pos="420"/>
              </w:tabs>
              <w:jc w:val="left"/>
              <w:rPr>
                <w:rFonts w:hint="eastAsia" w:ascii="宋体" w:hAnsi="宋体" w:cs="宋体"/>
                <w:color w:val="auto"/>
                <w:szCs w:val="21"/>
                <w:highlight w:val="none"/>
              </w:rPr>
            </w:pPr>
            <w:r>
              <w:rPr>
                <w:rFonts w:hint="eastAsia" w:ascii="宋体" w:hAnsi="宋体" w:cs="宋体"/>
                <w:color w:val="auto"/>
                <w:szCs w:val="21"/>
                <w:highlight w:val="none"/>
              </w:rPr>
              <w:t>2.货物经过双方检验认可后，签署验收报告。由成交供应商提供产品保修文件。</w:t>
            </w:r>
          </w:p>
          <w:p w14:paraId="3B79BE47">
            <w:pPr>
              <w:tabs>
                <w:tab w:val="left" w:pos="420"/>
              </w:tabs>
              <w:jc w:val="left"/>
              <w:rPr>
                <w:rFonts w:hint="eastAsia" w:ascii="宋体" w:hAnsi="宋体" w:cs="宋体"/>
                <w:color w:val="auto"/>
                <w:szCs w:val="21"/>
                <w:highlight w:val="none"/>
              </w:rPr>
            </w:pPr>
            <w:r>
              <w:rPr>
                <w:rFonts w:hint="eastAsia" w:ascii="宋体" w:hAnsi="宋体" w:cs="宋体"/>
                <w:color w:val="auto"/>
                <w:szCs w:val="21"/>
                <w:highlight w:val="none"/>
              </w:rPr>
              <w:t>3.当满足以下条件时，采购人才向成交供应商签发货物验收报告：</w:t>
            </w:r>
          </w:p>
          <w:p w14:paraId="488587C1">
            <w:pPr>
              <w:tabs>
                <w:tab w:val="left" w:pos="420"/>
              </w:tabs>
              <w:jc w:val="left"/>
              <w:rPr>
                <w:rFonts w:hint="eastAsia" w:ascii="宋体" w:hAnsi="宋体" w:cs="宋体"/>
                <w:color w:val="auto"/>
                <w:szCs w:val="21"/>
                <w:highlight w:val="none"/>
              </w:rPr>
            </w:pPr>
            <w:r>
              <w:rPr>
                <w:rFonts w:hint="eastAsia" w:ascii="宋体" w:hAnsi="宋体" w:cs="宋体"/>
                <w:color w:val="auto"/>
                <w:szCs w:val="21"/>
                <w:highlight w:val="none"/>
              </w:rPr>
              <w:t>（1）成交供应商已按照合同规定提供了全部产品及完整的技术资料。</w:t>
            </w:r>
          </w:p>
          <w:p w14:paraId="45B5C869">
            <w:pPr>
              <w:tabs>
                <w:tab w:val="left" w:pos="420"/>
              </w:tabs>
              <w:jc w:val="left"/>
              <w:rPr>
                <w:rFonts w:hint="eastAsia" w:ascii="宋体" w:hAnsi="宋体" w:cs="宋体"/>
                <w:color w:val="auto"/>
                <w:szCs w:val="21"/>
                <w:highlight w:val="none"/>
              </w:rPr>
            </w:pPr>
            <w:r>
              <w:rPr>
                <w:rFonts w:hint="eastAsia" w:ascii="宋体" w:hAnsi="宋体" w:cs="宋体"/>
                <w:color w:val="auto"/>
                <w:szCs w:val="21"/>
                <w:highlight w:val="none"/>
              </w:rPr>
              <w:t>（2）货物各项参数完全符合《技术参数及性能（配置）要求》的要求，性能满足要求。</w:t>
            </w:r>
          </w:p>
          <w:p w14:paraId="69D6410E">
            <w:pPr>
              <w:tabs>
                <w:tab w:val="left" w:pos="420"/>
              </w:tabs>
              <w:jc w:val="left"/>
              <w:rPr>
                <w:rFonts w:hint="eastAsia" w:ascii="宋体" w:hAnsi="宋体" w:cs="宋体"/>
                <w:color w:val="auto"/>
                <w:szCs w:val="21"/>
                <w:highlight w:val="none"/>
              </w:rPr>
            </w:pPr>
            <w:r>
              <w:rPr>
                <w:rFonts w:hint="eastAsia" w:ascii="宋体" w:hAnsi="宋体" w:cs="宋体"/>
                <w:color w:val="auto"/>
                <w:szCs w:val="21"/>
                <w:highlight w:val="none"/>
              </w:rPr>
              <w:t>（3）成交供应商需负责安装、调试（测试），并完成采购人的使用操作培训。</w:t>
            </w:r>
          </w:p>
          <w:p w14:paraId="5B8A98EA">
            <w:pPr>
              <w:tabs>
                <w:tab w:val="left" w:pos="420"/>
              </w:tabs>
              <w:jc w:val="left"/>
              <w:rPr>
                <w:rFonts w:hint="eastAsia" w:ascii="宋体" w:hAnsi="宋体" w:cs="宋体"/>
                <w:color w:val="auto"/>
                <w:szCs w:val="21"/>
                <w:highlight w:val="none"/>
              </w:rPr>
            </w:pPr>
            <w:r>
              <w:rPr>
                <w:rFonts w:hint="eastAsia" w:ascii="宋体" w:hAnsi="宋体" w:cs="宋体"/>
                <w:color w:val="auto"/>
                <w:szCs w:val="21"/>
                <w:highlight w:val="none"/>
              </w:rPr>
              <w:t>4.采购人预验收及履约验收过程中所产生的一切费用均由成交供应商承担，报价时应考虑相关费用。</w:t>
            </w:r>
          </w:p>
          <w:p w14:paraId="6F19393F">
            <w:pPr>
              <w:tabs>
                <w:tab w:val="left" w:pos="420"/>
              </w:tabs>
              <w:jc w:val="left"/>
              <w:rPr>
                <w:rFonts w:hint="eastAsia" w:ascii="宋体" w:hAnsi="宋体" w:cs="宋体"/>
                <w:color w:val="auto"/>
                <w:szCs w:val="21"/>
                <w:highlight w:val="none"/>
              </w:rPr>
            </w:pPr>
            <w:r>
              <w:rPr>
                <w:rFonts w:hint="eastAsia" w:ascii="宋体" w:hAnsi="宋体" w:cs="宋体"/>
                <w:color w:val="auto"/>
                <w:szCs w:val="21"/>
                <w:highlight w:val="none"/>
              </w:rPr>
              <w:t>5.成交产品不能涉及任何法律纠纷。</w:t>
            </w:r>
          </w:p>
        </w:tc>
      </w:tr>
      <w:tr w14:paraId="5646E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2353" w:type="dxa"/>
            <w:gridSpan w:val="3"/>
            <w:vAlign w:val="center"/>
          </w:tcPr>
          <w:p w14:paraId="286FCBA3">
            <w:pPr>
              <w:jc w:val="center"/>
              <w:rPr>
                <w:rFonts w:hint="eastAsia" w:ascii="宋体" w:hAnsi="宋体" w:cs="宋体"/>
                <w:color w:val="auto"/>
                <w:szCs w:val="21"/>
                <w:highlight w:val="none"/>
              </w:rPr>
            </w:pPr>
            <w:r>
              <w:rPr>
                <w:rFonts w:hint="eastAsia" w:ascii="宋体" w:hAnsi="宋体" w:cs="宋体"/>
                <w:color w:val="auto"/>
                <w:szCs w:val="21"/>
                <w:highlight w:val="none"/>
              </w:rPr>
              <w:t>质量保证要求</w:t>
            </w:r>
          </w:p>
        </w:tc>
        <w:tc>
          <w:tcPr>
            <w:tcW w:w="7601" w:type="dxa"/>
            <w:gridSpan w:val="4"/>
          </w:tcPr>
          <w:p w14:paraId="63E3FE56">
            <w:pPr>
              <w:tabs>
                <w:tab w:val="left" w:pos="420"/>
              </w:tabs>
              <w:jc w:val="left"/>
              <w:rPr>
                <w:rFonts w:hint="eastAsia" w:ascii="宋体" w:hAnsi="宋体" w:cs="宋体"/>
                <w:color w:val="auto"/>
                <w:kern w:val="0"/>
                <w:szCs w:val="21"/>
                <w:highlight w:val="none"/>
              </w:rPr>
            </w:pPr>
            <w:r>
              <w:rPr>
                <w:rFonts w:hint="eastAsia" w:ascii="宋体" w:hAnsi="宋体" w:cs="宋体"/>
                <w:color w:val="auto"/>
                <w:szCs w:val="21"/>
                <w:highlight w:val="none"/>
              </w:rPr>
              <w:t>1.按国家有关产品“三包”规定执行“三包”政策，提供整机原厂质量保证期不少于1年（分项货物或配置有明确要求的按分项要求；生产厂家承诺的质量保证期更长的按生产厂家的承诺期限），质量保证期从交货验收合格之日起计。</w:t>
            </w:r>
          </w:p>
          <w:p w14:paraId="3CA10614">
            <w:pPr>
              <w:tabs>
                <w:tab w:val="left" w:pos="420"/>
              </w:tabs>
              <w:jc w:val="left"/>
              <w:rPr>
                <w:rFonts w:hint="eastAsia" w:ascii="宋体" w:hAnsi="宋体" w:cs="宋体"/>
                <w:color w:val="auto"/>
                <w:szCs w:val="21"/>
                <w:highlight w:val="none"/>
              </w:rPr>
            </w:pPr>
            <w:r>
              <w:rPr>
                <w:rFonts w:hint="eastAsia" w:ascii="宋体" w:hAnsi="宋体" w:cs="宋体"/>
                <w:color w:val="auto"/>
                <w:kern w:val="0"/>
                <w:szCs w:val="21"/>
                <w:highlight w:val="none"/>
              </w:rPr>
              <w:t>2</w:t>
            </w:r>
            <w:r>
              <w:rPr>
                <w:rFonts w:hint="eastAsia" w:ascii="宋体" w:hAnsi="宋体" w:cs="宋体"/>
                <w:color w:val="auto"/>
                <w:szCs w:val="21"/>
                <w:highlight w:val="none"/>
              </w:rPr>
              <w:t>.</w:t>
            </w:r>
            <w:r>
              <w:rPr>
                <w:rFonts w:hint="eastAsia" w:ascii="宋体" w:hAnsi="宋体" w:cs="宋体"/>
                <w:color w:val="auto"/>
                <w:kern w:val="0"/>
                <w:szCs w:val="21"/>
                <w:highlight w:val="none"/>
              </w:rPr>
              <w:t>在质量保证期内，由中标人对出现的</w:t>
            </w:r>
            <w:r>
              <w:rPr>
                <w:rFonts w:hint="eastAsia" w:ascii="宋体" w:hAnsi="宋体" w:cs="宋体"/>
                <w:color w:val="auto"/>
                <w:szCs w:val="21"/>
                <w:highlight w:val="none"/>
              </w:rPr>
              <w:t>任何故障及损失，成交供应商负责维修、更换配件，并负责软件更新升级、系统维护和远程服务。</w:t>
            </w:r>
          </w:p>
          <w:p w14:paraId="08730922">
            <w:pPr>
              <w:tabs>
                <w:tab w:val="left" w:pos="420"/>
              </w:tabs>
              <w:jc w:val="left"/>
              <w:rPr>
                <w:rFonts w:hint="eastAsia" w:ascii="宋体" w:hAnsi="宋体" w:cs="宋体"/>
                <w:color w:val="auto"/>
                <w:szCs w:val="21"/>
                <w:highlight w:val="none"/>
              </w:rPr>
            </w:pPr>
            <w:r>
              <w:rPr>
                <w:rFonts w:hint="eastAsia" w:ascii="宋体" w:hAnsi="宋体" w:cs="宋体"/>
                <w:color w:val="auto"/>
                <w:szCs w:val="21"/>
                <w:highlight w:val="none"/>
              </w:rPr>
              <w:t>3.质量保证期满后，终身维护，且以市场最优惠价格提供维修和备件更换、软件更新升级，且承诺为用户提供终身技术咨询服务。</w:t>
            </w:r>
          </w:p>
          <w:p w14:paraId="403204FD">
            <w:pPr>
              <w:tabs>
                <w:tab w:val="left" w:pos="420"/>
              </w:tabs>
              <w:jc w:val="left"/>
              <w:rPr>
                <w:rFonts w:hint="eastAsia" w:ascii="宋体" w:hAnsi="宋体" w:cs="宋体"/>
                <w:color w:val="auto"/>
                <w:szCs w:val="21"/>
                <w:highlight w:val="none"/>
              </w:rPr>
            </w:pPr>
            <w:r>
              <w:rPr>
                <w:rFonts w:hint="eastAsia" w:ascii="宋体" w:hAnsi="宋体" w:cs="宋体"/>
                <w:color w:val="auto"/>
                <w:szCs w:val="21"/>
                <w:highlight w:val="none"/>
              </w:rPr>
              <w:t>4.成交供应商应为质量保证期服务配备充足的技术人员、工具和备件并保证提供的联系方式畅通。</w:t>
            </w:r>
          </w:p>
          <w:p w14:paraId="59F63B1F">
            <w:pPr>
              <w:tabs>
                <w:tab w:val="left" w:pos="420"/>
              </w:tabs>
              <w:jc w:val="left"/>
              <w:rPr>
                <w:rFonts w:hint="eastAsia" w:ascii="宋体" w:hAnsi="宋体" w:cs="宋体"/>
                <w:color w:val="auto"/>
                <w:szCs w:val="21"/>
                <w:highlight w:val="none"/>
              </w:rPr>
            </w:pPr>
            <w:r>
              <w:rPr>
                <w:rFonts w:hint="eastAsia" w:ascii="宋体" w:hAnsi="宋体" w:cs="宋体"/>
                <w:color w:val="auto"/>
                <w:szCs w:val="21"/>
                <w:highlight w:val="none"/>
              </w:rPr>
              <w:t>5.成交供应商在质量保证期内应对设备进行定期巡检。</w:t>
            </w:r>
          </w:p>
        </w:tc>
      </w:tr>
      <w:tr w14:paraId="5E5B9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2353" w:type="dxa"/>
            <w:gridSpan w:val="3"/>
            <w:vAlign w:val="center"/>
          </w:tcPr>
          <w:p w14:paraId="79EFAFB3">
            <w:pPr>
              <w:jc w:val="center"/>
              <w:rPr>
                <w:rFonts w:hint="eastAsia" w:ascii="宋体" w:hAnsi="宋体" w:cs="宋体"/>
                <w:color w:val="auto"/>
                <w:szCs w:val="21"/>
                <w:highlight w:val="none"/>
              </w:rPr>
            </w:pPr>
            <w:r>
              <w:rPr>
                <w:rFonts w:hint="eastAsia" w:ascii="宋体" w:hAnsi="宋体" w:cs="宋体"/>
                <w:color w:val="auto"/>
                <w:szCs w:val="21"/>
                <w:highlight w:val="none"/>
              </w:rPr>
              <w:t>售后服务要求</w:t>
            </w:r>
          </w:p>
        </w:tc>
        <w:tc>
          <w:tcPr>
            <w:tcW w:w="7601" w:type="dxa"/>
            <w:gridSpan w:val="4"/>
          </w:tcPr>
          <w:p w14:paraId="7B346B79">
            <w:pPr>
              <w:tabs>
                <w:tab w:val="left" w:pos="420"/>
              </w:tabs>
              <w:jc w:val="left"/>
              <w:rPr>
                <w:rFonts w:hint="eastAsia" w:ascii="宋体" w:hAnsi="宋体" w:cs="宋体"/>
                <w:color w:val="auto"/>
                <w:szCs w:val="21"/>
                <w:highlight w:val="none"/>
              </w:rPr>
            </w:pPr>
            <w:r>
              <w:rPr>
                <w:rFonts w:hint="eastAsia" w:ascii="宋体" w:hAnsi="宋体" w:cs="宋体"/>
                <w:color w:val="auto"/>
                <w:szCs w:val="21"/>
                <w:highlight w:val="none"/>
              </w:rPr>
              <w:t>1.负责送货上门、提供产品原厂工程师现场安装、安装调试服务、技术培训和12个月远程服务。</w:t>
            </w:r>
          </w:p>
          <w:p w14:paraId="250BEE21">
            <w:pPr>
              <w:tabs>
                <w:tab w:val="left" w:pos="420"/>
              </w:tabs>
              <w:jc w:val="left"/>
              <w:rPr>
                <w:rFonts w:hint="eastAsia" w:ascii="宋体" w:hAnsi="宋体" w:cs="宋体"/>
                <w:color w:val="auto"/>
                <w:szCs w:val="21"/>
                <w:highlight w:val="none"/>
              </w:rPr>
            </w:pPr>
            <w:r>
              <w:rPr>
                <w:rFonts w:hint="eastAsia" w:ascii="宋体" w:hAnsi="宋体" w:cs="宋体"/>
                <w:color w:val="auto"/>
                <w:szCs w:val="21"/>
                <w:highlight w:val="none"/>
              </w:rPr>
              <w:t>2.维修响应：售后服务要求7天×8小时工作制，成交供应商在接到用户维修电话后1小时内响应，3小时内到达现场处理，一般情况下24小时内恢复正常使用。若不能修复须有合理应对方案。如果成交供应商未在上述时间内作出响应,则采购人有权自行或委托他人解决相关问题或查找和解决合同货物的故障，成交供应商应承担由此发生的全部费用。</w:t>
            </w:r>
          </w:p>
          <w:p w14:paraId="55BB347D">
            <w:pPr>
              <w:pStyle w:val="33"/>
              <w:jc w:val="left"/>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bCs/>
                <w:color w:val="auto"/>
                <w:kern w:val="0"/>
                <w:szCs w:val="21"/>
                <w:highlight w:val="none"/>
              </w:rPr>
              <w:t>质量保证期</w:t>
            </w:r>
            <w:r>
              <w:rPr>
                <w:rFonts w:hint="eastAsia" w:ascii="宋体" w:hAnsi="宋体" w:cs="宋体"/>
                <w:color w:val="auto"/>
                <w:szCs w:val="21"/>
                <w:highlight w:val="none"/>
              </w:rPr>
              <w:t>内因设备性能故障检修三次仍不能正常使用的，一个月内重新更换新设备交付采购人。在超出</w:t>
            </w:r>
            <w:r>
              <w:rPr>
                <w:rFonts w:hint="eastAsia" w:ascii="宋体" w:hAnsi="宋体" w:cs="宋体"/>
                <w:bCs/>
                <w:color w:val="auto"/>
                <w:kern w:val="0"/>
                <w:szCs w:val="21"/>
                <w:highlight w:val="none"/>
              </w:rPr>
              <w:t>质量保证期</w:t>
            </w:r>
            <w:r>
              <w:rPr>
                <w:rFonts w:hint="eastAsia" w:ascii="宋体" w:hAnsi="宋体" w:cs="宋体"/>
                <w:color w:val="auto"/>
                <w:szCs w:val="21"/>
                <w:highlight w:val="none"/>
              </w:rPr>
              <w:t>后，如产品发生故障，可派技术员上门服务；如需更换配件，配件均按市场最优惠价格供应。</w:t>
            </w:r>
          </w:p>
          <w:p w14:paraId="09D98AB6">
            <w:pPr>
              <w:jc w:val="left"/>
              <w:rPr>
                <w:rFonts w:hint="eastAsia" w:ascii="宋体" w:hAnsi="宋体" w:cs="宋体"/>
                <w:color w:val="auto"/>
                <w:szCs w:val="21"/>
                <w:highlight w:val="none"/>
              </w:rPr>
            </w:pPr>
            <w:r>
              <w:rPr>
                <w:rFonts w:hint="eastAsia" w:ascii="宋体" w:hAnsi="宋体" w:cs="宋体"/>
                <w:color w:val="auto"/>
                <w:szCs w:val="21"/>
                <w:highlight w:val="none"/>
              </w:rPr>
              <w:t>4.终身提供技术协助服务。</w:t>
            </w:r>
          </w:p>
          <w:p w14:paraId="79AB1FC9">
            <w:pPr>
              <w:tabs>
                <w:tab w:val="left" w:pos="420"/>
              </w:tabs>
              <w:jc w:val="left"/>
              <w:rPr>
                <w:rFonts w:hint="eastAsia" w:ascii="宋体" w:hAnsi="宋体" w:cs="宋体"/>
                <w:color w:val="auto"/>
                <w:szCs w:val="21"/>
                <w:highlight w:val="none"/>
              </w:rPr>
            </w:pPr>
            <w:r>
              <w:rPr>
                <w:rFonts w:hint="eastAsia" w:ascii="宋体" w:hAnsi="宋体" w:cs="宋体"/>
                <w:color w:val="auto"/>
                <w:szCs w:val="21"/>
                <w:highlight w:val="none"/>
              </w:rPr>
              <w:t>5.提供原厂技术人员对采购人的操作技术培训和相关技术资料。提供不少于2次/每年的主要设备厂商工程师安装配置等实操培训课程，场地、交通等与培训相关的费用均由成交供应商承担。</w:t>
            </w:r>
          </w:p>
          <w:p w14:paraId="34EF60A6">
            <w:pPr>
              <w:tabs>
                <w:tab w:val="left" w:pos="420"/>
              </w:tabs>
              <w:jc w:val="left"/>
              <w:rPr>
                <w:rFonts w:hint="eastAsia" w:ascii="宋体" w:hAnsi="宋体" w:cs="宋体"/>
                <w:color w:val="auto"/>
                <w:szCs w:val="21"/>
                <w:highlight w:val="none"/>
              </w:rPr>
            </w:pPr>
            <w:r>
              <w:rPr>
                <w:rFonts w:hint="eastAsia" w:ascii="宋体" w:hAnsi="宋体" w:cs="宋体"/>
                <w:color w:val="auto"/>
                <w:szCs w:val="21"/>
                <w:highlight w:val="none"/>
              </w:rPr>
              <w:t>6.提供验收与培训时开机实验必须的配件及耗材,以保障验收与培训的正常开展。</w:t>
            </w:r>
          </w:p>
        </w:tc>
      </w:tr>
      <w:tr w14:paraId="29618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2353" w:type="dxa"/>
            <w:gridSpan w:val="3"/>
            <w:vAlign w:val="center"/>
          </w:tcPr>
          <w:p w14:paraId="7B12D0A9">
            <w:pPr>
              <w:jc w:val="center"/>
              <w:rPr>
                <w:rFonts w:hint="eastAsia" w:ascii="宋体" w:hAnsi="宋体" w:cs="宋体"/>
                <w:color w:val="auto"/>
                <w:kern w:val="0"/>
                <w:szCs w:val="21"/>
                <w:highlight w:val="none"/>
              </w:rPr>
            </w:pPr>
            <w:r>
              <w:rPr>
                <w:rFonts w:hint="eastAsia" w:ascii="宋体" w:hAnsi="宋体" w:cs="宋体"/>
                <w:color w:val="auto"/>
                <w:szCs w:val="21"/>
                <w:highlight w:val="none"/>
              </w:rPr>
              <w:t>履约保证金收取及退付</w:t>
            </w:r>
          </w:p>
        </w:tc>
        <w:tc>
          <w:tcPr>
            <w:tcW w:w="7601" w:type="dxa"/>
            <w:gridSpan w:val="4"/>
          </w:tcPr>
          <w:p w14:paraId="1BDBEE3D">
            <w:pPr>
              <w:pStyle w:val="33"/>
              <w:jc w:val="left"/>
              <w:rPr>
                <w:rFonts w:hint="eastAsia" w:ascii="宋体" w:hAnsi="宋体" w:cs="宋体"/>
                <w:b/>
                <w:color w:val="auto"/>
                <w:szCs w:val="21"/>
                <w:highlight w:val="none"/>
              </w:rPr>
            </w:pPr>
            <w:r>
              <w:rPr>
                <w:rFonts w:hint="eastAsia" w:ascii="宋体" w:hAnsi="宋体" w:cs="宋体"/>
                <w:color w:val="auto"/>
                <w:szCs w:val="21"/>
                <w:highlight w:val="none"/>
              </w:rPr>
              <w:t>1.履约保证金金额：履约保证金为合同金额的5%（成交供应商为中小微企业的，履约保证金为合同金额的2%。以响应文件中提交的中小企业声明函为依据）；</w:t>
            </w:r>
            <w:r>
              <w:rPr>
                <w:rFonts w:hint="eastAsia" w:ascii="宋体" w:hAnsi="宋体" w:cs="宋体"/>
                <w:bCs/>
                <w:color w:val="auto"/>
                <w:szCs w:val="21"/>
                <w:highlight w:val="none"/>
              </w:rPr>
              <w:t>签订合同时交至指定账户</w:t>
            </w:r>
            <w:r>
              <w:rPr>
                <w:rFonts w:hint="eastAsia" w:ascii="宋体" w:hAnsi="宋体" w:cs="宋体"/>
                <w:b/>
                <w:color w:val="auto"/>
                <w:szCs w:val="21"/>
                <w:highlight w:val="none"/>
              </w:rPr>
              <w:t>。</w:t>
            </w:r>
          </w:p>
          <w:p w14:paraId="5F4F63F7">
            <w:pPr>
              <w:tabs>
                <w:tab w:val="left" w:pos="420"/>
              </w:tabs>
              <w:jc w:val="left"/>
              <w:rPr>
                <w:rFonts w:hint="eastAsia" w:ascii="宋体" w:hAnsi="宋体" w:cs="宋体"/>
                <w:color w:val="auto"/>
                <w:szCs w:val="21"/>
                <w:highlight w:val="none"/>
              </w:rPr>
            </w:pPr>
            <w:r>
              <w:rPr>
                <w:rFonts w:hint="eastAsia" w:ascii="宋体" w:hAnsi="宋体" w:cs="宋体"/>
                <w:color w:val="auto"/>
                <w:szCs w:val="21"/>
                <w:highlight w:val="none"/>
              </w:rPr>
              <w:t>2.履约保证金递交方式：银行转账、保函等非现金方式。由成交供应商在签订合同时按规定的金额直接缴入以下采购人账户或将保函原件交给采购人。</w:t>
            </w:r>
          </w:p>
          <w:p w14:paraId="03BAD15A">
            <w:pPr>
              <w:tabs>
                <w:tab w:val="left" w:pos="420"/>
              </w:tabs>
              <w:jc w:val="left"/>
              <w:rPr>
                <w:rFonts w:hint="eastAsia" w:ascii="宋体" w:hAnsi="宋体" w:cs="宋体"/>
                <w:color w:val="auto"/>
                <w:szCs w:val="21"/>
                <w:highlight w:val="none"/>
              </w:rPr>
            </w:pPr>
            <w:r>
              <w:rPr>
                <w:rFonts w:hint="eastAsia" w:ascii="宋体" w:hAnsi="宋体" w:cs="宋体"/>
                <w:color w:val="auto"/>
                <w:szCs w:val="21"/>
                <w:highlight w:val="none"/>
              </w:rPr>
              <w:t>统一社会信用代码：124500004985009929</w:t>
            </w:r>
          </w:p>
          <w:p w14:paraId="30FE1C46">
            <w:pPr>
              <w:tabs>
                <w:tab w:val="left" w:pos="420"/>
              </w:tabs>
              <w:jc w:val="left"/>
              <w:rPr>
                <w:rFonts w:hint="eastAsia" w:ascii="宋体" w:hAnsi="宋体" w:cs="宋体"/>
                <w:color w:val="auto"/>
                <w:szCs w:val="21"/>
                <w:highlight w:val="none"/>
              </w:rPr>
            </w:pPr>
            <w:r>
              <w:rPr>
                <w:rFonts w:hint="eastAsia" w:ascii="宋体" w:hAnsi="宋体" w:cs="宋体"/>
                <w:color w:val="auto"/>
                <w:szCs w:val="21"/>
                <w:highlight w:val="none"/>
              </w:rPr>
              <w:t>户名：广西大学</w:t>
            </w:r>
          </w:p>
          <w:p w14:paraId="1F8F7436">
            <w:pPr>
              <w:tabs>
                <w:tab w:val="left" w:pos="420"/>
              </w:tabs>
              <w:jc w:val="left"/>
              <w:rPr>
                <w:rFonts w:hint="eastAsia" w:ascii="宋体" w:hAnsi="宋体" w:cs="宋体"/>
                <w:color w:val="auto"/>
                <w:szCs w:val="21"/>
                <w:highlight w:val="none"/>
              </w:rPr>
            </w:pPr>
            <w:r>
              <w:rPr>
                <w:rFonts w:hint="eastAsia" w:ascii="宋体" w:hAnsi="宋体" w:cs="宋体"/>
                <w:color w:val="auto"/>
                <w:szCs w:val="21"/>
                <w:highlight w:val="none"/>
              </w:rPr>
              <w:t>开户行：中国银行广西南宁市西大支行（行号：104611010324）</w:t>
            </w:r>
          </w:p>
          <w:p w14:paraId="5D69F9BB">
            <w:pPr>
              <w:tabs>
                <w:tab w:val="left" w:pos="420"/>
              </w:tabs>
              <w:jc w:val="left"/>
              <w:rPr>
                <w:rFonts w:hint="eastAsia" w:ascii="宋体" w:hAnsi="宋体" w:cs="宋体"/>
                <w:color w:val="auto"/>
                <w:szCs w:val="21"/>
                <w:highlight w:val="none"/>
              </w:rPr>
            </w:pPr>
            <w:r>
              <w:rPr>
                <w:rFonts w:hint="eastAsia" w:ascii="宋体" w:hAnsi="宋体" w:cs="宋体"/>
                <w:color w:val="auto"/>
                <w:szCs w:val="21"/>
                <w:highlight w:val="none"/>
              </w:rPr>
              <w:t>账号：618 457 484 938</w:t>
            </w:r>
          </w:p>
          <w:p w14:paraId="459E6B07">
            <w:pPr>
              <w:tabs>
                <w:tab w:val="left" w:pos="420"/>
              </w:tabs>
              <w:jc w:val="left"/>
              <w:rPr>
                <w:rFonts w:hint="eastAsia" w:ascii="宋体" w:hAnsi="宋体" w:cs="宋体"/>
                <w:color w:val="auto"/>
                <w:szCs w:val="21"/>
                <w:highlight w:val="none"/>
              </w:rPr>
            </w:pPr>
            <w:r>
              <w:rPr>
                <w:rFonts w:hint="eastAsia" w:ascii="宋体" w:hAnsi="宋体" w:cs="宋体"/>
                <w:color w:val="auto"/>
                <w:szCs w:val="21"/>
                <w:highlight w:val="none"/>
              </w:rPr>
              <w:t>地址：广西壮族自治区南宁市大学东路100号  电话：0771-3232888</w:t>
            </w:r>
          </w:p>
          <w:p w14:paraId="697CBB31">
            <w:pPr>
              <w:tabs>
                <w:tab w:val="left" w:pos="420"/>
              </w:tabs>
              <w:jc w:val="left"/>
              <w:rPr>
                <w:rFonts w:hint="eastAsia" w:ascii="宋体" w:hAnsi="宋体" w:cs="宋体"/>
                <w:b/>
                <w:color w:val="auto"/>
                <w:szCs w:val="21"/>
                <w:highlight w:val="none"/>
              </w:rPr>
            </w:pPr>
            <w:r>
              <w:rPr>
                <w:rFonts w:hint="eastAsia" w:ascii="宋体" w:hAnsi="宋体" w:cs="宋体"/>
                <w:b/>
                <w:color w:val="auto"/>
                <w:szCs w:val="21"/>
                <w:highlight w:val="none"/>
              </w:rPr>
              <w:t>缴纳履约保证金注明：“项目名称+项目编号”履约保证金。</w:t>
            </w:r>
          </w:p>
          <w:p w14:paraId="712623DC">
            <w:pPr>
              <w:tabs>
                <w:tab w:val="left" w:pos="420"/>
              </w:tabs>
              <w:jc w:val="left"/>
              <w:rPr>
                <w:rFonts w:hint="eastAsia" w:ascii="宋体" w:hAnsi="宋体" w:cs="宋体"/>
                <w:color w:val="auto"/>
                <w:szCs w:val="21"/>
                <w:highlight w:val="none"/>
              </w:rPr>
            </w:pPr>
            <w:r>
              <w:rPr>
                <w:rFonts w:hint="eastAsia" w:ascii="宋体" w:hAnsi="宋体" w:cs="宋体"/>
                <w:color w:val="auto"/>
                <w:szCs w:val="21"/>
                <w:highlight w:val="none"/>
              </w:rPr>
              <w:t>3.履约保证金退付方式、时间及条件：成交供应商若不能完全履行合同，履约保证金不予退还；成交供应商若完全履行合同，货物验收合格后，成交供应商凭履约保证金财务凭证到采购人财务部门办理无息退还手续。</w:t>
            </w:r>
          </w:p>
          <w:p w14:paraId="5F3A9FB0">
            <w:pPr>
              <w:tabs>
                <w:tab w:val="left" w:pos="420"/>
              </w:tabs>
              <w:jc w:val="left"/>
              <w:rPr>
                <w:rFonts w:hint="eastAsia" w:ascii="宋体" w:hAnsi="宋体" w:cs="宋体"/>
                <w:color w:val="auto"/>
                <w:szCs w:val="21"/>
                <w:highlight w:val="none"/>
              </w:rPr>
            </w:pPr>
            <w:r>
              <w:rPr>
                <w:rFonts w:hint="eastAsia" w:ascii="宋体" w:hAnsi="宋体" w:cs="宋体"/>
                <w:color w:val="auto"/>
                <w:szCs w:val="21"/>
                <w:highlight w:val="none"/>
              </w:rPr>
              <w:t>4.备注：</w:t>
            </w:r>
          </w:p>
          <w:p w14:paraId="670D0B03">
            <w:pPr>
              <w:tabs>
                <w:tab w:val="left" w:pos="420"/>
              </w:tabs>
              <w:jc w:val="left"/>
              <w:rPr>
                <w:rFonts w:hint="eastAsia" w:ascii="宋体" w:hAnsi="宋体" w:cs="宋体"/>
                <w:color w:val="auto"/>
                <w:szCs w:val="21"/>
                <w:highlight w:val="none"/>
              </w:rPr>
            </w:pPr>
            <w:r>
              <w:rPr>
                <w:rFonts w:hint="eastAsia" w:ascii="宋体" w:hAnsi="宋体" w:cs="宋体"/>
                <w:color w:val="auto"/>
                <w:szCs w:val="21"/>
                <w:highlight w:val="none"/>
              </w:rPr>
              <w:t>（1）履约保证金必须足额缴纳，或出具的保函额度必须足额且保函有效期不能低于合同履行期限（即签订采购合同之日起至履行完合同约定的权利及义务之日止），否则视为无效履约保证金。</w:t>
            </w:r>
          </w:p>
          <w:p w14:paraId="7A6C5764">
            <w:pPr>
              <w:pStyle w:val="33"/>
              <w:jc w:val="left"/>
              <w:rPr>
                <w:rFonts w:hint="eastAsia" w:ascii="宋体" w:hAnsi="宋体" w:cs="宋体"/>
                <w:color w:val="auto"/>
                <w:szCs w:val="21"/>
                <w:highlight w:val="none"/>
              </w:rPr>
            </w:pPr>
            <w:r>
              <w:rPr>
                <w:rFonts w:hint="eastAsia" w:ascii="宋体" w:hAnsi="宋体" w:cs="宋体"/>
                <w:color w:val="auto"/>
                <w:szCs w:val="21"/>
                <w:highlight w:val="none"/>
              </w:rPr>
              <w:t>（2）采用保函的，必须为无条件的保函，否则视为无效履约保证金。</w:t>
            </w:r>
          </w:p>
        </w:tc>
      </w:tr>
      <w:tr w14:paraId="0A057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2353" w:type="dxa"/>
            <w:gridSpan w:val="3"/>
            <w:vAlign w:val="center"/>
          </w:tcPr>
          <w:p w14:paraId="1D922A17">
            <w:pPr>
              <w:jc w:val="center"/>
              <w:rPr>
                <w:rFonts w:hint="eastAsia" w:ascii="宋体" w:hAnsi="宋体" w:cs="宋体"/>
                <w:color w:val="auto"/>
                <w:szCs w:val="21"/>
                <w:highlight w:val="none"/>
              </w:rPr>
            </w:pPr>
            <w:r>
              <w:rPr>
                <w:rFonts w:hint="eastAsia" w:ascii="宋体" w:hAnsi="宋体" w:cs="宋体"/>
                <w:color w:val="auto"/>
                <w:szCs w:val="21"/>
                <w:highlight w:val="none"/>
              </w:rPr>
              <w:t>付款方式</w:t>
            </w:r>
          </w:p>
        </w:tc>
        <w:tc>
          <w:tcPr>
            <w:tcW w:w="7601" w:type="dxa"/>
            <w:gridSpan w:val="4"/>
            <w:vAlign w:val="center"/>
          </w:tcPr>
          <w:p w14:paraId="6B8FEEB4">
            <w:pPr>
              <w:tabs>
                <w:tab w:val="left" w:pos="420"/>
              </w:tabs>
              <w:jc w:val="left"/>
              <w:rPr>
                <w:rFonts w:hint="eastAsia" w:ascii="宋体" w:hAnsi="宋体" w:cs="宋体"/>
                <w:color w:val="auto"/>
                <w:szCs w:val="21"/>
                <w:highlight w:val="none"/>
              </w:rPr>
            </w:pPr>
            <w:r>
              <w:rPr>
                <w:rFonts w:hint="eastAsia" w:ascii="宋体" w:hAnsi="宋体" w:cs="宋体"/>
                <w:color w:val="auto"/>
                <w:szCs w:val="21"/>
                <w:highlight w:val="none"/>
              </w:rPr>
              <w:t>1.序号1-21：无预付款，全部货物安装调试完毕、完成所有服务内容并经验收合格后，采购人</w:t>
            </w:r>
            <w:r>
              <w:rPr>
                <w:rFonts w:hint="eastAsia" w:ascii="宋体" w:hAnsi="宋体" w:cs="宋体"/>
                <w:color w:val="auto"/>
                <w:szCs w:val="21"/>
                <w:highlight w:val="none"/>
              </w:rPr>
              <w:t>办理完支付手续后</w:t>
            </w:r>
            <w:r>
              <w:rPr>
                <w:rFonts w:hint="eastAsia" w:ascii="宋体" w:hAnsi="宋体" w:cs="宋体"/>
                <w:color w:val="auto"/>
                <w:szCs w:val="21"/>
                <w:highlight w:val="none"/>
              </w:rPr>
              <w:t>一次性向成交供应商支付全部合同款（无息）；付款前，成交供应商开具等额增值税专用发票给采购人。</w:t>
            </w:r>
          </w:p>
          <w:p w14:paraId="43444D67">
            <w:pPr>
              <w:tabs>
                <w:tab w:val="left" w:pos="420"/>
              </w:tabs>
              <w:jc w:val="left"/>
              <w:rPr>
                <w:rFonts w:hint="eastAsia" w:ascii="宋体" w:hAnsi="宋体" w:cs="宋体"/>
                <w:color w:val="auto"/>
                <w:szCs w:val="21"/>
                <w:highlight w:val="none"/>
              </w:rPr>
            </w:pPr>
            <w:r>
              <w:rPr>
                <w:rFonts w:hint="eastAsia" w:ascii="宋体" w:hAnsi="宋体" w:cs="宋体"/>
                <w:color w:val="auto"/>
                <w:szCs w:val="21"/>
                <w:highlight w:val="none"/>
              </w:rPr>
              <w:t>2.序号22：无预付款，采购人每年结算支付一次，成交供应商完成服务内容后采购人根据考核得分情况办理完支付手续后15个工作日内支付当年的驻场服务费。</w:t>
            </w:r>
          </w:p>
        </w:tc>
      </w:tr>
      <w:tr w14:paraId="2B179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2353" w:type="dxa"/>
            <w:gridSpan w:val="3"/>
            <w:vAlign w:val="center"/>
          </w:tcPr>
          <w:p w14:paraId="0E8F6C54">
            <w:pPr>
              <w:jc w:val="center"/>
              <w:rPr>
                <w:rFonts w:hint="eastAsia" w:ascii="宋体" w:hAnsi="宋体" w:cs="宋体"/>
                <w:b/>
                <w:color w:val="auto"/>
                <w:kern w:val="1"/>
                <w:szCs w:val="21"/>
                <w:highlight w:val="none"/>
              </w:rPr>
            </w:pPr>
            <w:r>
              <w:rPr>
                <w:rFonts w:hint="eastAsia" w:ascii="宋体" w:hAnsi="宋体" w:cs="宋体"/>
                <w:b/>
                <w:color w:val="auto"/>
                <w:szCs w:val="21"/>
                <w:highlight w:val="none"/>
              </w:rPr>
              <w:t>其他要求</w:t>
            </w:r>
          </w:p>
        </w:tc>
        <w:tc>
          <w:tcPr>
            <w:tcW w:w="7601" w:type="dxa"/>
            <w:gridSpan w:val="4"/>
            <w:vAlign w:val="center"/>
          </w:tcPr>
          <w:p w14:paraId="2F3B998D">
            <w:pPr>
              <w:jc w:val="left"/>
              <w:rPr>
                <w:rFonts w:hint="eastAsia" w:ascii="宋体" w:hAnsi="宋体" w:cs="宋体"/>
                <w:color w:val="auto"/>
                <w:szCs w:val="21"/>
                <w:highlight w:val="none"/>
              </w:rPr>
            </w:pPr>
            <w:r>
              <w:rPr>
                <w:rFonts w:hint="eastAsia" w:ascii="宋体" w:hAnsi="宋体" w:cs="宋体"/>
                <w:color w:val="auto"/>
                <w:szCs w:val="21"/>
                <w:highlight w:val="none"/>
              </w:rPr>
              <w:t>1.要求供货产品是全新的、未经改装的、合格的、满足本项目技术需求及要求的货物。所有零部件、配件必须是未经使用的全新的并符合国家有关质量安全标准的产品。提供设备使用培训、操作技能训练等；提供相关设备说明书、管理和配置指南手册、使用手册和故障定位/排除指南手册等。</w:t>
            </w:r>
          </w:p>
          <w:p w14:paraId="1C7E7132">
            <w:pPr>
              <w:jc w:val="left"/>
              <w:rPr>
                <w:rFonts w:hint="eastAsia" w:ascii="宋体" w:hAnsi="宋体" w:cs="宋体"/>
                <w:color w:val="auto"/>
                <w:szCs w:val="21"/>
                <w:highlight w:val="none"/>
              </w:rPr>
            </w:pPr>
            <w:r>
              <w:rPr>
                <w:rFonts w:hint="eastAsia" w:ascii="宋体" w:hAnsi="宋体" w:cs="宋体"/>
                <w:color w:val="auto"/>
                <w:szCs w:val="21"/>
                <w:highlight w:val="none"/>
              </w:rPr>
              <w:t>2.本项目实行总价包干制，报价合计金额包括货物价款、配套软件、标准附件、随配附件、备品备件、辅助材料、专用工具、包装、运抵指定交货地点、运输、装卸、完工清场清洁、货到就位、安装、调试、检验、技术培训、技术资料、售后服务、保险、投标费用、预验收及履约验收及售后服务、人工费、一切税费等全部费用。税费因政策等原因发生变化的，由成交供应商承担。合同履行过程中，采购人不再支付合同以外的其他费用。</w:t>
            </w:r>
          </w:p>
          <w:p w14:paraId="39C93CC4">
            <w:pPr>
              <w:jc w:val="left"/>
              <w:rPr>
                <w:rFonts w:hint="eastAsia" w:ascii="宋体" w:hAnsi="宋体" w:cs="宋体"/>
                <w:color w:val="auto"/>
                <w:szCs w:val="21"/>
                <w:highlight w:val="none"/>
              </w:rPr>
            </w:pPr>
            <w:r>
              <w:rPr>
                <w:rFonts w:hint="eastAsia" w:ascii="宋体" w:hAnsi="宋体" w:cs="宋体"/>
                <w:color w:val="auto"/>
                <w:szCs w:val="21"/>
                <w:highlight w:val="none"/>
              </w:rPr>
              <w:t>3.成交供应商承担货物交付验收前的运输、安装等作业工人人身、设备安全责任。验收前，如果设备丢失、因供应商自身原因及第三方原因导致损坏，成交供应商应自行负责并承担不能交付货物的责任。</w:t>
            </w:r>
          </w:p>
          <w:p w14:paraId="3C164561">
            <w:pPr>
              <w:jc w:val="left"/>
              <w:rPr>
                <w:rFonts w:hint="eastAsia" w:ascii="宋体" w:hAnsi="宋体" w:cs="宋体"/>
                <w:color w:val="auto"/>
                <w:szCs w:val="21"/>
                <w:highlight w:val="none"/>
              </w:rPr>
            </w:pPr>
            <w:r>
              <w:rPr>
                <w:rFonts w:hint="eastAsia" w:ascii="宋体" w:hAnsi="宋体" w:cs="宋体"/>
                <w:color w:val="auto"/>
                <w:szCs w:val="21"/>
                <w:highlight w:val="none"/>
              </w:rPr>
              <w:t>4.本项目不接受进口产品（即通过中国海关报关验放进入中国境内且产自关境外的产品）参与</w:t>
            </w:r>
            <w:r>
              <w:rPr>
                <w:rFonts w:hint="eastAsia" w:ascii="宋体" w:hAnsi="宋体" w:cs="宋体"/>
                <w:color w:val="auto"/>
                <w:szCs w:val="21"/>
                <w:highlight w:val="none"/>
                <w:lang w:bidi="ar"/>
              </w:rPr>
              <w:t>竞争性谈判</w:t>
            </w:r>
            <w:r>
              <w:rPr>
                <w:rFonts w:hint="eastAsia" w:ascii="宋体" w:hAnsi="宋体" w:cs="宋体"/>
                <w:color w:val="auto"/>
                <w:szCs w:val="21"/>
                <w:highlight w:val="none"/>
              </w:rPr>
              <w:t>，如有此类产品参与</w:t>
            </w:r>
            <w:r>
              <w:rPr>
                <w:rFonts w:hint="eastAsia" w:ascii="宋体" w:hAnsi="宋体" w:cs="宋体"/>
                <w:color w:val="auto"/>
                <w:szCs w:val="21"/>
                <w:highlight w:val="none"/>
                <w:lang w:bidi="ar"/>
              </w:rPr>
              <w:t>竞争性谈判</w:t>
            </w:r>
            <w:r>
              <w:rPr>
                <w:rFonts w:hint="eastAsia" w:ascii="宋体" w:hAnsi="宋体" w:cs="宋体"/>
                <w:color w:val="auto"/>
                <w:szCs w:val="21"/>
                <w:highlight w:val="none"/>
              </w:rPr>
              <w:t>的按无效响应处理。</w:t>
            </w:r>
          </w:p>
          <w:p w14:paraId="0B4F60E3">
            <w:pPr>
              <w:jc w:val="left"/>
              <w:rPr>
                <w:rFonts w:hint="eastAsia" w:ascii="宋体" w:hAnsi="宋体" w:cs="宋体"/>
                <w:color w:val="auto"/>
                <w:szCs w:val="21"/>
                <w:highlight w:val="none"/>
              </w:rPr>
            </w:pPr>
            <w:r>
              <w:rPr>
                <w:rFonts w:hint="eastAsia" w:ascii="宋体" w:hAnsi="宋体" w:cs="宋体"/>
                <w:color w:val="auto"/>
                <w:szCs w:val="21"/>
                <w:highlight w:val="none"/>
              </w:rPr>
              <w:t>5、本分标的核心产品为：</w:t>
            </w:r>
            <w:r>
              <w:rPr>
                <w:rFonts w:hint="eastAsia" w:ascii="宋体" w:hAnsi="宋体" w:cs="宋体"/>
                <w:color w:val="auto"/>
                <w:szCs w:val="21"/>
                <w:highlight w:val="none"/>
              </w:rPr>
              <w:t>第2项“</w:t>
            </w:r>
            <w:r>
              <w:rPr>
                <w:rFonts w:hint="eastAsia" w:ascii="宋体" w:hAnsi="宋体" w:cs="宋体"/>
                <w:color w:val="auto"/>
                <w:kern w:val="0"/>
                <w:sz w:val="24"/>
                <w:highlight w:val="none"/>
              </w:rPr>
              <w:t>XGS-PON ONU</w:t>
            </w:r>
            <w:r>
              <w:rPr>
                <w:rFonts w:hint="eastAsia" w:ascii="宋体" w:hAnsi="宋体" w:cs="宋体"/>
                <w:color w:val="auto"/>
                <w:szCs w:val="21"/>
                <w:highlight w:val="none"/>
              </w:rPr>
              <w:t>”</w:t>
            </w:r>
          </w:p>
          <w:p w14:paraId="32E6CFA5">
            <w:pPr>
              <w:jc w:val="left"/>
              <w:rPr>
                <w:rFonts w:hint="eastAsia" w:ascii="宋体" w:hAnsi="宋体" w:cs="宋体"/>
                <w:color w:val="auto"/>
                <w:szCs w:val="21"/>
                <w:highlight w:val="none"/>
              </w:rPr>
            </w:pPr>
            <w:r>
              <w:rPr>
                <w:rFonts w:hint="eastAsia" w:ascii="宋体" w:hAnsi="宋体" w:cs="宋体"/>
                <w:color w:val="auto"/>
                <w:szCs w:val="21"/>
                <w:highlight w:val="none"/>
              </w:rPr>
              <w:t>6</w:t>
            </w:r>
            <w:r>
              <w:rPr>
                <w:rFonts w:hint="eastAsia" w:ascii="宋体" w:hAnsi="宋体" w:cs="宋体"/>
                <w:color w:val="auto"/>
                <w:szCs w:val="21"/>
                <w:highlight w:val="none"/>
              </w:rPr>
              <w:t>、</w:t>
            </w:r>
            <w:r>
              <w:rPr>
                <w:rFonts w:hint="eastAsia" w:ascii="宋体" w:hAnsi="宋体" w:cs="宋体"/>
                <w:color w:val="auto"/>
                <w:szCs w:val="21"/>
                <w:highlight w:val="none"/>
              </w:rPr>
              <w:t>项目验收后供应商至少安排1名技术人员进行现场驻场服务，驻场时间与学校工作时间一致，驻场时间不少于3个月</w:t>
            </w:r>
          </w:p>
        </w:tc>
      </w:tr>
    </w:tbl>
    <w:p w14:paraId="0918BC00">
      <w:pPr>
        <w:spacing w:line="360" w:lineRule="auto"/>
        <w:jc w:val="center"/>
        <w:rPr>
          <w:rFonts w:hint="eastAsia" w:ascii="宋体" w:hAnsi="宋体"/>
          <w:b/>
          <w:bCs/>
          <w:color w:val="auto"/>
          <w:sz w:val="24"/>
          <w:highlight w:val="none"/>
        </w:rPr>
      </w:pPr>
      <w:r>
        <w:rPr>
          <w:rFonts w:hint="eastAsia" w:ascii="宋体" w:hAnsi="宋体" w:cs="宋体"/>
          <w:color w:val="auto"/>
          <w:highlight w:val="none"/>
        </w:rPr>
        <w:br w:type="page"/>
      </w:r>
      <w:bookmarkStart w:id="45" w:name="_Toc74322011"/>
      <w:r>
        <w:rPr>
          <w:rFonts w:hint="eastAsia" w:ascii="宋体" w:hAnsi="宋体"/>
          <w:b/>
          <w:bCs/>
          <w:color w:val="auto"/>
          <w:sz w:val="24"/>
          <w:highlight w:val="none"/>
        </w:rPr>
        <w:t>驻场运维服务考核办法</w:t>
      </w:r>
    </w:p>
    <w:p w14:paraId="14F0EF85">
      <w:pPr>
        <w:spacing w:line="360" w:lineRule="auto"/>
        <w:jc w:val="center"/>
        <w:rPr>
          <w:rFonts w:hint="eastAsia" w:ascii="宋体" w:hAnsi="宋体"/>
          <w:b/>
          <w:bCs/>
          <w:color w:val="auto"/>
          <w:szCs w:val="21"/>
          <w:highlight w:val="none"/>
        </w:rPr>
      </w:pPr>
    </w:p>
    <w:p w14:paraId="7A217889">
      <w:pPr>
        <w:spacing w:line="360" w:lineRule="exact"/>
        <w:ind w:left="119"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为做好驻场运维服务工作，加强对驻场运维服务的监督管理，确保驻场运维服务合同有效执行，保障设备、网络正常运行，特制定此办法。</w:t>
      </w:r>
    </w:p>
    <w:p w14:paraId="711A1AF3">
      <w:pPr>
        <w:spacing w:line="360" w:lineRule="exact"/>
        <w:ind w:left="119"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一、考核范围</w:t>
      </w:r>
    </w:p>
    <w:p w14:paraId="1188CDCC">
      <w:pPr>
        <w:spacing w:line="360" w:lineRule="exact"/>
        <w:ind w:left="119"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本办法适用于成交供应商依据合同为采购人提供的驻场运维服务。</w:t>
      </w:r>
    </w:p>
    <w:p w14:paraId="484BC5C7">
      <w:pPr>
        <w:spacing w:line="360" w:lineRule="exact"/>
        <w:ind w:left="119"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二、考核内容</w:t>
      </w:r>
    </w:p>
    <w:p w14:paraId="1DEF45C0">
      <w:pPr>
        <w:spacing w:line="360" w:lineRule="exact"/>
        <w:ind w:left="119"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采购人按阶段对合同规定的服务进行考核，检查服务是否满足合同要求，阶段划分详见付款方式。</w:t>
      </w:r>
    </w:p>
    <w:p w14:paraId="7F53A426">
      <w:pPr>
        <w:spacing w:line="360" w:lineRule="exact"/>
        <w:ind w:left="119"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三、评分办法</w:t>
      </w:r>
    </w:p>
    <w:p w14:paraId="46CD37FF">
      <w:pPr>
        <w:spacing w:line="360" w:lineRule="exact"/>
        <w:ind w:left="119"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（一）服务内容评分细则详见下表《项目服务质量考核表》。</w:t>
      </w:r>
    </w:p>
    <w:p w14:paraId="49EA0495">
      <w:pPr>
        <w:spacing w:line="360" w:lineRule="exact"/>
        <w:ind w:left="119"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（二）</w:t>
      </w:r>
      <w:r>
        <w:rPr>
          <w:rFonts w:hint="eastAsia" w:ascii="宋体" w:hAnsi="宋体" w:cs="宋体"/>
          <w:bCs/>
          <w:color w:val="auto"/>
          <w:szCs w:val="21"/>
          <w:highlight w:val="none"/>
        </w:rPr>
        <w:t>评分人为驻场运维人员所服务的主管单位人员</w:t>
      </w:r>
      <w:r>
        <w:rPr>
          <w:rFonts w:hint="eastAsia" w:ascii="宋体" w:hAnsi="宋体" w:cs="宋体"/>
          <w:bCs/>
          <w:color w:val="auto"/>
          <w:szCs w:val="21"/>
          <w:highlight w:val="none"/>
        </w:rPr>
        <w:t>，评分参考依据为服务合同、运维报告和日常工作表现。</w:t>
      </w:r>
    </w:p>
    <w:p w14:paraId="31BEA4E4">
      <w:pPr>
        <w:spacing w:line="360" w:lineRule="exact"/>
        <w:ind w:left="119"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（三）服务考核总分为100分，采取得分制，最终累计得分为总分。得分事项应经双方项目负责人签字或加盖单位公章确认方为有效。</w:t>
      </w:r>
    </w:p>
    <w:p w14:paraId="79C893B8">
      <w:pPr>
        <w:spacing w:line="360" w:lineRule="exact"/>
        <w:ind w:left="119"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四、惩罚措施</w:t>
      </w:r>
    </w:p>
    <w:p w14:paraId="1ED7F255">
      <w:pPr>
        <w:spacing w:line="360" w:lineRule="exact"/>
        <w:ind w:left="119"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（一）阶段考核分数均到80分的，通过阶段考核，该阶段服务费按阶段费用100%支付；</w:t>
      </w:r>
    </w:p>
    <w:p w14:paraId="5D785D5A">
      <w:pPr>
        <w:spacing w:line="360" w:lineRule="exact"/>
        <w:ind w:left="119"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（二）阶段考核分数低于80分的，当期每少1分扣除该阶段服务费总金额的0.1%；</w:t>
      </w:r>
    </w:p>
    <w:p w14:paraId="6DA2218E">
      <w:pPr>
        <w:spacing w:line="360" w:lineRule="exact"/>
        <w:rPr>
          <w:rFonts w:hint="eastAsia" w:ascii="宋体" w:hAnsi="宋体" w:cs="宋体"/>
          <w:bCs/>
          <w:color w:val="auto"/>
          <w:szCs w:val="21"/>
          <w:highlight w:val="none"/>
        </w:rPr>
      </w:pPr>
      <w:r>
        <w:rPr>
          <w:rFonts w:hint="eastAsia" w:ascii="宋体" w:hAnsi="宋体" w:cs="宋体"/>
          <w:bCs/>
          <w:color w:val="auto"/>
          <w:szCs w:val="21"/>
          <w:highlight w:val="none"/>
        </w:rPr>
        <w:t xml:space="preserve">     （三）阶段考核分数低于60分的，视为当期服务不合格，采购人可拒付尚未支付的阶段服务费；连续2次考核分数在60分及以下的，采购人可终止合同，并要求中标供应商赔偿相关损失。</w:t>
      </w:r>
    </w:p>
    <w:p w14:paraId="7FEE38F2">
      <w:pPr>
        <w:spacing w:line="360" w:lineRule="exact"/>
        <w:rPr>
          <w:rFonts w:hint="eastAsia" w:ascii="宋体" w:hAnsi="宋体"/>
          <w:color w:val="auto"/>
          <w:szCs w:val="21"/>
          <w:highlight w:val="none"/>
        </w:rPr>
      </w:pP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
        <w:gridCol w:w="3375"/>
        <w:gridCol w:w="3957"/>
        <w:gridCol w:w="1402"/>
      </w:tblGrid>
      <w:tr w14:paraId="38186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16" w:type="pct"/>
            <w:gridSpan w:val="2"/>
            <w:noWrap/>
            <w:vAlign w:val="center"/>
          </w:tcPr>
          <w:p w14:paraId="710B9F8F">
            <w:pPr>
              <w:spacing w:line="360" w:lineRule="exact"/>
              <w:ind w:left="119"/>
              <w:rPr>
                <w:rFonts w:hint="eastAsia" w:ascii="宋体" w:hAnsi="宋体" w:cs="宋体"/>
                <w:bCs/>
                <w:color w:val="auto"/>
                <w:szCs w:val="21"/>
                <w:highlight w:val="none"/>
              </w:rPr>
            </w:pPr>
            <w:r>
              <w:rPr>
                <w:rFonts w:hint="eastAsia" w:ascii="宋体" w:hAnsi="宋体" w:cs="宋体"/>
                <w:bCs/>
                <w:color w:val="auto"/>
                <w:szCs w:val="21"/>
                <w:highlight w:val="none"/>
              </w:rPr>
              <w:t>项目分类</w:t>
            </w:r>
          </w:p>
        </w:tc>
        <w:tc>
          <w:tcPr>
            <w:tcW w:w="2055" w:type="pct"/>
            <w:noWrap/>
            <w:vAlign w:val="center"/>
          </w:tcPr>
          <w:p w14:paraId="65F536B2">
            <w:pPr>
              <w:spacing w:line="360" w:lineRule="exact"/>
              <w:ind w:left="119"/>
              <w:rPr>
                <w:rFonts w:hint="eastAsia" w:ascii="宋体" w:hAnsi="宋体" w:cs="宋体"/>
                <w:bCs/>
                <w:color w:val="auto"/>
                <w:szCs w:val="21"/>
                <w:highlight w:val="none"/>
              </w:rPr>
            </w:pPr>
            <w:r>
              <w:rPr>
                <w:rFonts w:hint="eastAsia" w:ascii="宋体" w:hAnsi="宋体" w:cs="宋体"/>
                <w:bCs/>
                <w:color w:val="auto"/>
                <w:szCs w:val="21"/>
                <w:highlight w:val="none"/>
              </w:rPr>
              <w:t>评分细则</w:t>
            </w:r>
          </w:p>
        </w:tc>
        <w:tc>
          <w:tcPr>
            <w:tcW w:w="728" w:type="pct"/>
            <w:noWrap/>
            <w:vAlign w:val="center"/>
          </w:tcPr>
          <w:p w14:paraId="0B402D59">
            <w:pPr>
              <w:spacing w:line="360" w:lineRule="exact"/>
              <w:ind w:left="119"/>
              <w:rPr>
                <w:rFonts w:hint="eastAsia" w:ascii="宋体" w:hAnsi="宋体" w:cs="宋体"/>
                <w:bCs/>
                <w:color w:val="auto"/>
                <w:szCs w:val="21"/>
                <w:highlight w:val="none"/>
              </w:rPr>
            </w:pPr>
            <w:r>
              <w:rPr>
                <w:rFonts w:hint="eastAsia" w:ascii="宋体" w:hAnsi="宋体" w:cs="宋体"/>
                <w:bCs/>
                <w:color w:val="auto"/>
                <w:szCs w:val="21"/>
                <w:highlight w:val="none"/>
              </w:rPr>
              <w:t>得分</w:t>
            </w:r>
          </w:p>
        </w:tc>
      </w:tr>
      <w:tr w14:paraId="51DBB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464" w:type="pct"/>
            <w:noWrap/>
            <w:vAlign w:val="center"/>
          </w:tcPr>
          <w:p w14:paraId="1BD84243">
            <w:pPr>
              <w:spacing w:line="360" w:lineRule="exact"/>
              <w:ind w:left="119"/>
              <w:jc w:val="center"/>
              <w:rPr>
                <w:rFonts w:hint="eastAsia" w:ascii="宋体" w:hAnsi="宋体" w:cs="宋体"/>
                <w:color w:val="auto"/>
                <w:szCs w:val="21"/>
                <w:highlight w:val="none"/>
              </w:rPr>
            </w:pPr>
            <w:r>
              <w:rPr>
                <w:rFonts w:hint="eastAsia" w:ascii="宋体" w:hAnsi="宋体" w:cs="宋体"/>
                <w:color w:val="auto"/>
                <w:szCs w:val="21"/>
                <w:highlight w:val="none"/>
              </w:rPr>
              <w:t>巡检执行</w:t>
            </w:r>
          </w:p>
          <w:p w14:paraId="5272B20C">
            <w:pPr>
              <w:spacing w:line="360" w:lineRule="exact"/>
              <w:ind w:left="119"/>
              <w:jc w:val="center"/>
              <w:rPr>
                <w:rFonts w:hint="eastAsia" w:ascii="宋体" w:hAnsi="宋体" w:cs="宋体"/>
                <w:bCs/>
                <w:color w:val="auto"/>
                <w:szCs w:val="21"/>
                <w:highlight w:val="none"/>
              </w:rPr>
            </w:pPr>
            <w:r>
              <w:rPr>
                <w:rFonts w:hint="eastAsia" w:ascii="宋体" w:hAnsi="宋体" w:cs="宋体"/>
                <w:bCs/>
                <w:color w:val="auto"/>
                <w:szCs w:val="21"/>
                <w:highlight w:val="none"/>
              </w:rPr>
              <w:t>（20分）</w:t>
            </w:r>
          </w:p>
        </w:tc>
        <w:tc>
          <w:tcPr>
            <w:tcW w:w="1751" w:type="pct"/>
            <w:noWrap/>
            <w:vAlign w:val="center"/>
          </w:tcPr>
          <w:p w14:paraId="1525488F">
            <w:pPr>
              <w:spacing w:line="360" w:lineRule="exact"/>
              <w:ind w:left="119"/>
              <w:jc w:val="center"/>
              <w:rPr>
                <w:rFonts w:hint="eastAsia" w:ascii="宋体" w:hAnsi="宋体" w:cs="宋体"/>
                <w:bCs/>
                <w:color w:val="auto"/>
                <w:szCs w:val="21"/>
                <w:highlight w:val="none"/>
              </w:rPr>
            </w:pPr>
            <w:r>
              <w:rPr>
                <w:rFonts w:hint="eastAsia" w:ascii="宋体" w:hAnsi="宋体" w:cs="宋体"/>
                <w:color w:val="auto"/>
                <w:szCs w:val="21"/>
                <w:highlight w:val="none"/>
              </w:rPr>
              <w:t>工作日每周开展现场巡检（法定节假日除外），未缺巡、漏巡、延后巡检</w:t>
            </w:r>
          </w:p>
        </w:tc>
        <w:tc>
          <w:tcPr>
            <w:tcW w:w="2055" w:type="pct"/>
            <w:noWrap/>
            <w:vAlign w:val="center"/>
          </w:tcPr>
          <w:p w14:paraId="525D5364">
            <w:pPr>
              <w:numPr>
                <w:ilvl w:val="0"/>
                <w:numId w:val="2"/>
              </w:numPr>
              <w:spacing w:line="360" w:lineRule="exact"/>
              <w:rPr>
                <w:rFonts w:hint="eastAsia" w:ascii="宋体" w:hAnsi="宋体" w:cs="宋体"/>
                <w:bCs/>
                <w:color w:val="auto"/>
                <w:szCs w:val="21"/>
                <w:highlight w:val="none"/>
              </w:rPr>
            </w:pPr>
            <w:r>
              <w:rPr>
                <w:rFonts w:hint="eastAsia" w:ascii="宋体" w:hAnsi="宋体" w:cs="宋体"/>
                <w:bCs/>
                <w:color w:val="auto"/>
                <w:szCs w:val="21"/>
                <w:highlight w:val="none"/>
              </w:rPr>
              <w:t>15-20分。巡检全周期规范执行，无任何缺巡、漏巡、延后情况；</w:t>
            </w:r>
          </w:p>
          <w:p w14:paraId="6154FB11">
            <w:pPr>
              <w:numPr>
                <w:ilvl w:val="0"/>
                <w:numId w:val="2"/>
              </w:numPr>
              <w:spacing w:line="360" w:lineRule="exact"/>
              <w:rPr>
                <w:rFonts w:hint="eastAsia" w:ascii="宋体" w:hAnsi="宋体" w:cs="宋体"/>
                <w:bCs/>
                <w:color w:val="auto"/>
                <w:szCs w:val="21"/>
                <w:highlight w:val="none"/>
              </w:rPr>
            </w:pPr>
            <w:r>
              <w:rPr>
                <w:rFonts w:hint="eastAsia" w:ascii="宋体" w:hAnsi="宋体" w:cs="宋体"/>
                <w:bCs/>
                <w:color w:val="auto"/>
                <w:szCs w:val="21"/>
                <w:highlight w:val="none"/>
              </w:rPr>
              <w:t>9-14分。每半年缺巡、漏巡、违规巡检次数累计1次；</w:t>
            </w:r>
          </w:p>
          <w:p w14:paraId="1430AFEB">
            <w:pPr>
              <w:numPr>
                <w:ilvl w:val="0"/>
                <w:numId w:val="2"/>
              </w:numPr>
              <w:spacing w:line="360" w:lineRule="exact"/>
              <w:rPr>
                <w:rFonts w:hint="eastAsia" w:ascii="宋体" w:hAnsi="宋体" w:cs="宋体"/>
                <w:bCs/>
                <w:color w:val="auto"/>
                <w:szCs w:val="21"/>
                <w:highlight w:val="none"/>
              </w:rPr>
            </w:pPr>
            <w:r>
              <w:rPr>
                <w:rFonts w:hint="eastAsia" w:ascii="宋体" w:hAnsi="宋体" w:cs="宋体"/>
                <w:bCs/>
                <w:color w:val="auto"/>
                <w:szCs w:val="21"/>
                <w:highlight w:val="none"/>
              </w:rPr>
              <w:t>3-8分。每半年缺巡、漏巡、违规巡检次数累计2次；</w:t>
            </w:r>
          </w:p>
          <w:p w14:paraId="2AD97DB3">
            <w:pPr>
              <w:numPr>
                <w:ilvl w:val="0"/>
                <w:numId w:val="2"/>
              </w:numPr>
              <w:spacing w:line="360" w:lineRule="exact"/>
              <w:rPr>
                <w:rFonts w:hint="eastAsia" w:ascii="宋体" w:hAnsi="宋体" w:cs="宋体"/>
                <w:bCs/>
                <w:color w:val="auto"/>
                <w:szCs w:val="21"/>
                <w:highlight w:val="none"/>
              </w:rPr>
            </w:pPr>
            <w:r>
              <w:rPr>
                <w:rFonts w:hint="eastAsia" w:ascii="宋体" w:hAnsi="宋体" w:cs="宋体"/>
                <w:bCs/>
                <w:color w:val="auto"/>
                <w:szCs w:val="21"/>
                <w:highlight w:val="none"/>
              </w:rPr>
              <w:t>0-3分。每半年缺巡、漏巡、违规巡检次数累计3次及以上。</w:t>
            </w:r>
          </w:p>
        </w:tc>
        <w:tc>
          <w:tcPr>
            <w:tcW w:w="728" w:type="pct"/>
            <w:noWrap/>
            <w:vAlign w:val="center"/>
          </w:tcPr>
          <w:p w14:paraId="74B7FFC2">
            <w:pPr>
              <w:spacing w:line="360" w:lineRule="exact"/>
              <w:ind w:left="119"/>
              <w:rPr>
                <w:rFonts w:hint="eastAsia" w:ascii="宋体" w:hAnsi="宋体" w:cs="宋体"/>
                <w:bCs/>
                <w:color w:val="auto"/>
                <w:szCs w:val="21"/>
                <w:highlight w:val="none"/>
              </w:rPr>
            </w:pPr>
          </w:p>
        </w:tc>
      </w:tr>
      <w:tr w14:paraId="7AA38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64" w:type="pct"/>
            <w:noWrap/>
            <w:vAlign w:val="center"/>
          </w:tcPr>
          <w:p w14:paraId="76009881">
            <w:pPr>
              <w:spacing w:line="360" w:lineRule="exact"/>
              <w:ind w:left="119"/>
              <w:jc w:val="center"/>
              <w:rPr>
                <w:rFonts w:hint="eastAsia" w:ascii="宋体" w:hAnsi="宋体" w:cs="宋体"/>
                <w:bCs/>
                <w:color w:val="auto"/>
                <w:szCs w:val="21"/>
                <w:highlight w:val="none"/>
              </w:rPr>
            </w:pPr>
            <w:r>
              <w:rPr>
                <w:rFonts w:hint="eastAsia" w:ascii="宋体" w:hAnsi="宋体" w:cs="宋体"/>
                <w:bCs/>
                <w:color w:val="auto"/>
                <w:szCs w:val="21"/>
                <w:highlight w:val="none"/>
              </w:rPr>
              <w:t>服务质量</w:t>
            </w:r>
          </w:p>
          <w:p w14:paraId="0FE78CFE">
            <w:pPr>
              <w:spacing w:line="360" w:lineRule="exact"/>
              <w:ind w:left="119"/>
              <w:jc w:val="center"/>
              <w:rPr>
                <w:rFonts w:hint="eastAsia" w:ascii="宋体" w:hAnsi="宋体" w:cs="宋体"/>
                <w:bCs/>
                <w:color w:val="auto"/>
                <w:szCs w:val="21"/>
                <w:highlight w:val="none"/>
              </w:rPr>
            </w:pPr>
            <w:r>
              <w:rPr>
                <w:rFonts w:hint="eastAsia" w:ascii="宋体" w:hAnsi="宋体" w:cs="宋体"/>
                <w:bCs/>
                <w:color w:val="auto"/>
                <w:szCs w:val="21"/>
                <w:highlight w:val="none"/>
              </w:rPr>
              <w:t>（20分）</w:t>
            </w:r>
          </w:p>
        </w:tc>
        <w:tc>
          <w:tcPr>
            <w:tcW w:w="1751" w:type="pct"/>
            <w:noWrap/>
            <w:vAlign w:val="center"/>
          </w:tcPr>
          <w:p w14:paraId="4118B721">
            <w:pPr>
              <w:spacing w:line="360" w:lineRule="exact"/>
              <w:ind w:left="119"/>
              <w:jc w:val="center"/>
              <w:rPr>
                <w:rFonts w:hint="eastAsia" w:ascii="宋体" w:hAnsi="宋体" w:cs="宋体"/>
                <w:bCs/>
                <w:color w:val="auto"/>
                <w:szCs w:val="21"/>
                <w:highlight w:val="none"/>
              </w:rPr>
            </w:pPr>
            <w:r>
              <w:rPr>
                <w:rFonts w:hint="eastAsia" w:ascii="宋体" w:hAnsi="宋体" w:cs="宋体"/>
                <w:color w:val="auto"/>
                <w:szCs w:val="21"/>
                <w:highlight w:val="none"/>
              </w:rPr>
              <w:t>硬件故障及时到场排查，快速定位问题，无拖延处置</w:t>
            </w:r>
          </w:p>
        </w:tc>
        <w:tc>
          <w:tcPr>
            <w:tcW w:w="2055" w:type="pct"/>
            <w:noWrap/>
            <w:vAlign w:val="center"/>
          </w:tcPr>
          <w:p w14:paraId="6C363212">
            <w:pPr>
              <w:numPr>
                <w:ilvl w:val="0"/>
                <w:numId w:val="2"/>
              </w:numPr>
              <w:spacing w:line="360" w:lineRule="exact"/>
              <w:rPr>
                <w:rFonts w:hint="eastAsia" w:ascii="宋体" w:hAnsi="宋体" w:cs="宋体"/>
                <w:bCs/>
                <w:color w:val="auto"/>
                <w:szCs w:val="21"/>
                <w:highlight w:val="none"/>
              </w:rPr>
            </w:pPr>
            <w:r>
              <w:rPr>
                <w:rFonts w:hint="eastAsia" w:ascii="宋体" w:hAnsi="宋体" w:cs="宋体"/>
                <w:bCs/>
                <w:color w:val="auto"/>
                <w:szCs w:val="21"/>
                <w:highlight w:val="none"/>
              </w:rPr>
              <w:t>15-20分。快速解决故障，效率高，效果良好。</w:t>
            </w:r>
          </w:p>
          <w:p w14:paraId="762BC882">
            <w:pPr>
              <w:numPr>
                <w:ilvl w:val="0"/>
                <w:numId w:val="2"/>
              </w:numPr>
              <w:spacing w:line="360" w:lineRule="exact"/>
              <w:rPr>
                <w:rFonts w:hint="eastAsia" w:ascii="宋体" w:hAnsi="宋体" w:cs="宋体"/>
                <w:bCs/>
                <w:color w:val="auto"/>
                <w:szCs w:val="21"/>
                <w:highlight w:val="none"/>
              </w:rPr>
            </w:pPr>
            <w:r>
              <w:rPr>
                <w:rFonts w:hint="eastAsia" w:ascii="宋体" w:hAnsi="宋体" w:cs="宋体"/>
                <w:bCs/>
                <w:color w:val="auto"/>
                <w:szCs w:val="21"/>
                <w:highlight w:val="none"/>
              </w:rPr>
              <w:t>9-14分。快速解决故障，但仍存在小问题。</w:t>
            </w:r>
          </w:p>
          <w:p w14:paraId="08B819B1">
            <w:pPr>
              <w:numPr>
                <w:ilvl w:val="0"/>
                <w:numId w:val="2"/>
              </w:numPr>
              <w:spacing w:line="360" w:lineRule="exact"/>
              <w:rPr>
                <w:rFonts w:hint="eastAsia" w:ascii="宋体" w:hAnsi="宋体" w:cs="宋体"/>
                <w:bCs/>
                <w:color w:val="auto"/>
                <w:szCs w:val="21"/>
                <w:highlight w:val="none"/>
              </w:rPr>
            </w:pPr>
            <w:r>
              <w:rPr>
                <w:rFonts w:hint="eastAsia" w:ascii="宋体" w:hAnsi="宋体" w:cs="宋体"/>
                <w:bCs/>
                <w:color w:val="auto"/>
                <w:szCs w:val="21"/>
                <w:highlight w:val="none"/>
              </w:rPr>
              <w:t>3-8分。故障解决时间长，效率低，但能最终解决。</w:t>
            </w:r>
          </w:p>
          <w:p w14:paraId="19BE5586">
            <w:pPr>
              <w:numPr>
                <w:ilvl w:val="0"/>
                <w:numId w:val="2"/>
              </w:numPr>
              <w:spacing w:line="360" w:lineRule="exact"/>
              <w:rPr>
                <w:rFonts w:hint="eastAsia" w:ascii="宋体" w:hAnsi="宋体" w:cs="宋体"/>
                <w:bCs/>
                <w:color w:val="auto"/>
                <w:szCs w:val="21"/>
                <w:highlight w:val="none"/>
              </w:rPr>
            </w:pPr>
            <w:r>
              <w:rPr>
                <w:rFonts w:hint="eastAsia" w:ascii="宋体" w:hAnsi="宋体" w:cs="宋体"/>
                <w:bCs/>
                <w:color w:val="auto"/>
                <w:szCs w:val="21"/>
                <w:highlight w:val="none"/>
              </w:rPr>
              <w:t>0-3分。无法解决故障，或花长时间解决后仍存在很大问题。</w:t>
            </w:r>
          </w:p>
        </w:tc>
        <w:tc>
          <w:tcPr>
            <w:tcW w:w="728" w:type="pct"/>
            <w:noWrap/>
            <w:vAlign w:val="center"/>
          </w:tcPr>
          <w:p w14:paraId="35E3AE54">
            <w:pPr>
              <w:spacing w:line="360" w:lineRule="exact"/>
              <w:ind w:left="119"/>
              <w:rPr>
                <w:rFonts w:hint="eastAsia" w:ascii="宋体" w:hAnsi="宋体" w:cs="宋体"/>
                <w:bCs/>
                <w:color w:val="auto"/>
                <w:szCs w:val="21"/>
                <w:highlight w:val="none"/>
              </w:rPr>
            </w:pPr>
          </w:p>
        </w:tc>
      </w:tr>
      <w:tr w14:paraId="16711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64" w:type="pct"/>
            <w:noWrap/>
            <w:vAlign w:val="center"/>
          </w:tcPr>
          <w:p w14:paraId="6F496FBC">
            <w:pPr>
              <w:spacing w:line="360" w:lineRule="exact"/>
              <w:ind w:left="119"/>
              <w:jc w:val="center"/>
              <w:rPr>
                <w:rFonts w:hint="eastAsia" w:ascii="宋体" w:hAnsi="宋体" w:cs="宋体"/>
                <w:bCs/>
                <w:color w:val="auto"/>
                <w:szCs w:val="21"/>
                <w:highlight w:val="none"/>
              </w:rPr>
            </w:pPr>
            <w:r>
              <w:rPr>
                <w:rFonts w:hint="eastAsia" w:ascii="宋体" w:hAnsi="宋体" w:cs="宋体"/>
                <w:bCs/>
                <w:color w:val="auto"/>
                <w:szCs w:val="21"/>
                <w:highlight w:val="none"/>
              </w:rPr>
              <w:t>响应时间</w:t>
            </w:r>
          </w:p>
          <w:p w14:paraId="6F506785">
            <w:pPr>
              <w:spacing w:line="360" w:lineRule="exact"/>
              <w:ind w:left="119"/>
              <w:jc w:val="center"/>
              <w:rPr>
                <w:rFonts w:hint="eastAsia" w:ascii="宋体" w:hAnsi="宋体" w:cs="宋体"/>
                <w:bCs/>
                <w:color w:val="auto"/>
                <w:szCs w:val="21"/>
                <w:highlight w:val="none"/>
              </w:rPr>
            </w:pPr>
            <w:r>
              <w:rPr>
                <w:rFonts w:hint="eastAsia" w:ascii="宋体" w:hAnsi="宋体" w:cs="宋体"/>
                <w:bCs/>
                <w:color w:val="auto"/>
                <w:szCs w:val="21"/>
                <w:highlight w:val="none"/>
              </w:rPr>
              <w:t>（20分）</w:t>
            </w:r>
          </w:p>
        </w:tc>
        <w:tc>
          <w:tcPr>
            <w:tcW w:w="1751" w:type="pct"/>
            <w:noWrap/>
            <w:vAlign w:val="center"/>
          </w:tcPr>
          <w:p w14:paraId="7AA04CA1">
            <w:pPr>
              <w:spacing w:line="360" w:lineRule="exact"/>
              <w:ind w:left="119"/>
              <w:jc w:val="center"/>
              <w:rPr>
                <w:rFonts w:hint="eastAsia" w:ascii="宋体" w:hAnsi="宋体" w:cs="宋体"/>
                <w:color w:val="auto"/>
                <w:szCs w:val="21"/>
                <w:highlight w:val="none"/>
              </w:rPr>
            </w:pPr>
            <w:r>
              <w:rPr>
                <w:rFonts w:hint="eastAsia" w:ascii="宋体" w:hAnsi="宋体" w:cs="宋体"/>
                <w:bCs/>
                <w:color w:val="auto"/>
                <w:szCs w:val="21"/>
                <w:highlight w:val="none"/>
              </w:rPr>
              <w:t>出现故障事件如设备损坏、网络中断等及时到场排查，快速定位问题，无拖延处置</w:t>
            </w:r>
          </w:p>
        </w:tc>
        <w:tc>
          <w:tcPr>
            <w:tcW w:w="2055" w:type="pct"/>
            <w:noWrap/>
            <w:vAlign w:val="center"/>
          </w:tcPr>
          <w:p w14:paraId="72A8AB4E">
            <w:pPr>
              <w:numPr>
                <w:ilvl w:val="0"/>
                <w:numId w:val="2"/>
              </w:numPr>
              <w:spacing w:line="360" w:lineRule="exact"/>
              <w:rPr>
                <w:rFonts w:hint="eastAsia" w:ascii="宋体" w:hAnsi="宋体" w:cs="宋体"/>
                <w:bCs/>
                <w:color w:val="auto"/>
                <w:szCs w:val="21"/>
                <w:highlight w:val="none"/>
              </w:rPr>
            </w:pPr>
            <w:r>
              <w:rPr>
                <w:rFonts w:hint="eastAsia" w:ascii="宋体" w:hAnsi="宋体" w:cs="宋体"/>
                <w:bCs/>
                <w:color w:val="auto"/>
                <w:szCs w:val="21"/>
                <w:highlight w:val="none"/>
              </w:rPr>
              <w:t>16-20分。根据相应故障级别在规定时间内完成响应和处置。</w:t>
            </w:r>
          </w:p>
          <w:p w14:paraId="4BC0C20D">
            <w:pPr>
              <w:numPr>
                <w:ilvl w:val="0"/>
                <w:numId w:val="2"/>
              </w:numPr>
              <w:spacing w:line="360" w:lineRule="exact"/>
              <w:rPr>
                <w:rFonts w:hint="eastAsia" w:ascii="宋体" w:hAnsi="宋体" w:cs="宋体"/>
                <w:bCs/>
                <w:color w:val="auto"/>
                <w:szCs w:val="21"/>
                <w:highlight w:val="none"/>
              </w:rPr>
            </w:pPr>
            <w:r>
              <w:rPr>
                <w:rFonts w:hint="eastAsia" w:ascii="宋体" w:hAnsi="宋体" w:cs="宋体"/>
                <w:bCs/>
                <w:color w:val="auto"/>
                <w:szCs w:val="21"/>
                <w:highlight w:val="none"/>
              </w:rPr>
              <w:t>8-15分。根据相应故障级别，未在规定时间内完成响应或未及时完成处置。</w:t>
            </w:r>
          </w:p>
          <w:p w14:paraId="3CE14A29">
            <w:pPr>
              <w:numPr>
                <w:ilvl w:val="0"/>
                <w:numId w:val="2"/>
              </w:numPr>
              <w:spacing w:line="360" w:lineRule="exact"/>
              <w:rPr>
                <w:rFonts w:hint="eastAsia" w:ascii="宋体" w:hAnsi="宋体" w:cs="宋体"/>
                <w:bCs/>
                <w:color w:val="auto"/>
                <w:szCs w:val="21"/>
                <w:highlight w:val="none"/>
              </w:rPr>
            </w:pPr>
            <w:r>
              <w:rPr>
                <w:rFonts w:hint="eastAsia" w:ascii="宋体" w:hAnsi="宋体" w:cs="宋体"/>
                <w:bCs/>
                <w:color w:val="auto"/>
                <w:szCs w:val="21"/>
                <w:highlight w:val="none"/>
              </w:rPr>
              <w:t>0-7分。未在相应故障级别在规定时间内完成响应和处置。</w:t>
            </w:r>
          </w:p>
        </w:tc>
        <w:tc>
          <w:tcPr>
            <w:tcW w:w="728" w:type="pct"/>
            <w:noWrap/>
            <w:vAlign w:val="center"/>
          </w:tcPr>
          <w:p w14:paraId="29E6CDC7">
            <w:pPr>
              <w:spacing w:line="360" w:lineRule="exact"/>
              <w:ind w:left="119"/>
              <w:rPr>
                <w:rFonts w:hint="eastAsia" w:ascii="宋体" w:hAnsi="宋体" w:cs="宋体"/>
                <w:bCs/>
                <w:color w:val="auto"/>
                <w:szCs w:val="21"/>
                <w:highlight w:val="none"/>
              </w:rPr>
            </w:pPr>
          </w:p>
        </w:tc>
      </w:tr>
      <w:tr w14:paraId="263AE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464" w:type="pct"/>
            <w:noWrap/>
            <w:vAlign w:val="center"/>
          </w:tcPr>
          <w:p w14:paraId="0CB32626">
            <w:pPr>
              <w:spacing w:line="360" w:lineRule="exact"/>
              <w:ind w:left="119"/>
              <w:jc w:val="center"/>
              <w:rPr>
                <w:rFonts w:hint="eastAsia" w:ascii="宋体" w:hAnsi="宋体" w:cs="宋体"/>
                <w:bCs/>
                <w:color w:val="auto"/>
                <w:szCs w:val="21"/>
                <w:highlight w:val="none"/>
              </w:rPr>
            </w:pPr>
            <w:r>
              <w:rPr>
                <w:rFonts w:hint="eastAsia" w:ascii="宋体" w:hAnsi="宋体" w:cs="宋体"/>
                <w:bCs/>
                <w:color w:val="auto"/>
                <w:szCs w:val="21"/>
                <w:highlight w:val="none"/>
              </w:rPr>
              <w:t>服务文档</w:t>
            </w:r>
          </w:p>
          <w:p w14:paraId="4FCB3BF9">
            <w:pPr>
              <w:spacing w:line="360" w:lineRule="exact"/>
              <w:ind w:left="119"/>
              <w:jc w:val="center"/>
              <w:rPr>
                <w:rFonts w:hint="eastAsia" w:ascii="宋体" w:hAnsi="宋体" w:cs="宋体"/>
                <w:bCs/>
                <w:color w:val="auto"/>
                <w:szCs w:val="21"/>
                <w:highlight w:val="none"/>
              </w:rPr>
            </w:pPr>
            <w:r>
              <w:rPr>
                <w:rFonts w:hint="eastAsia" w:ascii="宋体" w:hAnsi="宋体" w:cs="宋体"/>
                <w:bCs/>
                <w:color w:val="auto"/>
                <w:szCs w:val="21"/>
                <w:highlight w:val="none"/>
              </w:rPr>
              <w:t>（20分）</w:t>
            </w:r>
          </w:p>
        </w:tc>
        <w:tc>
          <w:tcPr>
            <w:tcW w:w="1751" w:type="pct"/>
            <w:noWrap/>
            <w:vAlign w:val="center"/>
          </w:tcPr>
          <w:p w14:paraId="42C893D4">
            <w:pPr>
              <w:widowControl/>
              <w:spacing w:line="360" w:lineRule="exact"/>
              <w:jc w:val="left"/>
              <w:rPr>
                <w:rFonts w:hint="eastAsia" w:ascii="宋体" w:hAnsi="宋体" w:cs="宋体"/>
                <w:color w:val="auto"/>
                <w:szCs w:val="21"/>
                <w:highlight w:val="none"/>
              </w:rPr>
            </w:pPr>
            <w:r>
              <w:rPr>
                <w:rFonts w:hint="eastAsia" w:ascii="宋体" w:hAnsi="宋体" w:cs="宋体"/>
                <w:color w:val="auto"/>
                <w:kern w:val="0"/>
                <w:szCs w:val="21"/>
                <w:highlight w:val="none"/>
                <w:lang w:bidi="ar"/>
              </w:rPr>
              <w:t>每季度同步提交巡检记录表、故障台账，资料统一规整归档，可随时调阅</w:t>
            </w:r>
          </w:p>
          <w:p w14:paraId="23DBF3B9">
            <w:pPr>
              <w:spacing w:line="360" w:lineRule="exact"/>
              <w:ind w:left="119"/>
              <w:jc w:val="center"/>
              <w:rPr>
                <w:rFonts w:hint="eastAsia" w:ascii="宋体" w:hAnsi="宋体" w:cs="宋体"/>
                <w:bCs/>
                <w:color w:val="auto"/>
                <w:szCs w:val="21"/>
                <w:highlight w:val="none"/>
              </w:rPr>
            </w:pPr>
          </w:p>
        </w:tc>
        <w:tc>
          <w:tcPr>
            <w:tcW w:w="2055" w:type="pct"/>
            <w:noWrap/>
            <w:vAlign w:val="center"/>
          </w:tcPr>
          <w:p w14:paraId="4821D387">
            <w:pPr>
              <w:numPr>
                <w:ilvl w:val="0"/>
                <w:numId w:val="2"/>
              </w:numPr>
              <w:spacing w:line="360" w:lineRule="exact"/>
              <w:rPr>
                <w:rFonts w:hint="eastAsia" w:ascii="宋体" w:hAnsi="宋体" w:cs="宋体"/>
                <w:bCs/>
                <w:color w:val="auto"/>
                <w:szCs w:val="21"/>
                <w:highlight w:val="none"/>
              </w:rPr>
            </w:pPr>
            <w:r>
              <w:rPr>
                <w:rFonts w:hint="eastAsia" w:ascii="宋体" w:hAnsi="宋体" w:cs="宋体"/>
                <w:bCs/>
                <w:color w:val="auto"/>
                <w:szCs w:val="21"/>
                <w:highlight w:val="none"/>
              </w:rPr>
              <w:t>15-20分。文档齐全、规范、详细，按时提供。</w:t>
            </w:r>
          </w:p>
          <w:p w14:paraId="54BCBB48">
            <w:pPr>
              <w:numPr>
                <w:ilvl w:val="0"/>
                <w:numId w:val="2"/>
              </w:numPr>
              <w:spacing w:line="360" w:lineRule="exact"/>
              <w:rPr>
                <w:rFonts w:hint="eastAsia" w:ascii="宋体" w:hAnsi="宋体" w:cs="宋体"/>
                <w:bCs/>
                <w:color w:val="auto"/>
                <w:szCs w:val="21"/>
                <w:highlight w:val="none"/>
              </w:rPr>
            </w:pPr>
            <w:r>
              <w:rPr>
                <w:rFonts w:hint="eastAsia" w:ascii="宋体" w:hAnsi="宋体" w:cs="宋体"/>
                <w:bCs/>
                <w:color w:val="auto"/>
                <w:szCs w:val="21"/>
                <w:highlight w:val="none"/>
              </w:rPr>
              <w:t>9-14分。文档齐全，按时提供，但不够规范、详细。</w:t>
            </w:r>
          </w:p>
          <w:p w14:paraId="67699FCE">
            <w:pPr>
              <w:numPr>
                <w:ilvl w:val="0"/>
                <w:numId w:val="2"/>
              </w:numPr>
              <w:spacing w:line="360" w:lineRule="exact"/>
              <w:rPr>
                <w:rFonts w:hint="eastAsia" w:ascii="宋体" w:hAnsi="宋体" w:cs="宋体"/>
                <w:bCs/>
                <w:color w:val="auto"/>
                <w:szCs w:val="21"/>
                <w:highlight w:val="none"/>
              </w:rPr>
            </w:pPr>
            <w:r>
              <w:rPr>
                <w:rFonts w:hint="eastAsia" w:ascii="宋体" w:hAnsi="宋体" w:cs="宋体"/>
                <w:bCs/>
                <w:color w:val="auto"/>
                <w:szCs w:val="21"/>
                <w:highlight w:val="none"/>
              </w:rPr>
              <w:t>3-8分。文档不齐全，未按时提供，也不够规范、详细。</w:t>
            </w:r>
          </w:p>
          <w:p w14:paraId="5A249C31">
            <w:pPr>
              <w:numPr>
                <w:ilvl w:val="0"/>
                <w:numId w:val="2"/>
              </w:numPr>
              <w:spacing w:line="360" w:lineRule="exact"/>
              <w:rPr>
                <w:rFonts w:hint="eastAsia" w:ascii="宋体" w:hAnsi="宋体" w:cs="宋体"/>
                <w:bCs/>
                <w:color w:val="auto"/>
                <w:szCs w:val="21"/>
                <w:highlight w:val="none"/>
              </w:rPr>
            </w:pPr>
            <w:r>
              <w:rPr>
                <w:rFonts w:hint="eastAsia" w:ascii="宋体" w:hAnsi="宋体" w:cs="宋体"/>
                <w:bCs/>
                <w:color w:val="auto"/>
                <w:szCs w:val="21"/>
                <w:highlight w:val="none"/>
              </w:rPr>
              <w:t>0-3分。无文档提交。</w:t>
            </w:r>
          </w:p>
        </w:tc>
        <w:tc>
          <w:tcPr>
            <w:tcW w:w="728" w:type="pct"/>
            <w:noWrap/>
            <w:vAlign w:val="center"/>
          </w:tcPr>
          <w:p w14:paraId="4988F564">
            <w:pPr>
              <w:spacing w:line="360" w:lineRule="exact"/>
              <w:ind w:left="119"/>
              <w:rPr>
                <w:rFonts w:hint="eastAsia" w:ascii="宋体" w:hAnsi="宋体" w:cs="宋体"/>
                <w:bCs/>
                <w:color w:val="auto"/>
                <w:szCs w:val="21"/>
                <w:highlight w:val="none"/>
              </w:rPr>
            </w:pPr>
          </w:p>
        </w:tc>
      </w:tr>
      <w:tr w14:paraId="2D40B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64" w:type="pct"/>
            <w:noWrap/>
            <w:vAlign w:val="center"/>
          </w:tcPr>
          <w:p w14:paraId="3C79C5FB">
            <w:pPr>
              <w:spacing w:line="360" w:lineRule="exact"/>
              <w:ind w:left="119"/>
              <w:jc w:val="center"/>
              <w:rPr>
                <w:rFonts w:hint="eastAsia" w:ascii="宋体" w:hAnsi="宋体" w:cs="宋体"/>
                <w:bCs/>
                <w:color w:val="auto"/>
                <w:szCs w:val="21"/>
                <w:highlight w:val="none"/>
              </w:rPr>
            </w:pPr>
            <w:r>
              <w:rPr>
                <w:rFonts w:hint="eastAsia" w:ascii="宋体" w:hAnsi="宋体" w:cs="宋体"/>
                <w:bCs/>
                <w:color w:val="auto"/>
                <w:szCs w:val="21"/>
                <w:highlight w:val="none"/>
              </w:rPr>
              <w:t>人员管理</w:t>
            </w:r>
          </w:p>
          <w:p w14:paraId="26AD0015">
            <w:pPr>
              <w:spacing w:line="360" w:lineRule="exact"/>
              <w:ind w:left="119"/>
              <w:jc w:val="center"/>
              <w:rPr>
                <w:rFonts w:hint="eastAsia" w:ascii="宋体" w:hAnsi="宋体" w:cs="宋体"/>
                <w:bCs/>
                <w:color w:val="auto"/>
                <w:szCs w:val="21"/>
                <w:highlight w:val="none"/>
              </w:rPr>
            </w:pPr>
            <w:r>
              <w:rPr>
                <w:rFonts w:hint="eastAsia" w:ascii="宋体" w:hAnsi="宋体" w:cs="宋体"/>
                <w:bCs/>
                <w:color w:val="auto"/>
                <w:szCs w:val="21"/>
                <w:highlight w:val="none"/>
              </w:rPr>
              <w:t>（20分）</w:t>
            </w:r>
          </w:p>
        </w:tc>
        <w:tc>
          <w:tcPr>
            <w:tcW w:w="1751" w:type="pct"/>
            <w:noWrap/>
            <w:vAlign w:val="center"/>
          </w:tcPr>
          <w:p w14:paraId="55E8ED8F">
            <w:pPr>
              <w:widowControl/>
              <w:spacing w:line="360" w:lineRule="exact"/>
              <w:jc w:val="left"/>
              <w:rPr>
                <w:rFonts w:hint="eastAsia" w:ascii="宋体" w:hAnsi="宋体" w:cs="宋体"/>
                <w:color w:val="auto"/>
                <w:szCs w:val="21"/>
                <w:highlight w:val="none"/>
              </w:rPr>
            </w:pPr>
            <w:r>
              <w:rPr>
                <w:rFonts w:hint="eastAsia" w:ascii="宋体" w:hAnsi="宋体" w:cs="宋体"/>
                <w:color w:val="auto"/>
                <w:kern w:val="0"/>
                <w:szCs w:val="21"/>
                <w:highlight w:val="none"/>
                <w:lang w:bidi="ar"/>
              </w:rPr>
              <w:t>运维人员配置齐全完全满足合同要求，服务态度热情、专业能力突出，完成各类维保工作</w:t>
            </w:r>
          </w:p>
          <w:p w14:paraId="63EE6F2C">
            <w:pPr>
              <w:spacing w:line="360" w:lineRule="exact"/>
              <w:ind w:left="119"/>
              <w:jc w:val="center"/>
              <w:rPr>
                <w:rFonts w:hint="eastAsia" w:ascii="宋体" w:hAnsi="宋体" w:cs="宋体"/>
                <w:bCs/>
                <w:color w:val="auto"/>
                <w:szCs w:val="21"/>
                <w:highlight w:val="none"/>
              </w:rPr>
            </w:pPr>
          </w:p>
        </w:tc>
        <w:tc>
          <w:tcPr>
            <w:tcW w:w="2055" w:type="pct"/>
            <w:noWrap/>
            <w:vAlign w:val="center"/>
          </w:tcPr>
          <w:p w14:paraId="4D2BDE39">
            <w:pPr>
              <w:numPr>
                <w:ilvl w:val="0"/>
                <w:numId w:val="2"/>
              </w:numPr>
              <w:spacing w:line="360" w:lineRule="exact"/>
              <w:rPr>
                <w:rFonts w:hint="eastAsia" w:ascii="宋体" w:hAnsi="宋体" w:cs="宋体"/>
                <w:bCs/>
                <w:color w:val="auto"/>
                <w:szCs w:val="21"/>
                <w:highlight w:val="none"/>
              </w:rPr>
            </w:pPr>
            <w:r>
              <w:rPr>
                <w:rFonts w:hint="eastAsia" w:ascii="宋体" w:hAnsi="宋体" w:cs="宋体"/>
                <w:bCs/>
                <w:color w:val="auto"/>
                <w:szCs w:val="21"/>
                <w:highlight w:val="none"/>
              </w:rPr>
              <w:t>15-20分。人员满足合同要求，态度热情，能力突出。</w:t>
            </w:r>
          </w:p>
          <w:p w14:paraId="26F9187C">
            <w:pPr>
              <w:numPr>
                <w:ilvl w:val="0"/>
                <w:numId w:val="2"/>
              </w:numPr>
              <w:spacing w:line="360" w:lineRule="exact"/>
              <w:rPr>
                <w:rFonts w:hint="eastAsia" w:ascii="宋体" w:hAnsi="宋体" w:cs="宋体"/>
                <w:bCs/>
                <w:color w:val="auto"/>
                <w:szCs w:val="21"/>
                <w:highlight w:val="none"/>
              </w:rPr>
            </w:pPr>
            <w:r>
              <w:rPr>
                <w:rFonts w:hint="eastAsia" w:ascii="宋体" w:hAnsi="宋体" w:cs="宋体"/>
                <w:bCs/>
                <w:color w:val="auto"/>
                <w:szCs w:val="21"/>
                <w:highlight w:val="none"/>
              </w:rPr>
              <w:t>9-14分。人员满足合同要求，态度较好，能力一般。</w:t>
            </w:r>
          </w:p>
          <w:p w14:paraId="3D2D167A">
            <w:pPr>
              <w:numPr>
                <w:ilvl w:val="0"/>
                <w:numId w:val="2"/>
              </w:numPr>
              <w:spacing w:line="360" w:lineRule="exact"/>
              <w:rPr>
                <w:rFonts w:hint="eastAsia" w:ascii="宋体" w:hAnsi="宋体" w:cs="宋体"/>
                <w:bCs/>
                <w:color w:val="auto"/>
                <w:szCs w:val="21"/>
                <w:highlight w:val="none"/>
              </w:rPr>
            </w:pPr>
            <w:r>
              <w:rPr>
                <w:rFonts w:hint="eastAsia" w:ascii="宋体" w:hAnsi="宋体" w:cs="宋体"/>
                <w:bCs/>
                <w:color w:val="auto"/>
                <w:szCs w:val="21"/>
                <w:highlight w:val="none"/>
              </w:rPr>
              <w:t>3-8分。人员无相关资质，态度较好，能力一般。</w:t>
            </w:r>
          </w:p>
          <w:p w14:paraId="05C42077">
            <w:pPr>
              <w:numPr>
                <w:ilvl w:val="0"/>
                <w:numId w:val="2"/>
              </w:numPr>
              <w:spacing w:line="360" w:lineRule="exact"/>
              <w:rPr>
                <w:rFonts w:hint="eastAsia" w:ascii="宋体" w:hAnsi="宋体" w:cs="宋体"/>
                <w:bCs/>
                <w:color w:val="auto"/>
                <w:szCs w:val="21"/>
                <w:highlight w:val="none"/>
              </w:rPr>
            </w:pPr>
            <w:r>
              <w:rPr>
                <w:rFonts w:hint="eastAsia" w:ascii="宋体" w:hAnsi="宋体" w:cs="宋体"/>
                <w:bCs/>
                <w:color w:val="auto"/>
                <w:szCs w:val="21"/>
                <w:highlight w:val="none"/>
              </w:rPr>
              <w:t>0-3分。人员态度冷淡，责任心差，能力欠缺。</w:t>
            </w:r>
          </w:p>
        </w:tc>
        <w:tc>
          <w:tcPr>
            <w:tcW w:w="728" w:type="pct"/>
            <w:noWrap/>
            <w:vAlign w:val="center"/>
          </w:tcPr>
          <w:p w14:paraId="501E160C">
            <w:pPr>
              <w:spacing w:line="360" w:lineRule="exact"/>
              <w:ind w:left="119"/>
              <w:rPr>
                <w:rFonts w:hint="eastAsia" w:ascii="宋体" w:hAnsi="宋体" w:cs="宋体"/>
                <w:bCs/>
                <w:color w:val="auto"/>
                <w:szCs w:val="21"/>
                <w:highlight w:val="none"/>
              </w:rPr>
            </w:pPr>
          </w:p>
        </w:tc>
      </w:tr>
      <w:bookmarkEnd w:id="45"/>
    </w:tbl>
    <w:p w14:paraId="7C49B1C6">
      <w:pPr>
        <w:widowControl/>
        <w:jc w:val="left"/>
        <w:rPr>
          <w:rFonts w:hint="eastAsia" w:ascii="宋体" w:hAnsi="宋体" w:cs="宋体"/>
          <w:color w:val="auto"/>
          <w:highlight w:val="none"/>
        </w:rPr>
      </w:pPr>
    </w:p>
    <w:p w14:paraId="2AA21E67">
      <w:pPr>
        <w:widowControl/>
        <w:jc w:val="left"/>
        <w:rPr>
          <w:rFonts w:hint="eastAsia" w:ascii="微软雅黑" w:hAnsi="微软雅黑" w:eastAsia="微软雅黑" w:cs="微软雅黑"/>
          <w:color w:val="auto"/>
          <w:sz w:val="32"/>
          <w:szCs w:val="32"/>
          <w:highlight w:val="none"/>
        </w:rPr>
      </w:pPr>
      <w:r>
        <w:rPr>
          <w:rFonts w:hint="eastAsia" w:ascii="微软雅黑" w:hAnsi="微软雅黑" w:eastAsia="微软雅黑" w:cs="微软雅黑"/>
          <w:color w:val="auto"/>
          <w:sz w:val="32"/>
          <w:szCs w:val="32"/>
          <w:highlight w:val="none"/>
        </w:rPr>
        <w:br w:type="page"/>
      </w:r>
    </w:p>
    <w:p w14:paraId="5F94833D">
      <w:pPr>
        <w:spacing w:line="428" w:lineRule="exact"/>
        <w:ind w:left="119"/>
        <w:rPr>
          <w:rFonts w:hint="eastAsia" w:ascii="Arial Unicode MS" w:hAnsi="Arial Unicode MS" w:eastAsia="Arial Unicode MS" w:cs="Arial Unicode MS"/>
          <w:color w:val="auto"/>
          <w:sz w:val="32"/>
          <w:szCs w:val="32"/>
          <w:highlight w:val="none"/>
        </w:rPr>
      </w:pPr>
      <w:r>
        <w:rPr>
          <w:rFonts w:hint="eastAsia" w:ascii="微软雅黑" w:hAnsi="微软雅黑" w:eastAsia="微软雅黑" w:cs="微软雅黑"/>
          <w:color w:val="auto"/>
          <w:sz w:val="32"/>
          <w:szCs w:val="32"/>
          <w:highlight w:val="none"/>
        </w:rPr>
        <w:t>附件</w:t>
      </w:r>
      <w:r>
        <w:rPr>
          <w:rFonts w:ascii="Arial Unicode MS" w:hAnsi="Arial Unicode MS" w:eastAsia="Arial Unicode MS" w:cs="Arial Unicode MS"/>
          <w:color w:val="auto"/>
          <w:sz w:val="32"/>
          <w:szCs w:val="32"/>
          <w:highlight w:val="none"/>
        </w:rPr>
        <w:t>1</w:t>
      </w:r>
      <w:r>
        <w:rPr>
          <w:rFonts w:hint="eastAsia" w:ascii="微软雅黑" w:hAnsi="微软雅黑" w:eastAsia="微软雅黑" w:cs="微软雅黑"/>
          <w:color w:val="auto"/>
          <w:sz w:val="32"/>
          <w:szCs w:val="32"/>
          <w:highlight w:val="none"/>
        </w:rPr>
        <w:t>：</w:t>
      </w:r>
    </w:p>
    <w:p w14:paraId="5F7BAE79">
      <w:pPr>
        <w:spacing w:before="7"/>
        <w:rPr>
          <w:rFonts w:hint="eastAsia" w:ascii="Arial Unicode MS" w:hAnsi="Arial Unicode MS" w:eastAsia="Arial Unicode MS" w:cs="Arial Unicode MS"/>
          <w:color w:val="auto"/>
          <w:sz w:val="17"/>
          <w:szCs w:val="17"/>
          <w:highlight w:val="none"/>
        </w:rPr>
      </w:pPr>
    </w:p>
    <w:p w14:paraId="5E80CFD9">
      <w:pPr>
        <w:spacing w:line="528" w:lineRule="exact"/>
        <w:ind w:left="1871"/>
        <w:rPr>
          <w:rFonts w:hint="eastAsia" w:ascii="Arial Unicode MS" w:hAnsi="Arial Unicode MS" w:eastAsia="Arial Unicode MS" w:cs="Arial Unicode MS"/>
          <w:color w:val="auto"/>
          <w:sz w:val="40"/>
          <w:szCs w:val="40"/>
          <w:highlight w:val="none"/>
        </w:rPr>
      </w:pPr>
      <w:r>
        <w:rPr>
          <w:rFonts w:hint="eastAsia" w:ascii="方正小标宋简体" w:hAnsi="方正小标宋简体" w:eastAsia="方正小标宋简体" w:cs="方正小标宋简体"/>
          <w:color w:val="auto"/>
          <w:sz w:val="44"/>
          <w:szCs w:val="44"/>
          <w:highlight w:val="none"/>
        </w:rPr>
        <w:t>节能产品政府采购品目清单</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1"/>
        <w:gridCol w:w="1543"/>
        <w:gridCol w:w="1546"/>
        <w:gridCol w:w="1536"/>
        <w:gridCol w:w="3452"/>
      </w:tblGrid>
      <w:tr w14:paraId="69D03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0EB29293">
            <w:pPr>
              <w:jc w:val="center"/>
              <w:rPr>
                <w:rFonts w:hint="eastAsia" w:ascii="宋体" w:hAnsi="宋体"/>
                <w:color w:val="auto"/>
                <w:sz w:val="24"/>
                <w:highlight w:val="none"/>
              </w:rPr>
            </w:pPr>
            <w:r>
              <w:rPr>
                <w:rFonts w:hint="eastAsia" w:ascii="宋体" w:hAnsi="宋体" w:cs="宋体"/>
                <w:b/>
                <w:bCs/>
                <w:color w:val="auto"/>
                <w:w w:val="99"/>
                <w:sz w:val="24"/>
                <w:highlight w:val="none"/>
              </w:rPr>
              <w:t>品目序号</w:t>
            </w:r>
          </w:p>
        </w:tc>
        <w:tc>
          <w:tcPr>
            <w:tcW w:w="4448" w:type="dxa"/>
            <w:gridSpan w:val="3"/>
            <w:tcBorders>
              <w:top w:val="single" w:color="000000" w:sz="4" w:space="0"/>
              <w:left w:val="single" w:color="000000" w:sz="4" w:space="0"/>
              <w:bottom w:val="single" w:color="000000" w:sz="4" w:space="0"/>
              <w:right w:val="single" w:color="000000" w:sz="4" w:space="0"/>
            </w:tcBorders>
            <w:vAlign w:val="center"/>
          </w:tcPr>
          <w:p w14:paraId="73ADC39A">
            <w:pPr>
              <w:jc w:val="center"/>
              <w:rPr>
                <w:rFonts w:hint="eastAsia" w:ascii="宋体" w:hAnsi="宋体"/>
                <w:color w:val="auto"/>
                <w:sz w:val="24"/>
                <w:highlight w:val="none"/>
              </w:rPr>
            </w:pPr>
            <w:r>
              <w:rPr>
                <w:rFonts w:hint="eastAsia" w:ascii="宋体" w:hAnsi="宋体" w:cs="宋体"/>
                <w:b/>
                <w:bCs/>
                <w:color w:val="auto"/>
                <w:w w:val="99"/>
                <w:sz w:val="24"/>
                <w:highlight w:val="none"/>
              </w:rPr>
              <w:t>名称</w:t>
            </w:r>
          </w:p>
        </w:tc>
        <w:tc>
          <w:tcPr>
            <w:tcW w:w="3452" w:type="dxa"/>
            <w:tcBorders>
              <w:top w:val="single" w:color="000000" w:sz="4" w:space="0"/>
              <w:left w:val="single" w:color="000000" w:sz="4" w:space="0"/>
              <w:bottom w:val="single" w:color="000000" w:sz="4" w:space="0"/>
              <w:right w:val="single" w:color="000000" w:sz="4" w:space="0"/>
            </w:tcBorders>
            <w:vAlign w:val="center"/>
          </w:tcPr>
          <w:p w14:paraId="6C35DF9B">
            <w:pPr>
              <w:jc w:val="center"/>
              <w:rPr>
                <w:rFonts w:hint="eastAsia" w:ascii="宋体" w:hAnsi="宋体"/>
                <w:color w:val="auto"/>
                <w:sz w:val="24"/>
                <w:highlight w:val="none"/>
              </w:rPr>
            </w:pPr>
            <w:r>
              <w:rPr>
                <w:rFonts w:hint="eastAsia" w:ascii="宋体" w:hAnsi="宋体" w:cs="宋体"/>
                <w:b/>
                <w:bCs/>
                <w:color w:val="auto"/>
                <w:w w:val="99"/>
                <w:sz w:val="24"/>
                <w:highlight w:val="none"/>
              </w:rPr>
              <w:t>依据的标准</w:t>
            </w:r>
          </w:p>
        </w:tc>
      </w:tr>
      <w:tr w14:paraId="22FA2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73C6687E">
            <w:pPr>
              <w:jc w:val="center"/>
              <w:rPr>
                <w:rFonts w:hint="eastAsia" w:ascii="宋体" w:hAnsi="宋体"/>
                <w:color w:val="auto"/>
                <w:sz w:val="24"/>
                <w:highlight w:val="none"/>
              </w:rPr>
            </w:pPr>
            <w:r>
              <w:rPr>
                <w:rFonts w:hint="eastAsia" w:ascii="宋体" w:hAnsi="宋体"/>
                <w:color w:val="auto"/>
                <w:sz w:val="24"/>
                <w:highlight w:val="none"/>
              </w:rPr>
              <w:t>1</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1DA38DE1">
            <w:pPr>
              <w:jc w:val="center"/>
              <w:rPr>
                <w:rFonts w:hint="eastAsia" w:ascii="宋体" w:hAnsi="宋体"/>
                <w:color w:val="auto"/>
                <w:sz w:val="24"/>
                <w:highlight w:val="none"/>
              </w:rPr>
            </w:pPr>
            <w:r>
              <w:rPr>
                <w:rFonts w:hint="eastAsia" w:ascii="宋体" w:hAnsi="宋体" w:cs="仿宋_GB2312"/>
                <w:color w:val="auto"/>
                <w:sz w:val="24"/>
                <w:highlight w:val="none"/>
              </w:rPr>
              <w:t>A02010100</w:t>
            </w:r>
            <w:r>
              <w:rPr>
                <w:rFonts w:hint="eastAsia" w:ascii="宋体" w:hAnsi="宋体" w:cs="宋体"/>
                <w:color w:val="auto"/>
                <w:w w:val="99"/>
                <w:sz w:val="24"/>
                <w:highlight w:val="none"/>
              </w:rPr>
              <w:t>计算机</w:t>
            </w:r>
          </w:p>
        </w:tc>
        <w:tc>
          <w:tcPr>
            <w:tcW w:w="1496" w:type="dxa"/>
            <w:tcBorders>
              <w:top w:val="single" w:color="000000" w:sz="4" w:space="0"/>
              <w:left w:val="single" w:color="000000" w:sz="4" w:space="0"/>
              <w:bottom w:val="single" w:color="000000" w:sz="4" w:space="0"/>
              <w:right w:val="single" w:color="000000" w:sz="4" w:space="0"/>
            </w:tcBorders>
            <w:vAlign w:val="center"/>
          </w:tcPr>
          <w:p w14:paraId="2686BDFE">
            <w:pPr>
              <w:pStyle w:val="57"/>
              <w:spacing w:before="93"/>
              <w:ind w:left="7" w:right="5"/>
              <w:jc w:val="center"/>
              <w:rPr>
                <w:rFonts w:hint="eastAsia" w:ascii="宋体" w:hAnsi="宋体" w:cs="宋体"/>
                <w:color w:val="auto"/>
                <w:kern w:val="2"/>
                <w:sz w:val="24"/>
                <w:szCs w:val="24"/>
                <w:highlight w:val="none"/>
              </w:rPr>
            </w:pPr>
            <w:r>
              <w:rPr>
                <w:rFonts w:hint="eastAsia" w:ascii="宋体" w:hAnsi="宋体" w:cs="宋体"/>
                <w:color w:val="auto"/>
                <w:w w:val="99"/>
                <w:kern w:val="2"/>
                <w:sz w:val="24"/>
                <w:szCs w:val="24"/>
                <w:highlight w:val="none"/>
              </w:rPr>
              <w:t>★</w:t>
            </w:r>
            <w:r>
              <w:rPr>
                <w:rFonts w:hint="eastAsia" w:ascii="宋体" w:hAnsi="宋体" w:cs="仿宋_GB2312"/>
                <w:color w:val="auto"/>
                <w:kern w:val="2"/>
                <w:sz w:val="24"/>
                <w:szCs w:val="24"/>
                <w:highlight w:val="none"/>
              </w:rPr>
              <w:t>A02010105</w:t>
            </w:r>
            <w:r>
              <w:rPr>
                <w:rFonts w:hint="eastAsia" w:ascii="宋体" w:hAnsi="宋体" w:cs="宋体"/>
                <w:color w:val="auto"/>
                <w:w w:val="99"/>
                <w:kern w:val="2"/>
                <w:sz w:val="24"/>
                <w:szCs w:val="24"/>
                <w:highlight w:val="none"/>
              </w:rPr>
              <w:t>台式计算机</w:t>
            </w:r>
          </w:p>
        </w:tc>
        <w:tc>
          <w:tcPr>
            <w:tcW w:w="1530" w:type="dxa"/>
            <w:tcBorders>
              <w:top w:val="single" w:color="000000" w:sz="4" w:space="0"/>
              <w:left w:val="single" w:color="000000" w:sz="4" w:space="0"/>
              <w:bottom w:val="single" w:color="000000" w:sz="4" w:space="0"/>
              <w:right w:val="single" w:color="000000" w:sz="4" w:space="0"/>
            </w:tcBorders>
            <w:vAlign w:val="center"/>
          </w:tcPr>
          <w:p w14:paraId="1A33772B">
            <w:pPr>
              <w:jc w:val="center"/>
              <w:rPr>
                <w:rFonts w:hint="eastAsia" w:ascii="宋体" w:hAnsi="宋体"/>
                <w:color w:val="auto"/>
                <w:sz w:val="24"/>
                <w:highlight w:val="none"/>
              </w:rPr>
            </w:pPr>
          </w:p>
        </w:tc>
        <w:tc>
          <w:tcPr>
            <w:tcW w:w="3452" w:type="dxa"/>
            <w:tcBorders>
              <w:top w:val="single" w:color="000000" w:sz="4" w:space="0"/>
              <w:left w:val="single" w:color="000000" w:sz="4" w:space="0"/>
              <w:bottom w:val="single" w:color="000000" w:sz="4" w:space="0"/>
              <w:right w:val="single" w:color="000000" w:sz="4" w:space="0"/>
            </w:tcBorders>
          </w:tcPr>
          <w:p w14:paraId="436F6172">
            <w:pPr>
              <w:pStyle w:val="57"/>
              <w:spacing w:before="131" w:line="276" w:lineRule="auto"/>
              <w:ind w:left="7" w:right="4"/>
              <w:rPr>
                <w:rFonts w:hint="eastAsia" w:ascii="宋体" w:hAnsi="宋体" w:cs="宋体"/>
                <w:color w:val="auto"/>
                <w:spacing w:val="10"/>
                <w:kern w:val="2"/>
                <w:sz w:val="24"/>
                <w:szCs w:val="24"/>
                <w:highlight w:val="none"/>
                <w:lang w:eastAsia="zh-CN"/>
              </w:rPr>
            </w:pPr>
            <w:r>
              <w:rPr>
                <w:rFonts w:hint="eastAsia" w:ascii="宋体" w:hAnsi="宋体" w:cs="宋体"/>
                <w:color w:val="auto"/>
                <w:spacing w:val="10"/>
                <w:kern w:val="2"/>
                <w:sz w:val="24"/>
                <w:szCs w:val="24"/>
                <w:highlight w:val="none"/>
                <w:lang w:eastAsia="zh-CN"/>
              </w:rPr>
              <w:t>《微型计算机能效限定值及能效等级》（GB28380）</w:t>
            </w:r>
          </w:p>
        </w:tc>
      </w:tr>
      <w:tr w14:paraId="1BED8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2D3E788">
            <w:pPr>
              <w:widowControl/>
              <w:jc w:val="left"/>
              <w:rPr>
                <w:rFonts w:hint="eastAsia" w:ascii="宋体" w:hAnsi="宋体"/>
                <w:color w:val="auto"/>
                <w:sz w:val="24"/>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66647BD">
            <w:pPr>
              <w:widowControl/>
              <w:jc w:val="left"/>
              <w:rPr>
                <w:rFonts w:hint="eastAsia" w:ascii="宋体" w:hAnsi="宋体"/>
                <w:color w:val="auto"/>
                <w:sz w:val="24"/>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5CDAF6E6">
            <w:pPr>
              <w:pStyle w:val="57"/>
              <w:spacing w:before="44"/>
              <w:ind w:left="7" w:right="5"/>
              <w:jc w:val="center"/>
              <w:rPr>
                <w:rFonts w:hint="eastAsia" w:ascii="宋体" w:hAnsi="宋体" w:cs="宋体"/>
                <w:color w:val="auto"/>
                <w:kern w:val="2"/>
                <w:sz w:val="24"/>
                <w:szCs w:val="24"/>
                <w:highlight w:val="none"/>
              </w:rPr>
            </w:pPr>
            <w:r>
              <w:rPr>
                <w:rFonts w:hint="eastAsia" w:ascii="宋体" w:hAnsi="宋体" w:cs="宋体"/>
                <w:color w:val="auto"/>
                <w:w w:val="99"/>
                <w:kern w:val="2"/>
                <w:sz w:val="24"/>
                <w:szCs w:val="24"/>
                <w:highlight w:val="none"/>
              </w:rPr>
              <w:t>★</w:t>
            </w:r>
            <w:r>
              <w:rPr>
                <w:rFonts w:hint="eastAsia" w:ascii="宋体" w:hAnsi="宋体" w:cs="仿宋_GB2312"/>
                <w:color w:val="auto"/>
                <w:kern w:val="2"/>
                <w:sz w:val="24"/>
                <w:szCs w:val="24"/>
                <w:highlight w:val="none"/>
              </w:rPr>
              <w:t>A02010108</w:t>
            </w:r>
            <w:r>
              <w:rPr>
                <w:rFonts w:hint="eastAsia" w:ascii="宋体" w:hAnsi="宋体" w:cs="宋体"/>
                <w:color w:val="auto"/>
                <w:w w:val="99"/>
                <w:kern w:val="2"/>
                <w:sz w:val="24"/>
                <w:szCs w:val="24"/>
                <w:highlight w:val="none"/>
              </w:rPr>
              <w:t>便携式计算机</w:t>
            </w:r>
          </w:p>
        </w:tc>
        <w:tc>
          <w:tcPr>
            <w:tcW w:w="1530" w:type="dxa"/>
            <w:tcBorders>
              <w:top w:val="single" w:color="000000" w:sz="4" w:space="0"/>
              <w:left w:val="single" w:color="000000" w:sz="4" w:space="0"/>
              <w:bottom w:val="single" w:color="000000" w:sz="4" w:space="0"/>
              <w:right w:val="single" w:color="000000" w:sz="4" w:space="0"/>
            </w:tcBorders>
            <w:vAlign w:val="center"/>
          </w:tcPr>
          <w:p w14:paraId="573EBC35">
            <w:pPr>
              <w:jc w:val="center"/>
              <w:rPr>
                <w:rFonts w:hint="eastAsia" w:ascii="宋体" w:hAnsi="宋体"/>
                <w:color w:val="auto"/>
                <w:sz w:val="24"/>
                <w:highlight w:val="none"/>
              </w:rPr>
            </w:pPr>
          </w:p>
        </w:tc>
        <w:tc>
          <w:tcPr>
            <w:tcW w:w="3452" w:type="dxa"/>
            <w:tcBorders>
              <w:top w:val="single" w:color="000000" w:sz="4" w:space="0"/>
              <w:left w:val="single" w:color="000000" w:sz="4" w:space="0"/>
              <w:bottom w:val="single" w:color="000000" w:sz="4" w:space="0"/>
              <w:right w:val="single" w:color="000000" w:sz="4" w:space="0"/>
            </w:tcBorders>
          </w:tcPr>
          <w:p w14:paraId="1CC71140">
            <w:pPr>
              <w:pStyle w:val="57"/>
              <w:spacing w:before="131" w:line="276" w:lineRule="auto"/>
              <w:ind w:left="7" w:right="4"/>
              <w:rPr>
                <w:rFonts w:hint="eastAsia" w:ascii="宋体" w:hAnsi="宋体" w:cs="宋体"/>
                <w:color w:val="auto"/>
                <w:spacing w:val="10"/>
                <w:kern w:val="2"/>
                <w:sz w:val="24"/>
                <w:szCs w:val="24"/>
                <w:highlight w:val="none"/>
                <w:lang w:eastAsia="zh-CN"/>
              </w:rPr>
            </w:pPr>
            <w:r>
              <w:rPr>
                <w:rFonts w:hint="eastAsia" w:ascii="宋体" w:hAnsi="宋体" w:cs="宋体"/>
                <w:color w:val="auto"/>
                <w:spacing w:val="10"/>
                <w:kern w:val="2"/>
                <w:sz w:val="24"/>
                <w:szCs w:val="24"/>
                <w:highlight w:val="none"/>
                <w:lang w:eastAsia="zh-CN"/>
              </w:rPr>
              <w:t>《微型计算机能效限定值及能效等级》（GB28380）</w:t>
            </w:r>
          </w:p>
        </w:tc>
      </w:tr>
      <w:tr w14:paraId="2B9EC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3A62340">
            <w:pPr>
              <w:widowControl/>
              <w:jc w:val="left"/>
              <w:rPr>
                <w:rFonts w:hint="eastAsia" w:ascii="宋体" w:hAnsi="宋体"/>
                <w:color w:val="auto"/>
                <w:sz w:val="24"/>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7A2FF42">
            <w:pPr>
              <w:widowControl/>
              <w:jc w:val="left"/>
              <w:rPr>
                <w:rFonts w:hint="eastAsia" w:ascii="宋体" w:hAnsi="宋体"/>
                <w:color w:val="auto"/>
                <w:sz w:val="24"/>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63273282">
            <w:pPr>
              <w:pStyle w:val="57"/>
              <w:spacing w:before="64"/>
              <w:ind w:left="7" w:right="5"/>
              <w:jc w:val="center"/>
              <w:rPr>
                <w:rFonts w:hint="eastAsia" w:ascii="宋体" w:hAnsi="宋体" w:cs="宋体"/>
                <w:color w:val="auto"/>
                <w:kern w:val="2"/>
                <w:sz w:val="24"/>
                <w:szCs w:val="24"/>
                <w:highlight w:val="none"/>
                <w:lang w:eastAsia="zh-CN"/>
              </w:rPr>
            </w:pPr>
            <w:r>
              <w:rPr>
                <w:rFonts w:hint="eastAsia" w:ascii="宋体" w:hAnsi="宋体" w:cs="宋体"/>
                <w:color w:val="auto"/>
                <w:w w:val="99"/>
                <w:kern w:val="2"/>
                <w:sz w:val="24"/>
                <w:szCs w:val="24"/>
                <w:highlight w:val="none"/>
                <w:lang w:eastAsia="zh-CN"/>
              </w:rPr>
              <w:t>★</w:t>
            </w:r>
            <w:r>
              <w:rPr>
                <w:rFonts w:hint="eastAsia" w:ascii="宋体" w:hAnsi="宋体" w:cs="仿宋_GB2312"/>
                <w:color w:val="auto"/>
                <w:kern w:val="2"/>
                <w:sz w:val="24"/>
                <w:szCs w:val="24"/>
                <w:highlight w:val="none"/>
                <w:lang w:eastAsia="zh-CN"/>
              </w:rPr>
              <w:t>A02010109平板式计算机</w:t>
            </w:r>
          </w:p>
        </w:tc>
        <w:tc>
          <w:tcPr>
            <w:tcW w:w="1530" w:type="dxa"/>
            <w:tcBorders>
              <w:top w:val="single" w:color="000000" w:sz="4" w:space="0"/>
              <w:left w:val="single" w:color="000000" w:sz="4" w:space="0"/>
              <w:bottom w:val="single" w:color="000000" w:sz="4" w:space="0"/>
              <w:right w:val="single" w:color="000000" w:sz="4" w:space="0"/>
            </w:tcBorders>
            <w:vAlign w:val="center"/>
          </w:tcPr>
          <w:p w14:paraId="71C99385">
            <w:pPr>
              <w:jc w:val="center"/>
              <w:rPr>
                <w:rFonts w:hint="eastAsia" w:ascii="宋体" w:hAnsi="宋体"/>
                <w:color w:val="auto"/>
                <w:sz w:val="24"/>
                <w:highlight w:val="none"/>
              </w:rPr>
            </w:pPr>
          </w:p>
        </w:tc>
        <w:tc>
          <w:tcPr>
            <w:tcW w:w="3452" w:type="dxa"/>
            <w:tcBorders>
              <w:top w:val="single" w:color="000000" w:sz="4" w:space="0"/>
              <w:left w:val="single" w:color="000000" w:sz="4" w:space="0"/>
              <w:bottom w:val="single" w:color="000000" w:sz="4" w:space="0"/>
              <w:right w:val="single" w:color="000000" w:sz="4" w:space="0"/>
            </w:tcBorders>
          </w:tcPr>
          <w:p w14:paraId="5D2D3D8A">
            <w:pPr>
              <w:pStyle w:val="57"/>
              <w:spacing w:before="131" w:line="276" w:lineRule="auto"/>
              <w:ind w:left="7" w:right="4"/>
              <w:rPr>
                <w:rFonts w:hint="eastAsia" w:ascii="宋体" w:hAnsi="宋体" w:cs="宋体"/>
                <w:color w:val="auto"/>
                <w:spacing w:val="10"/>
                <w:kern w:val="2"/>
                <w:sz w:val="24"/>
                <w:szCs w:val="24"/>
                <w:highlight w:val="none"/>
                <w:lang w:eastAsia="zh-CN"/>
              </w:rPr>
            </w:pPr>
            <w:r>
              <w:rPr>
                <w:rFonts w:hint="eastAsia" w:ascii="宋体" w:hAnsi="宋体" w:cs="宋体"/>
                <w:color w:val="auto"/>
                <w:spacing w:val="10"/>
                <w:kern w:val="2"/>
                <w:sz w:val="24"/>
                <w:szCs w:val="24"/>
                <w:highlight w:val="none"/>
                <w:lang w:eastAsia="zh-CN"/>
              </w:rPr>
              <w:t>《微型计算机能效限定值及能效等级》（GB28380）</w:t>
            </w:r>
          </w:p>
        </w:tc>
      </w:tr>
      <w:tr w14:paraId="3308D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05C96629">
            <w:pPr>
              <w:jc w:val="center"/>
              <w:rPr>
                <w:rFonts w:hint="eastAsia" w:ascii="宋体" w:hAnsi="宋体"/>
                <w:color w:val="auto"/>
                <w:sz w:val="24"/>
                <w:highlight w:val="none"/>
              </w:rPr>
            </w:pPr>
            <w:r>
              <w:rPr>
                <w:rFonts w:hint="eastAsia" w:ascii="宋体" w:hAnsi="宋体"/>
                <w:color w:val="auto"/>
                <w:sz w:val="24"/>
                <w:highlight w:val="none"/>
              </w:rPr>
              <w:t>2</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1A60F835">
            <w:pPr>
              <w:pStyle w:val="57"/>
              <w:ind w:left="7"/>
              <w:jc w:val="center"/>
              <w:rPr>
                <w:rFonts w:hint="eastAsia" w:ascii="宋体" w:hAnsi="宋体" w:cs="宋体"/>
                <w:color w:val="auto"/>
                <w:kern w:val="2"/>
                <w:sz w:val="24"/>
                <w:szCs w:val="24"/>
                <w:highlight w:val="none"/>
              </w:rPr>
            </w:pPr>
            <w:r>
              <w:rPr>
                <w:rFonts w:hint="eastAsia" w:ascii="宋体" w:hAnsi="宋体" w:cs="仿宋_GB2312"/>
                <w:color w:val="auto"/>
                <w:kern w:val="2"/>
                <w:sz w:val="24"/>
                <w:szCs w:val="24"/>
                <w:highlight w:val="none"/>
              </w:rPr>
              <w:t>A02020000</w:t>
            </w:r>
            <w:r>
              <w:rPr>
                <w:rFonts w:hint="eastAsia" w:ascii="宋体" w:hAnsi="宋体" w:cs="宋体"/>
                <w:color w:val="auto"/>
                <w:w w:val="99"/>
                <w:kern w:val="2"/>
                <w:sz w:val="24"/>
                <w:szCs w:val="24"/>
                <w:highlight w:val="none"/>
              </w:rPr>
              <w:t>办公设备</w:t>
            </w: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151EBD68">
            <w:pPr>
              <w:jc w:val="center"/>
              <w:rPr>
                <w:rFonts w:hint="eastAsia" w:ascii="宋体" w:hAnsi="宋体"/>
                <w:color w:val="auto"/>
                <w:sz w:val="24"/>
                <w:highlight w:val="none"/>
              </w:rPr>
            </w:pPr>
            <w:r>
              <w:rPr>
                <w:rFonts w:hint="eastAsia" w:ascii="宋体" w:hAnsi="宋体" w:cs="宋体"/>
                <w:color w:val="auto"/>
                <w:spacing w:val="1"/>
                <w:w w:val="99"/>
                <w:sz w:val="24"/>
                <w:highlight w:val="none"/>
              </w:rPr>
              <w:t>A02021000</w:t>
            </w:r>
            <w:r>
              <w:rPr>
                <w:rFonts w:hint="eastAsia" w:ascii="宋体" w:hAnsi="宋体" w:cs="Arial"/>
                <w:color w:val="auto"/>
                <w:sz w:val="24"/>
                <w:highlight w:val="none"/>
                <w:shd w:val="clear" w:color="auto" w:fill="FFFFFF"/>
              </w:rPr>
              <w:t>打印机</w:t>
            </w:r>
          </w:p>
        </w:tc>
        <w:tc>
          <w:tcPr>
            <w:tcW w:w="1530" w:type="dxa"/>
            <w:tcBorders>
              <w:top w:val="single" w:color="000000" w:sz="4" w:space="0"/>
              <w:left w:val="single" w:color="000000" w:sz="4" w:space="0"/>
              <w:bottom w:val="single" w:color="000000" w:sz="4" w:space="0"/>
              <w:right w:val="single" w:color="000000" w:sz="4" w:space="0"/>
            </w:tcBorders>
            <w:vAlign w:val="center"/>
          </w:tcPr>
          <w:p w14:paraId="57550271">
            <w:pPr>
              <w:jc w:val="center"/>
              <w:rPr>
                <w:rFonts w:hint="eastAsia" w:ascii="宋体" w:hAnsi="宋体"/>
                <w:color w:val="auto"/>
                <w:sz w:val="24"/>
                <w:highlight w:val="none"/>
              </w:rPr>
            </w:pPr>
            <w:r>
              <w:rPr>
                <w:rFonts w:hint="eastAsia" w:ascii="宋体" w:hAnsi="宋体"/>
                <w:color w:val="auto"/>
                <w:sz w:val="24"/>
                <w:highlight w:val="none"/>
              </w:rPr>
              <w:t>A02021001 A3黑白打印机</w:t>
            </w:r>
          </w:p>
        </w:tc>
        <w:tc>
          <w:tcPr>
            <w:tcW w:w="3452" w:type="dxa"/>
            <w:tcBorders>
              <w:top w:val="single" w:color="000000" w:sz="4" w:space="0"/>
              <w:left w:val="single" w:color="000000" w:sz="4" w:space="0"/>
              <w:bottom w:val="single" w:color="000000" w:sz="4" w:space="0"/>
              <w:right w:val="single" w:color="000000" w:sz="4" w:space="0"/>
            </w:tcBorders>
          </w:tcPr>
          <w:p w14:paraId="734B83B6">
            <w:pPr>
              <w:pStyle w:val="57"/>
              <w:spacing w:before="131" w:line="276" w:lineRule="auto"/>
              <w:ind w:left="7" w:right="4"/>
              <w:rPr>
                <w:rFonts w:hint="eastAsia" w:ascii="宋体" w:hAnsi="宋体" w:cs="宋体"/>
                <w:color w:val="auto"/>
                <w:spacing w:val="10"/>
                <w:kern w:val="2"/>
                <w:sz w:val="24"/>
                <w:szCs w:val="24"/>
                <w:highlight w:val="none"/>
                <w:lang w:eastAsia="zh-CN"/>
              </w:rPr>
            </w:pPr>
            <w:r>
              <w:rPr>
                <w:rFonts w:hint="eastAsia" w:ascii="宋体" w:hAnsi="宋体" w:cs="宋体"/>
                <w:color w:val="auto"/>
                <w:spacing w:val="10"/>
                <w:kern w:val="2"/>
                <w:sz w:val="24"/>
                <w:szCs w:val="24"/>
                <w:highlight w:val="none"/>
                <w:lang w:eastAsia="zh-CN"/>
              </w:rPr>
              <w:t>《复印机、打印机和传真机能效限定值及能效等级》（GB21521）</w:t>
            </w:r>
          </w:p>
        </w:tc>
      </w:tr>
      <w:tr w14:paraId="1498F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4E332C2">
            <w:pPr>
              <w:widowControl/>
              <w:jc w:val="left"/>
              <w:rPr>
                <w:rFonts w:hint="eastAsia" w:ascii="宋体" w:hAnsi="宋体"/>
                <w:color w:val="auto"/>
                <w:sz w:val="24"/>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B1F3C27">
            <w:pPr>
              <w:widowControl/>
              <w:jc w:val="left"/>
              <w:rPr>
                <w:rFonts w:hint="eastAsia" w:ascii="宋体" w:hAnsi="宋体" w:cs="宋体"/>
                <w:color w:val="auto"/>
                <w:sz w:val="24"/>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85391CB">
            <w:pPr>
              <w:widowControl/>
              <w:jc w:val="left"/>
              <w:rPr>
                <w:rFonts w:hint="eastAsia" w:ascii="宋体" w:hAnsi="宋体"/>
                <w:color w:val="auto"/>
                <w:sz w:val="24"/>
                <w:highlight w:val="none"/>
              </w:rPr>
            </w:pPr>
          </w:p>
        </w:tc>
        <w:tc>
          <w:tcPr>
            <w:tcW w:w="1530" w:type="dxa"/>
            <w:tcBorders>
              <w:top w:val="single" w:color="000000" w:sz="4" w:space="0"/>
              <w:left w:val="single" w:color="000000" w:sz="4" w:space="0"/>
              <w:bottom w:val="single" w:color="000000" w:sz="4" w:space="0"/>
              <w:right w:val="single" w:color="000000" w:sz="4" w:space="0"/>
            </w:tcBorders>
            <w:vAlign w:val="center"/>
          </w:tcPr>
          <w:p w14:paraId="090CC243">
            <w:pPr>
              <w:jc w:val="center"/>
              <w:rPr>
                <w:rFonts w:hint="eastAsia" w:ascii="宋体" w:hAnsi="宋体"/>
                <w:color w:val="auto"/>
                <w:sz w:val="24"/>
                <w:highlight w:val="none"/>
              </w:rPr>
            </w:pPr>
            <w:r>
              <w:rPr>
                <w:rFonts w:hint="eastAsia" w:ascii="宋体" w:hAnsi="宋体"/>
                <w:color w:val="auto"/>
                <w:sz w:val="24"/>
                <w:highlight w:val="none"/>
              </w:rPr>
              <w:t>A02021002 A3彩色打印机</w:t>
            </w:r>
          </w:p>
        </w:tc>
        <w:tc>
          <w:tcPr>
            <w:tcW w:w="3452" w:type="dxa"/>
            <w:tcBorders>
              <w:top w:val="single" w:color="000000" w:sz="4" w:space="0"/>
              <w:left w:val="single" w:color="000000" w:sz="4" w:space="0"/>
              <w:bottom w:val="single" w:color="000000" w:sz="4" w:space="0"/>
              <w:right w:val="single" w:color="000000" w:sz="4" w:space="0"/>
            </w:tcBorders>
          </w:tcPr>
          <w:p w14:paraId="49852994">
            <w:pPr>
              <w:pStyle w:val="57"/>
              <w:spacing w:before="131" w:line="276" w:lineRule="auto"/>
              <w:ind w:left="7" w:right="4"/>
              <w:rPr>
                <w:rFonts w:hint="eastAsia" w:ascii="宋体" w:hAnsi="宋体" w:cs="宋体"/>
                <w:color w:val="auto"/>
                <w:spacing w:val="10"/>
                <w:kern w:val="2"/>
                <w:sz w:val="24"/>
                <w:szCs w:val="24"/>
                <w:highlight w:val="none"/>
                <w:lang w:eastAsia="zh-CN"/>
              </w:rPr>
            </w:pPr>
            <w:r>
              <w:rPr>
                <w:rFonts w:hint="eastAsia" w:ascii="宋体" w:hAnsi="宋体" w:cs="宋体"/>
                <w:color w:val="auto"/>
                <w:spacing w:val="10"/>
                <w:kern w:val="2"/>
                <w:sz w:val="24"/>
                <w:szCs w:val="24"/>
                <w:highlight w:val="none"/>
                <w:lang w:eastAsia="zh-CN"/>
              </w:rPr>
              <w:t>《复印机、打印机和传真机能效限定值及能效等级》（GB21521）</w:t>
            </w:r>
          </w:p>
        </w:tc>
      </w:tr>
      <w:tr w14:paraId="29F4E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B4F15BF">
            <w:pPr>
              <w:widowControl/>
              <w:jc w:val="left"/>
              <w:rPr>
                <w:rFonts w:hint="eastAsia" w:ascii="宋体" w:hAnsi="宋体"/>
                <w:color w:val="auto"/>
                <w:sz w:val="24"/>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4021428">
            <w:pPr>
              <w:widowControl/>
              <w:jc w:val="left"/>
              <w:rPr>
                <w:rFonts w:hint="eastAsia" w:ascii="宋体" w:hAnsi="宋体" w:cs="宋体"/>
                <w:color w:val="auto"/>
                <w:sz w:val="24"/>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ECC1F38">
            <w:pPr>
              <w:widowControl/>
              <w:jc w:val="left"/>
              <w:rPr>
                <w:rFonts w:hint="eastAsia" w:ascii="宋体" w:hAnsi="宋体"/>
                <w:color w:val="auto"/>
                <w:sz w:val="24"/>
                <w:highlight w:val="none"/>
              </w:rPr>
            </w:pPr>
          </w:p>
        </w:tc>
        <w:tc>
          <w:tcPr>
            <w:tcW w:w="1530" w:type="dxa"/>
            <w:tcBorders>
              <w:top w:val="single" w:color="000000" w:sz="4" w:space="0"/>
              <w:left w:val="single" w:color="000000" w:sz="4" w:space="0"/>
              <w:bottom w:val="single" w:color="000000" w:sz="4" w:space="0"/>
              <w:right w:val="single" w:color="000000" w:sz="4" w:space="0"/>
            </w:tcBorders>
            <w:vAlign w:val="center"/>
          </w:tcPr>
          <w:p w14:paraId="07D67546">
            <w:pPr>
              <w:jc w:val="center"/>
              <w:rPr>
                <w:rFonts w:hint="eastAsia" w:ascii="宋体" w:hAnsi="宋体"/>
                <w:color w:val="auto"/>
                <w:sz w:val="24"/>
                <w:highlight w:val="none"/>
              </w:rPr>
            </w:pPr>
            <w:r>
              <w:rPr>
                <w:rFonts w:hint="eastAsia" w:ascii="宋体" w:hAnsi="宋体"/>
                <w:color w:val="auto"/>
                <w:sz w:val="24"/>
                <w:highlight w:val="none"/>
              </w:rPr>
              <w:t>A02021003 A4黑白打印机</w:t>
            </w:r>
          </w:p>
        </w:tc>
        <w:tc>
          <w:tcPr>
            <w:tcW w:w="3452" w:type="dxa"/>
            <w:tcBorders>
              <w:top w:val="single" w:color="000000" w:sz="4" w:space="0"/>
              <w:left w:val="single" w:color="000000" w:sz="4" w:space="0"/>
              <w:bottom w:val="single" w:color="000000" w:sz="4" w:space="0"/>
              <w:right w:val="single" w:color="000000" w:sz="4" w:space="0"/>
            </w:tcBorders>
          </w:tcPr>
          <w:p w14:paraId="495DAE4F">
            <w:pPr>
              <w:pStyle w:val="57"/>
              <w:spacing w:before="131" w:line="276" w:lineRule="auto"/>
              <w:ind w:left="7" w:right="4"/>
              <w:rPr>
                <w:rFonts w:hint="eastAsia" w:ascii="宋体" w:hAnsi="宋体" w:cs="宋体"/>
                <w:color w:val="auto"/>
                <w:spacing w:val="10"/>
                <w:kern w:val="2"/>
                <w:sz w:val="24"/>
                <w:szCs w:val="24"/>
                <w:highlight w:val="none"/>
                <w:lang w:eastAsia="zh-CN"/>
              </w:rPr>
            </w:pPr>
            <w:r>
              <w:rPr>
                <w:rFonts w:hint="eastAsia" w:ascii="宋体" w:hAnsi="宋体" w:cs="宋体"/>
                <w:color w:val="auto"/>
                <w:spacing w:val="10"/>
                <w:kern w:val="2"/>
                <w:sz w:val="24"/>
                <w:szCs w:val="24"/>
                <w:highlight w:val="none"/>
                <w:lang w:eastAsia="zh-CN"/>
              </w:rPr>
              <w:t>《复印机、打印机和传真机能效限定值及能效等级》（GB21521）</w:t>
            </w:r>
          </w:p>
        </w:tc>
      </w:tr>
      <w:tr w14:paraId="519BB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3A1A948">
            <w:pPr>
              <w:widowControl/>
              <w:jc w:val="left"/>
              <w:rPr>
                <w:rFonts w:hint="eastAsia" w:ascii="宋体" w:hAnsi="宋体"/>
                <w:color w:val="auto"/>
                <w:sz w:val="24"/>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BE7EB66">
            <w:pPr>
              <w:widowControl/>
              <w:jc w:val="left"/>
              <w:rPr>
                <w:rFonts w:hint="eastAsia" w:ascii="宋体" w:hAnsi="宋体" w:cs="宋体"/>
                <w:color w:val="auto"/>
                <w:sz w:val="24"/>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B3E8364">
            <w:pPr>
              <w:widowControl/>
              <w:jc w:val="left"/>
              <w:rPr>
                <w:rFonts w:hint="eastAsia" w:ascii="宋体" w:hAnsi="宋体"/>
                <w:color w:val="auto"/>
                <w:sz w:val="24"/>
                <w:highlight w:val="none"/>
              </w:rPr>
            </w:pPr>
          </w:p>
        </w:tc>
        <w:tc>
          <w:tcPr>
            <w:tcW w:w="1530" w:type="dxa"/>
            <w:tcBorders>
              <w:top w:val="single" w:color="000000" w:sz="4" w:space="0"/>
              <w:left w:val="single" w:color="000000" w:sz="4" w:space="0"/>
              <w:bottom w:val="single" w:color="000000" w:sz="4" w:space="0"/>
              <w:right w:val="single" w:color="000000" w:sz="4" w:space="0"/>
            </w:tcBorders>
            <w:vAlign w:val="center"/>
          </w:tcPr>
          <w:p w14:paraId="58437D47">
            <w:pPr>
              <w:jc w:val="center"/>
              <w:rPr>
                <w:rFonts w:hint="eastAsia" w:ascii="宋体" w:hAnsi="宋体"/>
                <w:color w:val="auto"/>
                <w:sz w:val="24"/>
                <w:highlight w:val="none"/>
              </w:rPr>
            </w:pPr>
            <w:r>
              <w:rPr>
                <w:rFonts w:hint="eastAsia" w:ascii="宋体" w:hAnsi="宋体"/>
                <w:color w:val="auto"/>
                <w:sz w:val="24"/>
                <w:highlight w:val="none"/>
              </w:rPr>
              <w:t>A02021004 A4彩色打印机</w:t>
            </w:r>
          </w:p>
        </w:tc>
        <w:tc>
          <w:tcPr>
            <w:tcW w:w="3452" w:type="dxa"/>
            <w:tcBorders>
              <w:top w:val="single" w:color="000000" w:sz="4" w:space="0"/>
              <w:left w:val="single" w:color="000000" w:sz="4" w:space="0"/>
              <w:bottom w:val="single" w:color="000000" w:sz="4" w:space="0"/>
              <w:right w:val="single" w:color="000000" w:sz="4" w:space="0"/>
            </w:tcBorders>
          </w:tcPr>
          <w:p w14:paraId="3029E0A4">
            <w:pPr>
              <w:pStyle w:val="57"/>
              <w:spacing w:before="131" w:line="276" w:lineRule="auto"/>
              <w:ind w:left="7" w:right="4"/>
              <w:rPr>
                <w:rFonts w:hint="eastAsia" w:ascii="宋体" w:hAnsi="宋体" w:cs="宋体"/>
                <w:color w:val="auto"/>
                <w:spacing w:val="10"/>
                <w:kern w:val="2"/>
                <w:sz w:val="24"/>
                <w:szCs w:val="24"/>
                <w:highlight w:val="none"/>
                <w:lang w:eastAsia="zh-CN"/>
              </w:rPr>
            </w:pPr>
            <w:r>
              <w:rPr>
                <w:rFonts w:hint="eastAsia" w:ascii="宋体" w:hAnsi="宋体" w:cs="宋体"/>
                <w:color w:val="auto"/>
                <w:spacing w:val="10"/>
                <w:kern w:val="2"/>
                <w:sz w:val="24"/>
                <w:szCs w:val="24"/>
                <w:highlight w:val="none"/>
                <w:lang w:eastAsia="zh-CN"/>
              </w:rPr>
              <w:t>《复印机、打印机和传真机能效限定值及能效等级》（GB21521）</w:t>
            </w:r>
          </w:p>
        </w:tc>
      </w:tr>
      <w:tr w14:paraId="09A60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CDD24D1">
            <w:pPr>
              <w:widowControl/>
              <w:jc w:val="left"/>
              <w:rPr>
                <w:rFonts w:hint="eastAsia" w:ascii="宋体" w:hAnsi="宋体"/>
                <w:color w:val="auto"/>
                <w:sz w:val="24"/>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ADA3C8B">
            <w:pPr>
              <w:widowControl/>
              <w:jc w:val="left"/>
              <w:rPr>
                <w:rFonts w:hint="eastAsia" w:ascii="宋体" w:hAnsi="宋体" w:cs="宋体"/>
                <w:color w:val="auto"/>
                <w:sz w:val="24"/>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1517970">
            <w:pPr>
              <w:widowControl/>
              <w:jc w:val="left"/>
              <w:rPr>
                <w:rFonts w:hint="eastAsia" w:ascii="宋体" w:hAnsi="宋体"/>
                <w:color w:val="auto"/>
                <w:sz w:val="24"/>
                <w:highlight w:val="none"/>
              </w:rPr>
            </w:pPr>
          </w:p>
        </w:tc>
        <w:tc>
          <w:tcPr>
            <w:tcW w:w="1530" w:type="dxa"/>
            <w:tcBorders>
              <w:top w:val="single" w:color="000000" w:sz="4" w:space="0"/>
              <w:left w:val="single" w:color="000000" w:sz="4" w:space="0"/>
              <w:bottom w:val="single" w:color="000000" w:sz="4" w:space="0"/>
              <w:right w:val="single" w:color="000000" w:sz="4" w:space="0"/>
            </w:tcBorders>
            <w:vAlign w:val="center"/>
          </w:tcPr>
          <w:p w14:paraId="7DAC8876">
            <w:pPr>
              <w:jc w:val="center"/>
              <w:rPr>
                <w:rFonts w:hint="eastAsia" w:ascii="宋体" w:hAnsi="宋体"/>
                <w:color w:val="auto"/>
                <w:sz w:val="24"/>
                <w:highlight w:val="none"/>
              </w:rPr>
            </w:pPr>
            <w:r>
              <w:rPr>
                <w:rFonts w:hint="eastAsia" w:ascii="宋体" w:hAnsi="宋体"/>
                <w:color w:val="auto"/>
                <w:sz w:val="24"/>
                <w:highlight w:val="none"/>
              </w:rPr>
              <w:t>A02021005 3D打印机</w:t>
            </w:r>
          </w:p>
        </w:tc>
        <w:tc>
          <w:tcPr>
            <w:tcW w:w="3452" w:type="dxa"/>
            <w:tcBorders>
              <w:top w:val="single" w:color="000000" w:sz="4" w:space="0"/>
              <w:left w:val="single" w:color="000000" w:sz="4" w:space="0"/>
              <w:bottom w:val="single" w:color="000000" w:sz="4" w:space="0"/>
              <w:right w:val="single" w:color="000000" w:sz="4" w:space="0"/>
            </w:tcBorders>
          </w:tcPr>
          <w:p w14:paraId="5EFC21B5">
            <w:pPr>
              <w:pStyle w:val="57"/>
              <w:spacing w:before="131" w:line="276" w:lineRule="auto"/>
              <w:ind w:left="7" w:right="4"/>
              <w:rPr>
                <w:rFonts w:hint="eastAsia" w:ascii="宋体" w:hAnsi="宋体" w:cs="宋体"/>
                <w:color w:val="auto"/>
                <w:spacing w:val="10"/>
                <w:kern w:val="2"/>
                <w:sz w:val="24"/>
                <w:szCs w:val="24"/>
                <w:highlight w:val="none"/>
                <w:lang w:eastAsia="zh-CN"/>
              </w:rPr>
            </w:pPr>
            <w:r>
              <w:rPr>
                <w:rFonts w:hint="eastAsia" w:ascii="宋体" w:hAnsi="宋体" w:cs="宋体"/>
                <w:color w:val="auto"/>
                <w:spacing w:val="10"/>
                <w:kern w:val="2"/>
                <w:sz w:val="24"/>
                <w:szCs w:val="24"/>
                <w:highlight w:val="none"/>
                <w:lang w:eastAsia="zh-CN"/>
              </w:rPr>
              <w:t>《复印机、打印机和传真机能效限定值及能效等级》（GB21521）</w:t>
            </w:r>
          </w:p>
        </w:tc>
      </w:tr>
      <w:tr w14:paraId="78834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24A905A">
            <w:pPr>
              <w:widowControl/>
              <w:jc w:val="left"/>
              <w:rPr>
                <w:rFonts w:hint="eastAsia" w:ascii="宋体" w:hAnsi="宋体"/>
                <w:color w:val="auto"/>
                <w:sz w:val="24"/>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190A5A3">
            <w:pPr>
              <w:widowControl/>
              <w:jc w:val="left"/>
              <w:rPr>
                <w:rFonts w:hint="eastAsia" w:ascii="宋体" w:hAnsi="宋体" w:cs="宋体"/>
                <w:color w:val="auto"/>
                <w:sz w:val="24"/>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52F28FE">
            <w:pPr>
              <w:widowControl/>
              <w:jc w:val="left"/>
              <w:rPr>
                <w:rFonts w:hint="eastAsia" w:ascii="宋体" w:hAnsi="宋体"/>
                <w:color w:val="auto"/>
                <w:sz w:val="24"/>
                <w:highlight w:val="none"/>
              </w:rPr>
            </w:pPr>
          </w:p>
        </w:tc>
        <w:tc>
          <w:tcPr>
            <w:tcW w:w="1530" w:type="dxa"/>
            <w:tcBorders>
              <w:top w:val="single" w:color="000000" w:sz="4" w:space="0"/>
              <w:left w:val="single" w:color="000000" w:sz="4" w:space="0"/>
              <w:bottom w:val="single" w:color="000000" w:sz="4" w:space="0"/>
              <w:right w:val="single" w:color="000000" w:sz="4" w:space="0"/>
            </w:tcBorders>
            <w:vAlign w:val="center"/>
          </w:tcPr>
          <w:p w14:paraId="5D447CC0">
            <w:pPr>
              <w:jc w:val="center"/>
              <w:rPr>
                <w:rFonts w:hint="eastAsia" w:ascii="宋体" w:hAnsi="宋体"/>
                <w:color w:val="auto"/>
                <w:sz w:val="24"/>
                <w:highlight w:val="none"/>
              </w:rPr>
            </w:pPr>
            <w:r>
              <w:rPr>
                <w:rFonts w:hint="eastAsia" w:ascii="宋体" w:hAnsi="宋体"/>
                <w:color w:val="auto"/>
                <w:sz w:val="24"/>
                <w:highlight w:val="none"/>
              </w:rPr>
              <w:t>A02021006票据打印机</w:t>
            </w:r>
          </w:p>
        </w:tc>
        <w:tc>
          <w:tcPr>
            <w:tcW w:w="3452" w:type="dxa"/>
            <w:tcBorders>
              <w:top w:val="single" w:color="000000" w:sz="4" w:space="0"/>
              <w:left w:val="single" w:color="000000" w:sz="4" w:space="0"/>
              <w:bottom w:val="single" w:color="000000" w:sz="4" w:space="0"/>
              <w:right w:val="single" w:color="000000" w:sz="4" w:space="0"/>
            </w:tcBorders>
          </w:tcPr>
          <w:p w14:paraId="2772C1D8">
            <w:pPr>
              <w:pStyle w:val="57"/>
              <w:spacing w:before="131" w:line="276" w:lineRule="auto"/>
              <w:ind w:left="7" w:right="4"/>
              <w:rPr>
                <w:rFonts w:hint="eastAsia" w:ascii="宋体" w:hAnsi="宋体" w:cs="宋体"/>
                <w:color w:val="auto"/>
                <w:spacing w:val="10"/>
                <w:kern w:val="2"/>
                <w:sz w:val="24"/>
                <w:szCs w:val="24"/>
                <w:highlight w:val="none"/>
                <w:lang w:eastAsia="zh-CN"/>
              </w:rPr>
            </w:pPr>
            <w:r>
              <w:rPr>
                <w:rFonts w:hint="eastAsia" w:ascii="宋体" w:hAnsi="宋体" w:cs="宋体"/>
                <w:color w:val="auto"/>
                <w:spacing w:val="10"/>
                <w:kern w:val="2"/>
                <w:sz w:val="24"/>
                <w:szCs w:val="24"/>
                <w:highlight w:val="none"/>
                <w:lang w:eastAsia="zh-CN"/>
              </w:rPr>
              <w:t>《复印机、打印机和传真机能效限定值及能效等级》（GB21521）</w:t>
            </w:r>
          </w:p>
        </w:tc>
      </w:tr>
      <w:tr w14:paraId="163D2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FE59AF5">
            <w:pPr>
              <w:widowControl/>
              <w:jc w:val="left"/>
              <w:rPr>
                <w:rFonts w:hint="eastAsia" w:ascii="宋体" w:hAnsi="宋体"/>
                <w:color w:val="auto"/>
                <w:sz w:val="24"/>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67699ED">
            <w:pPr>
              <w:widowControl/>
              <w:jc w:val="left"/>
              <w:rPr>
                <w:rFonts w:hint="eastAsia" w:ascii="宋体" w:hAnsi="宋体" w:cs="宋体"/>
                <w:color w:val="auto"/>
                <w:sz w:val="24"/>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EFBC250">
            <w:pPr>
              <w:widowControl/>
              <w:jc w:val="left"/>
              <w:rPr>
                <w:rFonts w:hint="eastAsia" w:ascii="宋体" w:hAnsi="宋体"/>
                <w:color w:val="auto"/>
                <w:sz w:val="24"/>
                <w:highlight w:val="none"/>
              </w:rPr>
            </w:pPr>
          </w:p>
        </w:tc>
        <w:tc>
          <w:tcPr>
            <w:tcW w:w="1530" w:type="dxa"/>
            <w:tcBorders>
              <w:top w:val="single" w:color="000000" w:sz="4" w:space="0"/>
              <w:left w:val="single" w:color="000000" w:sz="4" w:space="0"/>
              <w:bottom w:val="single" w:color="000000" w:sz="4" w:space="0"/>
              <w:right w:val="single" w:color="000000" w:sz="4" w:space="0"/>
            </w:tcBorders>
            <w:vAlign w:val="center"/>
          </w:tcPr>
          <w:p w14:paraId="6B5A26CA">
            <w:pPr>
              <w:jc w:val="center"/>
              <w:rPr>
                <w:rFonts w:hint="eastAsia" w:ascii="宋体" w:hAnsi="宋体"/>
                <w:color w:val="auto"/>
                <w:sz w:val="24"/>
                <w:highlight w:val="none"/>
              </w:rPr>
            </w:pPr>
            <w:r>
              <w:rPr>
                <w:rFonts w:hint="eastAsia" w:ascii="宋体" w:hAnsi="宋体"/>
                <w:color w:val="auto"/>
                <w:sz w:val="24"/>
                <w:highlight w:val="none"/>
              </w:rPr>
              <w:t>A02021007条码打印机</w:t>
            </w:r>
          </w:p>
        </w:tc>
        <w:tc>
          <w:tcPr>
            <w:tcW w:w="3452" w:type="dxa"/>
            <w:tcBorders>
              <w:top w:val="single" w:color="000000" w:sz="4" w:space="0"/>
              <w:left w:val="single" w:color="000000" w:sz="4" w:space="0"/>
              <w:bottom w:val="single" w:color="000000" w:sz="4" w:space="0"/>
              <w:right w:val="single" w:color="000000" w:sz="4" w:space="0"/>
            </w:tcBorders>
          </w:tcPr>
          <w:p w14:paraId="7C8F0844">
            <w:pPr>
              <w:pStyle w:val="57"/>
              <w:spacing w:before="131" w:line="276" w:lineRule="auto"/>
              <w:ind w:left="7" w:right="4"/>
              <w:rPr>
                <w:rFonts w:hint="eastAsia" w:ascii="宋体" w:hAnsi="宋体" w:cs="宋体"/>
                <w:color w:val="auto"/>
                <w:spacing w:val="10"/>
                <w:kern w:val="2"/>
                <w:sz w:val="24"/>
                <w:szCs w:val="24"/>
                <w:highlight w:val="none"/>
                <w:lang w:eastAsia="zh-CN"/>
              </w:rPr>
            </w:pPr>
            <w:r>
              <w:rPr>
                <w:rFonts w:hint="eastAsia" w:ascii="宋体" w:hAnsi="宋体" w:cs="宋体"/>
                <w:color w:val="auto"/>
                <w:spacing w:val="10"/>
                <w:kern w:val="2"/>
                <w:sz w:val="24"/>
                <w:szCs w:val="24"/>
                <w:highlight w:val="none"/>
                <w:lang w:eastAsia="zh-CN"/>
              </w:rPr>
              <w:t>《复印机、打印机和传真机能效限定值及能效等级》（GB21521）</w:t>
            </w:r>
          </w:p>
        </w:tc>
      </w:tr>
      <w:tr w14:paraId="0BDF5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302363B">
            <w:pPr>
              <w:widowControl/>
              <w:jc w:val="left"/>
              <w:rPr>
                <w:rFonts w:hint="eastAsia" w:ascii="宋体" w:hAnsi="宋体"/>
                <w:color w:val="auto"/>
                <w:sz w:val="24"/>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6E75EC8">
            <w:pPr>
              <w:widowControl/>
              <w:jc w:val="left"/>
              <w:rPr>
                <w:rFonts w:hint="eastAsia" w:ascii="宋体" w:hAnsi="宋体" w:cs="宋体"/>
                <w:color w:val="auto"/>
                <w:sz w:val="24"/>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52C0755">
            <w:pPr>
              <w:widowControl/>
              <w:jc w:val="left"/>
              <w:rPr>
                <w:rFonts w:hint="eastAsia" w:ascii="宋体" w:hAnsi="宋体"/>
                <w:color w:val="auto"/>
                <w:sz w:val="24"/>
                <w:highlight w:val="none"/>
              </w:rPr>
            </w:pPr>
          </w:p>
        </w:tc>
        <w:tc>
          <w:tcPr>
            <w:tcW w:w="1530" w:type="dxa"/>
            <w:tcBorders>
              <w:top w:val="single" w:color="000000" w:sz="4" w:space="0"/>
              <w:left w:val="single" w:color="000000" w:sz="4" w:space="0"/>
              <w:bottom w:val="single" w:color="000000" w:sz="4" w:space="0"/>
              <w:right w:val="single" w:color="000000" w:sz="4" w:space="0"/>
            </w:tcBorders>
            <w:vAlign w:val="center"/>
          </w:tcPr>
          <w:p w14:paraId="75221833">
            <w:pPr>
              <w:jc w:val="center"/>
              <w:rPr>
                <w:rFonts w:hint="eastAsia" w:ascii="宋体" w:hAnsi="宋体"/>
                <w:color w:val="auto"/>
                <w:sz w:val="24"/>
                <w:highlight w:val="none"/>
              </w:rPr>
            </w:pPr>
            <w:r>
              <w:rPr>
                <w:rFonts w:hint="eastAsia" w:ascii="宋体" w:hAnsi="宋体"/>
                <w:color w:val="auto"/>
                <w:sz w:val="24"/>
                <w:highlight w:val="none"/>
              </w:rPr>
              <w:t>A02021008地址打印机</w:t>
            </w:r>
          </w:p>
        </w:tc>
        <w:tc>
          <w:tcPr>
            <w:tcW w:w="3452" w:type="dxa"/>
            <w:tcBorders>
              <w:top w:val="single" w:color="000000" w:sz="4" w:space="0"/>
              <w:left w:val="single" w:color="000000" w:sz="4" w:space="0"/>
              <w:bottom w:val="single" w:color="000000" w:sz="4" w:space="0"/>
              <w:right w:val="single" w:color="000000" w:sz="4" w:space="0"/>
            </w:tcBorders>
          </w:tcPr>
          <w:p w14:paraId="380751F1">
            <w:pPr>
              <w:pStyle w:val="57"/>
              <w:spacing w:before="131" w:line="276" w:lineRule="auto"/>
              <w:ind w:left="7" w:right="4"/>
              <w:rPr>
                <w:rFonts w:hint="eastAsia" w:ascii="宋体" w:hAnsi="宋体" w:cs="宋体"/>
                <w:color w:val="auto"/>
                <w:spacing w:val="10"/>
                <w:kern w:val="2"/>
                <w:sz w:val="24"/>
                <w:szCs w:val="24"/>
                <w:highlight w:val="none"/>
                <w:lang w:eastAsia="zh-CN"/>
              </w:rPr>
            </w:pPr>
            <w:r>
              <w:rPr>
                <w:rFonts w:hint="eastAsia" w:ascii="宋体" w:hAnsi="宋体" w:cs="宋体"/>
                <w:color w:val="auto"/>
                <w:spacing w:val="10"/>
                <w:kern w:val="2"/>
                <w:sz w:val="24"/>
                <w:szCs w:val="24"/>
                <w:highlight w:val="none"/>
                <w:lang w:eastAsia="zh-CN"/>
              </w:rPr>
              <w:t>《复印机、打印机和传真机能效限定值及能效等级》（GB21521）</w:t>
            </w:r>
          </w:p>
        </w:tc>
      </w:tr>
      <w:tr w14:paraId="4AEBF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1FEBA51">
            <w:pPr>
              <w:widowControl/>
              <w:jc w:val="left"/>
              <w:rPr>
                <w:rFonts w:hint="eastAsia" w:ascii="宋体" w:hAnsi="宋体"/>
                <w:color w:val="auto"/>
                <w:sz w:val="24"/>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43E6FF1">
            <w:pPr>
              <w:widowControl/>
              <w:jc w:val="left"/>
              <w:rPr>
                <w:rFonts w:hint="eastAsia" w:ascii="宋体" w:hAnsi="宋体" w:cs="宋体"/>
                <w:color w:val="auto"/>
                <w:sz w:val="24"/>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A596B70">
            <w:pPr>
              <w:widowControl/>
              <w:jc w:val="left"/>
              <w:rPr>
                <w:rFonts w:hint="eastAsia" w:ascii="宋体" w:hAnsi="宋体"/>
                <w:color w:val="auto"/>
                <w:sz w:val="24"/>
                <w:highlight w:val="none"/>
              </w:rPr>
            </w:pPr>
          </w:p>
        </w:tc>
        <w:tc>
          <w:tcPr>
            <w:tcW w:w="1530" w:type="dxa"/>
            <w:tcBorders>
              <w:top w:val="single" w:color="000000" w:sz="4" w:space="0"/>
              <w:left w:val="single" w:color="000000" w:sz="4" w:space="0"/>
              <w:bottom w:val="single" w:color="000000" w:sz="4" w:space="0"/>
              <w:right w:val="single" w:color="000000" w:sz="4" w:space="0"/>
            </w:tcBorders>
            <w:vAlign w:val="center"/>
          </w:tcPr>
          <w:p w14:paraId="737B56F7">
            <w:pPr>
              <w:jc w:val="center"/>
              <w:rPr>
                <w:rFonts w:hint="eastAsia" w:ascii="宋体" w:hAnsi="宋体"/>
                <w:color w:val="auto"/>
                <w:sz w:val="24"/>
                <w:highlight w:val="none"/>
              </w:rPr>
            </w:pPr>
            <w:r>
              <w:rPr>
                <w:rFonts w:hint="eastAsia" w:ascii="宋体" w:hAnsi="宋体"/>
                <w:color w:val="auto"/>
                <w:sz w:val="24"/>
                <w:highlight w:val="none"/>
              </w:rPr>
              <w:t>A02021099其他打印机</w:t>
            </w:r>
          </w:p>
        </w:tc>
        <w:tc>
          <w:tcPr>
            <w:tcW w:w="3452" w:type="dxa"/>
            <w:tcBorders>
              <w:top w:val="single" w:color="000000" w:sz="4" w:space="0"/>
              <w:left w:val="single" w:color="000000" w:sz="4" w:space="0"/>
              <w:bottom w:val="single" w:color="000000" w:sz="4" w:space="0"/>
              <w:right w:val="single" w:color="000000" w:sz="4" w:space="0"/>
            </w:tcBorders>
          </w:tcPr>
          <w:p w14:paraId="5DC4332C">
            <w:pPr>
              <w:pStyle w:val="57"/>
              <w:spacing w:before="131" w:line="276" w:lineRule="auto"/>
              <w:ind w:left="7" w:right="4"/>
              <w:rPr>
                <w:rFonts w:hint="eastAsia" w:ascii="宋体" w:hAnsi="宋体" w:cs="宋体"/>
                <w:color w:val="auto"/>
                <w:spacing w:val="10"/>
                <w:kern w:val="2"/>
                <w:sz w:val="24"/>
                <w:szCs w:val="24"/>
                <w:highlight w:val="none"/>
                <w:lang w:eastAsia="zh-CN"/>
              </w:rPr>
            </w:pPr>
            <w:r>
              <w:rPr>
                <w:rFonts w:hint="eastAsia" w:ascii="宋体" w:hAnsi="宋体" w:cs="宋体"/>
                <w:color w:val="auto"/>
                <w:spacing w:val="10"/>
                <w:kern w:val="2"/>
                <w:sz w:val="24"/>
                <w:szCs w:val="24"/>
                <w:highlight w:val="none"/>
                <w:lang w:eastAsia="zh-CN"/>
              </w:rPr>
              <w:t>《复印机、打印机和传真机能效限定值及能效等级》（GB21521）</w:t>
            </w:r>
          </w:p>
        </w:tc>
      </w:tr>
      <w:tr w14:paraId="0CFBC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9C107CE">
            <w:pPr>
              <w:widowControl/>
              <w:jc w:val="left"/>
              <w:rPr>
                <w:rFonts w:hint="eastAsia" w:ascii="宋体" w:hAnsi="宋体"/>
                <w:color w:val="auto"/>
                <w:sz w:val="24"/>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D55591A">
            <w:pPr>
              <w:widowControl/>
              <w:jc w:val="left"/>
              <w:rPr>
                <w:rFonts w:hint="eastAsia" w:ascii="宋体" w:hAnsi="宋体" w:cs="宋体"/>
                <w:color w:val="auto"/>
                <w:sz w:val="24"/>
                <w:highlight w:val="none"/>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2E483089">
            <w:pPr>
              <w:jc w:val="center"/>
              <w:rPr>
                <w:rFonts w:hint="eastAsia" w:ascii="宋体" w:hAnsi="宋体"/>
                <w:color w:val="auto"/>
                <w:sz w:val="24"/>
                <w:highlight w:val="none"/>
              </w:rPr>
            </w:pPr>
            <w:r>
              <w:rPr>
                <w:rFonts w:hint="eastAsia" w:ascii="宋体" w:hAnsi="宋体"/>
                <w:color w:val="auto"/>
                <w:sz w:val="24"/>
                <w:highlight w:val="none"/>
              </w:rPr>
              <w:t>A02021100输入输出设备</w:t>
            </w:r>
          </w:p>
        </w:tc>
        <w:tc>
          <w:tcPr>
            <w:tcW w:w="1530" w:type="dxa"/>
            <w:tcBorders>
              <w:top w:val="single" w:color="000000" w:sz="4" w:space="0"/>
              <w:left w:val="single" w:color="000000" w:sz="4" w:space="0"/>
              <w:bottom w:val="single" w:color="000000" w:sz="4" w:space="0"/>
              <w:right w:val="single" w:color="000000" w:sz="4" w:space="0"/>
            </w:tcBorders>
            <w:vAlign w:val="center"/>
          </w:tcPr>
          <w:p w14:paraId="227AB570">
            <w:pPr>
              <w:jc w:val="center"/>
              <w:rPr>
                <w:rFonts w:hint="eastAsia" w:ascii="宋体" w:hAnsi="宋体"/>
                <w:color w:val="auto"/>
                <w:sz w:val="24"/>
                <w:highlight w:val="none"/>
              </w:rPr>
            </w:pPr>
            <w:r>
              <w:rPr>
                <w:rFonts w:hint="eastAsia" w:ascii="宋体" w:hAnsi="宋体" w:cs="宋体"/>
                <w:color w:val="auto"/>
                <w:w w:val="99"/>
                <w:sz w:val="24"/>
                <w:highlight w:val="none"/>
              </w:rPr>
              <w:t>★</w:t>
            </w:r>
            <w:r>
              <w:rPr>
                <w:rFonts w:hint="eastAsia" w:ascii="宋体" w:hAnsi="宋体"/>
                <w:color w:val="auto"/>
                <w:sz w:val="24"/>
                <w:highlight w:val="none"/>
              </w:rPr>
              <w:t>A02021104液晶显示器</w:t>
            </w:r>
          </w:p>
        </w:tc>
        <w:tc>
          <w:tcPr>
            <w:tcW w:w="3452" w:type="dxa"/>
            <w:tcBorders>
              <w:top w:val="single" w:color="000000" w:sz="4" w:space="0"/>
              <w:left w:val="single" w:color="000000" w:sz="4" w:space="0"/>
              <w:bottom w:val="single" w:color="000000" w:sz="4" w:space="0"/>
              <w:right w:val="single" w:color="000000" w:sz="4" w:space="0"/>
            </w:tcBorders>
            <w:vAlign w:val="center"/>
          </w:tcPr>
          <w:p w14:paraId="588F4FF8">
            <w:pPr>
              <w:pStyle w:val="57"/>
              <w:spacing w:before="131" w:line="276" w:lineRule="auto"/>
              <w:ind w:left="7" w:right="4"/>
              <w:rPr>
                <w:rFonts w:hint="eastAsia" w:ascii="宋体" w:hAnsi="宋体" w:cs="宋体"/>
                <w:color w:val="auto"/>
                <w:spacing w:val="10"/>
                <w:kern w:val="2"/>
                <w:sz w:val="24"/>
                <w:szCs w:val="24"/>
                <w:highlight w:val="none"/>
                <w:lang w:eastAsia="zh-CN"/>
              </w:rPr>
            </w:pPr>
            <w:r>
              <w:rPr>
                <w:rFonts w:hint="eastAsia" w:ascii="宋体" w:hAnsi="宋体" w:cs="宋体"/>
                <w:color w:val="auto"/>
                <w:spacing w:val="10"/>
                <w:kern w:val="2"/>
                <w:sz w:val="24"/>
                <w:szCs w:val="24"/>
                <w:highlight w:val="none"/>
                <w:lang w:eastAsia="zh-CN"/>
              </w:rPr>
              <w:t>《计算机显示器能效限定值及能效等级》（GB21520）</w:t>
            </w:r>
          </w:p>
        </w:tc>
      </w:tr>
      <w:tr w14:paraId="38EEB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1D36768">
            <w:pPr>
              <w:widowControl/>
              <w:jc w:val="left"/>
              <w:rPr>
                <w:rFonts w:hint="eastAsia" w:ascii="宋体" w:hAnsi="宋体"/>
                <w:color w:val="auto"/>
                <w:sz w:val="24"/>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632E051">
            <w:pPr>
              <w:widowControl/>
              <w:jc w:val="left"/>
              <w:rPr>
                <w:rFonts w:hint="eastAsia" w:ascii="宋体" w:hAnsi="宋体" w:cs="宋体"/>
                <w:color w:val="auto"/>
                <w:sz w:val="24"/>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8D44D9B">
            <w:pPr>
              <w:widowControl/>
              <w:jc w:val="left"/>
              <w:rPr>
                <w:rFonts w:hint="eastAsia" w:ascii="宋体" w:hAnsi="宋体"/>
                <w:color w:val="auto"/>
                <w:sz w:val="24"/>
                <w:highlight w:val="none"/>
              </w:rPr>
            </w:pPr>
          </w:p>
        </w:tc>
        <w:tc>
          <w:tcPr>
            <w:tcW w:w="1530" w:type="dxa"/>
            <w:tcBorders>
              <w:top w:val="single" w:color="000000" w:sz="4" w:space="0"/>
              <w:left w:val="single" w:color="000000" w:sz="4" w:space="0"/>
              <w:bottom w:val="single" w:color="000000" w:sz="4" w:space="0"/>
              <w:right w:val="single" w:color="000000" w:sz="4" w:space="0"/>
            </w:tcBorders>
            <w:vAlign w:val="center"/>
          </w:tcPr>
          <w:p w14:paraId="43B20667">
            <w:pPr>
              <w:jc w:val="center"/>
              <w:rPr>
                <w:rFonts w:hint="eastAsia" w:ascii="宋体" w:hAnsi="宋体"/>
                <w:color w:val="auto"/>
                <w:sz w:val="24"/>
                <w:highlight w:val="none"/>
              </w:rPr>
            </w:pPr>
            <w:r>
              <w:rPr>
                <w:rFonts w:hint="eastAsia" w:ascii="宋体" w:hAnsi="宋体"/>
                <w:color w:val="auto"/>
                <w:sz w:val="24"/>
                <w:highlight w:val="none"/>
              </w:rPr>
              <w:t>A02021118扫描仪</w:t>
            </w:r>
          </w:p>
        </w:tc>
        <w:tc>
          <w:tcPr>
            <w:tcW w:w="3452" w:type="dxa"/>
            <w:tcBorders>
              <w:top w:val="single" w:color="000000" w:sz="4" w:space="0"/>
              <w:left w:val="single" w:color="000000" w:sz="4" w:space="0"/>
              <w:bottom w:val="single" w:color="000000" w:sz="4" w:space="0"/>
              <w:right w:val="single" w:color="000000" w:sz="4" w:space="0"/>
            </w:tcBorders>
            <w:vAlign w:val="center"/>
          </w:tcPr>
          <w:p w14:paraId="1FAC881E">
            <w:pPr>
              <w:pStyle w:val="57"/>
              <w:spacing w:before="131" w:line="276" w:lineRule="auto"/>
              <w:ind w:left="7" w:right="4"/>
              <w:rPr>
                <w:rFonts w:hint="eastAsia" w:ascii="宋体" w:hAnsi="宋体" w:cs="宋体"/>
                <w:color w:val="auto"/>
                <w:spacing w:val="10"/>
                <w:kern w:val="2"/>
                <w:sz w:val="24"/>
                <w:szCs w:val="24"/>
                <w:highlight w:val="none"/>
                <w:lang w:eastAsia="zh-CN"/>
              </w:rPr>
            </w:pPr>
            <w:r>
              <w:rPr>
                <w:rFonts w:hint="eastAsia" w:ascii="宋体" w:hAnsi="宋体" w:cs="宋体"/>
                <w:color w:val="auto"/>
                <w:spacing w:val="10"/>
                <w:kern w:val="2"/>
                <w:sz w:val="24"/>
                <w:szCs w:val="24"/>
                <w:highlight w:val="none"/>
                <w:lang w:eastAsia="zh-CN"/>
              </w:rPr>
              <w:t>参照《复印机、打印机和传真机能效限定值及能效等级》（GB21521）中打印速度为15页/分的针式打印机相关要求</w:t>
            </w:r>
          </w:p>
        </w:tc>
      </w:tr>
      <w:tr w14:paraId="57AD2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386AFB18">
            <w:pPr>
              <w:jc w:val="center"/>
              <w:rPr>
                <w:rFonts w:hint="eastAsia" w:ascii="宋体" w:hAnsi="宋体"/>
                <w:color w:val="auto"/>
                <w:sz w:val="24"/>
                <w:highlight w:val="none"/>
              </w:rPr>
            </w:pPr>
            <w:r>
              <w:rPr>
                <w:rFonts w:hint="eastAsia" w:ascii="宋体" w:hAnsi="宋体"/>
                <w:color w:val="auto"/>
                <w:w w:val="99"/>
                <w:sz w:val="24"/>
                <w:highlight w:val="none"/>
              </w:rPr>
              <w:t>3</w:t>
            </w:r>
          </w:p>
        </w:tc>
        <w:tc>
          <w:tcPr>
            <w:tcW w:w="1422" w:type="dxa"/>
            <w:tcBorders>
              <w:top w:val="single" w:color="000000" w:sz="4" w:space="0"/>
              <w:left w:val="single" w:color="000000" w:sz="4" w:space="0"/>
              <w:bottom w:val="single" w:color="000000" w:sz="4" w:space="0"/>
              <w:right w:val="single" w:color="000000" w:sz="4" w:space="0"/>
            </w:tcBorders>
            <w:vAlign w:val="center"/>
          </w:tcPr>
          <w:p w14:paraId="7B2F9D82">
            <w:pPr>
              <w:jc w:val="center"/>
              <w:rPr>
                <w:rFonts w:hint="eastAsia" w:ascii="宋体" w:hAnsi="宋体"/>
                <w:color w:val="auto"/>
                <w:sz w:val="24"/>
                <w:highlight w:val="none"/>
              </w:rPr>
            </w:pPr>
            <w:r>
              <w:rPr>
                <w:rFonts w:hint="eastAsia" w:ascii="宋体" w:hAnsi="宋体"/>
                <w:color w:val="auto"/>
                <w:sz w:val="24"/>
                <w:highlight w:val="none"/>
              </w:rPr>
              <w:t>A02020200投影仪</w:t>
            </w:r>
          </w:p>
        </w:tc>
        <w:tc>
          <w:tcPr>
            <w:tcW w:w="1496" w:type="dxa"/>
            <w:tcBorders>
              <w:top w:val="single" w:color="000000" w:sz="4" w:space="0"/>
              <w:left w:val="single" w:color="000000" w:sz="4" w:space="0"/>
              <w:bottom w:val="single" w:color="000000" w:sz="4" w:space="0"/>
              <w:right w:val="single" w:color="000000" w:sz="4" w:space="0"/>
            </w:tcBorders>
            <w:vAlign w:val="center"/>
          </w:tcPr>
          <w:p w14:paraId="6CBA839A">
            <w:pPr>
              <w:jc w:val="center"/>
              <w:rPr>
                <w:rFonts w:hint="eastAsia" w:ascii="宋体" w:hAnsi="宋体"/>
                <w:color w:val="auto"/>
                <w:sz w:val="24"/>
                <w:highlight w:val="none"/>
              </w:rPr>
            </w:pPr>
          </w:p>
        </w:tc>
        <w:tc>
          <w:tcPr>
            <w:tcW w:w="1530" w:type="dxa"/>
            <w:tcBorders>
              <w:top w:val="single" w:color="000000" w:sz="4" w:space="0"/>
              <w:left w:val="single" w:color="000000" w:sz="4" w:space="0"/>
              <w:bottom w:val="single" w:color="000000" w:sz="4" w:space="0"/>
              <w:right w:val="single" w:color="000000" w:sz="4" w:space="0"/>
            </w:tcBorders>
            <w:vAlign w:val="center"/>
          </w:tcPr>
          <w:p w14:paraId="4A57A30E">
            <w:pPr>
              <w:jc w:val="center"/>
              <w:rPr>
                <w:rFonts w:hint="eastAsia" w:ascii="宋体" w:hAnsi="宋体"/>
                <w:color w:val="auto"/>
                <w:sz w:val="24"/>
                <w:highlight w:val="none"/>
              </w:rPr>
            </w:pPr>
          </w:p>
        </w:tc>
        <w:tc>
          <w:tcPr>
            <w:tcW w:w="3452" w:type="dxa"/>
            <w:tcBorders>
              <w:top w:val="single" w:color="000000" w:sz="4" w:space="0"/>
              <w:left w:val="single" w:color="000000" w:sz="4" w:space="0"/>
              <w:bottom w:val="single" w:color="000000" w:sz="4" w:space="0"/>
              <w:right w:val="single" w:color="000000" w:sz="4" w:space="0"/>
            </w:tcBorders>
            <w:vAlign w:val="center"/>
          </w:tcPr>
          <w:p w14:paraId="1F173085">
            <w:pPr>
              <w:pStyle w:val="57"/>
              <w:spacing w:before="131" w:line="276" w:lineRule="auto"/>
              <w:ind w:left="7" w:right="4"/>
              <w:rPr>
                <w:rFonts w:hint="eastAsia" w:ascii="宋体" w:hAnsi="宋体" w:cs="宋体"/>
                <w:color w:val="auto"/>
                <w:spacing w:val="10"/>
                <w:kern w:val="2"/>
                <w:sz w:val="24"/>
                <w:szCs w:val="24"/>
                <w:highlight w:val="none"/>
                <w:lang w:eastAsia="zh-CN"/>
              </w:rPr>
            </w:pPr>
            <w:r>
              <w:rPr>
                <w:rFonts w:hint="eastAsia" w:ascii="宋体" w:hAnsi="宋体" w:cs="宋体"/>
                <w:color w:val="auto"/>
                <w:spacing w:val="10"/>
                <w:kern w:val="2"/>
                <w:sz w:val="24"/>
                <w:szCs w:val="24"/>
                <w:highlight w:val="none"/>
                <w:lang w:eastAsia="zh-CN"/>
              </w:rPr>
              <w:t>《投影机能效限定值及能效等级》（GB32028）</w:t>
            </w:r>
          </w:p>
        </w:tc>
      </w:tr>
      <w:tr w14:paraId="45AA3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29FFD756">
            <w:pPr>
              <w:jc w:val="center"/>
              <w:rPr>
                <w:rFonts w:hint="eastAsia" w:ascii="宋体" w:hAnsi="宋体"/>
                <w:color w:val="auto"/>
                <w:sz w:val="24"/>
                <w:highlight w:val="none"/>
              </w:rPr>
            </w:pPr>
            <w:r>
              <w:rPr>
                <w:rFonts w:hint="eastAsia" w:ascii="宋体" w:hAnsi="宋体"/>
                <w:color w:val="auto"/>
                <w:sz w:val="24"/>
                <w:highlight w:val="none"/>
              </w:rPr>
              <w:t>4</w:t>
            </w:r>
          </w:p>
        </w:tc>
        <w:tc>
          <w:tcPr>
            <w:tcW w:w="1422" w:type="dxa"/>
            <w:tcBorders>
              <w:top w:val="single" w:color="000000" w:sz="4" w:space="0"/>
              <w:left w:val="single" w:color="000000" w:sz="4" w:space="0"/>
              <w:bottom w:val="single" w:color="000000" w:sz="4" w:space="0"/>
              <w:right w:val="single" w:color="000000" w:sz="4" w:space="0"/>
            </w:tcBorders>
            <w:vAlign w:val="center"/>
          </w:tcPr>
          <w:p w14:paraId="56F4C712">
            <w:pPr>
              <w:pStyle w:val="57"/>
              <w:spacing w:before="66"/>
              <w:ind w:left="7"/>
              <w:jc w:val="center"/>
              <w:rPr>
                <w:rFonts w:hint="eastAsia" w:ascii="宋体" w:hAnsi="宋体" w:cs="宋体"/>
                <w:color w:val="auto"/>
                <w:kern w:val="2"/>
                <w:sz w:val="24"/>
                <w:szCs w:val="24"/>
                <w:highlight w:val="none"/>
              </w:rPr>
            </w:pPr>
            <w:r>
              <w:rPr>
                <w:rFonts w:hint="eastAsia" w:ascii="宋体" w:hAnsi="宋体" w:cs="仿宋_GB2312"/>
                <w:color w:val="auto"/>
                <w:kern w:val="2"/>
                <w:sz w:val="24"/>
                <w:szCs w:val="24"/>
                <w:highlight w:val="none"/>
              </w:rPr>
              <w:t>A02020400</w:t>
            </w:r>
            <w:r>
              <w:rPr>
                <w:rFonts w:hint="eastAsia" w:ascii="宋体" w:hAnsi="宋体" w:cs="宋体"/>
                <w:color w:val="auto"/>
                <w:w w:val="99"/>
                <w:kern w:val="2"/>
                <w:sz w:val="24"/>
                <w:szCs w:val="24"/>
                <w:highlight w:val="none"/>
              </w:rPr>
              <w:t>多功能一体机</w:t>
            </w:r>
          </w:p>
        </w:tc>
        <w:tc>
          <w:tcPr>
            <w:tcW w:w="1496" w:type="dxa"/>
            <w:tcBorders>
              <w:top w:val="single" w:color="000000" w:sz="4" w:space="0"/>
              <w:left w:val="single" w:color="000000" w:sz="4" w:space="0"/>
              <w:bottom w:val="single" w:color="000000" w:sz="4" w:space="0"/>
              <w:right w:val="single" w:color="000000" w:sz="4" w:space="0"/>
            </w:tcBorders>
            <w:vAlign w:val="center"/>
          </w:tcPr>
          <w:p w14:paraId="0785ECA9">
            <w:pPr>
              <w:jc w:val="center"/>
              <w:rPr>
                <w:rFonts w:hint="eastAsia" w:ascii="宋体" w:hAnsi="宋体"/>
                <w:color w:val="auto"/>
                <w:sz w:val="24"/>
                <w:highlight w:val="none"/>
              </w:rPr>
            </w:pPr>
          </w:p>
        </w:tc>
        <w:tc>
          <w:tcPr>
            <w:tcW w:w="1530" w:type="dxa"/>
            <w:tcBorders>
              <w:top w:val="single" w:color="000000" w:sz="4" w:space="0"/>
              <w:left w:val="single" w:color="000000" w:sz="4" w:space="0"/>
              <w:bottom w:val="single" w:color="000000" w:sz="4" w:space="0"/>
              <w:right w:val="single" w:color="000000" w:sz="4" w:space="0"/>
            </w:tcBorders>
            <w:vAlign w:val="center"/>
          </w:tcPr>
          <w:p w14:paraId="37D4D12F">
            <w:pPr>
              <w:jc w:val="center"/>
              <w:rPr>
                <w:rFonts w:hint="eastAsia" w:ascii="宋体" w:hAnsi="宋体"/>
                <w:color w:val="auto"/>
                <w:sz w:val="24"/>
                <w:highlight w:val="none"/>
              </w:rPr>
            </w:pPr>
          </w:p>
        </w:tc>
        <w:tc>
          <w:tcPr>
            <w:tcW w:w="3452" w:type="dxa"/>
            <w:tcBorders>
              <w:top w:val="single" w:color="000000" w:sz="4" w:space="0"/>
              <w:left w:val="single" w:color="000000" w:sz="4" w:space="0"/>
              <w:bottom w:val="single" w:color="000000" w:sz="4" w:space="0"/>
              <w:right w:val="single" w:color="000000" w:sz="4" w:space="0"/>
            </w:tcBorders>
            <w:vAlign w:val="center"/>
          </w:tcPr>
          <w:p w14:paraId="7A69BDFB">
            <w:pPr>
              <w:pStyle w:val="57"/>
              <w:spacing w:before="131" w:line="276" w:lineRule="auto"/>
              <w:ind w:left="7" w:right="4"/>
              <w:rPr>
                <w:rFonts w:hint="eastAsia" w:ascii="宋体" w:hAnsi="宋体" w:cs="宋体"/>
                <w:color w:val="auto"/>
                <w:spacing w:val="10"/>
                <w:kern w:val="2"/>
                <w:sz w:val="24"/>
                <w:szCs w:val="24"/>
                <w:highlight w:val="none"/>
                <w:lang w:eastAsia="zh-CN"/>
              </w:rPr>
            </w:pPr>
            <w:r>
              <w:rPr>
                <w:rFonts w:hint="eastAsia" w:ascii="宋体" w:hAnsi="宋体" w:cs="宋体"/>
                <w:color w:val="auto"/>
                <w:spacing w:val="10"/>
                <w:kern w:val="2"/>
                <w:sz w:val="24"/>
                <w:szCs w:val="24"/>
                <w:highlight w:val="none"/>
                <w:lang w:eastAsia="zh-CN"/>
              </w:rPr>
              <w:t>《复印机、打印机和传真机能效限定值及能效等级》（GB21521）</w:t>
            </w:r>
          </w:p>
        </w:tc>
      </w:tr>
      <w:tr w14:paraId="6B625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2D5018AF">
            <w:pPr>
              <w:pStyle w:val="57"/>
              <w:spacing w:before="160"/>
              <w:ind w:right="1"/>
              <w:jc w:val="center"/>
              <w:rPr>
                <w:rFonts w:hint="eastAsia" w:ascii="宋体" w:hAnsi="宋体" w:cs="宋体"/>
                <w:color w:val="auto"/>
                <w:kern w:val="2"/>
                <w:sz w:val="24"/>
                <w:szCs w:val="24"/>
                <w:highlight w:val="none"/>
              </w:rPr>
            </w:pPr>
            <w:r>
              <w:rPr>
                <w:rFonts w:hint="eastAsia" w:ascii="宋体" w:hAnsi="宋体"/>
                <w:color w:val="auto"/>
                <w:w w:val="99"/>
                <w:kern w:val="2"/>
                <w:sz w:val="24"/>
                <w:szCs w:val="24"/>
                <w:highlight w:val="none"/>
              </w:rPr>
              <w:t>5</w:t>
            </w:r>
          </w:p>
        </w:tc>
        <w:tc>
          <w:tcPr>
            <w:tcW w:w="1422" w:type="dxa"/>
            <w:tcBorders>
              <w:top w:val="single" w:color="000000" w:sz="4" w:space="0"/>
              <w:left w:val="single" w:color="000000" w:sz="4" w:space="0"/>
              <w:bottom w:val="single" w:color="000000" w:sz="4" w:space="0"/>
              <w:right w:val="single" w:color="000000" w:sz="4" w:space="0"/>
            </w:tcBorders>
            <w:vAlign w:val="center"/>
          </w:tcPr>
          <w:p w14:paraId="74CFCF3B">
            <w:pPr>
              <w:pStyle w:val="57"/>
              <w:spacing w:before="160"/>
              <w:ind w:left="7"/>
              <w:jc w:val="center"/>
              <w:rPr>
                <w:rFonts w:hint="eastAsia" w:ascii="宋体" w:hAnsi="宋体" w:cs="宋体"/>
                <w:color w:val="auto"/>
                <w:kern w:val="2"/>
                <w:sz w:val="24"/>
                <w:szCs w:val="24"/>
                <w:highlight w:val="none"/>
              </w:rPr>
            </w:pPr>
            <w:r>
              <w:rPr>
                <w:rFonts w:hint="eastAsia" w:ascii="宋体" w:hAnsi="宋体" w:cs="仿宋_GB2312"/>
                <w:color w:val="auto"/>
                <w:kern w:val="2"/>
                <w:sz w:val="24"/>
                <w:szCs w:val="24"/>
                <w:highlight w:val="none"/>
              </w:rPr>
              <w:t>A02051900</w:t>
            </w:r>
            <w:r>
              <w:rPr>
                <w:rFonts w:hint="eastAsia" w:ascii="宋体" w:hAnsi="宋体" w:cs="宋体"/>
                <w:color w:val="auto"/>
                <w:w w:val="99"/>
                <w:kern w:val="2"/>
                <w:sz w:val="24"/>
                <w:szCs w:val="24"/>
                <w:highlight w:val="none"/>
              </w:rPr>
              <w:t>泵</w:t>
            </w:r>
          </w:p>
        </w:tc>
        <w:tc>
          <w:tcPr>
            <w:tcW w:w="1496" w:type="dxa"/>
            <w:tcBorders>
              <w:top w:val="single" w:color="000000" w:sz="4" w:space="0"/>
              <w:left w:val="single" w:color="000000" w:sz="4" w:space="0"/>
              <w:bottom w:val="single" w:color="000000" w:sz="4" w:space="0"/>
              <w:right w:val="single" w:color="000000" w:sz="4" w:space="0"/>
            </w:tcBorders>
            <w:vAlign w:val="center"/>
          </w:tcPr>
          <w:p w14:paraId="634E0C95">
            <w:pPr>
              <w:pStyle w:val="57"/>
              <w:spacing w:before="160"/>
              <w:ind w:left="7"/>
              <w:jc w:val="center"/>
              <w:rPr>
                <w:rFonts w:hint="eastAsia" w:ascii="宋体" w:hAnsi="宋体" w:cs="宋体"/>
                <w:color w:val="auto"/>
                <w:kern w:val="2"/>
                <w:sz w:val="24"/>
                <w:szCs w:val="24"/>
                <w:highlight w:val="none"/>
              </w:rPr>
            </w:pPr>
            <w:r>
              <w:rPr>
                <w:rFonts w:hint="eastAsia" w:ascii="宋体" w:hAnsi="宋体" w:cs="宋体"/>
                <w:color w:val="auto"/>
                <w:spacing w:val="1"/>
                <w:w w:val="99"/>
                <w:kern w:val="2"/>
                <w:sz w:val="24"/>
                <w:szCs w:val="24"/>
                <w:highlight w:val="none"/>
              </w:rPr>
              <w:t>A02</w:t>
            </w:r>
            <w:r>
              <w:rPr>
                <w:rFonts w:hint="eastAsia" w:ascii="宋体" w:hAnsi="宋体" w:cs="宋体"/>
                <w:color w:val="auto"/>
                <w:w w:val="99"/>
                <w:kern w:val="2"/>
                <w:sz w:val="24"/>
                <w:szCs w:val="24"/>
                <w:highlight w:val="none"/>
              </w:rPr>
              <w:t>05</w:t>
            </w:r>
            <w:r>
              <w:rPr>
                <w:rFonts w:hint="eastAsia" w:ascii="宋体" w:hAnsi="宋体" w:cs="宋体"/>
                <w:color w:val="auto"/>
                <w:spacing w:val="1"/>
                <w:w w:val="99"/>
                <w:kern w:val="2"/>
                <w:sz w:val="24"/>
                <w:szCs w:val="24"/>
                <w:highlight w:val="none"/>
              </w:rPr>
              <w:t>1</w:t>
            </w:r>
            <w:r>
              <w:rPr>
                <w:rFonts w:hint="eastAsia" w:ascii="宋体" w:hAnsi="宋体" w:cs="宋体"/>
                <w:color w:val="auto"/>
                <w:w w:val="99"/>
                <w:kern w:val="2"/>
                <w:sz w:val="24"/>
                <w:szCs w:val="24"/>
                <w:highlight w:val="none"/>
              </w:rPr>
              <w:t>901离心泵</w:t>
            </w:r>
          </w:p>
        </w:tc>
        <w:tc>
          <w:tcPr>
            <w:tcW w:w="1530" w:type="dxa"/>
            <w:tcBorders>
              <w:top w:val="single" w:color="000000" w:sz="4" w:space="0"/>
              <w:left w:val="single" w:color="000000" w:sz="4" w:space="0"/>
              <w:bottom w:val="single" w:color="000000" w:sz="4" w:space="0"/>
              <w:right w:val="single" w:color="000000" w:sz="4" w:space="0"/>
            </w:tcBorders>
            <w:vAlign w:val="center"/>
          </w:tcPr>
          <w:p w14:paraId="44459D99">
            <w:pPr>
              <w:jc w:val="center"/>
              <w:rPr>
                <w:rFonts w:hint="eastAsia" w:ascii="宋体" w:hAnsi="宋体"/>
                <w:color w:val="auto"/>
                <w:sz w:val="24"/>
                <w:highlight w:val="none"/>
              </w:rPr>
            </w:pPr>
          </w:p>
        </w:tc>
        <w:tc>
          <w:tcPr>
            <w:tcW w:w="3452" w:type="dxa"/>
            <w:tcBorders>
              <w:top w:val="single" w:color="000000" w:sz="4" w:space="0"/>
              <w:left w:val="single" w:color="000000" w:sz="4" w:space="0"/>
              <w:bottom w:val="single" w:color="000000" w:sz="4" w:space="0"/>
              <w:right w:val="single" w:color="000000" w:sz="4" w:space="0"/>
            </w:tcBorders>
          </w:tcPr>
          <w:p w14:paraId="3DBBDEE2">
            <w:pPr>
              <w:pStyle w:val="57"/>
              <w:spacing w:before="131" w:line="276" w:lineRule="auto"/>
              <w:ind w:left="7" w:right="4"/>
              <w:rPr>
                <w:rFonts w:hint="eastAsia" w:ascii="宋体" w:hAnsi="宋体" w:cs="宋体"/>
                <w:color w:val="auto"/>
                <w:spacing w:val="10"/>
                <w:kern w:val="2"/>
                <w:sz w:val="24"/>
                <w:szCs w:val="24"/>
                <w:highlight w:val="none"/>
                <w:lang w:eastAsia="zh-CN"/>
              </w:rPr>
            </w:pPr>
            <w:r>
              <w:rPr>
                <w:rFonts w:hint="eastAsia" w:ascii="宋体" w:hAnsi="宋体" w:cs="宋体"/>
                <w:color w:val="auto"/>
                <w:spacing w:val="10"/>
                <w:kern w:val="2"/>
                <w:sz w:val="24"/>
                <w:szCs w:val="24"/>
                <w:highlight w:val="none"/>
                <w:lang w:eastAsia="zh-CN"/>
              </w:rPr>
              <w:t>《清水离心泵能效限定值及节能评价值》（GB19762）</w:t>
            </w:r>
          </w:p>
        </w:tc>
      </w:tr>
      <w:tr w14:paraId="05BF8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36D4C292">
            <w:pPr>
              <w:jc w:val="center"/>
              <w:rPr>
                <w:rFonts w:hint="eastAsia" w:ascii="宋体" w:hAnsi="宋体"/>
                <w:color w:val="auto"/>
                <w:sz w:val="24"/>
                <w:highlight w:val="none"/>
              </w:rPr>
            </w:pPr>
            <w:r>
              <w:rPr>
                <w:rFonts w:hint="eastAsia" w:ascii="宋体" w:hAnsi="宋体"/>
                <w:color w:val="auto"/>
                <w:sz w:val="24"/>
                <w:highlight w:val="none"/>
              </w:rPr>
              <w:t>6</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1B3924FF">
            <w:pPr>
              <w:pStyle w:val="57"/>
              <w:jc w:val="center"/>
              <w:rPr>
                <w:rFonts w:hint="eastAsia" w:ascii="宋体" w:hAnsi="宋体" w:cs="宋体"/>
                <w:color w:val="auto"/>
                <w:kern w:val="2"/>
                <w:sz w:val="24"/>
                <w:szCs w:val="24"/>
                <w:highlight w:val="none"/>
              </w:rPr>
            </w:pPr>
            <w:r>
              <w:rPr>
                <w:rFonts w:hint="eastAsia" w:ascii="宋体" w:hAnsi="宋体" w:cs="仿宋_GB2312"/>
                <w:color w:val="auto"/>
                <w:kern w:val="2"/>
                <w:sz w:val="24"/>
                <w:szCs w:val="24"/>
                <w:highlight w:val="none"/>
              </w:rPr>
              <w:t>A02052300</w:t>
            </w:r>
            <w:r>
              <w:rPr>
                <w:rFonts w:hint="eastAsia" w:ascii="宋体" w:hAnsi="宋体" w:cs="宋体"/>
                <w:color w:val="auto"/>
                <w:w w:val="99"/>
                <w:kern w:val="2"/>
                <w:sz w:val="24"/>
                <w:szCs w:val="24"/>
                <w:highlight w:val="none"/>
              </w:rPr>
              <w:t>制冷空调设备</w:t>
            </w: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7A4D08D3">
            <w:pPr>
              <w:pStyle w:val="57"/>
              <w:spacing w:line="276" w:lineRule="auto"/>
              <w:ind w:right="5"/>
              <w:jc w:val="center"/>
              <w:rPr>
                <w:rFonts w:hint="eastAsia" w:ascii="宋体" w:hAnsi="宋体" w:cs="宋体"/>
                <w:color w:val="auto"/>
                <w:kern w:val="2"/>
                <w:sz w:val="24"/>
                <w:szCs w:val="24"/>
                <w:highlight w:val="none"/>
              </w:rPr>
            </w:pPr>
            <w:r>
              <w:rPr>
                <w:rFonts w:hint="eastAsia" w:ascii="宋体" w:hAnsi="宋体" w:cs="宋体"/>
                <w:color w:val="auto"/>
                <w:w w:val="99"/>
                <w:kern w:val="2"/>
                <w:sz w:val="24"/>
                <w:szCs w:val="24"/>
                <w:highlight w:val="none"/>
              </w:rPr>
              <w:t>★</w:t>
            </w:r>
            <w:r>
              <w:rPr>
                <w:rFonts w:hint="eastAsia" w:ascii="宋体" w:hAnsi="宋体" w:cs="宋体"/>
                <w:color w:val="auto"/>
                <w:spacing w:val="1"/>
                <w:w w:val="99"/>
                <w:kern w:val="2"/>
                <w:sz w:val="24"/>
                <w:szCs w:val="24"/>
                <w:highlight w:val="none"/>
              </w:rPr>
              <w:t>A020</w:t>
            </w:r>
            <w:r>
              <w:rPr>
                <w:rFonts w:hint="eastAsia" w:ascii="宋体" w:hAnsi="宋体" w:cs="宋体"/>
                <w:color w:val="auto"/>
                <w:w w:val="99"/>
                <w:kern w:val="2"/>
                <w:sz w:val="24"/>
                <w:szCs w:val="24"/>
                <w:highlight w:val="none"/>
              </w:rPr>
              <w:t>52</w:t>
            </w:r>
            <w:r>
              <w:rPr>
                <w:rFonts w:hint="eastAsia" w:ascii="宋体" w:hAnsi="宋体" w:cs="宋体"/>
                <w:color w:val="auto"/>
                <w:spacing w:val="1"/>
                <w:w w:val="99"/>
                <w:kern w:val="2"/>
                <w:sz w:val="24"/>
                <w:szCs w:val="24"/>
                <w:highlight w:val="none"/>
              </w:rPr>
              <w:t>3</w:t>
            </w:r>
            <w:r>
              <w:rPr>
                <w:rFonts w:hint="eastAsia" w:ascii="宋体" w:hAnsi="宋体" w:cs="宋体"/>
                <w:color w:val="auto"/>
                <w:w w:val="99"/>
                <w:kern w:val="2"/>
                <w:sz w:val="24"/>
                <w:szCs w:val="24"/>
                <w:highlight w:val="none"/>
              </w:rPr>
              <w:t>01制冷压缩机</w:t>
            </w:r>
          </w:p>
        </w:tc>
        <w:tc>
          <w:tcPr>
            <w:tcW w:w="1530" w:type="dxa"/>
            <w:tcBorders>
              <w:top w:val="single" w:color="000000" w:sz="4" w:space="0"/>
              <w:left w:val="single" w:color="000000" w:sz="4" w:space="0"/>
              <w:bottom w:val="single" w:color="000000" w:sz="4" w:space="0"/>
              <w:right w:val="single" w:color="000000" w:sz="4" w:space="0"/>
            </w:tcBorders>
            <w:vAlign w:val="center"/>
          </w:tcPr>
          <w:p w14:paraId="78587DB6">
            <w:pPr>
              <w:pStyle w:val="57"/>
              <w:jc w:val="center"/>
              <w:rPr>
                <w:rFonts w:hint="eastAsia" w:ascii="宋体" w:hAnsi="宋体" w:cs="宋体"/>
                <w:color w:val="auto"/>
                <w:kern w:val="2"/>
                <w:sz w:val="24"/>
                <w:szCs w:val="24"/>
                <w:highlight w:val="none"/>
              </w:rPr>
            </w:pPr>
            <w:r>
              <w:rPr>
                <w:rFonts w:hint="eastAsia" w:ascii="宋体" w:hAnsi="宋体" w:cs="宋体"/>
                <w:color w:val="auto"/>
                <w:w w:val="99"/>
                <w:kern w:val="2"/>
                <w:sz w:val="24"/>
                <w:szCs w:val="24"/>
                <w:highlight w:val="none"/>
              </w:rPr>
              <w:t>冷水机组</w:t>
            </w:r>
          </w:p>
        </w:tc>
        <w:tc>
          <w:tcPr>
            <w:tcW w:w="3452" w:type="dxa"/>
            <w:tcBorders>
              <w:top w:val="single" w:color="000000" w:sz="4" w:space="0"/>
              <w:left w:val="single" w:color="000000" w:sz="4" w:space="0"/>
              <w:bottom w:val="single" w:color="000000" w:sz="4" w:space="0"/>
              <w:right w:val="single" w:color="000000" w:sz="4" w:space="0"/>
            </w:tcBorders>
          </w:tcPr>
          <w:p w14:paraId="75DBA115">
            <w:pPr>
              <w:pStyle w:val="57"/>
              <w:spacing w:before="131" w:line="276" w:lineRule="auto"/>
              <w:ind w:left="7" w:right="4"/>
              <w:rPr>
                <w:rFonts w:hint="eastAsia" w:ascii="宋体" w:hAnsi="宋体" w:cs="宋体"/>
                <w:color w:val="auto"/>
                <w:spacing w:val="10"/>
                <w:kern w:val="2"/>
                <w:sz w:val="24"/>
                <w:szCs w:val="24"/>
                <w:highlight w:val="none"/>
                <w:lang w:eastAsia="zh-CN"/>
              </w:rPr>
            </w:pPr>
            <w:r>
              <w:rPr>
                <w:rFonts w:hint="eastAsia" w:ascii="宋体" w:hAnsi="宋体" w:cs="宋体"/>
                <w:color w:val="auto"/>
                <w:spacing w:val="10"/>
                <w:kern w:val="2"/>
                <w:sz w:val="24"/>
                <w:szCs w:val="24"/>
                <w:highlight w:val="none"/>
                <w:lang w:eastAsia="zh-CN"/>
              </w:rPr>
              <w:t>《冷水机组能效限定值及能效等级》（GB19577），《低环境温度空气源热泵（冷水）机组能效限定值及能效等级》（GB37480）</w:t>
            </w:r>
          </w:p>
        </w:tc>
      </w:tr>
      <w:tr w14:paraId="7BD51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FAF06FB">
            <w:pPr>
              <w:widowControl/>
              <w:jc w:val="left"/>
              <w:rPr>
                <w:rFonts w:hint="eastAsia" w:ascii="宋体" w:hAnsi="宋体"/>
                <w:color w:val="auto"/>
                <w:sz w:val="24"/>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8AB7B71">
            <w:pPr>
              <w:widowControl/>
              <w:jc w:val="left"/>
              <w:rPr>
                <w:rFonts w:hint="eastAsia" w:ascii="宋体" w:hAnsi="宋体" w:cs="宋体"/>
                <w:color w:val="auto"/>
                <w:sz w:val="24"/>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5AB50A2">
            <w:pPr>
              <w:widowControl/>
              <w:jc w:val="left"/>
              <w:rPr>
                <w:rFonts w:hint="eastAsia" w:ascii="宋体" w:hAnsi="宋体" w:cs="宋体"/>
                <w:color w:val="auto"/>
                <w:sz w:val="24"/>
                <w:highlight w:val="none"/>
              </w:rPr>
            </w:pPr>
          </w:p>
        </w:tc>
        <w:tc>
          <w:tcPr>
            <w:tcW w:w="1530" w:type="dxa"/>
            <w:tcBorders>
              <w:top w:val="single" w:color="000000" w:sz="4" w:space="0"/>
              <w:left w:val="single" w:color="000000" w:sz="4" w:space="0"/>
              <w:bottom w:val="single" w:color="000000" w:sz="4" w:space="0"/>
              <w:right w:val="single" w:color="000000" w:sz="4" w:space="0"/>
            </w:tcBorders>
            <w:vAlign w:val="center"/>
          </w:tcPr>
          <w:p w14:paraId="1840FB45">
            <w:pPr>
              <w:jc w:val="center"/>
              <w:rPr>
                <w:rFonts w:hint="eastAsia" w:ascii="宋体" w:hAnsi="宋体"/>
                <w:color w:val="auto"/>
                <w:sz w:val="24"/>
                <w:highlight w:val="none"/>
              </w:rPr>
            </w:pPr>
            <w:r>
              <w:rPr>
                <w:rFonts w:hint="eastAsia" w:ascii="宋体" w:hAnsi="宋体"/>
                <w:color w:val="auto"/>
                <w:sz w:val="24"/>
                <w:highlight w:val="none"/>
              </w:rPr>
              <w:t>溴化锂吸收式冷水机组</w:t>
            </w:r>
          </w:p>
        </w:tc>
        <w:tc>
          <w:tcPr>
            <w:tcW w:w="3452" w:type="dxa"/>
            <w:tcBorders>
              <w:top w:val="single" w:color="000000" w:sz="4" w:space="0"/>
              <w:left w:val="single" w:color="000000" w:sz="4" w:space="0"/>
              <w:bottom w:val="single" w:color="000000" w:sz="4" w:space="0"/>
              <w:right w:val="single" w:color="000000" w:sz="4" w:space="0"/>
            </w:tcBorders>
            <w:vAlign w:val="center"/>
          </w:tcPr>
          <w:p w14:paraId="0FF4442F">
            <w:pPr>
              <w:pStyle w:val="57"/>
              <w:spacing w:before="131" w:line="276" w:lineRule="auto"/>
              <w:ind w:left="7" w:right="4"/>
              <w:rPr>
                <w:rFonts w:hint="eastAsia" w:ascii="宋体" w:hAnsi="宋体" w:cs="宋体"/>
                <w:color w:val="auto"/>
                <w:spacing w:val="10"/>
                <w:kern w:val="2"/>
                <w:sz w:val="24"/>
                <w:szCs w:val="24"/>
                <w:highlight w:val="none"/>
                <w:lang w:eastAsia="zh-CN"/>
              </w:rPr>
            </w:pPr>
            <w:r>
              <w:rPr>
                <w:rFonts w:hint="eastAsia" w:ascii="宋体" w:hAnsi="宋体" w:cs="宋体"/>
                <w:color w:val="auto"/>
                <w:spacing w:val="10"/>
                <w:kern w:val="2"/>
                <w:sz w:val="24"/>
                <w:szCs w:val="24"/>
                <w:highlight w:val="none"/>
                <w:lang w:eastAsia="zh-CN"/>
              </w:rPr>
              <w:t>《溴化锂吸收式冷水机组能效限</w:t>
            </w:r>
          </w:p>
          <w:p w14:paraId="28E888CE">
            <w:pPr>
              <w:spacing w:before="131" w:line="276" w:lineRule="auto"/>
              <w:ind w:right="4"/>
              <w:rPr>
                <w:rFonts w:hint="eastAsia" w:ascii="宋体" w:hAnsi="宋体" w:cs="宋体"/>
                <w:color w:val="auto"/>
                <w:spacing w:val="10"/>
                <w:sz w:val="24"/>
                <w:highlight w:val="none"/>
              </w:rPr>
            </w:pPr>
            <w:r>
              <w:rPr>
                <w:rFonts w:hint="eastAsia" w:ascii="宋体" w:hAnsi="宋体" w:cs="宋体"/>
                <w:color w:val="auto"/>
                <w:spacing w:val="10"/>
                <w:sz w:val="24"/>
                <w:highlight w:val="none"/>
              </w:rPr>
              <w:t>定值及能效等级》（GB29540）</w:t>
            </w:r>
          </w:p>
        </w:tc>
      </w:tr>
      <w:tr w14:paraId="6E4C6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8CC701C">
            <w:pPr>
              <w:widowControl/>
              <w:jc w:val="left"/>
              <w:rPr>
                <w:rFonts w:hint="eastAsia" w:ascii="宋体" w:hAnsi="宋体"/>
                <w:color w:val="auto"/>
                <w:sz w:val="24"/>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5F5ACBA">
            <w:pPr>
              <w:widowControl/>
              <w:jc w:val="left"/>
              <w:rPr>
                <w:rFonts w:hint="eastAsia" w:ascii="宋体" w:hAnsi="宋体" w:cs="宋体"/>
                <w:color w:val="auto"/>
                <w:sz w:val="24"/>
                <w:highlight w:val="none"/>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0CF02B26">
            <w:pPr>
              <w:pStyle w:val="57"/>
              <w:spacing w:line="276" w:lineRule="auto"/>
              <w:ind w:right="5"/>
              <w:jc w:val="center"/>
              <w:rPr>
                <w:rFonts w:hint="eastAsia" w:ascii="宋体" w:hAnsi="宋体" w:cs="宋体"/>
                <w:color w:val="auto"/>
                <w:kern w:val="2"/>
                <w:sz w:val="24"/>
                <w:szCs w:val="24"/>
                <w:highlight w:val="none"/>
              </w:rPr>
            </w:pPr>
            <w:r>
              <w:rPr>
                <w:rFonts w:hint="eastAsia" w:ascii="宋体" w:hAnsi="宋体" w:cs="宋体"/>
                <w:color w:val="auto"/>
                <w:w w:val="99"/>
                <w:kern w:val="2"/>
                <w:sz w:val="24"/>
                <w:szCs w:val="24"/>
                <w:highlight w:val="none"/>
              </w:rPr>
              <w:t>★A02052305空调机组</w:t>
            </w:r>
          </w:p>
        </w:tc>
        <w:tc>
          <w:tcPr>
            <w:tcW w:w="1530" w:type="dxa"/>
            <w:tcBorders>
              <w:top w:val="single" w:color="000000" w:sz="4" w:space="0"/>
              <w:left w:val="single" w:color="000000" w:sz="4" w:space="0"/>
              <w:bottom w:val="single" w:color="000000" w:sz="4" w:space="0"/>
              <w:right w:val="single" w:color="000000" w:sz="4" w:space="0"/>
            </w:tcBorders>
            <w:vAlign w:val="center"/>
          </w:tcPr>
          <w:p w14:paraId="74B40088">
            <w:pPr>
              <w:pStyle w:val="57"/>
              <w:spacing w:before="4" w:line="276" w:lineRule="auto"/>
              <w:ind w:left="7" w:right="7"/>
              <w:jc w:val="center"/>
              <w:rPr>
                <w:rFonts w:hint="eastAsia" w:ascii="宋体" w:hAnsi="宋体" w:cs="宋体"/>
                <w:color w:val="auto"/>
                <w:w w:val="99"/>
                <w:kern w:val="2"/>
                <w:sz w:val="24"/>
                <w:szCs w:val="24"/>
                <w:highlight w:val="none"/>
                <w:lang w:eastAsia="zh-CN"/>
              </w:rPr>
            </w:pPr>
            <w:r>
              <w:rPr>
                <w:rFonts w:hint="eastAsia" w:ascii="宋体" w:hAnsi="宋体" w:cs="宋体"/>
                <w:color w:val="auto"/>
                <w:w w:val="99"/>
                <w:kern w:val="2"/>
                <w:sz w:val="24"/>
                <w:szCs w:val="24"/>
                <w:highlight w:val="none"/>
                <w:lang w:eastAsia="zh-CN"/>
              </w:rPr>
              <w:t>多联式空调（热泵）机组（制冷量&gt;14000W）</w:t>
            </w:r>
          </w:p>
        </w:tc>
        <w:tc>
          <w:tcPr>
            <w:tcW w:w="3452" w:type="dxa"/>
            <w:tcBorders>
              <w:top w:val="single" w:color="000000" w:sz="4" w:space="0"/>
              <w:left w:val="single" w:color="000000" w:sz="4" w:space="0"/>
              <w:bottom w:val="single" w:color="000000" w:sz="4" w:space="0"/>
              <w:right w:val="single" w:color="000000" w:sz="4" w:space="0"/>
            </w:tcBorders>
          </w:tcPr>
          <w:p w14:paraId="3885564C">
            <w:pPr>
              <w:pStyle w:val="57"/>
              <w:spacing w:before="131" w:line="276" w:lineRule="auto"/>
              <w:ind w:left="7" w:right="4"/>
              <w:rPr>
                <w:rFonts w:hint="eastAsia" w:ascii="宋体" w:hAnsi="宋体" w:cs="宋体"/>
                <w:color w:val="auto"/>
                <w:spacing w:val="10"/>
                <w:kern w:val="2"/>
                <w:sz w:val="24"/>
                <w:szCs w:val="24"/>
                <w:highlight w:val="none"/>
                <w:lang w:eastAsia="zh-CN"/>
              </w:rPr>
            </w:pPr>
            <w:r>
              <w:rPr>
                <w:rFonts w:hint="eastAsia" w:ascii="宋体" w:hAnsi="宋体" w:cs="宋体"/>
                <w:color w:val="auto"/>
                <w:spacing w:val="10"/>
                <w:kern w:val="2"/>
                <w:sz w:val="24"/>
                <w:szCs w:val="24"/>
                <w:highlight w:val="none"/>
                <w:lang w:eastAsia="zh-CN"/>
              </w:rPr>
              <w:t>《多联式空调（热泵）机组能效限定值及能源效率等级》（GB21454）</w:t>
            </w:r>
          </w:p>
        </w:tc>
      </w:tr>
      <w:tr w14:paraId="138FD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379E6DF">
            <w:pPr>
              <w:widowControl/>
              <w:jc w:val="left"/>
              <w:rPr>
                <w:rFonts w:hint="eastAsia" w:ascii="宋体" w:hAnsi="宋体"/>
                <w:color w:val="auto"/>
                <w:sz w:val="24"/>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69AB52D">
            <w:pPr>
              <w:widowControl/>
              <w:jc w:val="left"/>
              <w:rPr>
                <w:rFonts w:hint="eastAsia" w:ascii="宋体" w:hAnsi="宋体" w:cs="宋体"/>
                <w:color w:val="auto"/>
                <w:sz w:val="24"/>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8257A15">
            <w:pPr>
              <w:widowControl/>
              <w:jc w:val="left"/>
              <w:rPr>
                <w:rFonts w:hint="eastAsia" w:ascii="宋体" w:hAnsi="宋体" w:cs="宋体"/>
                <w:color w:val="auto"/>
                <w:sz w:val="24"/>
                <w:highlight w:val="none"/>
              </w:rPr>
            </w:pPr>
          </w:p>
        </w:tc>
        <w:tc>
          <w:tcPr>
            <w:tcW w:w="1530" w:type="dxa"/>
            <w:tcBorders>
              <w:top w:val="single" w:color="000000" w:sz="4" w:space="0"/>
              <w:left w:val="single" w:color="000000" w:sz="4" w:space="0"/>
              <w:bottom w:val="single" w:color="000000" w:sz="4" w:space="0"/>
              <w:right w:val="single" w:color="000000" w:sz="4" w:space="0"/>
            </w:tcBorders>
            <w:vAlign w:val="center"/>
          </w:tcPr>
          <w:p w14:paraId="40C93F7C">
            <w:pPr>
              <w:jc w:val="center"/>
              <w:rPr>
                <w:rFonts w:hint="eastAsia" w:ascii="宋体" w:hAnsi="宋体"/>
                <w:color w:val="auto"/>
                <w:sz w:val="24"/>
                <w:highlight w:val="none"/>
              </w:rPr>
            </w:pPr>
            <w:r>
              <w:rPr>
                <w:rFonts w:hint="eastAsia" w:ascii="宋体" w:hAnsi="宋体" w:cs="宋体"/>
                <w:color w:val="auto"/>
                <w:w w:val="99"/>
                <w:sz w:val="24"/>
                <w:highlight w:val="none"/>
              </w:rPr>
              <w:t>单元式空气调节机</w:t>
            </w:r>
          </w:p>
        </w:tc>
        <w:tc>
          <w:tcPr>
            <w:tcW w:w="3452" w:type="dxa"/>
            <w:tcBorders>
              <w:top w:val="single" w:color="000000" w:sz="4" w:space="0"/>
              <w:left w:val="single" w:color="000000" w:sz="4" w:space="0"/>
              <w:bottom w:val="single" w:color="000000" w:sz="4" w:space="0"/>
              <w:right w:val="single" w:color="000000" w:sz="4" w:space="0"/>
            </w:tcBorders>
          </w:tcPr>
          <w:p w14:paraId="0395594F">
            <w:pPr>
              <w:pStyle w:val="57"/>
              <w:spacing w:before="131" w:line="276" w:lineRule="auto"/>
              <w:ind w:left="7" w:right="4"/>
              <w:rPr>
                <w:rFonts w:hint="eastAsia" w:ascii="宋体" w:hAnsi="宋体" w:cs="宋体"/>
                <w:color w:val="auto"/>
                <w:spacing w:val="10"/>
                <w:kern w:val="2"/>
                <w:sz w:val="24"/>
                <w:szCs w:val="24"/>
                <w:highlight w:val="none"/>
                <w:lang w:eastAsia="zh-CN"/>
              </w:rPr>
            </w:pPr>
            <w:r>
              <w:rPr>
                <w:rFonts w:hint="eastAsia" w:ascii="宋体" w:hAnsi="宋体" w:cs="宋体"/>
                <w:color w:val="auto"/>
                <w:spacing w:val="10"/>
                <w:kern w:val="2"/>
                <w:sz w:val="24"/>
                <w:szCs w:val="24"/>
                <w:highlight w:val="none"/>
                <w:lang w:eastAsia="zh-CN"/>
              </w:rPr>
              <w:t>《单元式空气调节机能效限定值及能效等级》（GB19576）《风管送风式空调机组能效限定值及能效等级》（GB37479）</w:t>
            </w:r>
          </w:p>
        </w:tc>
      </w:tr>
      <w:tr w14:paraId="137B4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01E6248">
            <w:pPr>
              <w:widowControl/>
              <w:jc w:val="left"/>
              <w:rPr>
                <w:rFonts w:hint="eastAsia" w:ascii="宋体" w:hAnsi="宋体"/>
                <w:color w:val="auto"/>
                <w:sz w:val="24"/>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8AD311B">
            <w:pPr>
              <w:widowControl/>
              <w:jc w:val="left"/>
              <w:rPr>
                <w:rFonts w:hint="eastAsia" w:ascii="宋体" w:hAnsi="宋体" w:cs="宋体"/>
                <w:color w:val="auto"/>
                <w:sz w:val="24"/>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2741C78E">
            <w:pPr>
              <w:pStyle w:val="57"/>
              <w:spacing w:before="83"/>
              <w:ind w:left="7"/>
              <w:jc w:val="center"/>
              <w:rPr>
                <w:rFonts w:hint="eastAsia" w:ascii="宋体" w:hAnsi="宋体" w:cs="宋体"/>
                <w:color w:val="auto"/>
                <w:w w:val="99"/>
                <w:kern w:val="2"/>
                <w:sz w:val="24"/>
                <w:szCs w:val="24"/>
                <w:highlight w:val="none"/>
                <w:lang w:eastAsia="zh-CN"/>
              </w:rPr>
            </w:pPr>
            <w:r>
              <w:rPr>
                <w:rFonts w:hint="eastAsia" w:ascii="宋体" w:hAnsi="宋体" w:cs="宋体"/>
                <w:color w:val="auto"/>
                <w:w w:val="99"/>
                <w:kern w:val="2"/>
                <w:sz w:val="24"/>
                <w:szCs w:val="24"/>
                <w:highlight w:val="none"/>
                <w:lang w:eastAsia="zh-CN"/>
              </w:rPr>
              <w:t>★A02052309专用制冷、空调设备</w:t>
            </w:r>
          </w:p>
        </w:tc>
        <w:tc>
          <w:tcPr>
            <w:tcW w:w="1530" w:type="dxa"/>
            <w:tcBorders>
              <w:top w:val="single" w:color="000000" w:sz="4" w:space="0"/>
              <w:left w:val="single" w:color="000000" w:sz="4" w:space="0"/>
              <w:bottom w:val="single" w:color="000000" w:sz="4" w:space="0"/>
              <w:right w:val="single" w:color="000000" w:sz="4" w:space="0"/>
            </w:tcBorders>
            <w:vAlign w:val="center"/>
          </w:tcPr>
          <w:p w14:paraId="2191580C">
            <w:pPr>
              <w:pStyle w:val="57"/>
              <w:jc w:val="center"/>
              <w:rPr>
                <w:rFonts w:hint="eastAsia" w:ascii="宋体" w:hAnsi="宋体" w:cs="宋体"/>
                <w:color w:val="auto"/>
                <w:kern w:val="2"/>
                <w:sz w:val="24"/>
                <w:szCs w:val="24"/>
                <w:highlight w:val="none"/>
              </w:rPr>
            </w:pPr>
            <w:r>
              <w:rPr>
                <w:rFonts w:hint="eastAsia" w:ascii="宋体" w:hAnsi="宋体" w:cs="宋体"/>
                <w:color w:val="auto"/>
                <w:w w:val="99"/>
                <w:kern w:val="2"/>
                <w:sz w:val="24"/>
                <w:szCs w:val="24"/>
                <w:highlight w:val="none"/>
              </w:rPr>
              <w:t>机房空调</w:t>
            </w:r>
          </w:p>
        </w:tc>
        <w:tc>
          <w:tcPr>
            <w:tcW w:w="3452" w:type="dxa"/>
            <w:tcBorders>
              <w:top w:val="single" w:color="000000" w:sz="4" w:space="0"/>
              <w:left w:val="single" w:color="000000" w:sz="4" w:space="0"/>
              <w:bottom w:val="single" w:color="000000" w:sz="4" w:space="0"/>
              <w:right w:val="single" w:color="000000" w:sz="4" w:space="0"/>
            </w:tcBorders>
          </w:tcPr>
          <w:p w14:paraId="5FEB8672">
            <w:pPr>
              <w:pStyle w:val="57"/>
              <w:spacing w:before="131" w:line="276" w:lineRule="auto"/>
              <w:ind w:left="7" w:right="4"/>
              <w:rPr>
                <w:rFonts w:hint="eastAsia" w:ascii="宋体" w:hAnsi="宋体" w:cs="宋体"/>
                <w:color w:val="auto"/>
                <w:spacing w:val="10"/>
                <w:kern w:val="2"/>
                <w:sz w:val="24"/>
                <w:szCs w:val="24"/>
                <w:highlight w:val="none"/>
                <w:lang w:eastAsia="zh-CN"/>
              </w:rPr>
            </w:pPr>
            <w:r>
              <w:rPr>
                <w:rFonts w:hint="eastAsia" w:ascii="宋体" w:hAnsi="宋体" w:cs="宋体"/>
                <w:color w:val="auto"/>
                <w:spacing w:val="10"/>
                <w:kern w:val="2"/>
                <w:sz w:val="24"/>
                <w:szCs w:val="24"/>
                <w:highlight w:val="none"/>
                <w:lang w:eastAsia="zh-CN"/>
              </w:rPr>
              <w:t>《单元式空气调节机能效限定值</w:t>
            </w:r>
          </w:p>
          <w:p w14:paraId="6991A531">
            <w:pPr>
              <w:pStyle w:val="57"/>
              <w:spacing w:before="131" w:line="276" w:lineRule="auto"/>
              <w:ind w:left="7" w:right="4"/>
              <w:rPr>
                <w:rFonts w:hint="eastAsia" w:ascii="宋体" w:hAnsi="宋体" w:cs="宋体"/>
                <w:color w:val="auto"/>
                <w:spacing w:val="10"/>
                <w:kern w:val="2"/>
                <w:sz w:val="24"/>
                <w:szCs w:val="24"/>
                <w:highlight w:val="none"/>
                <w:lang w:eastAsia="zh-CN"/>
              </w:rPr>
            </w:pPr>
            <w:r>
              <w:rPr>
                <w:rFonts w:hint="eastAsia" w:ascii="宋体" w:hAnsi="宋体" w:cs="宋体"/>
                <w:color w:val="auto"/>
                <w:spacing w:val="10"/>
                <w:kern w:val="2"/>
                <w:sz w:val="24"/>
                <w:szCs w:val="24"/>
                <w:highlight w:val="none"/>
                <w:lang w:eastAsia="zh-CN"/>
              </w:rPr>
              <w:t>及能效等级》（GB19576）</w:t>
            </w:r>
          </w:p>
        </w:tc>
      </w:tr>
      <w:tr w14:paraId="44F0E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BE8DA51">
            <w:pPr>
              <w:widowControl/>
              <w:jc w:val="left"/>
              <w:rPr>
                <w:rFonts w:hint="eastAsia" w:ascii="宋体" w:hAnsi="宋体"/>
                <w:color w:val="auto"/>
                <w:sz w:val="24"/>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F0C4B5D">
            <w:pPr>
              <w:widowControl/>
              <w:jc w:val="left"/>
              <w:rPr>
                <w:rFonts w:hint="eastAsia" w:ascii="宋体" w:hAnsi="宋体" w:cs="宋体"/>
                <w:color w:val="auto"/>
                <w:sz w:val="24"/>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05B40508">
            <w:pPr>
              <w:pStyle w:val="57"/>
              <w:spacing w:line="254" w:lineRule="exact"/>
              <w:ind w:left="7"/>
              <w:jc w:val="center"/>
              <w:rPr>
                <w:rFonts w:hint="eastAsia" w:ascii="宋体" w:hAnsi="宋体" w:cs="宋体"/>
                <w:color w:val="auto"/>
                <w:w w:val="99"/>
                <w:kern w:val="2"/>
                <w:sz w:val="24"/>
                <w:szCs w:val="24"/>
                <w:highlight w:val="none"/>
              </w:rPr>
            </w:pPr>
            <w:r>
              <w:rPr>
                <w:rFonts w:hint="eastAsia" w:ascii="宋体" w:hAnsi="宋体" w:cs="宋体"/>
                <w:color w:val="auto"/>
                <w:w w:val="99"/>
                <w:kern w:val="2"/>
                <w:sz w:val="24"/>
                <w:szCs w:val="24"/>
                <w:highlight w:val="none"/>
              </w:rPr>
              <w:t>A02052399其他制冷</w:t>
            </w:r>
          </w:p>
          <w:p w14:paraId="6631BA01">
            <w:pPr>
              <w:pStyle w:val="57"/>
              <w:spacing w:line="254" w:lineRule="exact"/>
              <w:ind w:left="7"/>
              <w:jc w:val="center"/>
              <w:rPr>
                <w:rFonts w:hint="eastAsia" w:ascii="宋体" w:hAnsi="宋体" w:cs="宋体"/>
                <w:color w:val="auto"/>
                <w:kern w:val="2"/>
                <w:sz w:val="24"/>
                <w:szCs w:val="24"/>
                <w:highlight w:val="none"/>
              </w:rPr>
            </w:pPr>
            <w:r>
              <w:rPr>
                <w:rFonts w:hint="eastAsia" w:ascii="宋体" w:hAnsi="宋体" w:cs="宋体"/>
                <w:color w:val="auto"/>
                <w:w w:val="99"/>
                <w:kern w:val="2"/>
                <w:sz w:val="24"/>
                <w:szCs w:val="24"/>
                <w:highlight w:val="none"/>
              </w:rPr>
              <w:t>空调设备</w:t>
            </w:r>
          </w:p>
        </w:tc>
        <w:tc>
          <w:tcPr>
            <w:tcW w:w="1530" w:type="dxa"/>
            <w:tcBorders>
              <w:top w:val="single" w:color="000000" w:sz="4" w:space="0"/>
              <w:left w:val="single" w:color="000000" w:sz="4" w:space="0"/>
              <w:bottom w:val="single" w:color="000000" w:sz="4" w:space="0"/>
              <w:right w:val="single" w:color="000000" w:sz="4" w:space="0"/>
            </w:tcBorders>
            <w:vAlign w:val="center"/>
          </w:tcPr>
          <w:p w14:paraId="1CB997C0">
            <w:pPr>
              <w:widowControl/>
              <w:jc w:val="center"/>
              <w:rPr>
                <w:rFonts w:hint="eastAsia" w:ascii="宋体" w:hAnsi="宋体" w:cs="宋体"/>
                <w:color w:val="auto"/>
                <w:sz w:val="24"/>
                <w:highlight w:val="none"/>
                <w:lang w:eastAsia="en-US"/>
              </w:rPr>
            </w:pPr>
            <w:r>
              <w:rPr>
                <w:rFonts w:hint="eastAsia" w:ascii="宋体" w:hAnsi="宋体" w:cs="宋体"/>
                <w:color w:val="auto"/>
                <w:w w:val="99"/>
                <w:sz w:val="24"/>
                <w:highlight w:val="none"/>
              </w:rPr>
              <w:t>冷却塔</w:t>
            </w:r>
          </w:p>
        </w:tc>
        <w:tc>
          <w:tcPr>
            <w:tcW w:w="3452" w:type="dxa"/>
            <w:tcBorders>
              <w:top w:val="single" w:color="000000" w:sz="4" w:space="0"/>
              <w:left w:val="single" w:color="000000" w:sz="4" w:space="0"/>
              <w:bottom w:val="single" w:color="000000" w:sz="4" w:space="0"/>
              <w:right w:val="single" w:color="000000" w:sz="4" w:space="0"/>
            </w:tcBorders>
          </w:tcPr>
          <w:p w14:paraId="16FF5CFF">
            <w:pPr>
              <w:pStyle w:val="57"/>
              <w:spacing w:before="131" w:line="276" w:lineRule="auto"/>
              <w:ind w:left="7" w:right="4"/>
              <w:rPr>
                <w:rFonts w:hint="eastAsia" w:ascii="宋体" w:hAnsi="宋体" w:cs="宋体"/>
                <w:color w:val="auto"/>
                <w:spacing w:val="10"/>
                <w:kern w:val="2"/>
                <w:sz w:val="24"/>
                <w:szCs w:val="24"/>
                <w:highlight w:val="none"/>
                <w:lang w:eastAsia="zh-CN"/>
              </w:rPr>
            </w:pPr>
            <w:r>
              <w:rPr>
                <w:rFonts w:hint="eastAsia" w:ascii="宋体" w:hAnsi="宋体" w:cs="宋体"/>
                <w:color w:val="auto"/>
                <w:spacing w:val="10"/>
                <w:kern w:val="2"/>
                <w:sz w:val="24"/>
                <w:szCs w:val="24"/>
                <w:highlight w:val="none"/>
                <w:lang w:eastAsia="zh-CN"/>
              </w:rPr>
              <w:t>《机械通风冷却塔第1部分：中小型开式冷却塔》（GB/T7190.1）</w:t>
            </w:r>
          </w:p>
          <w:p w14:paraId="5D9F579C">
            <w:pPr>
              <w:pStyle w:val="57"/>
              <w:spacing w:before="131" w:line="276" w:lineRule="auto"/>
              <w:ind w:left="7" w:right="4"/>
              <w:rPr>
                <w:rFonts w:hint="eastAsia" w:ascii="宋体" w:hAnsi="宋体" w:cs="宋体"/>
                <w:color w:val="auto"/>
                <w:spacing w:val="10"/>
                <w:kern w:val="2"/>
                <w:sz w:val="24"/>
                <w:szCs w:val="24"/>
                <w:highlight w:val="none"/>
                <w:lang w:eastAsia="zh-CN"/>
              </w:rPr>
            </w:pPr>
            <w:r>
              <w:rPr>
                <w:rFonts w:hint="eastAsia" w:ascii="宋体" w:hAnsi="宋体" w:cs="宋体"/>
                <w:color w:val="auto"/>
                <w:spacing w:val="10"/>
                <w:kern w:val="2"/>
                <w:sz w:val="24"/>
                <w:szCs w:val="24"/>
                <w:highlight w:val="none"/>
                <w:lang w:eastAsia="zh-CN"/>
              </w:rPr>
              <w:t>《机械通风冷却塔第2部分：大型开式冷却塔》（GB/T7190.2）</w:t>
            </w:r>
          </w:p>
        </w:tc>
      </w:tr>
      <w:tr w14:paraId="444EB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68A5D874">
            <w:pPr>
              <w:pStyle w:val="57"/>
              <w:ind w:right="1"/>
              <w:jc w:val="center"/>
              <w:rPr>
                <w:rFonts w:hint="eastAsia" w:ascii="宋体" w:hAnsi="宋体" w:cs="宋体"/>
                <w:color w:val="auto"/>
                <w:kern w:val="2"/>
                <w:sz w:val="24"/>
                <w:szCs w:val="24"/>
                <w:highlight w:val="none"/>
              </w:rPr>
            </w:pPr>
            <w:r>
              <w:rPr>
                <w:rFonts w:hint="eastAsia" w:ascii="宋体" w:hAnsi="宋体"/>
                <w:color w:val="auto"/>
                <w:w w:val="99"/>
                <w:kern w:val="2"/>
                <w:sz w:val="24"/>
                <w:szCs w:val="24"/>
                <w:highlight w:val="none"/>
              </w:rPr>
              <w:t>7</w:t>
            </w:r>
          </w:p>
        </w:tc>
        <w:tc>
          <w:tcPr>
            <w:tcW w:w="1422" w:type="dxa"/>
            <w:tcBorders>
              <w:top w:val="single" w:color="000000" w:sz="4" w:space="0"/>
              <w:left w:val="single" w:color="000000" w:sz="4" w:space="0"/>
              <w:bottom w:val="single" w:color="000000" w:sz="4" w:space="0"/>
              <w:right w:val="single" w:color="000000" w:sz="4" w:space="0"/>
            </w:tcBorders>
            <w:vAlign w:val="center"/>
          </w:tcPr>
          <w:p w14:paraId="3D6DD639">
            <w:pPr>
              <w:pStyle w:val="57"/>
              <w:jc w:val="center"/>
              <w:rPr>
                <w:rFonts w:hint="eastAsia" w:ascii="宋体" w:hAnsi="宋体" w:cs="宋体"/>
                <w:color w:val="auto"/>
                <w:kern w:val="2"/>
                <w:sz w:val="24"/>
                <w:szCs w:val="24"/>
                <w:highlight w:val="none"/>
              </w:rPr>
            </w:pPr>
            <w:r>
              <w:rPr>
                <w:rFonts w:hint="eastAsia" w:ascii="宋体" w:hAnsi="宋体" w:cs="仿宋_GB2312"/>
                <w:color w:val="auto"/>
                <w:kern w:val="2"/>
                <w:sz w:val="24"/>
                <w:szCs w:val="24"/>
                <w:highlight w:val="none"/>
              </w:rPr>
              <w:t>A02060100</w:t>
            </w:r>
            <w:r>
              <w:rPr>
                <w:rFonts w:hint="eastAsia" w:ascii="宋体" w:hAnsi="宋体" w:cs="宋体"/>
                <w:color w:val="auto"/>
                <w:w w:val="99"/>
                <w:kern w:val="2"/>
                <w:sz w:val="24"/>
                <w:szCs w:val="24"/>
                <w:highlight w:val="none"/>
              </w:rPr>
              <w:t>电机</w:t>
            </w:r>
          </w:p>
        </w:tc>
        <w:tc>
          <w:tcPr>
            <w:tcW w:w="1496" w:type="dxa"/>
            <w:tcBorders>
              <w:top w:val="single" w:color="000000" w:sz="4" w:space="0"/>
              <w:left w:val="single" w:color="000000" w:sz="4" w:space="0"/>
              <w:bottom w:val="single" w:color="000000" w:sz="4" w:space="0"/>
              <w:right w:val="single" w:color="000000" w:sz="4" w:space="0"/>
            </w:tcBorders>
            <w:vAlign w:val="center"/>
          </w:tcPr>
          <w:p w14:paraId="39C01AC1">
            <w:pPr>
              <w:jc w:val="center"/>
              <w:rPr>
                <w:rFonts w:hint="eastAsia" w:ascii="宋体" w:hAnsi="宋体"/>
                <w:color w:val="auto"/>
                <w:sz w:val="24"/>
                <w:highlight w:val="none"/>
              </w:rPr>
            </w:pPr>
          </w:p>
        </w:tc>
        <w:tc>
          <w:tcPr>
            <w:tcW w:w="1530" w:type="dxa"/>
            <w:tcBorders>
              <w:top w:val="single" w:color="000000" w:sz="4" w:space="0"/>
              <w:left w:val="single" w:color="000000" w:sz="4" w:space="0"/>
              <w:bottom w:val="single" w:color="000000" w:sz="4" w:space="0"/>
              <w:right w:val="single" w:color="000000" w:sz="4" w:space="0"/>
            </w:tcBorders>
            <w:vAlign w:val="center"/>
          </w:tcPr>
          <w:p w14:paraId="19CF33FC">
            <w:pPr>
              <w:jc w:val="center"/>
              <w:rPr>
                <w:rFonts w:hint="eastAsia" w:ascii="宋体" w:hAnsi="宋体"/>
                <w:color w:val="auto"/>
                <w:sz w:val="24"/>
                <w:highlight w:val="none"/>
              </w:rPr>
            </w:pPr>
          </w:p>
        </w:tc>
        <w:tc>
          <w:tcPr>
            <w:tcW w:w="3452" w:type="dxa"/>
            <w:tcBorders>
              <w:top w:val="single" w:color="000000" w:sz="4" w:space="0"/>
              <w:left w:val="single" w:color="000000" w:sz="4" w:space="0"/>
              <w:bottom w:val="single" w:color="000000" w:sz="4" w:space="0"/>
              <w:right w:val="single" w:color="000000" w:sz="4" w:space="0"/>
            </w:tcBorders>
          </w:tcPr>
          <w:p w14:paraId="3D0A042B">
            <w:pPr>
              <w:pStyle w:val="57"/>
              <w:spacing w:before="131" w:line="276" w:lineRule="auto"/>
              <w:ind w:left="7" w:right="4"/>
              <w:rPr>
                <w:rFonts w:hint="eastAsia" w:ascii="宋体" w:hAnsi="宋体" w:cs="宋体"/>
                <w:color w:val="auto"/>
                <w:spacing w:val="10"/>
                <w:kern w:val="2"/>
                <w:sz w:val="24"/>
                <w:szCs w:val="24"/>
                <w:highlight w:val="none"/>
                <w:lang w:eastAsia="zh-CN"/>
              </w:rPr>
            </w:pPr>
            <w:r>
              <w:rPr>
                <w:rFonts w:hint="eastAsia" w:ascii="宋体" w:hAnsi="宋体" w:cs="宋体"/>
                <w:color w:val="auto"/>
                <w:spacing w:val="10"/>
                <w:kern w:val="2"/>
                <w:sz w:val="24"/>
                <w:szCs w:val="24"/>
                <w:highlight w:val="none"/>
                <w:lang w:eastAsia="zh-CN"/>
              </w:rPr>
              <w:t>《中小型三相异步电动机能效限定值及能效等级》（GB18613）</w:t>
            </w:r>
          </w:p>
        </w:tc>
      </w:tr>
      <w:tr w14:paraId="752B4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1A3F589F">
            <w:pPr>
              <w:pStyle w:val="57"/>
              <w:ind w:right="1"/>
              <w:jc w:val="center"/>
              <w:rPr>
                <w:rFonts w:hint="eastAsia" w:ascii="宋体" w:hAnsi="宋体" w:cs="宋体"/>
                <w:color w:val="auto"/>
                <w:kern w:val="2"/>
                <w:sz w:val="24"/>
                <w:szCs w:val="24"/>
                <w:highlight w:val="none"/>
              </w:rPr>
            </w:pPr>
            <w:r>
              <w:rPr>
                <w:rFonts w:hint="eastAsia" w:ascii="宋体" w:hAnsi="宋体"/>
                <w:color w:val="auto"/>
                <w:w w:val="99"/>
                <w:kern w:val="2"/>
                <w:sz w:val="24"/>
                <w:szCs w:val="24"/>
                <w:highlight w:val="none"/>
              </w:rPr>
              <w:t>8</w:t>
            </w:r>
          </w:p>
        </w:tc>
        <w:tc>
          <w:tcPr>
            <w:tcW w:w="1422" w:type="dxa"/>
            <w:tcBorders>
              <w:top w:val="single" w:color="000000" w:sz="4" w:space="0"/>
              <w:left w:val="single" w:color="000000" w:sz="4" w:space="0"/>
              <w:bottom w:val="single" w:color="000000" w:sz="4" w:space="0"/>
              <w:right w:val="single" w:color="000000" w:sz="4" w:space="0"/>
            </w:tcBorders>
            <w:vAlign w:val="center"/>
          </w:tcPr>
          <w:p w14:paraId="0B379259">
            <w:pPr>
              <w:pStyle w:val="57"/>
              <w:spacing w:before="30"/>
              <w:ind w:left="7"/>
              <w:jc w:val="center"/>
              <w:rPr>
                <w:rFonts w:hint="eastAsia" w:ascii="宋体" w:hAnsi="宋体" w:cs="宋体"/>
                <w:color w:val="auto"/>
                <w:kern w:val="2"/>
                <w:sz w:val="24"/>
                <w:szCs w:val="24"/>
                <w:highlight w:val="none"/>
              </w:rPr>
            </w:pPr>
            <w:r>
              <w:rPr>
                <w:rFonts w:hint="eastAsia" w:ascii="宋体" w:hAnsi="宋体" w:cs="仿宋_GB2312"/>
                <w:color w:val="auto"/>
                <w:kern w:val="2"/>
                <w:sz w:val="24"/>
                <w:szCs w:val="24"/>
                <w:highlight w:val="none"/>
              </w:rPr>
              <w:t>A02060200</w:t>
            </w:r>
            <w:r>
              <w:rPr>
                <w:rFonts w:hint="eastAsia" w:ascii="宋体" w:hAnsi="宋体" w:cs="宋体"/>
                <w:color w:val="auto"/>
                <w:w w:val="99"/>
                <w:kern w:val="2"/>
                <w:sz w:val="24"/>
                <w:szCs w:val="24"/>
                <w:highlight w:val="none"/>
              </w:rPr>
              <w:t>变压</w:t>
            </w:r>
          </w:p>
        </w:tc>
        <w:tc>
          <w:tcPr>
            <w:tcW w:w="1496" w:type="dxa"/>
            <w:tcBorders>
              <w:top w:val="single" w:color="000000" w:sz="4" w:space="0"/>
              <w:left w:val="single" w:color="000000" w:sz="4" w:space="0"/>
              <w:bottom w:val="single" w:color="000000" w:sz="4" w:space="0"/>
              <w:right w:val="single" w:color="000000" w:sz="4" w:space="0"/>
            </w:tcBorders>
            <w:vAlign w:val="center"/>
          </w:tcPr>
          <w:p w14:paraId="6DF617DA">
            <w:pPr>
              <w:pStyle w:val="57"/>
              <w:jc w:val="center"/>
              <w:rPr>
                <w:rFonts w:hint="eastAsia" w:ascii="宋体" w:hAnsi="宋体" w:cs="宋体"/>
                <w:color w:val="auto"/>
                <w:kern w:val="2"/>
                <w:sz w:val="24"/>
                <w:szCs w:val="24"/>
                <w:highlight w:val="none"/>
              </w:rPr>
            </w:pPr>
            <w:r>
              <w:rPr>
                <w:rFonts w:hint="eastAsia" w:ascii="宋体" w:hAnsi="宋体" w:cs="宋体"/>
                <w:color w:val="auto"/>
                <w:w w:val="99"/>
                <w:kern w:val="2"/>
                <w:sz w:val="24"/>
                <w:szCs w:val="24"/>
                <w:highlight w:val="none"/>
              </w:rPr>
              <w:t>配电变压器</w:t>
            </w:r>
          </w:p>
        </w:tc>
        <w:tc>
          <w:tcPr>
            <w:tcW w:w="1530" w:type="dxa"/>
            <w:tcBorders>
              <w:top w:val="single" w:color="000000" w:sz="4" w:space="0"/>
              <w:left w:val="single" w:color="000000" w:sz="4" w:space="0"/>
              <w:bottom w:val="single" w:color="000000" w:sz="4" w:space="0"/>
              <w:right w:val="single" w:color="000000" w:sz="4" w:space="0"/>
            </w:tcBorders>
            <w:vAlign w:val="center"/>
          </w:tcPr>
          <w:p w14:paraId="14FDF6E4">
            <w:pPr>
              <w:jc w:val="center"/>
              <w:rPr>
                <w:rFonts w:hint="eastAsia" w:ascii="宋体" w:hAnsi="宋体"/>
                <w:color w:val="auto"/>
                <w:sz w:val="24"/>
                <w:highlight w:val="none"/>
              </w:rPr>
            </w:pPr>
          </w:p>
        </w:tc>
        <w:tc>
          <w:tcPr>
            <w:tcW w:w="3452" w:type="dxa"/>
            <w:tcBorders>
              <w:top w:val="single" w:color="000000" w:sz="4" w:space="0"/>
              <w:left w:val="single" w:color="000000" w:sz="4" w:space="0"/>
              <w:bottom w:val="single" w:color="000000" w:sz="4" w:space="0"/>
              <w:right w:val="single" w:color="000000" w:sz="4" w:space="0"/>
            </w:tcBorders>
          </w:tcPr>
          <w:p w14:paraId="6DF5437F">
            <w:pPr>
              <w:pStyle w:val="57"/>
              <w:spacing w:before="131" w:line="276" w:lineRule="auto"/>
              <w:ind w:left="7" w:right="4"/>
              <w:rPr>
                <w:rFonts w:hint="eastAsia" w:ascii="宋体" w:hAnsi="宋体" w:cs="宋体"/>
                <w:color w:val="auto"/>
                <w:spacing w:val="10"/>
                <w:kern w:val="2"/>
                <w:sz w:val="24"/>
                <w:szCs w:val="24"/>
                <w:highlight w:val="none"/>
                <w:lang w:eastAsia="zh-CN"/>
              </w:rPr>
            </w:pPr>
            <w:r>
              <w:rPr>
                <w:rFonts w:hint="eastAsia" w:ascii="宋体" w:hAnsi="宋体" w:cs="宋体"/>
                <w:color w:val="auto"/>
                <w:spacing w:val="10"/>
                <w:kern w:val="2"/>
                <w:sz w:val="24"/>
                <w:szCs w:val="24"/>
                <w:highlight w:val="none"/>
                <w:lang w:eastAsia="zh-CN"/>
              </w:rPr>
              <w:t>《三相配电变压器能效限定值及能效等级》（GB 20052）</w:t>
            </w:r>
          </w:p>
        </w:tc>
      </w:tr>
      <w:tr w14:paraId="6EF86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178031C6">
            <w:pPr>
              <w:pStyle w:val="57"/>
              <w:ind w:right="1"/>
              <w:jc w:val="center"/>
              <w:rPr>
                <w:rFonts w:hint="eastAsia" w:ascii="宋体" w:hAnsi="宋体" w:cs="宋体"/>
                <w:color w:val="auto"/>
                <w:kern w:val="2"/>
                <w:sz w:val="24"/>
                <w:szCs w:val="24"/>
                <w:highlight w:val="none"/>
              </w:rPr>
            </w:pPr>
            <w:r>
              <w:rPr>
                <w:rFonts w:hint="eastAsia" w:ascii="宋体" w:hAnsi="宋体"/>
                <w:color w:val="auto"/>
                <w:w w:val="99"/>
                <w:kern w:val="2"/>
                <w:sz w:val="24"/>
                <w:szCs w:val="24"/>
                <w:highlight w:val="none"/>
              </w:rPr>
              <w:t>9</w:t>
            </w:r>
          </w:p>
        </w:tc>
        <w:tc>
          <w:tcPr>
            <w:tcW w:w="1422" w:type="dxa"/>
            <w:tcBorders>
              <w:top w:val="single" w:color="000000" w:sz="4" w:space="0"/>
              <w:left w:val="single" w:color="000000" w:sz="4" w:space="0"/>
              <w:bottom w:val="single" w:color="000000" w:sz="4" w:space="0"/>
              <w:right w:val="single" w:color="000000" w:sz="4" w:space="0"/>
            </w:tcBorders>
            <w:vAlign w:val="center"/>
          </w:tcPr>
          <w:p w14:paraId="2C022C68">
            <w:pPr>
              <w:pStyle w:val="57"/>
              <w:spacing w:before="126"/>
              <w:ind w:left="7"/>
              <w:jc w:val="center"/>
              <w:rPr>
                <w:rFonts w:hint="eastAsia" w:ascii="宋体" w:hAnsi="宋体" w:cs="宋体"/>
                <w:color w:val="auto"/>
                <w:kern w:val="2"/>
                <w:sz w:val="24"/>
                <w:szCs w:val="24"/>
                <w:highlight w:val="none"/>
              </w:rPr>
            </w:pPr>
            <w:r>
              <w:rPr>
                <w:rFonts w:hint="eastAsia" w:ascii="宋体" w:hAnsi="宋体" w:cs="宋体"/>
                <w:color w:val="auto"/>
                <w:w w:val="99"/>
                <w:kern w:val="2"/>
                <w:sz w:val="24"/>
                <w:szCs w:val="24"/>
                <w:highlight w:val="none"/>
              </w:rPr>
              <w:t>★A02060900镇流器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6A6E6373">
            <w:pPr>
              <w:pStyle w:val="57"/>
              <w:jc w:val="center"/>
              <w:rPr>
                <w:rFonts w:hint="eastAsia" w:ascii="宋体" w:hAnsi="宋体" w:cs="宋体"/>
                <w:color w:val="auto"/>
                <w:kern w:val="2"/>
                <w:sz w:val="24"/>
                <w:szCs w:val="24"/>
                <w:highlight w:val="none"/>
              </w:rPr>
            </w:pPr>
            <w:r>
              <w:rPr>
                <w:rFonts w:hint="eastAsia" w:ascii="宋体" w:hAnsi="宋体" w:cs="宋体"/>
                <w:color w:val="auto"/>
                <w:w w:val="99"/>
                <w:kern w:val="2"/>
                <w:sz w:val="24"/>
                <w:szCs w:val="24"/>
                <w:highlight w:val="none"/>
              </w:rPr>
              <w:t>管型荧光灯镇流器</w:t>
            </w:r>
          </w:p>
        </w:tc>
        <w:tc>
          <w:tcPr>
            <w:tcW w:w="1530" w:type="dxa"/>
            <w:tcBorders>
              <w:top w:val="single" w:color="000000" w:sz="4" w:space="0"/>
              <w:left w:val="single" w:color="000000" w:sz="4" w:space="0"/>
              <w:bottom w:val="single" w:color="000000" w:sz="4" w:space="0"/>
              <w:right w:val="single" w:color="000000" w:sz="4" w:space="0"/>
            </w:tcBorders>
            <w:vAlign w:val="center"/>
          </w:tcPr>
          <w:p w14:paraId="27EA3288">
            <w:pPr>
              <w:jc w:val="center"/>
              <w:rPr>
                <w:rFonts w:hint="eastAsia" w:ascii="宋体" w:hAnsi="宋体"/>
                <w:color w:val="auto"/>
                <w:sz w:val="24"/>
                <w:highlight w:val="none"/>
              </w:rPr>
            </w:pPr>
          </w:p>
        </w:tc>
        <w:tc>
          <w:tcPr>
            <w:tcW w:w="3452" w:type="dxa"/>
            <w:tcBorders>
              <w:top w:val="single" w:color="000000" w:sz="4" w:space="0"/>
              <w:left w:val="single" w:color="000000" w:sz="4" w:space="0"/>
              <w:bottom w:val="single" w:color="000000" w:sz="4" w:space="0"/>
              <w:right w:val="single" w:color="000000" w:sz="4" w:space="0"/>
            </w:tcBorders>
          </w:tcPr>
          <w:p w14:paraId="5EA159A1">
            <w:pPr>
              <w:pStyle w:val="57"/>
              <w:spacing w:before="131" w:line="276" w:lineRule="auto"/>
              <w:ind w:left="7" w:right="4"/>
              <w:rPr>
                <w:rFonts w:hint="eastAsia" w:ascii="宋体" w:hAnsi="宋体" w:cs="宋体"/>
                <w:color w:val="auto"/>
                <w:spacing w:val="10"/>
                <w:kern w:val="2"/>
                <w:sz w:val="24"/>
                <w:szCs w:val="24"/>
                <w:highlight w:val="none"/>
                <w:lang w:eastAsia="zh-CN"/>
              </w:rPr>
            </w:pPr>
            <w:r>
              <w:rPr>
                <w:rFonts w:hint="eastAsia" w:ascii="宋体" w:hAnsi="宋体" w:cs="宋体"/>
                <w:color w:val="auto"/>
                <w:spacing w:val="10"/>
                <w:kern w:val="2"/>
                <w:sz w:val="24"/>
                <w:szCs w:val="24"/>
                <w:highlight w:val="none"/>
                <w:lang w:eastAsia="zh-CN"/>
              </w:rPr>
              <w:t>《管形荧光灯镇流器能效限定值及能效等级》（GB17896）</w:t>
            </w:r>
          </w:p>
        </w:tc>
      </w:tr>
      <w:tr w14:paraId="3CB2C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4AAB7149">
            <w:pPr>
              <w:pStyle w:val="57"/>
              <w:jc w:val="center"/>
              <w:rPr>
                <w:rFonts w:hint="eastAsia" w:ascii="宋体" w:hAnsi="宋体" w:cs="宋体"/>
                <w:color w:val="auto"/>
                <w:kern w:val="2"/>
                <w:sz w:val="24"/>
                <w:szCs w:val="24"/>
                <w:highlight w:val="none"/>
              </w:rPr>
            </w:pPr>
            <w:r>
              <w:rPr>
                <w:rFonts w:hint="eastAsia" w:ascii="宋体" w:hAnsi="宋体"/>
                <w:color w:val="auto"/>
                <w:w w:val="99"/>
                <w:kern w:val="2"/>
                <w:sz w:val="24"/>
                <w:szCs w:val="24"/>
                <w:highlight w:val="none"/>
              </w:rPr>
              <w:t>10</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2E25DE8E">
            <w:pPr>
              <w:pStyle w:val="57"/>
              <w:jc w:val="center"/>
              <w:rPr>
                <w:rFonts w:hint="eastAsia" w:ascii="宋体" w:hAnsi="宋体" w:cs="宋体"/>
                <w:color w:val="auto"/>
                <w:kern w:val="2"/>
                <w:sz w:val="24"/>
                <w:szCs w:val="24"/>
                <w:highlight w:val="none"/>
              </w:rPr>
            </w:pPr>
            <w:r>
              <w:rPr>
                <w:rFonts w:hint="eastAsia" w:ascii="宋体" w:hAnsi="宋体" w:cs="宋体"/>
                <w:color w:val="auto"/>
                <w:w w:val="99"/>
                <w:kern w:val="2"/>
                <w:sz w:val="24"/>
                <w:szCs w:val="24"/>
                <w:highlight w:val="none"/>
              </w:rPr>
              <w:t>A02061800生活用电器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7DD7A9AD">
            <w:pPr>
              <w:pStyle w:val="57"/>
              <w:jc w:val="center"/>
              <w:rPr>
                <w:rFonts w:hint="eastAsia" w:ascii="宋体" w:hAnsi="宋体" w:cs="宋体"/>
                <w:color w:val="auto"/>
                <w:kern w:val="2"/>
                <w:sz w:val="24"/>
                <w:szCs w:val="24"/>
                <w:highlight w:val="none"/>
              </w:rPr>
            </w:pPr>
            <w:r>
              <w:rPr>
                <w:rFonts w:hint="eastAsia" w:ascii="宋体" w:hAnsi="宋体" w:cs="宋体"/>
                <w:color w:val="auto"/>
                <w:w w:val="99"/>
                <w:kern w:val="2"/>
                <w:sz w:val="24"/>
                <w:szCs w:val="24"/>
                <w:highlight w:val="none"/>
              </w:rPr>
              <w:t>A02061801电冰箱</w:t>
            </w:r>
          </w:p>
        </w:tc>
        <w:tc>
          <w:tcPr>
            <w:tcW w:w="1530" w:type="dxa"/>
            <w:tcBorders>
              <w:top w:val="single" w:color="000000" w:sz="4" w:space="0"/>
              <w:left w:val="single" w:color="000000" w:sz="4" w:space="0"/>
              <w:bottom w:val="single" w:color="000000" w:sz="4" w:space="0"/>
              <w:right w:val="single" w:color="000000" w:sz="4" w:space="0"/>
            </w:tcBorders>
            <w:vAlign w:val="center"/>
          </w:tcPr>
          <w:p w14:paraId="5595459C">
            <w:pPr>
              <w:jc w:val="center"/>
              <w:rPr>
                <w:rFonts w:hint="eastAsia" w:ascii="宋体" w:hAnsi="宋体"/>
                <w:color w:val="auto"/>
                <w:sz w:val="24"/>
                <w:highlight w:val="none"/>
              </w:rPr>
            </w:pPr>
          </w:p>
        </w:tc>
        <w:tc>
          <w:tcPr>
            <w:tcW w:w="3452" w:type="dxa"/>
            <w:tcBorders>
              <w:top w:val="single" w:color="000000" w:sz="4" w:space="0"/>
              <w:left w:val="single" w:color="000000" w:sz="4" w:space="0"/>
              <w:bottom w:val="single" w:color="000000" w:sz="4" w:space="0"/>
              <w:right w:val="single" w:color="000000" w:sz="4" w:space="0"/>
            </w:tcBorders>
          </w:tcPr>
          <w:p w14:paraId="5A9C63F0">
            <w:pPr>
              <w:pStyle w:val="57"/>
              <w:spacing w:before="131" w:line="276" w:lineRule="auto"/>
              <w:ind w:left="7" w:right="4"/>
              <w:rPr>
                <w:rFonts w:hint="eastAsia" w:ascii="宋体" w:hAnsi="宋体" w:cs="宋体"/>
                <w:color w:val="auto"/>
                <w:spacing w:val="10"/>
                <w:kern w:val="2"/>
                <w:sz w:val="24"/>
                <w:szCs w:val="24"/>
                <w:highlight w:val="none"/>
                <w:lang w:eastAsia="zh-CN"/>
              </w:rPr>
            </w:pPr>
            <w:r>
              <w:rPr>
                <w:rFonts w:hint="eastAsia" w:ascii="宋体" w:hAnsi="宋体" w:cs="宋体"/>
                <w:color w:val="auto"/>
                <w:spacing w:val="10"/>
                <w:kern w:val="2"/>
                <w:sz w:val="24"/>
                <w:szCs w:val="24"/>
                <w:highlight w:val="none"/>
                <w:lang w:eastAsia="zh-CN"/>
              </w:rPr>
              <w:t>《家用电冰箱耗电量限定值及能效等级》（GB12021.2）</w:t>
            </w:r>
          </w:p>
        </w:tc>
      </w:tr>
      <w:tr w14:paraId="56860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1B36616">
            <w:pPr>
              <w:widowControl/>
              <w:jc w:val="left"/>
              <w:rPr>
                <w:rFonts w:hint="eastAsia" w:ascii="宋体" w:hAnsi="宋体" w:cs="宋体"/>
                <w:color w:val="auto"/>
                <w:sz w:val="24"/>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A602F43">
            <w:pPr>
              <w:widowControl/>
              <w:jc w:val="left"/>
              <w:rPr>
                <w:rFonts w:hint="eastAsia" w:ascii="宋体" w:hAnsi="宋体" w:cs="宋体"/>
                <w:color w:val="auto"/>
                <w:sz w:val="24"/>
                <w:highlight w:val="none"/>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6701EBF0">
            <w:pPr>
              <w:pStyle w:val="57"/>
              <w:spacing w:before="171"/>
              <w:jc w:val="center"/>
              <w:rPr>
                <w:rFonts w:hint="eastAsia" w:ascii="宋体" w:hAnsi="宋体" w:cs="宋体"/>
                <w:color w:val="auto"/>
                <w:kern w:val="2"/>
                <w:sz w:val="24"/>
                <w:szCs w:val="24"/>
                <w:highlight w:val="none"/>
              </w:rPr>
            </w:pPr>
            <w:r>
              <w:rPr>
                <w:rFonts w:hint="eastAsia" w:ascii="宋体" w:hAnsi="宋体" w:cs="宋体"/>
                <w:color w:val="auto"/>
                <w:w w:val="99"/>
                <w:kern w:val="2"/>
                <w:sz w:val="24"/>
                <w:szCs w:val="24"/>
                <w:highlight w:val="none"/>
              </w:rPr>
              <w:t>★</w:t>
            </w:r>
            <w:r>
              <w:rPr>
                <w:rFonts w:hint="eastAsia" w:ascii="宋体" w:hAnsi="宋体" w:cs="仿宋_GB2312"/>
                <w:color w:val="auto"/>
                <w:kern w:val="2"/>
                <w:sz w:val="24"/>
                <w:szCs w:val="24"/>
                <w:highlight w:val="none"/>
              </w:rPr>
              <w:t>A02061804</w:t>
            </w:r>
            <w:r>
              <w:rPr>
                <w:rFonts w:hint="eastAsia" w:ascii="宋体" w:hAnsi="宋体" w:cs="宋体"/>
                <w:color w:val="auto"/>
                <w:w w:val="99"/>
                <w:kern w:val="2"/>
                <w:sz w:val="24"/>
                <w:szCs w:val="24"/>
                <w:highlight w:val="none"/>
              </w:rPr>
              <w:t>空调机</w:t>
            </w:r>
          </w:p>
        </w:tc>
        <w:tc>
          <w:tcPr>
            <w:tcW w:w="1530" w:type="dxa"/>
            <w:tcBorders>
              <w:top w:val="single" w:color="000000" w:sz="4" w:space="0"/>
              <w:left w:val="single" w:color="000000" w:sz="4" w:space="0"/>
              <w:bottom w:val="single" w:color="000000" w:sz="4" w:space="0"/>
              <w:right w:val="single" w:color="000000" w:sz="4" w:space="0"/>
            </w:tcBorders>
            <w:vAlign w:val="center"/>
          </w:tcPr>
          <w:p w14:paraId="4FC544C8">
            <w:pPr>
              <w:pStyle w:val="57"/>
              <w:jc w:val="center"/>
              <w:rPr>
                <w:rFonts w:hint="eastAsia" w:ascii="宋体" w:hAnsi="宋体" w:cs="宋体"/>
                <w:color w:val="auto"/>
                <w:kern w:val="2"/>
                <w:sz w:val="24"/>
                <w:szCs w:val="24"/>
                <w:highlight w:val="none"/>
              </w:rPr>
            </w:pPr>
            <w:r>
              <w:rPr>
                <w:rFonts w:hint="eastAsia" w:ascii="宋体" w:hAnsi="宋体" w:cs="宋体"/>
                <w:color w:val="auto"/>
                <w:w w:val="99"/>
                <w:kern w:val="2"/>
                <w:sz w:val="24"/>
                <w:szCs w:val="24"/>
                <w:highlight w:val="none"/>
              </w:rPr>
              <w:t>房间空气调节器</w:t>
            </w:r>
          </w:p>
        </w:tc>
        <w:tc>
          <w:tcPr>
            <w:tcW w:w="3452" w:type="dxa"/>
            <w:tcBorders>
              <w:top w:val="single" w:color="000000" w:sz="4" w:space="0"/>
              <w:left w:val="single" w:color="000000" w:sz="4" w:space="0"/>
              <w:bottom w:val="single" w:color="000000" w:sz="4" w:space="0"/>
              <w:right w:val="single" w:color="000000" w:sz="4" w:space="0"/>
            </w:tcBorders>
          </w:tcPr>
          <w:p w14:paraId="5DEC8A64">
            <w:pPr>
              <w:pStyle w:val="57"/>
              <w:spacing w:before="131" w:line="276" w:lineRule="auto"/>
              <w:ind w:left="7" w:right="4"/>
              <w:rPr>
                <w:rFonts w:hint="eastAsia" w:ascii="宋体" w:hAnsi="宋体" w:cs="宋体"/>
                <w:color w:val="auto"/>
                <w:spacing w:val="10"/>
                <w:kern w:val="2"/>
                <w:sz w:val="24"/>
                <w:szCs w:val="24"/>
                <w:highlight w:val="none"/>
                <w:lang w:eastAsia="zh-CN"/>
              </w:rPr>
            </w:pPr>
            <w:r>
              <w:rPr>
                <w:rFonts w:hint="eastAsia" w:ascii="宋体" w:hAnsi="宋体" w:cs="宋体"/>
                <w:color w:val="auto"/>
                <w:spacing w:val="10"/>
                <w:kern w:val="2"/>
                <w:sz w:val="24"/>
                <w:szCs w:val="24"/>
                <w:highlight w:val="none"/>
                <w:lang w:eastAsia="zh-CN"/>
              </w:rPr>
              <w:t>《房间空气调节器能效限定值及能效等级》（GB21455-2019）</w:t>
            </w:r>
          </w:p>
        </w:tc>
      </w:tr>
      <w:tr w14:paraId="4FCDF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DE46BE7">
            <w:pPr>
              <w:widowControl/>
              <w:jc w:val="left"/>
              <w:rPr>
                <w:rFonts w:hint="eastAsia" w:ascii="宋体" w:hAnsi="宋体" w:cs="宋体"/>
                <w:color w:val="auto"/>
                <w:sz w:val="24"/>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F0C5E9F">
            <w:pPr>
              <w:widowControl/>
              <w:jc w:val="left"/>
              <w:rPr>
                <w:rFonts w:hint="eastAsia" w:ascii="宋体" w:hAnsi="宋体" w:cs="宋体"/>
                <w:color w:val="auto"/>
                <w:sz w:val="24"/>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896F492">
            <w:pPr>
              <w:widowControl/>
              <w:jc w:val="left"/>
              <w:rPr>
                <w:rFonts w:hint="eastAsia" w:ascii="宋体" w:hAnsi="宋体" w:cs="宋体"/>
                <w:color w:val="auto"/>
                <w:sz w:val="24"/>
                <w:highlight w:val="none"/>
              </w:rPr>
            </w:pPr>
          </w:p>
        </w:tc>
        <w:tc>
          <w:tcPr>
            <w:tcW w:w="1530" w:type="dxa"/>
            <w:tcBorders>
              <w:top w:val="single" w:color="000000" w:sz="4" w:space="0"/>
              <w:left w:val="single" w:color="000000" w:sz="4" w:space="0"/>
              <w:bottom w:val="single" w:color="000000" w:sz="4" w:space="0"/>
              <w:right w:val="single" w:color="000000" w:sz="4" w:space="0"/>
            </w:tcBorders>
            <w:vAlign w:val="center"/>
          </w:tcPr>
          <w:p w14:paraId="623153C9">
            <w:pPr>
              <w:pStyle w:val="57"/>
              <w:spacing w:before="4" w:line="276" w:lineRule="auto"/>
              <w:ind w:left="7" w:right="7"/>
              <w:jc w:val="center"/>
              <w:rPr>
                <w:rFonts w:hint="eastAsia" w:ascii="宋体" w:hAnsi="宋体" w:cs="宋体"/>
                <w:color w:val="auto"/>
                <w:kern w:val="2"/>
                <w:sz w:val="24"/>
                <w:szCs w:val="24"/>
                <w:highlight w:val="none"/>
                <w:lang w:eastAsia="zh-CN"/>
              </w:rPr>
            </w:pPr>
            <w:r>
              <w:rPr>
                <w:rFonts w:hint="eastAsia" w:ascii="宋体" w:hAnsi="宋体" w:cs="宋体"/>
                <w:color w:val="auto"/>
                <w:w w:val="99"/>
                <w:kern w:val="2"/>
                <w:sz w:val="24"/>
                <w:szCs w:val="24"/>
                <w:highlight w:val="none"/>
                <w:lang w:eastAsia="zh-CN"/>
              </w:rPr>
              <w:t>多联式空调（热泵）机组（制冷量≤ 14000W）</w:t>
            </w:r>
          </w:p>
        </w:tc>
        <w:tc>
          <w:tcPr>
            <w:tcW w:w="3452" w:type="dxa"/>
            <w:tcBorders>
              <w:top w:val="single" w:color="000000" w:sz="4" w:space="0"/>
              <w:left w:val="single" w:color="000000" w:sz="4" w:space="0"/>
              <w:bottom w:val="single" w:color="000000" w:sz="4" w:space="0"/>
              <w:right w:val="single" w:color="000000" w:sz="4" w:space="0"/>
            </w:tcBorders>
          </w:tcPr>
          <w:p w14:paraId="1968428E">
            <w:pPr>
              <w:pStyle w:val="57"/>
              <w:spacing w:before="131" w:line="276" w:lineRule="auto"/>
              <w:ind w:left="7" w:right="4"/>
              <w:rPr>
                <w:rFonts w:hint="eastAsia" w:ascii="宋体" w:hAnsi="宋体" w:cs="宋体"/>
                <w:color w:val="auto"/>
                <w:spacing w:val="10"/>
                <w:kern w:val="2"/>
                <w:sz w:val="24"/>
                <w:szCs w:val="24"/>
                <w:highlight w:val="none"/>
                <w:lang w:eastAsia="zh-CN"/>
              </w:rPr>
            </w:pPr>
            <w:r>
              <w:rPr>
                <w:rFonts w:hint="eastAsia" w:ascii="宋体" w:hAnsi="宋体" w:cs="宋体"/>
                <w:color w:val="auto"/>
                <w:spacing w:val="10"/>
                <w:kern w:val="2"/>
                <w:sz w:val="24"/>
                <w:szCs w:val="24"/>
                <w:highlight w:val="none"/>
                <w:lang w:eastAsia="zh-CN"/>
              </w:rPr>
              <w:t>《多联式空调（热泵）机组能效限定值及能源效率等级》（GB21454）</w:t>
            </w:r>
          </w:p>
        </w:tc>
      </w:tr>
      <w:tr w14:paraId="7CA96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A987FFD">
            <w:pPr>
              <w:widowControl/>
              <w:jc w:val="left"/>
              <w:rPr>
                <w:rFonts w:hint="eastAsia" w:ascii="宋体" w:hAnsi="宋体" w:cs="宋体"/>
                <w:color w:val="auto"/>
                <w:sz w:val="24"/>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772C8C7">
            <w:pPr>
              <w:widowControl/>
              <w:jc w:val="left"/>
              <w:rPr>
                <w:rFonts w:hint="eastAsia" w:ascii="宋体" w:hAnsi="宋体" w:cs="宋体"/>
                <w:color w:val="auto"/>
                <w:sz w:val="24"/>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98D5927">
            <w:pPr>
              <w:widowControl/>
              <w:jc w:val="left"/>
              <w:rPr>
                <w:rFonts w:hint="eastAsia" w:ascii="宋体" w:hAnsi="宋体" w:cs="宋体"/>
                <w:color w:val="auto"/>
                <w:sz w:val="24"/>
                <w:highlight w:val="none"/>
              </w:rPr>
            </w:pPr>
          </w:p>
        </w:tc>
        <w:tc>
          <w:tcPr>
            <w:tcW w:w="1530" w:type="dxa"/>
            <w:tcBorders>
              <w:top w:val="single" w:color="000000" w:sz="4" w:space="0"/>
              <w:left w:val="single" w:color="000000" w:sz="4" w:space="0"/>
              <w:bottom w:val="single" w:color="000000" w:sz="4" w:space="0"/>
              <w:right w:val="single" w:color="000000" w:sz="4" w:space="0"/>
            </w:tcBorders>
            <w:vAlign w:val="center"/>
          </w:tcPr>
          <w:p w14:paraId="4EA2055C">
            <w:pPr>
              <w:pStyle w:val="57"/>
              <w:jc w:val="center"/>
              <w:rPr>
                <w:rFonts w:hint="eastAsia" w:ascii="宋体" w:hAnsi="宋体" w:cs="宋体"/>
                <w:color w:val="auto"/>
                <w:kern w:val="2"/>
                <w:sz w:val="24"/>
                <w:szCs w:val="24"/>
                <w:highlight w:val="none"/>
                <w:lang w:eastAsia="zh-CN"/>
              </w:rPr>
            </w:pPr>
            <w:r>
              <w:rPr>
                <w:rFonts w:hint="eastAsia" w:ascii="宋体" w:hAnsi="宋体" w:cs="宋体"/>
                <w:color w:val="auto"/>
                <w:w w:val="99"/>
                <w:kern w:val="2"/>
                <w:sz w:val="24"/>
                <w:szCs w:val="24"/>
                <w:highlight w:val="none"/>
                <w:lang w:eastAsia="zh-CN"/>
              </w:rPr>
              <w:t>单元式空气调节机（制冷量≤ 14000W）</w:t>
            </w:r>
          </w:p>
        </w:tc>
        <w:tc>
          <w:tcPr>
            <w:tcW w:w="3452" w:type="dxa"/>
            <w:tcBorders>
              <w:top w:val="single" w:color="000000" w:sz="4" w:space="0"/>
              <w:left w:val="single" w:color="000000" w:sz="4" w:space="0"/>
              <w:bottom w:val="single" w:color="000000" w:sz="4" w:space="0"/>
              <w:right w:val="single" w:color="000000" w:sz="4" w:space="0"/>
            </w:tcBorders>
          </w:tcPr>
          <w:p w14:paraId="38B46C3F">
            <w:pPr>
              <w:pStyle w:val="57"/>
              <w:spacing w:before="131" w:line="276" w:lineRule="auto"/>
              <w:ind w:left="7" w:right="4"/>
              <w:rPr>
                <w:rFonts w:hint="eastAsia" w:ascii="宋体" w:hAnsi="宋体" w:cs="宋体"/>
                <w:color w:val="auto"/>
                <w:spacing w:val="10"/>
                <w:kern w:val="2"/>
                <w:sz w:val="24"/>
                <w:szCs w:val="24"/>
                <w:highlight w:val="none"/>
                <w:lang w:eastAsia="zh-CN"/>
              </w:rPr>
            </w:pPr>
            <w:r>
              <w:rPr>
                <w:rFonts w:hint="eastAsia" w:ascii="宋体" w:hAnsi="宋体" w:cs="宋体"/>
                <w:color w:val="auto"/>
                <w:spacing w:val="10"/>
                <w:kern w:val="2"/>
                <w:sz w:val="24"/>
                <w:szCs w:val="24"/>
                <w:highlight w:val="none"/>
                <w:lang w:eastAsia="zh-CN"/>
              </w:rPr>
              <w:t>《单元式空气调节机能效限定值及能源效率等级》（GB19576）《风管送风式空调机组能效限定值及能效等级》（GB37479）</w:t>
            </w:r>
          </w:p>
        </w:tc>
      </w:tr>
      <w:tr w14:paraId="3E454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AE80A2F">
            <w:pPr>
              <w:widowControl/>
              <w:jc w:val="left"/>
              <w:rPr>
                <w:rFonts w:hint="eastAsia" w:ascii="宋体" w:hAnsi="宋体" w:cs="宋体"/>
                <w:color w:val="auto"/>
                <w:sz w:val="24"/>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2DB535E">
            <w:pPr>
              <w:widowControl/>
              <w:jc w:val="left"/>
              <w:rPr>
                <w:rFonts w:hint="eastAsia" w:ascii="宋体" w:hAnsi="宋体" w:cs="宋体"/>
                <w:color w:val="auto"/>
                <w:sz w:val="24"/>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3319E9A8">
            <w:pPr>
              <w:pStyle w:val="57"/>
              <w:spacing w:before="162"/>
              <w:ind w:left="7"/>
              <w:jc w:val="center"/>
              <w:rPr>
                <w:rFonts w:hint="eastAsia" w:ascii="宋体" w:hAnsi="宋体" w:cs="宋体"/>
                <w:color w:val="auto"/>
                <w:kern w:val="2"/>
                <w:sz w:val="24"/>
                <w:szCs w:val="24"/>
                <w:highlight w:val="none"/>
              </w:rPr>
            </w:pPr>
            <w:r>
              <w:rPr>
                <w:rFonts w:hint="eastAsia" w:ascii="宋体" w:hAnsi="宋体" w:cs="仿宋_GB2312"/>
                <w:color w:val="auto"/>
                <w:kern w:val="2"/>
                <w:sz w:val="24"/>
                <w:szCs w:val="24"/>
                <w:highlight w:val="none"/>
              </w:rPr>
              <w:t>A02061810</w:t>
            </w:r>
            <w:r>
              <w:rPr>
                <w:rFonts w:hint="eastAsia" w:ascii="宋体" w:hAnsi="宋体" w:cs="宋体"/>
                <w:color w:val="auto"/>
                <w:w w:val="99"/>
                <w:kern w:val="2"/>
                <w:sz w:val="24"/>
                <w:szCs w:val="24"/>
                <w:highlight w:val="none"/>
              </w:rPr>
              <w:t>洗衣机</w:t>
            </w:r>
          </w:p>
        </w:tc>
        <w:tc>
          <w:tcPr>
            <w:tcW w:w="1530" w:type="dxa"/>
            <w:tcBorders>
              <w:top w:val="single" w:color="000000" w:sz="4" w:space="0"/>
              <w:left w:val="single" w:color="000000" w:sz="4" w:space="0"/>
              <w:bottom w:val="single" w:color="000000" w:sz="4" w:space="0"/>
              <w:right w:val="single" w:color="000000" w:sz="4" w:space="0"/>
            </w:tcBorders>
            <w:vAlign w:val="center"/>
          </w:tcPr>
          <w:p w14:paraId="0425A7D5">
            <w:pPr>
              <w:jc w:val="center"/>
              <w:rPr>
                <w:rFonts w:hint="eastAsia" w:ascii="宋体" w:hAnsi="宋体"/>
                <w:color w:val="auto"/>
                <w:sz w:val="24"/>
                <w:highlight w:val="none"/>
              </w:rPr>
            </w:pPr>
          </w:p>
        </w:tc>
        <w:tc>
          <w:tcPr>
            <w:tcW w:w="3452" w:type="dxa"/>
            <w:tcBorders>
              <w:top w:val="single" w:color="000000" w:sz="4" w:space="0"/>
              <w:left w:val="single" w:color="000000" w:sz="4" w:space="0"/>
              <w:bottom w:val="single" w:color="000000" w:sz="4" w:space="0"/>
              <w:right w:val="single" w:color="000000" w:sz="4" w:space="0"/>
            </w:tcBorders>
          </w:tcPr>
          <w:p w14:paraId="33A439AC">
            <w:pPr>
              <w:pStyle w:val="57"/>
              <w:spacing w:before="131" w:line="276" w:lineRule="auto"/>
              <w:ind w:left="7" w:right="4"/>
              <w:rPr>
                <w:rFonts w:hint="eastAsia" w:ascii="宋体" w:hAnsi="宋体" w:cs="宋体"/>
                <w:color w:val="auto"/>
                <w:spacing w:val="10"/>
                <w:kern w:val="2"/>
                <w:sz w:val="24"/>
                <w:szCs w:val="24"/>
                <w:highlight w:val="none"/>
                <w:lang w:eastAsia="zh-CN"/>
              </w:rPr>
            </w:pPr>
            <w:r>
              <w:rPr>
                <w:rFonts w:hint="eastAsia" w:ascii="宋体" w:hAnsi="宋体" w:cs="宋体"/>
                <w:color w:val="auto"/>
                <w:spacing w:val="10"/>
                <w:kern w:val="2"/>
                <w:sz w:val="24"/>
                <w:szCs w:val="24"/>
                <w:highlight w:val="none"/>
                <w:lang w:eastAsia="zh-CN"/>
              </w:rPr>
              <w:t>《电动洗衣机能效水效限定值及等级》（GB12021.4）</w:t>
            </w:r>
          </w:p>
        </w:tc>
      </w:tr>
      <w:tr w14:paraId="2524E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254E072">
            <w:pPr>
              <w:widowControl/>
              <w:jc w:val="left"/>
              <w:rPr>
                <w:rFonts w:hint="eastAsia" w:ascii="宋体" w:hAnsi="宋体" w:cs="宋体"/>
                <w:color w:val="auto"/>
                <w:sz w:val="24"/>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D331915">
            <w:pPr>
              <w:widowControl/>
              <w:jc w:val="left"/>
              <w:rPr>
                <w:rFonts w:hint="eastAsia" w:ascii="宋体" w:hAnsi="宋体" w:cs="宋体"/>
                <w:color w:val="auto"/>
                <w:sz w:val="24"/>
                <w:highlight w:val="none"/>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7C55FFC9">
            <w:pPr>
              <w:pStyle w:val="57"/>
              <w:spacing w:before="161"/>
              <w:jc w:val="center"/>
              <w:rPr>
                <w:rFonts w:hint="eastAsia" w:ascii="宋体" w:hAnsi="宋体" w:cs="宋体"/>
                <w:color w:val="auto"/>
                <w:kern w:val="2"/>
                <w:sz w:val="24"/>
                <w:szCs w:val="24"/>
                <w:highlight w:val="none"/>
              </w:rPr>
            </w:pPr>
            <w:r>
              <w:rPr>
                <w:rFonts w:hint="eastAsia" w:ascii="宋体" w:hAnsi="宋体" w:cs="仿宋_GB2312"/>
                <w:color w:val="auto"/>
                <w:kern w:val="2"/>
                <w:sz w:val="24"/>
                <w:szCs w:val="24"/>
                <w:highlight w:val="none"/>
              </w:rPr>
              <w:t>A02061819</w:t>
            </w:r>
            <w:r>
              <w:rPr>
                <w:rFonts w:hint="eastAsia" w:ascii="宋体" w:hAnsi="宋体" w:cs="宋体"/>
                <w:color w:val="auto"/>
                <w:w w:val="99"/>
                <w:kern w:val="2"/>
                <w:sz w:val="24"/>
                <w:szCs w:val="24"/>
                <w:highlight w:val="none"/>
              </w:rPr>
              <w:t>热水器</w:t>
            </w:r>
          </w:p>
        </w:tc>
        <w:tc>
          <w:tcPr>
            <w:tcW w:w="1530" w:type="dxa"/>
            <w:tcBorders>
              <w:top w:val="single" w:color="000000" w:sz="4" w:space="0"/>
              <w:left w:val="single" w:color="000000" w:sz="4" w:space="0"/>
              <w:bottom w:val="single" w:color="000000" w:sz="4" w:space="0"/>
              <w:right w:val="single" w:color="000000" w:sz="4" w:space="0"/>
            </w:tcBorders>
            <w:vAlign w:val="center"/>
          </w:tcPr>
          <w:p w14:paraId="0A42CBF5">
            <w:pPr>
              <w:pStyle w:val="57"/>
              <w:jc w:val="center"/>
              <w:rPr>
                <w:rFonts w:hint="eastAsia" w:ascii="宋体" w:hAnsi="宋体" w:cs="宋体"/>
                <w:color w:val="auto"/>
                <w:kern w:val="2"/>
                <w:sz w:val="24"/>
                <w:szCs w:val="24"/>
                <w:highlight w:val="none"/>
              </w:rPr>
            </w:pPr>
            <w:r>
              <w:rPr>
                <w:rFonts w:hint="eastAsia" w:ascii="宋体" w:hAnsi="宋体" w:cs="宋体"/>
                <w:color w:val="auto"/>
                <w:w w:val="99"/>
                <w:kern w:val="2"/>
                <w:sz w:val="24"/>
                <w:szCs w:val="24"/>
                <w:highlight w:val="none"/>
              </w:rPr>
              <w:t>★电热</w:t>
            </w:r>
            <w:r>
              <w:rPr>
                <w:rFonts w:hint="eastAsia" w:ascii="宋体" w:hAnsi="宋体" w:cs="宋体"/>
                <w:color w:val="auto"/>
                <w:spacing w:val="2"/>
                <w:w w:val="99"/>
                <w:kern w:val="2"/>
                <w:sz w:val="24"/>
                <w:szCs w:val="24"/>
                <w:highlight w:val="none"/>
              </w:rPr>
              <w:t>水</w:t>
            </w:r>
            <w:r>
              <w:rPr>
                <w:rFonts w:hint="eastAsia" w:ascii="宋体" w:hAnsi="宋体" w:cs="宋体"/>
                <w:color w:val="auto"/>
                <w:w w:val="99"/>
                <w:kern w:val="2"/>
                <w:sz w:val="24"/>
                <w:szCs w:val="24"/>
                <w:highlight w:val="none"/>
              </w:rPr>
              <w:t>器</w:t>
            </w:r>
          </w:p>
        </w:tc>
        <w:tc>
          <w:tcPr>
            <w:tcW w:w="3452" w:type="dxa"/>
            <w:tcBorders>
              <w:top w:val="single" w:color="000000" w:sz="4" w:space="0"/>
              <w:left w:val="single" w:color="000000" w:sz="4" w:space="0"/>
              <w:bottom w:val="single" w:color="000000" w:sz="4" w:space="0"/>
              <w:right w:val="single" w:color="000000" w:sz="4" w:space="0"/>
            </w:tcBorders>
          </w:tcPr>
          <w:p w14:paraId="3F9729A1">
            <w:pPr>
              <w:pStyle w:val="57"/>
              <w:spacing w:before="131" w:line="276" w:lineRule="auto"/>
              <w:ind w:left="7" w:right="4"/>
              <w:rPr>
                <w:rFonts w:hint="eastAsia" w:ascii="宋体" w:hAnsi="宋体" w:cs="宋体"/>
                <w:color w:val="auto"/>
                <w:spacing w:val="10"/>
                <w:kern w:val="2"/>
                <w:sz w:val="24"/>
                <w:szCs w:val="24"/>
                <w:highlight w:val="none"/>
                <w:lang w:eastAsia="zh-CN"/>
              </w:rPr>
            </w:pPr>
            <w:r>
              <w:rPr>
                <w:rFonts w:hint="eastAsia" w:ascii="宋体" w:hAnsi="宋体" w:cs="宋体"/>
                <w:color w:val="auto"/>
                <w:spacing w:val="10"/>
                <w:kern w:val="2"/>
                <w:sz w:val="24"/>
                <w:szCs w:val="24"/>
                <w:highlight w:val="none"/>
                <w:lang w:eastAsia="zh-CN"/>
              </w:rPr>
              <w:t>《储水式电热水器能效限定值及能效等级》（GB21519）</w:t>
            </w:r>
          </w:p>
        </w:tc>
      </w:tr>
      <w:tr w14:paraId="3DC2E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375C13B">
            <w:pPr>
              <w:widowControl/>
              <w:jc w:val="left"/>
              <w:rPr>
                <w:rFonts w:hint="eastAsia" w:ascii="宋体" w:hAnsi="宋体" w:cs="宋体"/>
                <w:color w:val="auto"/>
                <w:sz w:val="24"/>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782C369">
            <w:pPr>
              <w:widowControl/>
              <w:jc w:val="left"/>
              <w:rPr>
                <w:rFonts w:hint="eastAsia" w:ascii="宋体" w:hAnsi="宋体" w:cs="宋体"/>
                <w:color w:val="auto"/>
                <w:sz w:val="24"/>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E8F57DA">
            <w:pPr>
              <w:widowControl/>
              <w:jc w:val="left"/>
              <w:rPr>
                <w:rFonts w:hint="eastAsia" w:ascii="宋体" w:hAnsi="宋体" w:cs="宋体"/>
                <w:color w:val="auto"/>
                <w:sz w:val="24"/>
                <w:highlight w:val="none"/>
              </w:rPr>
            </w:pPr>
          </w:p>
        </w:tc>
        <w:tc>
          <w:tcPr>
            <w:tcW w:w="1530" w:type="dxa"/>
            <w:tcBorders>
              <w:top w:val="single" w:color="000000" w:sz="4" w:space="0"/>
              <w:left w:val="single" w:color="000000" w:sz="4" w:space="0"/>
              <w:bottom w:val="single" w:color="000000" w:sz="4" w:space="0"/>
              <w:right w:val="single" w:color="000000" w:sz="4" w:space="0"/>
            </w:tcBorders>
            <w:vAlign w:val="center"/>
          </w:tcPr>
          <w:p w14:paraId="3C2A35B0">
            <w:pPr>
              <w:pStyle w:val="57"/>
              <w:jc w:val="center"/>
              <w:rPr>
                <w:rFonts w:hint="eastAsia" w:ascii="宋体" w:hAnsi="宋体" w:cs="宋体"/>
                <w:color w:val="auto"/>
                <w:kern w:val="2"/>
                <w:sz w:val="24"/>
                <w:szCs w:val="24"/>
                <w:highlight w:val="none"/>
              </w:rPr>
            </w:pPr>
            <w:r>
              <w:rPr>
                <w:rFonts w:hint="eastAsia" w:ascii="宋体" w:hAnsi="宋体" w:cs="宋体"/>
                <w:color w:val="auto"/>
                <w:w w:val="99"/>
                <w:kern w:val="2"/>
                <w:sz w:val="24"/>
                <w:szCs w:val="24"/>
                <w:highlight w:val="none"/>
              </w:rPr>
              <w:t>燃气热</w:t>
            </w:r>
            <w:r>
              <w:rPr>
                <w:rFonts w:hint="eastAsia" w:ascii="宋体" w:hAnsi="宋体" w:cs="宋体"/>
                <w:color w:val="auto"/>
                <w:spacing w:val="2"/>
                <w:w w:val="99"/>
                <w:kern w:val="2"/>
                <w:sz w:val="24"/>
                <w:szCs w:val="24"/>
                <w:highlight w:val="none"/>
              </w:rPr>
              <w:t>水</w:t>
            </w:r>
            <w:r>
              <w:rPr>
                <w:rFonts w:hint="eastAsia" w:ascii="宋体" w:hAnsi="宋体" w:cs="宋体"/>
                <w:color w:val="auto"/>
                <w:w w:val="99"/>
                <w:kern w:val="2"/>
                <w:sz w:val="24"/>
                <w:szCs w:val="24"/>
                <w:highlight w:val="none"/>
              </w:rPr>
              <w:t>器</w:t>
            </w:r>
          </w:p>
        </w:tc>
        <w:tc>
          <w:tcPr>
            <w:tcW w:w="3452" w:type="dxa"/>
            <w:tcBorders>
              <w:top w:val="single" w:color="000000" w:sz="4" w:space="0"/>
              <w:left w:val="single" w:color="000000" w:sz="4" w:space="0"/>
              <w:bottom w:val="single" w:color="000000" w:sz="4" w:space="0"/>
              <w:right w:val="single" w:color="000000" w:sz="4" w:space="0"/>
            </w:tcBorders>
          </w:tcPr>
          <w:p w14:paraId="3A5A8591">
            <w:pPr>
              <w:pStyle w:val="57"/>
              <w:spacing w:before="131" w:line="276" w:lineRule="auto"/>
              <w:ind w:left="7" w:right="4"/>
              <w:rPr>
                <w:rFonts w:hint="eastAsia" w:ascii="宋体" w:hAnsi="宋体" w:cs="宋体"/>
                <w:color w:val="auto"/>
                <w:spacing w:val="10"/>
                <w:kern w:val="2"/>
                <w:sz w:val="24"/>
                <w:szCs w:val="24"/>
                <w:highlight w:val="none"/>
                <w:lang w:eastAsia="zh-CN"/>
              </w:rPr>
            </w:pPr>
            <w:r>
              <w:rPr>
                <w:rFonts w:hint="eastAsia" w:ascii="宋体" w:hAnsi="宋体" w:cs="宋体"/>
                <w:color w:val="auto"/>
                <w:spacing w:val="10"/>
                <w:kern w:val="2"/>
                <w:sz w:val="24"/>
                <w:szCs w:val="24"/>
                <w:highlight w:val="none"/>
                <w:lang w:eastAsia="zh-CN"/>
              </w:rPr>
              <w:t>《家用燃气快速热水器和燃气采暖热水炉能效限定值及能效等级》（GB20665）</w:t>
            </w:r>
          </w:p>
        </w:tc>
      </w:tr>
      <w:tr w14:paraId="0A90E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8986E5F">
            <w:pPr>
              <w:widowControl/>
              <w:jc w:val="left"/>
              <w:rPr>
                <w:rFonts w:hint="eastAsia" w:ascii="宋体" w:hAnsi="宋体" w:cs="宋体"/>
                <w:color w:val="auto"/>
                <w:sz w:val="24"/>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ACF36B0">
            <w:pPr>
              <w:widowControl/>
              <w:jc w:val="left"/>
              <w:rPr>
                <w:rFonts w:hint="eastAsia" w:ascii="宋体" w:hAnsi="宋体" w:cs="宋体"/>
                <w:color w:val="auto"/>
                <w:sz w:val="24"/>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A71C14C">
            <w:pPr>
              <w:widowControl/>
              <w:jc w:val="left"/>
              <w:rPr>
                <w:rFonts w:hint="eastAsia" w:ascii="宋体" w:hAnsi="宋体" w:cs="宋体"/>
                <w:color w:val="auto"/>
                <w:sz w:val="24"/>
                <w:highlight w:val="none"/>
              </w:rPr>
            </w:pPr>
          </w:p>
        </w:tc>
        <w:tc>
          <w:tcPr>
            <w:tcW w:w="1530" w:type="dxa"/>
            <w:tcBorders>
              <w:top w:val="single" w:color="000000" w:sz="4" w:space="0"/>
              <w:left w:val="single" w:color="000000" w:sz="4" w:space="0"/>
              <w:bottom w:val="single" w:color="000000" w:sz="4" w:space="0"/>
              <w:right w:val="single" w:color="000000" w:sz="4" w:space="0"/>
            </w:tcBorders>
            <w:vAlign w:val="center"/>
          </w:tcPr>
          <w:p w14:paraId="091165C4">
            <w:pPr>
              <w:pStyle w:val="57"/>
              <w:jc w:val="center"/>
              <w:rPr>
                <w:rFonts w:hint="eastAsia" w:ascii="宋体" w:hAnsi="宋体" w:cs="宋体"/>
                <w:color w:val="auto"/>
                <w:kern w:val="2"/>
                <w:sz w:val="24"/>
                <w:szCs w:val="24"/>
                <w:highlight w:val="none"/>
              </w:rPr>
            </w:pPr>
            <w:r>
              <w:rPr>
                <w:rFonts w:hint="eastAsia" w:ascii="宋体" w:hAnsi="宋体" w:cs="宋体"/>
                <w:color w:val="auto"/>
                <w:w w:val="99"/>
                <w:kern w:val="2"/>
                <w:sz w:val="24"/>
                <w:szCs w:val="24"/>
                <w:highlight w:val="none"/>
              </w:rPr>
              <w:t>热泵热</w:t>
            </w:r>
            <w:r>
              <w:rPr>
                <w:rFonts w:hint="eastAsia" w:ascii="宋体" w:hAnsi="宋体" w:cs="宋体"/>
                <w:color w:val="auto"/>
                <w:spacing w:val="2"/>
                <w:w w:val="99"/>
                <w:kern w:val="2"/>
                <w:sz w:val="24"/>
                <w:szCs w:val="24"/>
                <w:highlight w:val="none"/>
              </w:rPr>
              <w:t>水</w:t>
            </w:r>
            <w:r>
              <w:rPr>
                <w:rFonts w:hint="eastAsia" w:ascii="宋体" w:hAnsi="宋体" w:cs="宋体"/>
                <w:color w:val="auto"/>
                <w:w w:val="99"/>
                <w:kern w:val="2"/>
                <w:sz w:val="24"/>
                <w:szCs w:val="24"/>
                <w:highlight w:val="none"/>
              </w:rPr>
              <w:t>器</w:t>
            </w:r>
          </w:p>
        </w:tc>
        <w:tc>
          <w:tcPr>
            <w:tcW w:w="3452" w:type="dxa"/>
            <w:tcBorders>
              <w:top w:val="single" w:color="000000" w:sz="4" w:space="0"/>
              <w:left w:val="single" w:color="000000" w:sz="4" w:space="0"/>
              <w:bottom w:val="single" w:color="000000" w:sz="4" w:space="0"/>
              <w:right w:val="single" w:color="000000" w:sz="4" w:space="0"/>
            </w:tcBorders>
          </w:tcPr>
          <w:p w14:paraId="7B79CBEB">
            <w:pPr>
              <w:pStyle w:val="57"/>
              <w:spacing w:before="131" w:line="276" w:lineRule="auto"/>
              <w:ind w:left="7" w:right="4"/>
              <w:rPr>
                <w:rFonts w:hint="eastAsia" w:ascii="宋体" w:hAnsi="宋体" w:cs="宋体"/>
                <w:color w:val="auto"/>
                <w:spacing w:val="10"/>
                <w:kern w:val="2"/>
                <w:sz w:val="24"/>
                <w:szCs w:val="24"/>
                <w:highlight w:val="none"/>
                <w:lang w:eastAsia="zh-CN"/>
              </w:rPr>
            </w:pPr>
            <w:r>
              <w:rPr>
                <w:rFonts w:hint="eastAsia" w:ascii="宋体" w:hAnsi="宋体" w:cs="宋体"/>
                <w:color w:val="auto"/>
                <w:spacing w:val="10"/>
                <w:kern w:val="2"/>
                <w:sz w:val="24"/>
                <w:szCs w:val="24"/>
                <w:highlight w:val="none"/>
                <w:lang w:eastAsia="zh-CN"/>
              </w:rPr>
              <w:t>《热泵热水机（器）能效限定值及能效等级》（GB29541）</w:t>
            </w:r>
          </w:p>
        </w:tc>
      </w:tr>
      <w:tr w14:paraId="0AA4D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4FA2676">
            <w:pPr>
              <w:widowControl/>
              <w:jc w:val="left"/>
              <w:rPr>
                <w:rFonts w:hint="eastAsia" w:ascii="宋体" w:hAnsi="宋体" w:cs="宋体"/>
                <w:color w:val="auto"/>
                <w:sz w:val="24"/>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BA2744E">
            <w:pPr>
              <w:widowControl/>
              <w:jc w:val="left"/>
              <w:rPr>
                <w:rFonts w:hint="eastAsia" w:ascii="宋体" w:hAnsi="宋体" w:cs="宋体"/>
                <w:color w:val="auto"/>
                <w:sz w:val="24"/>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2549C7D">
            <w:pPr>
              <w:widowControl/>
              <w:jc w:val="left"/>
              <w:rPr>
                <w:rFonts w:hint="eastAsia" w:ascii="宋体" w:hAnsi="宋体" w:cs="宋体"/>
                <w:color w:val="auto"/>
                <w:sz w:val="24"/>
                <w:highlight w:val="none"/>
              </w:rPr>
            </w:pPr>
          </w:p>
        </w:tc>
        <w:tc>
          <w:tcPr>
            <w:tcW w:w="1530" w:type="dxa"/>
            <w:tcBorders>
              <w:top w:val="single" w:color="000000" w:sz="4" w:space="0"/>
              <w:left w:val="single" w:color="000000" w:sz="4" w:space="0"/>
              <w:bottom w:val="single" w:color="000000" w:sz="4" w:space="0"/>
              <w:right w:val="single" w:color="000000" w:sz="4" w:space="0"/>
            </w:tcBorders>
            <w:vAlign w:val="center"/>
          </w:tcPr>
          <w:p w14:paraId="6304648A">
            <w:pPr>
              <w:pStyle w:val="57"/>
              <w:jc w:val="center"/>
              <w:rPr>
                <w:rFonts w:hint="eastAsia" w:ascii="宋体" w:hAnsi="宋体" w:cs="宋体"/>
                <w:color w:val="auto"/>
                <w:kern w:val="2"/>
                <w:sz w:val="24"/>
                <w:szCs w:val="24"/>
                <w:highlight w:val="none"/>
              </w:rPr>
            </w:pPr>
            <w:r>
              <w:rPr>
                <w:rFonts w:hint="eastAsia" w:ascii="宋体" w:hAnsi="宋体" w:cs="宋体"/>
                <w:color w:val="auto"/>
                <w:w w:val="99"/>
                <w:kern w:val="2"/>
                <w:sz w:val="24"/>
                <w:szCs w:val="24"/>
                <w:highlight w:val="none"/>
              </w:rPr>
              <w:t>太阳能</w:t>
            </w:r>
            <w:r>
              <w:rPr>
                <w:rFonts w:hint="eastAsia" w:ascii="宋体" w:hAnsi="宋体" w:cs="宋体"/>
                <w:color w:val="auto"/>
                <w:spacing w:val="2"/>
                <w:w w:val="99"/>
                <w:kern w:val="2"/>
                <w:sz w:val="24"/>
                <w:szCs w:val="24"/>
                <w:highlight w:val="none"/>
              </w:rPr>
              <w:t>热</w:t>
            </w:r>
            <w:r>
              <w:rPr>
                <w:rFonts w:hint="eastAsia" w:ascii="宋体" w:hAnsi="宋体" w:cs="宋体"/>
                <w:color w:val="auto"/>
                <w:w w:val="99"/>
                <w:kern w:val="2"/>
                <w:sz w:val="24"/>
                <w:szCs w:val="24"/>
                <w:highlight w:val="none"/>
              </w:rPr>
              <w:t>水系统</w:t>
            </w:r>
          </w:p>
        </w:tc>
        <w:tc>
          <w:tcPr>
            <w:tcW w:w="3452" w:type="dxa"/>
            <w:tcBorders>
              <w:top w:val="single" w:color="000000" w:sz="4" w:space="0"/>
              <w:left w:val="single" w:color="000000" w:sz="4" w:space="0"/>
              <w:bottom w:val="single" w:color="000000" w:sz="4" w:space="0"/>
              <w:right w:val="single" w:color="000000" w:sz="4" w:space="0"/>
            </w:tcBorders>
          </w:tcPr>
          <w:p w14:paraId="3A91E903">
            <w:pPr>
              <w:pStyle w:val="57"/>
              <w:spacing w:before="131" w:line="276" w:lineRule="auto"/>
              <w:ind w:left="7" w:right="4"/>
              <w:rPr>
                <w:rFonts w:hint="eastAsia" w:ascii="宋体" w:hAnsi="宋体" w:cs="宋体"/>
                <w:color w:val="auto"/>
                <w:spacing w:val="10"/>
                <w:kern w:val="2"/>
                <w:sz w:val="24"/>
                <w:szCs w:val="24"/>
                <w:highlight w:val="none"/>
                <w:lang w:eastAsia="zh-CN"/>
              </w:rPr>
            </w:pPr>
            <w:r>
              <w:rPr>
                <w:rFonts w:hint="eastAsia" w:ascii="宋体" w:hAnsi="宋体" w:cs="宋体"/>
                <w:color w:val="auto"/>
                <w:spacing w:val="10"/>
                <w:kern w:val="2"/>
                <w:sz w:val="24"/>
                <w:szCs w:val="24"/>
                <w:highlight w:val="none"/>
                <w:lang w:eastAsia="zh-CN"/>
              </w:rPr>
              <w:t>《家用太阳能热水系统能效限定值及能效等级》（GB26969）</w:t>
            </w:r>
          </w:p>
        </w:tc>
      </w:tr>
      <w:tr w14:paraId="138EF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7164115A">
            <w:pPr>
              <w:pStyle w:val="57"/>
              <w:jc w:val="center"/>
              <w:rPr>
                <w:rFonts w:hint="eastAsia" w:ascii="宋体" w:hAnsi="宋体" w:cs="宋体"/>
                <w:color w:val="auto"/>
                <w:kern w:val="2"/>
                <w:sz w:val="24"/>
                <w:szCs w:val="24"/>
                <w:highlight w:val="none"/>
              </w:rPr>
            </w:pPr>
            <w:r>
              <w:rPr>
                <w:rFonts w:hint="eastAsia" w:ascii="宋体" w:hAnsi="宋体"/>
                <w:color w:val="auto"/>
                <w:spacing w:val="1"/>
                <w:w w:val="99"/>
                <w:kern w:val="2"/>
                <w:sz w:val="24"/>
                <w:szCs w:val="24"/>
                <w:highlight w:val="none"/>
              </w:rPr>
              <w:t>1</w:t>
            </w:r>
            <w:r>
              <w:rPr>
                <w:rFonts w:hint="eastAsia" w:ascii="宋体" w:hAnsi="宋体"/>
                <w:color w:val="auto"/>
                <w:w w:val="99"/>
                <w:kern w:val="2"/>
                <w:sz w:val="24"/>
                <w:szCs w:val="24"/>
                <w:highlight w:val="none"/>
              </w:rPr>
              <w:t>1</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26FA92BF">
            <w:pPr>
              <w:pStyle w:val="57"/>
              <w:spacing w:before="157"/>
              <w:jc w:val="center"/>
              <w:rPr>
                <w:rFonts w:hint="eastAsia" w:ascii="宋体" w:hAnsi="宋体" w:cs="宋体"/>
                <w:color w:val="auto"/>
                <w:kern w:val="2"/>
                <w:sz w:val="24"/>
                <w:szCs w:val="24"/>
                <w:highlight w:val="none"/>
              </w:rPr>
            </w:pPr>
            <w:r>
              <w:rPr>
                <w:rFonts w:hint="eastAsia" w:ascii="宋体" w:hAnsi="宋体" w:cs="宋体"/>
                <w:color w:val="auto"/>
                <w:spacing w:val="1"/>
                <w:w w:val="99"/>
                <w:kern w:val="2"/>
                <w:sz w:val="24"/>
                <w:szCs w:val="24"/>
                <w:highlight w:val="none"/>
              </w:rPr>
              <w:t>A02</w:t>
            </w:r>
            <w:r>
              <w:rPr>
                <w:rFonts w:hint="eastAsia" w:ascii="宋体" w:hAnsi="宋体" w:cs="宋体"/>
                <w:color w:val="auto"/>
                <w:w w:val="99"/>
                <w:kern w:val="2"/>
                <w:sz w:val="24"/>
                <w:szCs w:val="24"/>
                <w:highlight w:val="none"/>
              </w:rPr>
              <w:t>06</w:t>
            </w:r>
            <w:r>
              <w:rPr>
                <w:rFonts w:hint="eastAsia" w:ascii="宋体" w:hAnsi="宋体" w:cs="宋体"/>
                <w:color w:val="auto"/>
                <w:spacing w:val="1"/>
                <w:w w:val="99"/>
                <w:kern w:val="2"/>
                <w:sz w:val="24"/>
                <w:szCs w:val="24"/>
                <w:highlight w:val="none"/>
              </w:rPr>
              <w:t>1</w:t>
            </w:r>
            <w:r>
              <w:rPr>
                <w:rFonts w:hint="eastAsia" w:ascii="宋体" w:hAnsi="宋体" w:cs="宋体"/>
                <w:color w:val="auto"/>
                <w:w w:val="99"/>
                <w:kern w:val="2"/>
                <w:sz w:val="24"/>
                <w:szCs w:val="24"/>
                <w:highlight w:val="none"/>
              </w:rPr>
              <w:t>900照明设备</w:t>
            </w:r>
          </w:p>
        </w:tc>
        <w:tc>
          <w:tcPr>
            <w:tcW w:w="1496" w:type="dxa"/>
            <w:tcBorders>
              <w:top w:val="single" w:color="000000" w:sz="4" w:space="0"/>
              <w:left w:val="single" w:color="000000" w:sz="4" w:space="0"/>
              <w:bottom w:val="single" w:color="000000" w:sz="4" w:space="0"/>
              <w:right w:val="single" w:color="000000" w:sz="4" w:space="0"/>
            </w:tcBorders>
            <w:vAlign w:val="center"/>
          </w:tcPr>
          <w:p w14:paraId="75DC7656">
            <w:pPr>
              <w:pStyle w:val="57"/>
              <w:spacing w:before="133" w:line="276" w:lineRule="auto"/>
              <w:ind w:left="7" w:right="7"/>
              <w:jc w:val="center"/>
              <w:rPr>
                <w:rFonts w:hint="eastAsia" w:ascii="宋体" w:hAnsi="宋体" w:cs="宋体"/>
                <w:color w:val="auto"/>
                <w:kern w:val="2"/>
                <w:sz w:val="24"/>
                <w:szCs w:val="24"/>
                <w:highlight w:val="none"/>
                <w:lang w:eastAsia="zh-CN"/>
              </w:rPr>
            </w:pPr>
            <w:r>
              <w:rPr>
                <w:rFonts w:hint="eastAsia" w:ascii="宋体" w:hAnsi="宋体" w:cs="宋体"/>
                <w:color w:val="auto"/>
                <w:w w:val="99"/>
                <w:kern w:val="2"/>
                <w:sz w:val="24"/>
                <w:szCs w:val="24"/>
                <w:highlight w:val="none"/>
                <w:lang w:eastAsia="zh-CN"/>
              </w:rPr>
              <w:t>★普通照明用双端荧光灯</w:t>
            </w:r>
          </w:p>
        </w:tc>
        <w:tc>
          <w:tcPr>
            <w:tcW w:w="1530" w:type="dxa"/>
            <w:tcBorders>
              <w:top w:val="single" w:color="000000" w:sz="4" w:space="0"/>
              <w:left w:val="single" w:color="000000" w:sz="4" w:space="0"/>
              <w:bottom w:val="single" w:color="000000" w:sz="4" w:space="0"/>
              <w:right w:val="single" w:color="000000" w:sz="4" w:space="0"/>
            </w:tcBorders>
            <w:vAlign w:val="center"/>
          </w:tcPr>
          <w:p w14:paraId="25B4AFFD">
            <w:pPr>
              <w:jc w:val="center"/>
              <w:rPr>
                <w:rFonts w:hint="eastAsia" w:ascii="宋体" w:hAnsi="宋体"/>
                <w:color w:val="auto"/>
                <w:sz w:val="24"/>
                <w:highlight w:val="none"/>
              </w:rPr>
            </w:pPr>
          </w:p>
        </w:tc>
        <w:tc>
          <w:tcPr>
            <w:tcW w:w="3452" w:type="dxa"/>
            <w:tcBorders>
              <w:top w:val="single" w:color="000000" w:sz="4" w:space="0"/>
              <w:left w:val="single" w:color="000000" w:sz="4" w:space="0"/>
              <w:bottom w:val="single" w:color="000000" w:sz="4" w:space="0"/>
              <w:right w:val="single" w:color="000000" w:sz="4" w:space="0"/>
            </w:tcBorders>
          </w:tcPr>
          <w:p w14:paraId="1FD0425F">
            <w:pPr>
              <w:pStyle w:val="57"/>
              <w:spacing w:before="131" w:line="276" w:lineRule="auto"/>
              <w:ind w:left="7" w:right="4"/>
              <w:rPr>
                <w:rFonts w:hint="eastAsia" w:ascii="宋体" w:hAnsi="宋体" w:cs="宋体"/>
                <w:color w:val="auto"/>
                <w:spacing w:val="10"/>
                <w:kern w:val="2"/>
                <w:sz w:val="24"/>
                <w:szCs w:val="24"/>
                <w:highlight w:val="none"/>
                <w:lang w:eastAsia="zh-CN"/>
              </w:rPr>
            </w:pPr>
            <w:r>
              <w:rPr>
                <w:rFonts w:hint="eastAsia" w:ascii="宋体" w:hAnsi="宋体" w:cs="宋体"/>
                <w:color w:val="auto"/>
                <w:spacing w:val="10"/>
                <w:kern w:val="2"/>
                <w:sz w:val="24"/>
                <w:szCs w:val="24"/>
                <w:highlight w:val="none"/>
                <w:lang w:eastAsia="zh-CN"/>
              </w:rPr>
              <w:t>《普通照明用双端荧光灯能效限定值及能效等级》（GB19043）</w:t>
            </w:r>
          </w:p>
        </w:tc>
      </w:tr>
      <w:tr w14:paraId="2024D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EE3E75C">
            <w:pPr>
              <w:widowControl/>
              <w:jc w:val="left"/>
              <w:rPr>
                <w:rFonts w:hint="eastAsia" w:ascii="宋体" w:hAnsi="宋体" w:cs="宋体"/>
                <w:color w:val="auto"/>
                <w:sz w:val="24"/>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82FB633">
            <w:pPr>
              <w:widowControl/>
              <w:jc w:val="left"/>
              <w:rPr>
                <w:rFonts w:hint="eastAsia" w:ascii="宋体" w:hAnsi="宋体" w:cs="宋体"/>
                <w:color w:val="auto"/>
                <w:sz w:val="24"/>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196D8D15">
            <w:pPr>
              <w:pStyle w:val="57"/>
              <w:spacing w:before="92" w:line="276" w:lineRule="auto"/>
              <w:ind w:left="7" w:right="2"/>
              <w:jc w:val="center"/>
              <w:rPr>
                <w:rFonts w:hint="eastAsia" w:ascii="宋体" w:hAnsi="宋体" w:cs="宋体"/>
                <w:color w:val="auto"/>
                <w:kern w:val="2"/>
                <w:sz w:val="24"/>
                <w:szCs w:val="24"/>
                <w:highlight w:val="none"/>
              </w:rPr>
            </w:pPr>
            <w:r>
              <w:rPr>
                <w:rFonts w:hint="eastAsia" w:ascii="宋体" w:hAnsi="宋体" w:cs="宋体"/>
                <w:color w:val="auto"/>
                <w:spacing w:val="1"/>
                <w:w w:val="99"/>
                <w:kern w:val="2"/>
                <w:sz w:val="24"/>
                <w:szCs w:val="24"/>
                <w:highlight w:val="none"/>
              </w:rPr>
              <w:t>LE</w:t>
            </w:r>
            <w:r>
              <w:rPr>
                <w:rFonts w:hint="eastAsia" w:ascii="宋体" w:hAnsi="宋体" w:cs="宋体"/>
                <w:color w:val="auto"/>
                <w:w w:val="99"/>
                <w:kern w:val="2"/>
                <w:sz w:val="24"/>
                <w:szCs w:val="24"/>
                <w:highlight w:val="none"/>
              </w:rPr>
              <w:t>D</w:t>
            </w:r>
            <w:r>
              <w:rPr>
                <w:rFonts w:hint="eastAsia" w:ascii="宋体" w:hAnsi="宋体" w:cs="宋体"/>
                <w:color w:val="auto"/>
                <w:spacing w:val="12"/>
                <w:w w:val="99"/>
                <w:kern w:val="2"/>
                <w:sz w:val="24"/>
                <w:szCs w:val="24"/>
                <w:highlight w:val="none"/>
              </w:rPr>
              <w:t>道</w:t>
            </w:r>
            <w:r>
              <w:rPr>
                <w:rFonts w:hint="eastAsia" w:ascii="宋体" w:hAnsi="宋体" w:cs="宋体"/>
                <w:color w:val="auto"/>
                <w:spacing w:val="9"/>
                <w:w w:val="99"/>
                <w:kern w:val="2"/>
                <w:sz w:val="24"/>
                <w:szCs w:val="24"/>
                <w:highlight w:val="none"/>
              </w:rPr>
              <w:t>路</w:t>
            </w:r>
            <w:r>
              <w:rPr>
                <w:rFonts w:hint="eastAsia" w:ascii="宋体" w:hAnsi="宋体" w:cs="宋体"/>
                <w:color w:val="auto"/>
                <w:spacing w:val="13"/>
                <w:w w:val="99"/>
                <w:kern w:val="2"/>
                <w:sz w:val="24"/>
                <w:szCs w:val="24"/>
                <w:highlight w:val="none"/>
              </w:rPr>
              <w:t>/</w:t>
            </w:r>
            <w:r>
              <w:rPr>
                <w:rFonts w:hint="eastAsia" w:ascii="宋体" w:hAnsi="宋体" w:cs="宋体"/>
                <w:color w:val="auto"/>
                <w:spacing w:val="12"/>
                <w:w w:val="99"/>
                <w:kern w:val="2"/>
                <w:sz w:val="24"/>
                <w:szCs w:val="24"/>
                <w:highlight w:val="none"/>
              </w:rPr>
              <w:t>隧道照</w:t>
            </w:r>
            <w:r>
              <w:rPr>
                <w:rFonts w:hint="eastAsia" w:ascii="宋体" w:hAnsi="宋体" w:cs="宋体"/>
                <w:color w:val="auto"/>
                <w:w w:val="99"/>
                <w:kern w:val="2"/>
                <w:sz w:val="24"/>
                <w:szCs w:val="24"/>
                <w:highlight w:val="none"/>
              </w:rPr>
              <w:t>明产品</w:t>
            </w:r>
          </w:p>
        </w:tc>
        <w:tc>
          <w:tcPr>
            <w:tcW w:w="1530" w:type="dxa"/>
            <w:tcBorders>
              <w:top w:val="single" w:color="000000" w:sz="4" w:space="0"/>
              <w:left w:val="single" w:color="000000" w:sz="4" w:space="0"/>
              <w:bottom w:val="single" w:color="000000" w:sz="4" w:space="0"/>
              <w:right w:val="single" w:color="000000" w:sz="4" w:space="0"/>
            </w:tcBorders>
            <w:vAlign w:val="center"/>
          </w:tcPr>
          <w:p w14:paraId="1ACA2E35">
            <w:pPr>
              <w:jc w:val="center"/>
              <w:rPr>
                <w:rFonts w:hint="eastAsia" w:ascii="宋体" w:hAnsi="宋体"/>
                <w:color w:val="auto"/>
                <w:sz w:val="24"/>
                <w:highlight w:val="none"/>
              </w:rPr>
            </w:pPr>
          </w:p>
        </w:tc>
        <w:tc>
          <w:tcPr>
            <w:tcW w:w="3452" w:type="dxa"/>
            <w:tcBorders>
              <w:top w:val="single" w:color="000000" w:sz="4" w:space="0"/>
              <w:left w:val="single" w:color="000000" w:sz="4" w:space="0"/>
              <w:bottom w:val="single" w:color="000000" w:sz="4" w:space="0"/>
              <w:right w:val="single" w:color="000000" w:sz="4" w:space="0"/>
            </w:tcBorders>
          </w:tcPr>
          <w:p w14:paraId="595B56FB">
            <w:pPr>
              <w:pStyle w:val="57"/>
              <w:spacing w:before="131" w:line="276" w:lineRule="auto"/>
              <w:ind w:left="7" w:right="4"/>
              <w:rPr>
                <w:rFonts w:hint="eastAsia" w:ascii="宋体" w:hAnsi="宋体" w:cs="宋体"/>
                <w:color w:val="auto"/>
                <w:spacing w:val="10"/>
                <w:kern w:val="2"/>
                <w:sz w:val="24"/>
                <w:szCs w:val="24"/>
                <w:highlight w:val="none"/>
                <w:lang w:eastAsia="zh-CN"/>
              </w:rPr>
            </w:pPr>
            <w:r>
              <w:rPr>
                <w:rFonts w:hint="eastAsia" w:ascii="宋体" w:hAnsi="宋体" w:cs="宋体"/>
                <w:color w:val="auto"/>
                <w:spacing w:val="10"/>
                <w:kern w:val="2"/>
                <w:sz w:val="24"/>
                <w:szCs w:val="24"/>
                <w:highlight w:val="none"/>
                <w:lang w:eastAsia="zh-CN"/>
              </w:rPr>
              <w:t>《道路和隧道照明用LED灯具能效限定值及能效等级》（GB37478）</w:t>
            </w:r>
          </w:p>
        </w:tc>
      </w:tr>
      <w:tr w14:paraId="06DE8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F4F2A2A">
            <w:pPr>
              <w:widowControl/>
              <w:jc w:val="left"/>
              <w:rPr>
                <w:rFonts w:hint="eastAsia" w:ascii="宋体" w:hAnsi="宋体" w:cs="宋体"/>
                <w:color w:val="auto"/>
                <w:sz w:val="24"/>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B116F1D">
            <w:pPr>
              <w:widowControl/>
              <w:jc w:val="left"/>
              <w:rPr>
                <w:rFonts w:hint="eastAsia" w:ascii="宋体" w:hAnsi="宋体" w:cs="宋体"/>
                <w:color w:val="auto"/>
                <w:sz w:val="24"/>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46E08DEA">
            <w:pPr>
              <w:pStyle w:val="57"/>
              <w:jc w:val="center"/>
              <w:rPr>
                <w:rFonts w:hint="eastAsia" w:ascii="宋体" w:hAnsi="宋体" w:cs="宋体"/>
                <w:color w:val="auto"/>
                <w:kern w:val="2"/>
                <w:sz w:val="24"/>
                <w:szCs w:val="24"/>
                <w:highlight w:val="none"/>
              </w:rPr>
            </w:pPr>
            <w:r>
              <w:rPr>
                <w:rFonts w:hint="eastAsia" w:ascii="宋体" w:hAnsi="宋体" w:cs="宋体"/>
                <w:color w:val="auto"/>
                <w:spacing w:val="1"/>
                <w:w w:val="99"/>
                <w:kern w:val="2"/>
                <w:sz w:val="24"/>
                <w:szCs w:val="24"/>
                <w:highlight w:val="none"/>
              </w:rPr>
              <w:t>LE</w:t>
            </w:r>
            <w:r>
              <w:rPr>
                <w:rFonts w:hint="eastAsia" w:ascii="宋体" w:hAnsi="宋体" w:cs="宋体"/>
                <w:color w:val="auto"/>
                <w:w w:val="99"/>
                <w:kern w:val="2"/>
                <w:sz w:val="24"/>
                <w:szCs w:val="24"/>
                <w:highlight w:val="none"/>
              </w:rPr>
              <w:t>D筒灯</w:t>
            </w:r>
          </w:p>
        </w:tc>
        <w:tc>
          <w:tcPr>
            <w:tcW w:w="1530" w:type="dxa"/>
            <w:tcBorders>
              <w:top w:val="single" w:color="000000" w:sz="4" w:space="0"/>
              <w:left w:val="single" w:color="000000" w:sz="4" w:space="0"/>
              <w:bottom w:val="single" w:color="000000" w:sz="4" w:space="0"/>
              <w:right w:val="single" w:color="000000" w:sz="4" w:space="0"/>
            </w:tcBorders>
            <w:vAlign w:val="center"/>
          </w:tcPr>
          <w:p w14:paraId="2FB136CE">
            <w:pPr>
              <w:jc w:val="center"/>
              <w:rPr>
                <w:rFonts w:hint="eastAsia" w:ascii="宋体" w:hAnsi="宋体"/>
                <w:color w:val="auto"/>
                <w:sz w:val="24"/>
                <w:highlight w:val="none"/>
              </w:rPr>
            </w:pPr>
          </w:p>
        </w:tc>
        <w:tc>
          <w:tcPr>
            <w:tcW w:w="3452" w:type="dxa"/>
            <w:tcBorders>
              <w:top w:val="single" w:color="000000" w:sz="4" w:space="0"/>
              <w:left w:val="single" w:color="000000" w:sz="4" w:space="0"/>
              <w:bottom w:val="single" w:color="000000" w:sz="4" w:space="0"/>
              <w:right w:val="single" w:color="000000" w:sz="4" w:space="0"/>
            </w:tcBorders>
          </w:tcPr>
          <w:p w14:paraId="3C904CC9">
            <w:pPr>
              <w:pStyle w:val="57"/>
              <w:spacing w:before="131" w:line="276" w:lineRule="auto"/>
              <w:ind w:left="7" w:right="4"/>
              <w:rPr>
                <w:rFonts w:hint="eastAsia" w:ascii="宋体" w:hAnsi="宋体" w:cs="宋体"/>
                <w:color w:val="auto"/>
                <w:spacing w:val="10"/>
                <w:kern w:val="2"/>
                <w:sz w:val="24"/>
                <w:szCs w:val="24"/>
                <w:highlight w:val="none"/>
                <w:lang w:eastAsia="zh-CN"/>
              </w:rPr>
            </w:pPr>
            <w:r>
              <w:rPr>
                <w:rFonts w:hint="eastAsia" w:ascii="宋体" w:hAnsi="宋体" w:cs="宋体"/>
                <w:color w:val="auto"/>
                <w:spacing w:val="10"/>
                <w:kern w:val="2"/>
                <w:sz w:val="24"/>
                <w:szCs w:val="24"/>
                <w:highlight w:val="none"/>
                <w:lang w:eastAsia="zh-CN"/>
              </w:rPr>
              <w:t>《室内照明用LED产品能效限定值及能效等级》（GB30255）</w:t>
            </w:r>
          </w:p>
        </w:tc>
      </w:tr>
      <w:tr w14:paraId="33F18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2EABA24">
            <w:pPr>
              <w:widowControl/>
              <w:jc w:val="left"/>
              <w:rPr>
                <w:rFonts w:hint="eastAsia" w:ascii="宋体" w:hAnsi="宋体" w:cs="宋体"/>
                <w:color w:val="auto"/>
                <w:sz w:val="24"/>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1F3BA37">
            <w:pPr>
              <w:widowControl/>
              <w:jc w:val="left"/>
              <w:rPr>
                <w:rFonts w:hint="eastAsia" w:ascii="宋体" w:hAnsi="宋体" w:cs="宋体"/>
                <w:color w:val="auto"/>
                <w:sz w:val="24"/>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1E3BA03B">
            <w:pPr>
              <w:pStyle w:val="57"/>
              <w:spacing w:line="276" w:lineRule="auto"/>
              <w:ind w:right="7"/>
              <w:jc w:val="center"/>
              <w:rPr>
                <w:rFonts w:hint="eastAsia" w:ascii="宋体" w:hAnsi="宋体" w:cs="宋体"/>
                <w:color w:val="auto"/>
                <w:kern w:val="2"/>
                <w:sz w:val="24"/>
                <w:szCs w:val="24"/>
                <w:highlight w:val="none"/>
                <w:lang w:eastAsia="zh-CN"/>
              </w:rPr>
            </w:pPr>
            <w:r>
              <w:rPr>
                <w:rFonts w:hint="eastAsia" w:ascii="宋体" w:hAnsi="宋体" w:cs="宋体"/>
                <w:color w:val="auto"/>
                <w:w w:val="99"/>
                <w:kern w:val="2"/>
                <w:sz w:val="24"/>
                <w:szCs w:val="24"/>
                <w:highlight w:val="none"/>
                <w:lang w:eastAsia="zh-CN"/>
              </w:rPr>
              <w:t>普</w:t>
            </w:r>
            <w:r>
              <w:rPr>
                <w:rFonts w:hint="eastAsia" w:ascii="宋体" w:hAnsi="宋体" w:cs="宋体"/>
                <w:color w:val="auto"/>
                <w:spacing w:val="24"/>
                <w:w w:val="99"/>
                <w:kern w:val="2"/>
                <w:sz w:val="24"/>
                <w:szCs w:val="24"/>
                <w:highlight w:val="none"/>
                <w:lang w:eastAsia="zh-CN"/>
              </w:rPr>
              <w:t>通</w:t>
            </w:r>
            <w:r>
              <w:rPr>
                <w:rFonts w:hint="eastAsia" w:ascii="宋体" w:hAnsi="宋体" w:cs="宋体"/>
                <w:color w:val="auto"/>
                <w:w w:val="99"/>
                <w:kern w:val="2"/>
                <w:sz w:val="24"/>
                <w:szCs w:val="24"/>
                <w:highlight w:val="none"/>
                <w:lang w:eastAsia="zh-CN"/>
              </w:rPr>
              <w:t>照明用非</w:t>
            </w:r>
            <w:r>
              <w:rPr>
                <w:rFonts w:hint="eastAsia" w:ascii="宋体" w:hAnsi="宋体" w:cs="宋体"/>
                <w:color w:val="auto"/>
                <w:spacing w:val="24"/>
                <w:w w:val="99"/>
                <w:kern w:val="2"/>
                <w:sz w:val="24"/>
                <w:szCs w:val="24"/>
                <w:highlight w:val="none"/>
                <w:lang w:eastAsia="zh-CN"/>
              </w:rPr>
              <w:t>定</w:t>
            </w:r>
            <w:r>
              <w:rPr>
                <w:rFonts w:hint="eastAsia" w:ascii="宋体" w:hAnsi="宋体" w:cs="宋体"/>
                <w:color w:val="auto"/>
                <w:w w:val="99"/>
                <w:kern w:val="2"/>
                <w:sz w:val="24"/>
                <w:szCs w:val="24"/>
                <w:highlight w:val="none"/>
                <w:lang w:eastAsia="zh-CN"/>
              </w:rPr>
              <w:t>向自镇流</w:t>
            </w:r>
            <w:r>
              <w:rPr>
                <w:rFonts w:hint="eastAsia" w:ascii="宋体" w:hAnsi="宋体" w:cs="宋体"/>
                <w:color w:val="auto"/>
                <w:spacing w:val="1"/>
                <w:w w:val="99"/>
                <w:kern w:val="2"/>
                <w:sz w:val="24"/>
                <w:szCs w:val="24"/>
                <w:highlight w:val="none"/>
                <w:lang w:eastAsia="zh-CN"/>
              </w:rPr>
              <w:t>LE</w:t>
            </w:r>
            <w:r>
              <w:rPr>
                <w:rFonts w:hint="eastAsia" w:ascii="宋体" w:hAnsi="宋体" w:cs="宋体"/>
                <w:color w:val="auto"/>
                <w:w w:val="99"/>
                <w:kern w:val="2"/>
                <w:sz w:val="24"/>
                <w:szCs w:val="24"/>
                <w:highlight w:val="none"/>
                <w:lang w:eastAsia="zh-CN"/>
              </w:rPr>
              <w:t>D灯</w:t>
            </w:r>
          </w:p>
        </w:tc>
        <w:tc>
          <w:tcPr>
            <w:tcW w:w="1530" w:type="dxa"/>
            <w:tcBorders>
              <w:top w:val="single" w:color="000000" w:sz="4" w:space="0"/>
              <w:left w:val="single" w:color="000000" w:sz="4" w:space="0"/>
              <w:bottom w:val="single" w:color="000000" w:sz="4" w:space="0"/>
              <w:right w:val="single" w:color="000000" w:sz="4" w:space="0"/>
            </w:tcBorders>
            <w:vAlign w:val="center"/>
          </w:tcPr>
          <w:p w14:paraId="707EBF83">
            <w:pPr>
              <w:jc w:val="center"/>
              <w:rPr>
                <w:rFonts w:hint="eastAsia" w:ascii="宋体" w:hAnsi="宋体"/>
                <w:color w:val="auto"/>
                <w:sz w:val="24"/>
                <w:highlight w:val="none"/>
              </w:rPr>
            </w:pPr>
          </w:p>
        </w:tc>
        <w:tc>
          <w:tcPr>
            <w:tcW w:w="3452" w:type="dxa"/>
            <w:tcBorders>
              <w:top w:val="single" w:color="000000" w:sz="4" w:space="0"/>
              <w:left w:val="single" w:color="000000" w:sz="4" w:space="0"/>
              <w:bottom w:val="single" w:color="000000" w:sz="4" w:space="0"/>
              <w:right w:val="single" w:color="000000" w:sz="4" w:space="0"/>
            </w:tcBorders>
          </w:tcPr>
          <w:p w14:paraId="4985FAC0">
            <w:pPr>
              <w:pStyle w:val="57"/>
              <w:spacing w:before="131" w:line="276" w:lineRule="auto"/>
              <w:ind w:left="7" w:right="4"/>
              <w:rPr>
                <w:rFonts w:hint="eastAsia" w:ascii="宋体" w:hAnsi="宋体" w:cs="宋体"/>
                <w:color w:val="auto"/>
                <w:spacing w:val="10"/>
                <w:kern w:val="2"/>
                <w:sz w:val="24"/>
                <w:szCs w:val="24"/>
                <w:highlight w:val="none"/>
                <w:lang w:eastAsia="zh-CN"/>
              </w:rPr>
            </w:pPr>
            <w:r>
              <w:rPr>
                <w:rFonts w:hint="eastAsia" w:ascii="宋体" w:hAnsi="宋体" w:cs="宋体"/>
                <w:color w:val="auto"/>
                <w:spacing w:val="10"/>
                <w:kern w:val="2"/>
                <w:sz w:val="24"/>
                <w:szCs w:val="24"/>
                <w:highlight w:val="none"/>
                <w:lang w:eastAsia="zh-CN"/>
              </w:rPr>
              <w:t>《室内照明用LED产品能效限定值及能效等级》（GB30255）</w:t>
            </w:r>
          </w:p>
        </w:tc>
      </w:tr>
      <w:tr w14:paraId="56C97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5334A1C8">
            <w:pPr>
              <w:pStyle w:val="57"/>
              <w:jc w:val="center"/>
              <w:rPr>
                <w:rFonts w:hint="eastAsia" w:ascii="宋体" w:hAnsi="宋体" w:cs="宋体"/>
                <w:color w:val="auto"/>
                <w:kern w:val="2"/>
                <w:sz w:val="24"/>
                <w:szCs w:val="24"/>
                <w:highlight w:val="none"/>
              </w:rPr>
            </w:pPr>
            <w:r>
              <w:rPr>
                <w:rFonts w:hint="eastAsia" w:ascii="宋体" w:hAnsi="宋体"/>
                <w:color w:val="auto"/>
                <w:spacing w:val="1"/>
                <w:w w:val="99"/>
                <w:kern w:val="2"/>
                <w:sz w:val="24"/>
                <w:szCs w:val="24"/>
                <w:highlight w:val="none"/>
              </w:rPr>
              <w:t>1</w:t>
            </w:r>
            <w:r>
              <w:rPr>
                <w:rFonts w:hint="eastAsia" w:ascii="宋体" w:hAnsi="宋体"/>
                <w:color w:val="auto"/>
                <w:w w:val="99"/>
                <w:kern w:val="2"/>
                <w:sz w:val="24"/>
                <w:szCs w:val="24"/>
                <w:highlight w:val="none"/>
              </w:rPr>
              <w:t>2</w:t>
            </w:r>
          </w:p>
        </w:tc>
        <w:tc>
          <w:tcPr>
            <w:tcW w:w="1422" w:type="dxa"/>
            <w:tcBorders>
              <w:top w:val="single" w:color="000000" w:sz="4" w:space="0"/>
              <w:left w:val="single" w:color="000000" w:sz="4" w:space="0"/>
              <w:bottom w:val="single" w:color="000000" w:sz="4" w:space="0"/>
              <w:right w:val="single" w:color="000000" w:sz="4" w:space="0"/>
            </w:tcBorders>
            <w:vAlign w:val="center"/>
          </w:tcPr>
          <w:p w14:paraId="252F5A49">
            <w:pPr>
              <w:pStyle w:val="57"/>
              <w:spacing w:before="81"/>
              <w:ind w:left="7"/>
              <w:jc w:val="center"/>
              <w:rPr>
                <w:rFonts w:hint="eastAsia" w:ascii="宋体" w:hAnsi="宋体" w:cs="宋体"/>
                <w:color w:val="auto"/>
                <w:kern w:val="2"/>
                <w:sz w:val="24"/>
                <w:szCs w:val="24"/>
                <w:highlight w:val="none"/>
              </w:rPr>
            </w:pPr>
            <w:r>
              <w:rPr>
                <w:rFonts w:hint="eastAsia" w:ascii="宋体" w:hAnsi="宋体" w:cs="宋体"/>
                <w:color w:val="auto"/>
                <w:w w:val="99"/>
                <w:kern w:val="2"/>
                <w:sz w:val="24"/>
                <w:szCs w:val="24"/>
                <w:highlight w:val="none"/>
              </w:rPr>
              <w:t>★</w:t>
            </w:r>
            <w:r>
              <w:rPr>
                <w:rFonts w:hint="eastAsia" w:ascii="宋体" w:hAnsi="宋体" w:cs="宋体"/>
                <w:color w:val="auto"/>
                <w:spacing w:val="1"/>
                <w:w w:val="99"/>
                <w:kern w:val="2"/>
                <w:sz w:val="24"/>
                <w:szCs w:val="24"/>
                <w:highlight w:val="none"/>
              </w:rPr>
              <w:t>A020</w:t>
            </w:r>
            <w:r>
              <w:rPr>
                <w:rFonts w:hint="eastAsia" w:ascii="宋体" w:hAnsi="宋体" w:cs="宋体"/>
                <w:color w:val="auto"/>
                <w:w w:val="99"/>
                <w:kern w:val="2"/>
                <w:sz w:val="24"/>
                <w:szCs w:val="24"/>
                <w:highlight w:val="none"/>
              </w:rPr>
              <w:t>91000电视设备</w:t>
            </w:r>
          </w:p>
        </w:tc>
        <w:tc>
          <w:tcPr>
            <w:tcW w:w="1496" w:type="dxa"/>
            <w:tcBorders>
              <w:top w:val="single" w:color="000000" w:sz="4" w:space="0"/>
              <w:left w:val="single" w:color="000000" w:sz="4" w:space="0"/>
              <w:bottom w:val="single" w:color="000000" w:sz="4" w:space="0"/>
              <w:right w:val="single" w:color="000000" w:sz="4" w:space="0"/>
            </w:tcBorders>
            <w:vAlign w:val="center"/>
          </w:tcPr>
          <w:p w14:paraId="24A77A30">
            <w:pPr>
              <w:pStyle w:val="57"/>
              <w:spacing w:before="81" w:line="276" w:lineRule="auto"/>
              <w:ind w:left="7" w:right="5"/>
              <w:jc w:val="center"/>
              <w:rPr>
                <w:rFonts w:hint="eastAsia" w:ascii="宋体" w:hAnsi="宋体" w:cs="宋体"/>
                <w:color w:val="auto"/>
                <w:kern w:val="2"/>
                <w:sz w:val="24"/>
                <w:szCs w:val="24"/>
                <w:highlight w:val="none"/>
                <w:lang w:eastAsia="zh-CN"/>
              </w:rPr>
            </w:pPr>
            <w:r>
              <w:rPr>
                <w:rFonts w:hint="eastAsia" w:ascii="宋体" w:hAnsi="宋体" w:cs="宋体"/>
                <w:color w:val="auto"/>
                <w:spacing w:val="1"/>
                <w:w w:val="99"/>
                <w:kern w:val="2"/>
                <w:sz w:val="24"/>
                <w:szCs w:val="24"/>
                <w:highlight w:val="none"/>
                <w:lang w:eastAsia="zh-CN"/>
              </w:rPr>
              <w:t>A02</w:t>
            </w:r>
            <w:r>
              <w:rPr>
                <w:rFonts w:hint="eastAsia" w:ascii="宋体" w:hAnsi="宋体" w:cs="宋体"/>
                <w:color w:val="auto"/>
                <w:w w:val="99"/>
                <w:kern w:val="2"/>
                <w:sz w:val="24"/>
                <w:szCs w:val="24"/>
                <w:highlight w:val="none"/>
                <w:lang w:eastAsia="zh-CN"/>
              </w:rPr>
              <w:t>09</w:t>
            </w:r>
            <w:r>
              <w:rPr>
                <w:rFonts w:hint="eastAsia" w:ascii="宋体" w:hAnsi="宋体" w:cs="宋体"/>
                <w:color w:val="auto"/>
                <w:spacing w:val="1"/>
                <w:w w:val="99"/>
                <w:kern w:val="2"/>
                <w:sz w:val="24"/>
                <w:szCs w:val="24"/>
                <w:highlight w:val="none"/>
                <w:lang w:eastAsia="zh-CN"/>
              </w:rPr>
              <w:t>1</w:t>
            </w:r>
            <w:r>
              <w:rPr>
                <w:rFonts w:hint="eastAsia" w:ascii="宋体" w:hAnsi="宋体" w:cs="宋体"/>
                <w:color w:val="auto"/>
                <w:w w:val="99"/>
                <w:kern w:val="2"/>
                <w:sz w:val="24"/>
                <w:szCs w:val="24"/>
                <w:highlight w:val="none"/>
                <w:lang w:eastAsia="zh-CN"/>
              </w:rPr>
              <w:t>001普通电视设备（</w:t>
            </w:r>
            <w:r>
              <w:rPr>
                <w:rFonts w:hint="eastAsia" w:ascii="宋体" w:hAnsi="宋体" w:cs="宋体"/>
                <w:color w:val="auto"/>
                <w:spacing w:val="2"/>
                <w:w w:val="99"/>
                <w:kern w:val="2"/>
                <w:sz w:val="24"/>
                <w:szCs w:val="24"/>
                <w:highlight w:val="none"/>
                <w:lang w:eastAsia="zh-CN"/>
              </w:rPr>
              <w:t>电</w:t>
            </w:r>
            <w:r>
              <w:rPr>
                <w:rFonts w:hint="eastAsia" w:ascii="宋体" w:hAnsi="宋体" w:cs="宋体"/>
                <w:color w:val="auto"/>
                <w:w w:val="99"/>
                <w:kern w:val="2"/>
                <w:sz w:val="24"/>
                <w:szCs w:val="24"/>
                <w:highlight w:val="none"/>
                <w:lang w:eastAsia="zh-CN"/>
              </w:rPr>
              <w:t>视机）</w:t>
            </w:r>
          </w:p>
        </w:tc>
        <w:tc>
          <w:tcPr>
            <w:tcW w:w="1530" w:type="dxa"/>
            <w:tcBorders>
              <w:top w:val="single" w:color="000000" w:sz="4" w:space="0"/>
              <w:left w:val="single" w:color="000000" w:sz="4" w:space="0"/>
              <w:bottom w:val="single" w:color="000000" w:sz="4" w:space="0"/>
              <w:right w:val="single" w:color="000000" w:sz="4" w:space="0"/>
            </w:tcBorders>
            <w:vAlign w:val="center"/>
          </w:tcPr>
          <w:p w14:paraId="48074AD8">
            <w:pPr>
              <w:jc w:val="center"/>
              <w:rPr>
                <w:rFonts w:hint="eastAsia" w:ascii="宋体" w:hAnsi="宋体"/>
                <w:color w:val="auto"/>
                <w:sz w:val="24"/>
                <w:highlight w:val="none"/>
              </w:rPr>
            </w:pPr>
          </w:p>
        </w:tc>
        <w:tc>
          <w:tcPr>
            <w:tcW w:w="3452" w:type="dxa"/>
            <w:tcBorders>
              <w:top w:val="single" w:color="000000" w:sz="4" w:space="0"/>
              <w:left w:val="single" w:color="000000" w:sz="4" w:space="0"/>
              <w:bottom w:val="single" w:color="000000" w:sz="4" w:space="0"/>
              <w:right w:val="single" w:color="000000" w:sz="4" w:space="0"/>
            </w:tcBorders>
          </w:tcPr>
          <w:p w14:paraId="5ACF1E47">
            <w:pPr>
              <w:pStyle w:val="57"/>
              <w:spacing w:before="131" w:line="276" w:lineRule="auto"/>
              <w:ind w:left="7" w:right="4"/>
              <w:rPr>
                <w:rFonts w:hint="eastAsia" w:ascii="宋体" w:hAnsi="宋体" w:cs="宋体"/>
                <w:color w:val="auto"/>
                <w:spacing w:val="10"/>
                <w:kern w:val="2"/>
                <w:sz w:val="24"/>
                <w:szCs w:val="24"/>
                <w:highlight w:val="none"/>
                <w:lang w:eastAsia="zh-CN"/>
              </w:rPr>
            </w:pPr>
            <w:r>
              <w:rPr>
                <w:rFonts w:hint="eastAsia" w:ascii="宋体" w:hAnsi="宋体" w:cs="宋体"/>
                <w:color w:val="auto"/>
                <w:spacing w:val="10"/>
                <w:kern w:val="2"/>
                <w:sz w:val="24"/>
                <w:szCs w:val="24"/>
                <w:highlight w:val="none"/>
                <w:lang w:eastAsia="zh-CN"/>
              </w:rPr>
              <w:t>《平板电视能效限定值及能效等级》（GB24850）</w:t>
            </w:r>
          </w:p>
        </w:tc>
      </w:tr>
      <w:tr w14:paraId="0ECA8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0961741C">
            <w:pPr>
              <w:pStyle w:val="57"/>
              <w:jc w:val="center"/>
              <w:rPr>
                <w:rFonts w:hint="eastAsia" w:ascii="宋体" w:hAnsi="宋体" w:cs="宋体"/>
                <w:color w:val="auto"/>
                <w:kern w:val="2"/>
                <w:sz w:val="24"/>
                <w:szCs w:val="24"/>
                <w:highlight w:val="none"/>
              </w:rPr>
            </w:pPr>
            <w:r>
              <w:rPr>
                <w:rFonts w:hint="eastAsia" w:ascii="宋体" w:hAnsi="宋体"/>
                <w:color w:val="auto"/>
                <w:spacing w:val="1"/>
                <w:w w:val="99"/>
                <w:kern w:val="2"/>
                <w:sz w:val="24"/>
                <w:szCs w:val="24"/>
                <w:highlight w:val="none"/>
              </w:rPr>
              <w:t>1</w:t>
            </w:r>
            <w:r>
              <w:rPr>
                <w:rFonts w:hint="eastAsia" w:ascii="宋体" w:hAnsi="宋体"/>
                <w:color w:val="auto"/>
                <w:w w:val="99"/>
                <w:kern w:val="2"/>
                <w:sz w:val="24"/>
                <w:szCs w:val="24"/>
                <w:highlight w:val="none"/>
              </w:rPr>
              <w:t>3</w:t>
            </w:r>
          </w:p>
        </w:tc>
        <w:tc>
          <w:tcPr>
            <w:tcW w:w="1422" w:type="dxa"/>
            <w:tcBorders>
              <w:top w:val="single" w:color="000000" w:sz="4" w:space="0"/>
              <w:left w:val="single" w:color="000000" w:sz="4" w:space="0"/>
              <w:bottom w:val="single" w:color="000000" w:sz="4" w:space="0"/>
              <w:right w:val="single" w:color="000000" w:sz="4" w:space="0"/>
            </w:tcBorders>
            <w:vAlign w:val="center"/>
          </w:tcPr>
          <w:p w14:paraId="7AB011E3">
            <w:pPr>
              <w:pStyle w:val="57"/>
              <w:jc w:val="center"/>
              <w:rPr>
                <w:rFonts w:hint="eastAsia" w:ascii="宋体" w:hAnsi="宋体" w:cs="宋体"/>
                <w:color w:val="auto"/>
                <w:kern w:val="2"/>
                <w:sz w:val="24"/>
                <w:szCs w:val="24"/>
                <w:highlight w:val="none"/>
              </w:rPr>
            </w:pPr>
            <w:r>
              <w:rPr>
                <w:rFonts w:hint="eastAsia" w:ascii="宋体" w:hAnsi="宋体" w:cs="宋体"/>
                <w:color w:val="auto"/>
                <w:w w:val="99"/>
                <w:kern w:val="2"/>
                <w:sz w:val="24"/>
                <w:szCs w:val="24"/>
                <w:highlight w:val="none"/>
              </w:rPr>
              <w:t>★</w:t>
            </w:r>
            <w:r>
              <w:rPr>
                <w:rFonts w:hint="eastAsia" w:ascii="宋体" w:hAnsi="宋体" w:cs="宋体"/>
                <w:color w:val="auto"/>
                <w:spacing w:val="1"/>
                <w:w w:val="99"/>
                <w:kern w:val="2"/>
                <w:sz w:val="24"/>
                <w:szCs w:val="24"/>
                <w:highlight w:val="none"/>
              </w:rPr>
              <w:t>A020</w:t>
            </w:r>
            <w:r>
              <w:rPr>
                <w:rFonts w:hint="eastAsia" w:ascii="宋体" w:hAnsi="宋体" w:cs="宋体"/>
                <w:color w:val="auto"/>
                <w:w w:val="99"/>
                <w:kern w:val="2"/>
                <w:sz w:val="24"/>
                <w:szCs w:val="24"/>
                <w:highlight w:val="none"/>
              </w:rPr>
              <w:t>91100视频设备</w:t>
            </w:r>
          </w:p>
        </w:tc>
        <w:tc>
          <w:tcPr>
            <w:tcW w:w="1496" w:type="dxa"/>
            <w:tcBorders>
              <w:top w:val="single" w:color="000000" w:sz="4" w:space="0"/>
              <w:left w:val="single" w:color="000000" w:sz="4" w:space="0"/>
              <w:bottom w:val="single" w:color="000000" w:sz="4" w:space="0"/>
              <w:right w:val="single" w:color="000000" w:sz="4" w:space="0"/>
            </w:tcBorders>
            <w:vAlign w:val="center"/>
          </w:tcPr>
          <w:p w14:paraId="4FAB28C0">
            <w:pPr>
              <w:pStyle w:val="57"/>
              <w:spacing w:line="276" w:lineRule="auto"/>
              <w:ind w:right="5"/>
              <w:jc w:val="center"/>
              <w:rPr>
                <w:rFonts w:hint="eastAsia" w:ascii="宋体" w:hAnsi="宋体" w:cs="宋体"/>
                <w:color w:val="auto"/>
                <w:kern w:val="2"/>
                <w:sz w:val="24"/>
                <w:szCs w:val="24"/>
                <w:highlight w:val="none"/>
              </w:rPr>
            </w:pPr>
            <w:r>
              <w:rPr>
                <w:rFonts w:hint="eastAsia" w:ascii="宋体" w:hAnsi="宋体" w:cs="宋体"/>
                <w:color w:val="auto"/>
                <w:spacing w:val="1"/>
                <w:w w:val="99"/>
                <w:kern w:val="2"/>
                <w:sz w:val="24"/>
                <w:szCs w:val="24"/>
                <w:highlight w:val="none"/>
              </w:rPr>
              <w:t>A02</w:t>
            </w:r>
            <w:r>
              <w:rPr>
                <w:rFonts w:hint="eastAsia" w:ascii="宋体" w:hAnsi="宋体" w:cs="宋体"/>
                <w:color w:val="auto"/>
                <w:w w:val="99"/>
                <w:kern w:val="2"/>
                <w:sz w:val="24"/>
                <w:szCs w:val="24"/>
                <w:highlight w:val="none"/>
              </w:rPr>
              <w:t>09</w:t>
            </w:r>
            <w:r>
              <w:rPr>
                <w:rFonts w:hint="eastAsia" w:ascii="宋体" w:hAnsi="宋体" w:cs="宋体"/>
                <w:color w:val="auto"/>
                <w:spacing w:val="1"/>
                <w:w w:val="99"/>
                <w:kern w:val="2"/>
                <w:sz w:val="24"/>
                <w:szCs w:val="24"/>
                <w:highlight w:val="none"/>
              </w:rPr>
              <w:t>1</w:t>
            </w:r>
            <w:r>
              <w:rPr>
                <w:rFonts w:hint="eastAsia" w:ascii="宋体" w:hAnsi="宋体" w:cs="宋体"/>
                <w:color w:val="auto"/>
                <w:w w:val="99"/>
                <w:kern w:val="2"/>
                <w:sz w:val="24"/>
                <w:szCs w:val="24"/>
                <w:highlight w:val="none"/>
              </w:rPr>
              <w:t>107视频监控设备</w:t>
            </w:r>
          </w:p>
        </w:tc>
        <w:tc>
          <w:tcPr>
            <w:tcW w:w="1530" w:type="dxa"/>
            <w:tcBorders>
              <w:top w:val="single" w:color="000000" w:sz="4" w:space="0"/>
              <w:left w:val="single" w:color="000000" w:sz="4" w:space="0"/>
              <w:bottom w:val="single" w:color="000000" w:sz="4" w:space="0"/>
              <w:right w:val="single" w:color="000000" w:sz="4" w:space="0"/>
            </w:tcBorders>
            <w:vAlign w:val="center"/>
          </w:tcPr>
          <w:p w14:paraId="74472E2E">
            <w:pPr>
              <w:pStyle w:val="57"/>
              <w:jc w:val="center"/>
              <w:rPr>
                <w:rFonts w:hint="eastAsia" w:ascii="宋体" w:hAnsi="宋体" w:cs="宋体"/>
                <w:color w:val="auto"/>
                <w:kern w:val="2"/>
                <w:sz w:val="24"/>
                <w:szCs w:val="24"/>
                <w:highlight w:val="none"/>
              </w:rPr>
            </w:pPr>
            <w:r>
              <w:rPr>
                <w:rFonts w:hint="eastAsia" w:ascii="宋体" w:hAnsi="宋体" w:cs="宋体"/>
                <w:color w:val="auto"/>
                <w:w w:val="99"/>
                <w:kern w:val="2"/>
                <w:sz w:val="24"/>
                <w:szCs w:val="24"/>
                <w:highlight w:val="none"/>
              </w:rPr>
              <w:t>监视器</w:t>
            </w:r>
          </w:p>
        </w:tc>
        <w:tc>
          <w:tcPr>
            <w:tcW w:w="3452" w:type="dxa"/>
            <w:tcBorders>
              <w:top w:val="single" w:color="000000" w:sz="4" w:space="0"/>
              <w:left w:val="single" w:color="000000" w:sz="4" w:space="0"/>
              <w:bottom w:val="single" w:color="000000" w:sz="4" w:space="0"/>
              <w:right w:val="single" w:color="000000" w:sz="4" w:space="0"/>
            </w:tcBorders>
          </w:tcPr>
          <w:p w14:paraId="69C39225">
            <w:pPr>
              <w:pStyle w:val="57"/>
              <w:spacing w:before="131" w:line="276" w:lineRule="auto"/>
              <w:ind w:left="7" w:right="4"/>
              <w:rPr>
                <w:rFonts w:hint="eastAsia" w:ascii="宋体" w:hAnsi="宋体" w:cs="宋体"/>
                <w:color w:val="auto"/>
                <w:spacing w:val="10"/>
                <w:kern w:val="2"/>
                <w:sz w:val="24"/>
                <w:szCs w:val="24"/>
                <w:highlight w:val="none"/>
                <w:lang w:eastAsia="zh-CN"/>
              </w:rPr>
            </w:pPr>
            <w:r>
              <w:rPr>
                <w:rFonts w:hint="eastAsia" w:ascii="宋体" w:hAnsi="宋体" w:cs="宋体"/>
                <w:color w:val="auto"/>
                <w:spacing w:val="10"/>
                <w:kern w:val="2"/>
                <w:sz w:val="24"/>
                <w:szCs w:val="24"/>
                <w:highlight w:val="none"/>
                <w:lang w:eastAsia="zh-CN"/>
              </w:rPr>
              <w:t>以射频信号为主要信号输入的监视器应符合《平板电视能效限定值及能效等级》（GB24850），以数字信号为主要信号输入的监视器应符合《计算机显示器能效限定值及能效等级》（GB21520）</w:t>
            </w:r>
          </w:p>
        </w:tc>
      </w:tr>
      <w:tr w14:paraId="7ACC7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0A354B23">
            <w:pPr>
              <w:pStyle w:val="57"/>
              <w:jc w:val="center"/>
              <w:rPr>
                <w:rFonts w:hint="eastAsia" w:ascii="宋体" w:hAnsi="宋体" w:cs="宋体"/>
                <w:color w:val="auto"/>
                <w:kern w:val="2"/>
                <w:sz w:val="24"/>
                <w:szCs w:val="24"/>
                <w:highlight w:val="none"/>
              </w:rPr>
            </w:pPr>
            <w:r>
              <w:rPr>
                <w:rFonts w:hint="eastAsia" w:ascii="宋体" w:hAnsi="宋体"/>
                <w:color w:val="auto"/>
                <w:spacing w:val="1"/>
                <w:w w:val="99"/>
                <w:kern w:val="2"/>
                <w:sz w:val="24"/>
                <w:szCs w:val="24"/>
                <w:highlight w:val="none"/>
              </w:rPr>
              <w:t>1</w:t>
            </w:r>
            <w:r>
              <w:rPr>
                <w:rFonts w:hint="eastAsia" w:ascii="宋体" w:hAnsi="宋体"/>
                <w:color w:val="auto"/>
                <w:w w:val="99"/>
                <w:kern w:val="2"/>
                <w:sz w:val="24"/>
                <w:szCs w:val="24"/>
                <w:highlight w:val="none"/>
              </w:rPr>
              <w:t>4</w:t>
            </w:r>
          </w:p>
        </w:tc>
        <w:tc>
          <w:tcPr>
            <w:tcW w:w="1422" w:type="dxa"/>
            <w:tcBorders>
              <w:top w:val="single" w:color="000000" w:sz="4" w:space="0"/>
              <w:left w:val="single" w:color="000000" w:sz="4" w:space="0"/>
              <w:bottom w:val="single" w:color="000000" w:sz="4" w:space="0"/>
              <w:right w:val="single" w:color="000000" w:sz="4" w:space="0"/>
            </w:tcBorders>
            <w:vAlign w:val="center"/>
          </w:tcPr>
          <w:p w14:paraId="39903E3B">
            <w:pPr>
              <w:pStyle w:val="57"/>
              <w:spacing w:before="76"/>
              <w:ind w:left="7"/>
              <w:jc w:val="center"/>
              <w:rPr>
                <w:rFonts w:hint="eastAsia" w:ascii="宋体" w:hAnsi="宋体" w:cs="宋体"/>
                <w:color w:val="auto"/>
                <w:kern w:val="2"/>
                <w:sz w:val="24"/>
                <w:szCs w:val="24"/>
                <w:highlight w:val="none"/>
              </w:rPr>
            </w:pPr>
            <w:r>
              <w:rPr>
                <w:rFonts w:hint="eastAsia" w:ascii="宋体" w:hAnsi="宋体" w:cs="仿宋_GB2312"/>
                <w:color w:val="auto"/>
                <w:kern w:val="2"/>
                <w:sz w:val="24"/>
                <w:szCs w:val="24"/>
                <w:highlight w:val="none"/>
              </w:rPr>
              <w:t>A02241000</w:t>
            </w:r>
            <w:r>
              <w:rPr>
                <w:rFonts w:hint="eastAsia" w:ascii="宋体" w:hAnsi="宋体" w:cs="宋体"/>
                <w:color w:val="auto"/>
                <w:w w:val="99"/>
                <w:kern w:val="2"/>
                <w:sz w:val="24"/>
                <w:szCs w:val="24"/>
                <w:highlight w:val="none"/>
              </w:rPr>
              <w:t>饮食炊事机械</w:t>
            </w:r>
          </w:p>
        </w:tc>
        <w:tc>
          <w:tcPr>
            <w:tcW w:w="1496" w:type="dxa"/>
            <w:tcBorders>
              <w:top w:val="single" w:color="000000" w:sz="4" w:space="0"/>
              <w:left w:val="single" w:color="000000" w:sz="4" w:space="0"/>
              <w:bottom w:val="single" w:color="000000" w:sz="4" w:space="0"/>
              <w:right w:val="single" w:color="000000" w:sz="4" w:space="0"/>
            </w:tcBorders>
            <w:vAlign w:val="center"/>
          </w:tcPr>
          <w:p w14:paraId="6DB01FF8">
            <w:pPr>
              <w:pStyle w:val="57"/>
              <w:jc w:val="center"/>
              <w:rPr>
                <w:rFonts w:hint="eastAsia" w:ascii="宋体" w:hAnsi="宋体" w:cs="宋体"/>
                <w:color w:val="auto"/>
                <w:kern w:val="2"/>
                <w:sz w:val="24"/>
                <w:szCs w:val="24"/>
                <w:highlight w:val="none"/>
              </w:rPr>
            </w:pPr>
            <w:r>
              <w:rPr>
                <w:rFonts w:hint="eastAsia" w:ascii="宋体" w:hAnsi="宋体" w:cs="宋体"/>
                <w:color w:val="auto"/>
                <w:w w:val="99"/>
                <w:kern w:val="2"/>
                <w:sz w:val="24"/>
                <w:szCs w:val="24"/>
                <w:highlight w:val="none"/>
              </w:rPr>
              <w:t>商用燃</w:t>
            </w:r>
            <w:r>
              <w:rPr>
                <w:rFonts w:hint="eastAsia" w:ascii="宋体" w:hAnsi="宋体" w:cs="宋体"/>
                <w:color w:val="auto"/>
                <w:spacing w:val="2"/>
                <w:w w:val="99"/>
                <w:kern w:val="2"/>
                <w:sz w:val="24"/>
                <w:szCs w:val="24"/>
                <w:highlight w:val="none"/>
              </w:rPr>
              <w:t>气</w:t>
            </w:r>
            <w:r>
              <w:rPr>
                <w:rFonts w:hint="eastAsia" w:ascii="宋体" w:hAnsi="宋体" w:cs="宋体"/>
                <w:color w:val="auto"/>
                <w:w w:val="99"/>
                <w:kern w:val="2"/>
                <w:sz w:val="24"/>
                <w:szCs w:val="24"/>
                <w:highlight w:val="none"/>
              </w:rPr>
              <w:t>灶具</w:t>
            </w:r>
          </w:p>
        </w:tc>
        <w:tc>
          <w:tcPr>
            <w:tcW w:w="1530" w:type="dxa"/>
            <w:tcBorders>
              <w:top w:val="single" w:color="000000" w:sz="4" w:space="0"/>
              <w:left w:val="single" w:color="000000" w:sz="4" w:space="0"/>
              <w:bottom w:val="single" w:color="000000" w:sz="4" w:space="0"/>
              <w:right w:val="single" w:color="000000" w:sz="4" w:space="0"/>
            </w:tcBorders>
            <w:vAlign w:val="center"/>
          </w:tcPr>
          <w:p w14:paraId="18C75253">
            <w:pPr>
              <w:jc w:val="center"/>
              <w:rPr>
                <w:rFonts w:hint="eastAsia" w:ascii="宋体" w:hAnsi="宋体"/>
                <w:color w:val="auto"/>
                <w:sz w:val="24"/>
                <w:highlight w:val="none"/>
              </w:rPr>
            </w:pPr>
          </w:p>
        </w:tc>
        <w:tc>
          <w:tcPr>
            <w:tcW w:w="3452" w:type="dxa"/>
            <w:tcBorders>
              <w:top w:val="single" w:color="000000" w:sz="4" w:space="0"/>
              <w:left w:val="single" w:color="000000" w:sz="4" w:space="0"/>
              <w:bottom w:val="single" w:color="000000" w:sz="4" w:space="0"/>
              <w:right w:val="single" w:color="000000" w:sz="4" w:space="0"/>
            </w:tcBorders>
          </w:tcPr>
          <w:p w14:paraId="31ADFCEA">
            <w:pPr>
              <w:pStyle w:val="57"/>
              <w:spacing w:before="131" w:line="276" w:lineRule="auto"/>
              <w:ind w:left="7" w:right="4"/>
              <w:rPr>
                <w:rFonts w:hint="eastAsia" w:ascii="宋体" w:hAnsi="宋体" w:cs="宋体"/>
                <w:color w:val="auto"/>
                <w:kern w:val="2"/>
                <w:sz w:val="24"/>
                <w:szCs w:val="24"/>
                <w:highlight w:val="none"/>
                <w:lang w:eastAsia="zh-CN"/>
              </w:rPr>
            </w:pPr>
            <w:r>
              <w:rPr>
                <w:rFonts w:hint="eastAsia" w:ascii="宋体" w:hAnsi="宋体" w:cs="宋体"/>
                <w:color w:val="auto"/>
                <w:kern w:val="2"/>
                <w:sz w:val="24"/>
                <w:szCs w:val="24"/>
                <w:highlight w:val="none"/>
                <w:lang w:eastAsia="zh-CN"/>
              </w:rPr>
              <w:t>《商用燃气灶具能效限定值及能效等级》（GB30531）</w:t>
            </w:r>
          </w:p>
        </w:tc>
      </w:tr>
      <w:tr w14:paraId="3B537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100F5EFC">
            <w:pPr>
              <w:jc w:val="center"/>
              <w:rPr>
                <w:rFonts w:hint="eastAsia" w:ascii="宋体" w:hAnsi="宋体"/>
                <w:color w:val="auto"/>
                <w:sz w:val="24"/>
                <w:highlight w:val="none"/>
              </w:rPr>
            </w:pPr>
            <w:r>
              <w:rPr>
                <w:rFonts w:hint="eastAsia" w:ascii="宋体" w:hAnsi="宋体"/>
                <w:color w:val="auto"/>
                <w:sz w:val="24"/>
                <w:highlight w:val="none"/>
              </w:rPr>
              <w:t>15</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38BB912F">
            <w:pPr>
              <w:pStyle w:val="57"/>
              <w:jc w:val="center"/>
              <w:rPr>
                <w:rFonts w:hint="eastAsia" w:ascii="宋体" w:hAnsi="宋体" w:cs="宋体"/>
                <w:color w:val="auto"/>
                <w:w w:val="99"/>
                <w:kern w:val="2"/>
                <w:sz w:val="24"/>
                <w:szCs w:val="24"/>
                <w:highlight w:val="none"/>
              </w:rPr>
            </w:pPr>
            <w:r>
              <w:rPr>
                <w:rFonts w:hint="eastAsia" w:ascii="宋体" w:hAnsi="宋体" w:cs="宋体"/>
                <w:color w:val="auto"/>
                <w:w w:val="99"/>
                <w:kern w:val="2"/>
                <w:sz w:val="24"/>
                <w:szCs w:val="24"/>
                <w:highlight w:val="none"/>
              </w:rPr>
              <w:t>★</w:t>
            </w:r>
            <w:r>
              <w:rPr>
                <w:rFonts w:hint="eastAsia" w:ascii="宋体" w:hAnsi="宋体" w:cs="仿宋_GB2312"/>
                <w:color w:val="auto"/>
                <w:kern w:val="2"/>
                <w:sz w:val="24"/>
                <w:szCs w:val="24"/>
                <w:highlight w:val="none"/>
              </w:rPr>
              <w:t>A05020105</w:t>
            </w:r>
            <w:r>
              <w:rPr>
                <w:rFonts w:hint="eastAsia" w:ascii="宋体" w:hAnsi="宋体" w:cs="宋体"/>
                <w:color w:val="auto"/>
                <w:w w:val="99"/>
                <w:kern w:val="2"/>
                <w:sz w:val="24"/>
                <w:szCs w:val="24"/>
                <w:highlight w:val="none"/>
              </w:rPr>
              <w:t>便器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0EBD954A">
            <w:pPr>
              <w:pStyle w:val="57"/>
              <w:jc w:val="center"/>
              <w:rPr>
                <w:rFonts w:hint="eastAsia" w:ascii="宋体" w:hAnsi="宋体" w:cs="宋体"/>
                <w:color w:val="auto"/>
                <w:kern w:val="2"/>
                <w:sz w:val="24"/>
                <w:szCs w:val="24"/>
                <w:highlight w:val="none"/>
              </w:rPr>
            </w:pPr>
            <w:r>
              <w:rPr>
                <w:rFonts w:hint="eastAsia" w:ascii="宋体" w:hAnsi="宋体" w:cs="宋体"/>
                <w:color w:val="auto"/>
                <w:w w:val="99"/>
                <w:kern w:val="2"/>
                <w:sz w:val="24"/>
                <w:szCs w:val="24"/>
                <w:highlight w:val="none"/>
              </w:rPr>
              <w:t>坐便器</w:t>
            </w:r>
          </w:p>
        </w:tc>
        <w:tc>
          <w:tcPr>
            <w:tcW w:w="1530" w:type="dxa"/>
            <w:tcBorders>
              <w:top w:val="single" w:color="000000" w:sz="4" w:space="0"/>
              <w:left w:val="single" w:color="000000" w:sz="4" w:space="0"/>
              <w:bottom w:val="single" w:color="000000" w:sz="4" w:space="0"/>
              <w:right w:val="single" w:color="000000" w:sz="4" w:space="0"/>
            </w:tcBorders>
            <w:vAlign w:val="center"/>
          </w:tcPr>
          <w:p w14:paraId="1A14E9DD">
            <w:pPr>
              <w:jc w:val="center"/>
              <w:rPr>
                <w:rFonts w:hint="eastAsia" w:ascii="宋体" w:hAnsi="宋体"/>
                <w:color w:val="auto"/>
                <w:sz w:val="24"/>
                <w:highlight w:val="none"/>
              </w:rPr>
            </w:pPr>
          </w:p>
        </w:tc>
        <w:tc>
          <w:tcPr>
            <w:tcW w:w="3452" w:type="dxa"/>
            <w:tcBorders>
              <w:top w:val="single" w:color="000000" w:sz="4" w:space="0"/>
              <w:left w:val="single" w:color="000000" w:sz="4" w:space="0"/>
              <w:bottom w:val="single" w:color="000000" w:sz="4" w:space="0"/>
              <w:right w:val="single" w:color="000000" w:sz="4" w:space="0"/>
            </w:tcBorders>
          </w:tcPr>
          <w:p w14:paraId="2F5C7CAE">
            <w:pPr>
              <w:pStyle w:val="57"/>
              <w:spacing w:before="131" w:line="276" w:lineRule="auto"/>
              <w:ind w:left="7" w:right="4"/>
              <w:rPr>
                <w:rFonts w:hint="eastAsia" w:ascii="宋体" w:hAnsi="宋体" w:cs="宋体"/>
                <w:color w:val="auto"/>
                <w:kern w:val="2"/>
                <w:sz w:val="24"/>
                <w:szCs w:val="24"/>
                <w:highlight w:val="none"/>
                <w:lang w:eastAsia="zh-CN"/>
              </w:rPr>
            </w:pPr>
            <w:r>
              <w:rPr>
                <w:rFonts w:hint="eastAsia" w:ascii="宋体" w:hAnsi="宋体" w:cs="宋体"/>
                <w:color w:val="auto"/>
                <w:kern w:val="2"/>
                <w:sz w:val="24"/>
                <w:szCs w:val="24"/>
                <w:highlight w:val="none"/>
                <w:lang w:eastAsia="zh-CN"/>
              </w:rPr>
              <w:t>《坐便器水效限定值及水效等级》</w:t>
            </w:r>
          </w:p>
          <w:p w14:paraId="0A27FE4C">
            <w:pPr>
              <w:pStyle w:val="57"/>
              <w:spacing w:before="131" w:line="276" w:lineRule="auto"/>
              <w:ind w:left="7" w:right="4"/>
              <w:rPr>
                <w:rFonts w:hint="eastAsia" w:ascii="宋体" w:hAnsi="宋体" w:cs="宋体"/>
                <w:color w:val="auto"/>
                <w:kern w:val="2"/>
                <w:sz w:val="24"/>
                <w:szCs w:val="24"/>
                <w:highlight w:val="none"/>
                <w:lang w:eastAsia="zh-CN"/>
              </w:rPr>
            </w:pPr>
            <w:r>
              <w:rPr>
                <w:rFonts w:hint="eastAsia" w:ascii="宋体" w:hAnsi="宋体" w:cs="宋体"/>
                <w:color w:val="auto"/>
                <w:kern w:val="2"/>
                <w:sz w:val="24"/>
                <w:szCs w:val="24"/>
                <w:highlight w:val="none"/>
                <w:lang w:eastAsia="zh-CN"/>
              </w:rPr>
              <w:t>（GB25502）</w:t>
            </w:r>
          </w:p>
        </w:tc>
      </w:tr>
      <w:tr w14:paraId="26DBE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B09A56E">
            <w:pPr>
              <w:widowControl/>
              <w:jc w:val="left"/>
              <w:rPr>
                <w:rFonts w:hint="eastAsia" w:ascii="宋体" w:hAnsi="宋体"/>
                <w:color w:val="auto"/>
                <w:sz w:val="24"/>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C1C2F0D">
            <w:pPr>
              <w:widowControl/>
              <w:jc w:val="left"/>
              <w:rPr>
                <w:rFonts w:hint="eastAsia" w:ascii="宋体" w:hAnsi="宋体" w:cs="宋体"/>
                <w:color w:val="auto"/>
                <w:w w:val="99"/>
                <w:sz w:val="24"/>
                <w:highlight w:val="none"/>
                <w:lang w:eastAsia="en-US"/>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3045C124">
            <w:pPr>
              <w:pStyle w:val="57"/>
              <w:jc w:val="center"/>
              <w:rPr>
                <w:rFonts w:hint="eastAsia" w:ascii="宋体" w:hAnsi="宋体" w:cs="宋体"/>
                <w:color w:val="auto"/>
                <w:kern w:val="2"/>
                <w:sz w:val="24"/>
                <w:szCs w:val="24"/>
                <w:highlight w:val="none"/>
              </w:rPr>
            </w:pPr>
            <w:r>
              <w:rPr>
                <w:rFonts w:hint="eastAsia" w:ascii="宋体" w:hAnsi="宋体" w:cs="宋体"/>
                <w:color w:val="auto"/>
                <w:w w:val="99"/>
                <w:kern w:val="2"/>
                <w:sz w:val="24"/>
                <w:szCs w:val="24"/>
                <w:highlight w:val="none"/>
              </w:rPr>
              <w:t>蹲便器</w:t>
            </w:r>
          </w:p>
        </w:tc>
        <w:tc>
          <w:tcPr>
            <w:tcW w:w="1530" w:type="dxa"/>
            <w:tcBorders>
              <w:top w:val="single" w:color="000000" w:sz="4" w:space="0"/>
              <w:left w:val="single" w:color="000000" w:sz="4" w:space="0"/>
              <w:bottom w:val="single" w:color="000000" w:sz="4" w:space="0"/>
              <w:right w:val="single" w:color="000000" w:sz="4" w:space="0"/>
            </w:tcBorders>
            <w:vAlign w:val="center"/>
          </w:tcPr>
          <w:p w14:paraId="7F0F5D7D">
            <w:pPr>
              <w:jc w:val="center"/>
              <w:rPr>
                <w:rFonts w:hint="eastAsia" w:ascii="宋体" w:hAnsi="宋体"/>
                <w:color w:val="auto"/>
                <w:sz w:val="24"/>
                <w:highlight w:val="none"/>
              </w:rPr>
            </w:pPr>
          </w:p>
        </w:tc>
        <w:tc>
          <w:tcPr>
            <w:tcW w:w="3452" w:type="dxa"/>
            <w:tcBorders>
              <w:top w:val="single" w:color="000000" w:sz="4" w:space="0"/>
              <w:left w:val="single" w:color="000000" w:sz="4" w:space="0"/>
              <w:bottom w:val="single" w:color="000000" w:sz="4" w:space="0"/>
              <w:right w:val="single" w:color="000000" w:sz="4" w:space="0"/>
            </w:tcBorders>
          </w:tcPr>
          <w:p w14:paraId="0B827555">
            <w:pPr>
              <w:pStyle w:val="57"/>
              <w:spacing w:before="131" w:line="276" w:lineRule="auto"/>
              <w:ind w:left="7" w:right="4"/>
              <w:rPr>
                <w:rFonts w:hint="eastAsia" w:ascii="宋体" w:hAnsi="宋体" w:cs="宋体"/>
                <w:color w:val="auto"/>
                <w:kern w:val="2"/>
                <w:sz w:val="24"/>
                <w:szCs w:val="24"/>
                <w:highlight w:val="none"/>
                <w:lang w:eastAsia="zh-CN"/>
              </w:rPr>
            </w:pPr>
            <w:r>
              <w:rPr>
                <w:rFonts w:hint="eastAsia" w:ascii="宋体" w:hAnsi="宋体" w:cs="宋体"/>
                <w:color w:val="auto"/>
                <w:kern w:val="2"/>
                <w:sz w:val="24"/>
                <w:szCs w:val="24"/>
                <w:highlight w:val="none"/>
                <w:lang w:eastAsia="zh-CN"/>
              </w:rPr>
              <w:t>《蹲便器用水效率限定值及用水效率等级》（GB30717）</w:t>
            </w:r>
          </w:p>
        </w:tc>
      </w:tr>
      <w:tr w14:paraId="30A87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D401351">
            <w:pPr>
              <w:widowControl/>
              <w:jc w:val="left"/>
              <w:rPr>
                <w:rFonts w:hint="eastAsia" w:ascii="宋体" w:hAnsi="宋体"/>
                <w:color w:val="auto"/>
                <w:sz w:val="24"/>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E31FB30">
            <w:pPr>
              <w:widowControl/>
              <w:jc w:val="left"/>
              <w:rPr>
                <w:rFonts w:hint="eastAsia" w:ascii="宋体" w:hAnsi="宋体" w:cs="宋体"/>
                <w:color w:val="auto"/>
                <w:w w:val="99"/>
                <w:sz w:val="24"/>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5E7E6ECD">
            <w:pPr>
              <w:pStyle w:val="57"/>
              <w:jc w:val="center"/>
              <w:rPr>
                <w:rFonts w:hint="eastAsia" w:ascii="宋体" w:hAnsi="宋体" w:cs="宋体"/>
                <w:color w:val="auto"/>
                <w:kern w:val="2"/>
                <w:sz w:val="24"/>
                <w:szCs w:val="24"/>
                <w:highlight w:val="none"/>
              </w:rPr>
            </w:pPr>
            <w:r>
              <w:rPr>
                <w:rFonts w:hint="eastAsia" w:ascii="宋体" w:hAnsi="宋体" w:cs="宋体"/>
                <w:color w:val="auto"/>
                <w:w w:val="99"/>
                <w:kern w:val="2"/>
                <w:sz w:val="24"/>
                <w:szCs w:val="24"/>
                <w:highlight w:val="none"/>
              </w:rPr>
              <w:t>小便器</w:t>
            </w:r>
          </w:p>
        </w:tc>
        <w:tc>
          <w:tcPr>
            <w:tcW w:w="1530" w:type="dxa"/>
            <w:tcBorders>
              <w:top w:val="single" w:color="000000" w:sz="4" w:space="0"/>
              <w:left w:val="single" w:color="000000" w:sz="4" w:space="0"/>
              <w:bottom w:val="single" w:color="000000" w:sz="4" w:space="0"/>
              <w:right w:val="single" w:color="000000" w:sz="4" w:space="0"/>
            </w:tcBorders>
            <w:vAlign w:val="center"/>
          </w:tcPr>
          <w:p w14:paraId="336D8CCF">
            <w:pPr>
              <w:jc w:val="center"/>
              <w:rPr>
                <w:rFonts w:hint="eastAsia" w:ascii="宋体" w:hAnsi="宋体"/>
                <w:color w:val="auto"/>
                <w:sz w:val="24"/>
                <w:highlight w:val="none"/>
              </w:rPr>
            </w:pPr>
          </w:p>
        </w:tc>
        <w:tc>
          <w:tcPr>
            <w:tcW w:w="3452" w:type="dxa"/>
            <w:tcBorders>
              <w:top w:val="single" w:color="000000" w:sz="4" w:space="0"/>
              <w:left w:val="single" w:color="000000" w:sz="4" w:space="0"/>
              <w:bottom w:val="single" w:color="000000" w:sz="4" w:space="0"/>
              <w:right w:val="single" w:color="000000" w:sz="4" w:space="0"/>
            </w:tcBorders>
          </w:tcPr>
          <w:p w14:paraId="0CBFAEFA">
            <w:pPr>
              <w:pStyle w:val="57"/>
              <w:spacing w:before="131" w:line="276" w:lineRule="auto"/>
              <w:ind w:left="7" w:right="4"/>
              <w:rPr>
                <w:rFonts w:hint="eastAsia" w:ascii="宋体" w:hAnsi="宋体" w:cs="宋体"/>
                <w:color w:val="auto"/>
                <w:kern w:val="2"/>
                <w:sz w:val="24"/>
                <w:szCs w:val="24"/>
                <w:highlight w:val="none"/>
                <w:lang w:eastAsia="zh-CN"/>
              </w:rPr>
            </w:pPr>
            <w:r>
              <w:rPr>
                <w:rFonts w:hint="eastAsia" w:ascii="宋体" w:hAnsi="宋体" w:cs="宋体"/>
                <w:color w:val="auto"/>
                <w:kern w:val="2"/>
                <w:sz w:val="24"/>
                <w:szCs w:val="24"/>
                <w:highlight w:val="none"/>
                <w:lang w:eastAsia="zh-CN"/>
              </w:rPr>
              <w:t>《小便器用水效率限定值及用水效率等级》（GB28377）</w:t>
            </w:r>
          </w:p>
        </w:tc>
      </w:tr>
      <w:tr w14:paraId="5713A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49A23154">
            <w:pPr>
              <w:pStyle w:val="57"/>
              <w:jc w:val="center"/>
              <w:rPr>
                <w:rFonts w:hint="eastAsia" w:ascii="宋体" w:hAnsi="宋体" w:cs="宋体"/>
                <w:color w:val="auto"/>
                <w:kern w:val="2"/>
                <w:sz w:val="24"/>
                <w:szCs w:val="24"/>
                <w:highlight w:val="none"/>
              </w:rPr>
            </w:pPr>
            <w:r>
              <w:rPr>
                <w:rFonts w:hint="eastAsia" w:ascii="宋体" w:hAnsi="宋体"/>
                <w:color w:val="auto"/>
                <w:kern w:val="2"/>
                <w:sz w:val="24"/>
                <w:szCs w:val="24"/>
                <w:highlight w:val="none"/>
              </w:rPr>
              <w:t>16</w:t>
            </w:r>
          </w:p>
        </w:tc>
        <w:tc>
          <w:tcPr>
            <w:tcW w:w="1422" w:type="dxa"/>
            <w:tcBorders>
              <w:top w:val="single" w:color="000000" w:sz="4" w:space="0"/>
              <w:left w:val="single" w:color="000000" w:sz="4" w:space="0"/>
              <w:bottom w:val="single" w:color="000000" w:sz="4" w:space="0"/>
              <w:right w:val="single" w:color="000000" w:sz="4" w:space="0"/>
            </w:tcBorders>
            <w:vAlign w:val="center"/>
          </w:tcPr>
          <w:p w14:paraId="6E4B4226">
            <w:pPr>
              <w:pStyle w:val="57"/>
              <w:spacing w:before="153"/>
              <w:ind w:left="7"/>
              <w:jc w:val="center"/>
              <w:rPr>
                <w:rFonts w:hint="eastAsia" w:ascii="宋体" w:hAnsi="宋体" w:cs="宋体"/>
                <w:color w:val="auto"/>
                <w:kern w:val="2"/>
                <w:sz w:val="24"/>
                <w:szCs w:val="24"/>
                <w:highlight w:val="none"/>
              </w:rPr>
            </w:pPr>
            <w:r>
              <w:rPr>
                <w:rFonts w:hint="eastAsia" w:ascii="宋体" w:hAnsi="宋体" w:cs="宋体"/>
                <w:color w:val="auto"/>
                <w:kern w:val="2"/>
                <w:sz w:val="24"/>
                <w:szCs w:val="24"/>
                <w:highlight w:val="none"/>
              </w:rPr>
              <w:t>★</w:t>
            </w:r>
            <w:r>
              <w:rPr>
                <w:rFonts w:hint="eastAsia" w:ascii="宋体" w:hAnsi="宋体" w:cs="仿宋_GB2312"/>
                <w:color w:val="auto"/>
                <w:kern w:val="2"/>
                <w:sz w:val="24"/>
                <w:szCs w:val="24"/>
                <w:highlight w:val="none"/>
              </w:rPr>
              <w:t>A05020106</w:t>
            </w:r>
            <w:r>
              <w:rPr>
                <w:rFonts w:hint="eastAsia" w:ascii="宋体" w:hAnsi="宋体" w:cs="宋体"/>
                <w:color w:val="auto"/>
                <w:kern w:val="2"/>
                <w:sz w:val="24"/>
                <w:szCs w:val="24"/>
                <w:highlight w:val="none"/>
              </w:rPr>
              <w:t>水</w:t>
            </w:r>
            <w:r>
              <w:rPr>
                <w:rFonts w:hint="eastAsia" w:ascii="宋体" w:hAnsi="宋体" w:cs="宋体"/>
                <w:color w:val="auto"/>
                <w:w w:val="99"/>
                <w:kern w:val="2"/>
                <w:sz w:val="24"/>
                <w:szCs w:val="24"/>
                <w:highlight w:val="none"/>
              </w:rPr>
              <w:t>嘴</w:t>
            </w:r>
          </w:p>
        </w:tc>
        <w:tc>
          <w:tcPr>
            <w:tcW w:w="1496" w:type="dxa"/>
            <w:tcBorders>
              <w:top w:val="single" w:color="000000" w:sz="4" w:space="0"/>
              <w:left w:val="single" w:color="000000" w:sz="4" w:space="0"/>
              <w:bottom w:val="single" w:color="000000" w:sz="4" w:space="0"/>
              <w:right w:val="single" w:color="000000" w:sz="4" w:space="0"/>
            </w:tcBorders>
            <w:vAlign w:val="center"/>
          </w:tcPr>
          <w:p w14:paraId="58359574">
            <w:pPr>
              <w:jc w:val="center"/>
              <w:rPr>
                <w:rFonts w:hint="eastAsia" w:ascii="宋体" w:hAnsi="宋体"/>
                <w:color w:val="auto"/>
                <w:sz w:val="24"/>
                <w:highlight w:val="none"/>
                <w:lang w:eastAsia="en-US"/>
              </w:rPr>
            </w:pPr>
          </w:p>
        </w:tc>
        <w:tc>
          <w:tcPr>
            <w:tcW w:w="1530" w:type="dxa"/>
            <w:tcBorders>
              <w:top w:val="single" w:color="000000" w:sz="4" w:space="0"/>
              <w:left w:val="single" w:color="000000" w:sz="4" w:space="0"/>
              <w:bottom w:val="single" w:color="000000" w:sz="4" w:space="0"/>
              <w:right w:val="single" w:color="000000" w:sz="4" w:space="0"/>
            </w:tcBorders>
            <w:vAlign w:val="center"/>
          </w:tcPr>
          <w:p w14:paraId="1AB3617A">
            <w:pPr>
              <w:jc w:val="center"/>
              <w:rPr>
                <w:rFonts w:hint="eastAsia" w:ascii="宋体" w:hAnsi="宋体"/>
                <w:color w:val="auto"/>
                <w:sz w:val="24"/>
                <w:highlight w:val="none"/>
                <w:lang w:eastAsia="en-US"/>
              </w:rPr>
            </w:pPr>
          </w:p>
        </w:tc>
        <w:tc>
          <w:tcPr>
            <w:tcW w:w="3452" w:type="dxa"/>
            <w:tcBorders>
              <w:top w:val="single" w:color="000000" w:sz="4" w:space="0"/>
              <w:left w:val="single" w:color="000000" w:sz="4" w:space="0"/>
              <w:bottom w:val="single" w:color="000000" w:sz="4" w:space="0"/>
              <w:right w:val="single" w:color="000000" w:sz="4" w:space="0"/>
            </w:tcBorders>
          </w:tcPr>
          <w:p w14:paraId="6EAF5318">
            <w:pPr>
              <w:pStyle w:val="57"/>
              <w:spacing w:before="153" w:line="276" w:lineRule="auto"/>
              <w:ind w:left="7" w:right="4"/>
              <w:rPr>
                <w:rFonts w:hint="eastAsia" w:ascii="宋体" w:hAnsi="宋体" w:cs="宋体"/>
                <w:color w:val="auto"/>
                <w:kern w:val="2"/>
                <w:sz w:val="24"/>
                <w:szCs w:val="24"/>
                <w:highlight w:val="none"/>
                <w:lang w:eastAsia="zh-CN"/>
              </w:rPr>
            </w:pPr>
            <w:r>
              <w:rPr>
                <w:rFonts w:hint="eastAsia" w:ascii="宋体" w:hAnsi="宋体" w:cs="宋体"/>
                <w:color w:val="auto"/>
                <w:spacing w:val="10"/>
                <w:kern w:val="2"/>
                <w:sz w:val="24"/>
                <w:szCs w:val="24"/>
                <w:highlight w:val="none"/>
                <w:lang w:eastAsia="zh-CN"/>
              </w:rPr>
              <w:t>《水嘴用水效率限定值及用水效</w:t>
            </w:r>
            <w:r>
              <w:rPr>
                <w:rFonts w:hint="eastAsia" w:ascii="宋体" w:hAnsi="宋体" w:cs="宋体"/>
                <w:color w:val="auto"/>
                <w:kern w:val="2"/>
                <w:sz w:val="24"/>
                <w:szCs w:val="24"/>
                <w:highlight w:val="none"/>
                <w:lang w:eastAsia="zh-CN"/>
              </w:rPr>
              <w:t>率等级》（GB 25501）</w:t>
            </w:r>
          </w:p>
        </w:tc>
      </w:tr>
      <w:tr w14:paraId="45BB2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2915F0BF">
            <w:pPr>
              <w:pStyle w:val="57"/>
              <w:jc w:val="center"/>
              <w:rPr>
                <w:rFonts w:hint="eastAsia" w:ascii="宋体" w:hAnsi="宋体" w:cs="宋体"/>
                <w:color w:val="auto"/>
                <w:kern w:val="2"/>
                <w:sz w:val="24"/>
                <w:szCs w:val="24"/>
                <w:highlight w:val="none"/>
              </w:rPr>
            </w:pPr>
            <w:r>
              <w:rPr>
                <w:rFonts w:hint="eastAsia" w:ascii="宋体" w:hAnsi="宋体"/>
                <w:color w:val="auto"/>
                <w:kern w:val="2"/>
                <w:sz w:val="24"/>
                <w:szCs w:val="24"/>
                <w:highlight w:val="none"/>
              </w:rPr>
              <w:t>17</w:t>
            </w:r>
          </w:p>
        </w:tc>
        <w:tc>
          <w:tcPr>
            <w:tcW w:w="1422" w:type="dxa"/>
            <w:tcBorders>
              <w:top w:val="single" w:color="000000" w:sz="4" w:space="0"/>
              <w:left w:val="single" w:color="000000" w:sz="4" w:space="0"/>
              <w:bottom w:val="single" w:color="000000" w:sz="4" w:space="0"/>
              <w:right w:val="single" w:color="000000" w:sz="4" w:space="0"/>
            </w:tcBorders>
            <w:vAlign w:val="center"/>
          </w:tcPr>
          <w:p w14:paraId="49C18EA0">
            <w:pPr>
              <w:pStyle w:val="57"/>
              <w:spacing w:before="112"/>
              <w:ind w:left="7"/>
              <w:jc w:val="center"/>
              <w:rPr>
                <w:rFonts w:hint="eastAsia" w:ascii="宋体" w:hAnsi="宋体" w:cs="宋体"/>
                <w:color w:val="auto"/>
                <w:kern w:val="2"/>
                <w:sz w:val="24"/>
                <w:szCs w:val="24"/>
                <w:highlight w:val="none"/>
              </w:rPr>
            </w:pPr>
            <w:r>
              <w:rPr>
                <w:rFonts w:hint="eastAsia" w:ascii="宋体" w:hAnsi="宋体" w:cs="仿宋_GB2312"/>
                <w:color w:val="auto"/>
                <w:kern w:val="2"/>
                <w:sz w:val="24"/>
                <w:szCs w:val="24"/>
                <w:highlight w:val="none"/>
              </w:rPr>
              <w:t>A05020107</w:t>
            </w:r>
            <w:r>
              <w:rPr>
                <w:rFonts w:hint="eastAsia" w:ascii="宋体" w:hAnsi="宋体" w:cs="宋体"/>
                <w:color w:val="auto"/>
                <w:kern w:val="2"/>
                <w:sz w:val="24"/>
                <w:szCs w:val="24"/>
                <w:highlight w:val="none"/>
              </w:rPr>
              <w:t>便器冲洗阀</w:t>
            </w:r>
          </w:p>
        </w:tc>
        <w:tc>
          <w:tcPr>
            <w:tcW w:w="1496" w:type="dxa"/>
            <w:tcBorders>
              <w:top w:val="single" w:color="000000" w:sz="4" w:space="0"/>
              <w:left w:val="single" w:color="000000" w:sz="4" w:space="0"/>
              <w:bottom w:val="single" w:color="000000" w:sz="4" w:space="0"/>
              <w:right w:val="single" w:color="000000" w:sz="4" w:space="0"/>
            </w:tcBorders>
            <w:vAlign w:val="center"/>
          </w:tcPr>
          <w:p w14:paraId="218975A8">
            <w:pPr>
              <w:jc w:val="center"/>
              <w:rPr>
                <w:rFonts w:hint="eastAsia" w:ascii="宋体" w:hAnsi="宋体"/>
                <w:color w:val="auto"/>
                <w:sz w:val="24"/>
                <w:highlight w:val="none"/>
                <w:lang w:eastAsia="en-US"/>
              </w:rPr>
            </w:pPr>
          </w:p>
        </w:tc>
        <w:tc>
          <w:tcPr>
            <w:tcW w:w="1530" w:type="dxa"/>
            <w:tcBorders>
              <w:top w:val="single" w:color="000000" w:sz="4" w:space="0"/>
              <w:left w:val="single" w:color="000000" w:sz="4" w:space="0"/>
              <w:bottom w:val="single" w:color="000000" w:sz="4" w:space="0"/>
              <w:right w:val="single" w:color="000000" w:sz="4" w:space="0"/>
            </w:tcBorders>
            <w:vAlign w:val="center"/>
          </w:tcPr>
          <w:p w14:paraId="3173663B">
            <w:pPr>
              <w:jc w:val="center"/>
              <w:rPr>
                <w:rFonts w:hint="eastAsia" w:ascii="宋体" w:hAnsi="宋体"/>
                <w:color w:val="auto"/>
                <w:sz w:val="24"/>
                <w:highlight w:val="none"/>
                <w:lang w:eastAsia="en-US"/>
              </w:rPr>
            </w:pPr>
          </w:p>
        </w:tc>
        <w:tc>
          <w:tcPr>
            <w:tcW w:w="3452" w:type="dxa"/>
            <w:tcBorders>
              <w:top w:val="single" w:color="000000" w:sz="4" w:space="0"/>
              <w:left w:val="single" w:color="000000" w:sz="4" w:space="0"/>
              <w:bottom w:val="single" w:color="000000" w:sz="4" w:space="0"/>
              <w:right w:val="single" w:color="000000" w:sz="4" w:space="0"/>
            </w:tcBorders>
          </w:tcPr>
          <w:p w14:paraId="3325A1C1">
            <w:pPr>
              <w:pStyle w:val="57"/>
              <w:spacing w:before="112" w:line="276" w:lineRule="auto"/>
              <w:ind w:left="7" w:right="4"/>
              <w:rPr>
                <w:rFonts w:hint="eastAsia" w:ascii="宋体" w:hAnsi="宋体" w:cs="宋体"/>
                <w:color w:val="auto"/>
                <w:kern w:val="2"/>
                <w:sz w:val="24"/>
                <w:szCs w:val="24"/>
                <w:highlight w:val="none"/>
                <w:lang w:eastAsia="zh-CN"/>
              </w:rPr>
            </w:pPr>
            <w:r>
              <w:rPr>
                <w:rFonts w:hint="eastAsia" w:ascii="宋体" w:hAnsi="宋体" w:cs="宋体"/>
                <w:color w:val="auto"/>
                <w:spacing w:val="10"/>
                <w:kern w:val="2"/>
                <w:sz w:val="24"/>
                <w:szCs w:val="24"/>
                <w:highlight w:val="none"/>
                <w:lang w:eastAsia="zh-CN"/>
              </w:rPr>
              <w:t>《便器冲洗阀用水效率限定值及</w:t>
            </w:r>
            <w:r>
              <w:rPr>
                <w:rFonts w:hint="eastAsia" w:ascii="宋体" w:hAnsi="宋体" w:cs="宋体"/>
                <w:color w:val="auto"/>
                <w:kern w:val="2"/>
                <w:sz w:val="24"/>
                <w:szCs w:val="24"/>
                <w:highlight w:val="none"/>
                <w:lang w:eastAsia="zh-CN"/>
              </w:rPr>
              <w:t>用水效率等级》（GB28379）</w:t>
            </w:r>
          </w:p>
        </w:tc>
      </w:tr>
      <w:tr w14:paraId="04EF5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37896FEA">
            <w:pPr>
              <w:pStyle w:val="57"/>
              <w:jc w:val="center"/>
              <w:rPr>
                <w:rFonts w:hint="eastAsia" w:ascii="宋体" w:hAnsi="宋体" w:cs="宋体"/>
                <w:color w:val="auto"/>
                <w:kern w:val="2"/>
                <w:sz w:val="24"/>
                <w:szCs w:val="24"/>
                <w:highlight w:val="none"/>
              </w:rPr>
            </w:pPr>
            <w:r>
              <w:rPr>
                <w:rFonts w:hint="eastAsia" w:ascii="宋体" w:hAnsi="宋体"/>
                <w:color w:val="auto"/>
                <w:kern w:val="2"/>
                <w:sz w:val="24"/>
                <w:szCs w:val="24"/>
                <w:highlight w:val="none"/>
              </w:rPr>
              <w:t>18</w:t>
            </w:r>
          </w:p>
        </w:tc>
        <w:tc>
          <w:tcPr>
            <w:tcW w:w="1422" w:type="dxa"/>
            <w:tcBorders>
              <w:top w:val="single" w:color="000000" w:sz="4" w:space="0"/>
              <w:left w:val="single" w:color="000000" w:sz="4" w:space="0"/>
              <w:bottom w:val="single" w:color="000000" w:sz="4" w:space="0"/>
              <w:right w:val="single" w:color="000000" w:sz="4" w:space="0"/>
            </w:tcBorders>
            <w:vAlign w:val="center"/>
          </w:tcPr>
          <w:p w14:paraId="2E973814">
            <w:pPr>
              <w:pStyle w:val="57"/>
              <w:spacing w:before="131"/>
              <w:ind w:left="7"/>
              <w:jc w:val="center"/>
              <w:rPr>
                <w:rFonts w:hint="eastAsia" w:ascii="宋体" w:hAnsi="宋体" w:cs="宋体"/>
                <w:color w:val="auto"/>
                <w:kern w:val="2"/>
                <w:sz w:val="24"/>
                <w:szCs w:val="24"/>
                <w:highlight w:val="none"/>
              </w:rPr>
            </w:pPr>
            <w:r>
              <w:rPr>
                <w:rFonts w:hint="eastAsia" w:ascii="宋体" w:hAnsi="宋体" w:cs="仿宋_GB2312"/>
                <w:color w:val="auto"/>
                <w:kern w:val="2"/>
                <w:sz w:val="24"/>
                <w:szCs w:val="24"/>
                <w:highlight w:val="none"/>
              </w:rPr>
              <w:t>A05020110</w:t>
            </w:r>
            <w:r>
              <w:rPr>
                <w:rFonts w:hint="eastAsia" w:ascii="宋体" w:hAnsi="宋体" w:cs="宋体"/>
                <w:color w:val="auto"/>
                <w:kern w:val="2"/>
                <w:sz w:val="24"/>
                <w:szCs w:val="24"/>
                <w:highlight w:val="none"/>
              </w:rPr>
              <w:t>淋浴</w:t>
            </w:r>
            <w:r>
              <w:rPr>
                <w:rFonts w:hint="eastAsia" w:ascii="宋体" w:hAnsi="宋体" w:cs="宋体"/>
                <w:color w:val="auto"/>
                <w:w w:val="99"/>
                <w:kern w:val="2"/>
                <w:sz w:val="24"/>
                <w:szCs w:val="24"/>
                <w:highlight w:val="none"/>
              </w:rPr>
              <w:t>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7A4F2975">
            <w:pPr>
              <w:jc w:val="center"/>
              <w:rPr>
                <w:rFonts w:hint="eastAsia" w:ascii="宋体" w:hAnsi="宋体"/>
                <w:color w:val="auto"/>
                <w:sz w:val="24"/>
                <w:highlight w:val="none"/>
                <w:lang w:eastAsia="en-US"/>
              </w:rPr>
            </w:pPr>
          </w:p>
        </w:tc>
        <w:tc>
          <w:tcPr>
            <w:tcW w:w="1530" w:type="dxa"/>
            <w:tcBorders>
              <w:top w:val="single" w:color="000000" w:sz="4" w:space="0"/>
              <w:left w:val="single" w:color="000000" w:sz="4" w:space="0"/>
              <w:bottom w:val="single" w:color="000000" w:sz="4" w:space="0"/>
              <w:right w:val="single" w:color="000000" w:sz="4" w:space="0"/>
            </w:tcBorders>
            <w:vAlign w:val="center"/>
          </w:tcPr>
          <w:p w14:paraId="49F677AC">
            <w:pPr>
              <w:jc w:val="center"/>
              <w:rPr>
                <w:rFonts w:hint="eastAsia" w:ascii="宋体" w:hAnsi="宋体"/>
                <w:color w:val="auto"/>
                <w:sz w:val="24"/>
                <w:highlight w:val="none"/>
                <w:lang w:eastAsia="en-US"/>
              </w:rPr>
            </w:pPr>
          </w:p>
        </w:tc>
        <w:tc>
          <w:tcPr>
            <w:tcW w:w="3452" w:type="dxa"/>
            <w:tcBorders>
              <w:top w:val="single" w:color="000000" w:sz="4" w:space="0"/>
              <w:left w:val="single" w:color="000000" w:sz="4" w:space="0"/>
              <w:bottom w:val="single" w:color="000000" w:sz="4" w:space="0"/>
              <w:right w:val="single" w:color="000000" w:sz="4" w:space="0"/>
            </w:tcBorders>
          </w:tcPr>
          <w:p w14:paraId="0F59D93B">
            <w:pPr>
              <w:pStyle w:val="57"/>
              <w:spacing w:before="131" w:line="276" w:lineRule="auto"/>
              <w:ind w:left="7" w:right="4"/>
              <w:rPr>
                <w:rFonts w:hint="eastAsia" w:ascii="宋体" w:hAnsi="宋体" w:cs="宋体"/>
                <w:color w:val="auto"/>
                <w:kern w:val="2"/>
                <w:sz w:val="24"/>
                <w:szCs w:val="24"/>
                <w:highlight w:val="none"/>
                <w:lang w:eastAsia="zh-CN"/>
              </w:rPr>
            </w:pPr>
            <w:r>
              <w:rPr>
                <w:rFonts w:hint="eastAsia" w:ascii="宋体" w:hAnsi="宋体" w:cs="宋体"/>
                <w:color w:val="auto"/>
                <w:spacing w:val="10"/>
                <w:kern w:val="2"/>
                <w:sz w:val="24"/>
                <w:szCs w:val="24"/>
                <w:highlight w:val="none"/>
                <w:lang w:eastAsia="zh-CN"/>
              </w:rPr>
              <w:t>《淋浴器用水效率限定值及用水</w:t>
            </w:r>
            <w:r>
              <w:rPr>
                <w:rFonts w:hint="eastAsia" w:ascii="宋体" w:hAnsi="宋体" w:cs="宋体"/>
                <w:color w:val="auto"/>
                <w:kern w:val="2"/>
                <w:sz w:val="24"/>
                <w:szCs w:val="24"/>
                <w:highlight w:val="none"/>
                <w:lang w:eastAsia="zh-CN"/>
              </w:rPr>
              <w:t>效率等级》（GB28378）</w:t>
            </w:r>
          </w:p>
        </w:tc>
      </w:tr>
    </w:tbl>
    <w:p w14:paraId="14451953">
      <w:pPr>
        <w:spacing w:line="360" w:lineRule="auto"/>
        <w:ind w:firstLine="470" w:firstLineChars="200"/>
        <w:rPr>
          <w:rFonts w:hint="eastAsia" w:ascii="楷体" w:hAnsi="楷体" w:eastAsia="楷体" w:cs="宋体"/>
          <w:color w:val="auto"/>
          <w:spacing w:val="-3"/>
          <w:kern w:val="0"/>
          <w:sz w:val="24"/>
          <w:highlight w:val="none"/>
        </w:rPr>
      </w:pPr>
      <w:r>
        <w:rPr>
          <w:rFonts w:hint="eastAsia" w:ascii="楷体" w:hAnsi="楷体" w:eastAsia="楷体" w:cs="宋体"/>
          <w:b/>
          <w:color w:val="auto"/>
          <w:spacing w:val="-3"/>
          <w:kern w:val="0"/>
          <w:sz w:val="24"/>
          <w:highlight w:val="none"/>
        </w:rPr>
        <w:t>注：</w:t>
      </w:r>
      <w:r>
        <w:rPr>
          <w:rFonts w:hint="eastAsia" w:ascii="楷体" w:hAnsi="楷体" w:eastAsia="楷体" w:cs="宋体"/>
          <w:color w:val="auto"/>
          <w:spacing w:val="-3"/>
          <w:kern w:val="0"/>
          <w:sz w:val="24"/>
          <w:highlight w:val="none"/>
        </w:rPr>
        <w:t>1.节能产品认证应依据相关国家标准的最新版本，依据国家标准中二级能效（水效）指标。</w:t>
      </w:r>
    </w:p>
    <w:p w14:paraId="39E930E9">
      <w:pPr>
        <w:spacing w:line="360" w:lineRule="auto"/>
        <w:ind w:firstLine="468" w:firstLineChars="200"/>
        <w:rPr>
          <w:rFonts w:hint="eastAsia" w:ascii="楷体" w:hAnsi="楷体" w:eastAsia="楷体" w:cs="宋体"/>
          <w:color w:val="auto"/>
          <w:spacing w:val="-3"/>
          <w:kern w:val="0"/>
          <w:sz w:val="24"/>
          <w:highlight w:val="none"/>
        </w:rPr>
      </w:pPr>
      <w:r>
        <w:rPr>
          <w:rFonts w:hint="eastAsia" w:ascii="楷体" w:hAnsi="楷体" w:eastAsia="楷体" w:cs="宋体"/>
          <w:color w:val="auto"/>
          <w:spacing w:val="-3"/>
          <w:kern w:val="0"/>
          <w:sz w:val="24"/>
          <w:highlight w:val="none"/>
        </w:rPr>
        <w:t>2.以“★”标注的为政府强制采购产品。</w:t>
      </w:r>
    </w:p>
    <w:p w14:paraId="25AAF49E">
      <w:pPr>
        <w:pStyle w:val="14"/>
        <w:ind w:firstLine="468" w:firstLineChars="200"/>
        <w:jc w:val="left"/>
        <w:rPr>
          <w:rFonts w:hint="eastAsia" w:ascii="楷体" w:hAnsi="楷体" w:eastAsia="楷体" w:cs="宋体"/>
          <w:color w:val="auto"/>
          <w:spacing w:val="-3"/>
          <w:sz w:val="24"/>
          <w:szCs w:val="24"/>
          <w:highlight w:val="none"/>
        </w:rPr>
      </w:pPr>
      <w:r>
        <w:rPr>
          <w:rFonts w:hint="eastAsia" w:ascii="楷体" w:hAnsi="楷体" w:eastAsia="楷体" w:cs="宋体"/>
          <w:color w:val="auto"/>
          <w:spacing w:val="-3"/>
          <w:sz w:val="24"/>
          <w:szCs w:val="24"/>
          <w:highlight w:val="none"/>
        </w:rPr>
        <w:t>3.本表格原为《关于印发节能产品政府采购品目清单的通知》（财库〔2019〕19号）规定的表格附件，其中名称及编码已根据《财政部关于印发〈政府采购品目分类目录〉的通知》（财库〔2022〕31号）修改。</w:t>
      </w:r>
    </w:p>
    <w:p w14:paraId="0D415591">
      <w:pPr>
        <w:pStyle w:val="14"/>
        <w:ind w:firstLine="468" w:firstLineChars="200"/>
        <w:jc w:val="left"/>
        <w:rPr>
          <w:rFonts w:hint="eastAsia" w:ascii="楷体" w:hAnsi="楷体" w:eastAsia="楷体" w:cs="宋体"/>
          <w:color w:val="auto"/>
          <w:spacing w:val="-3"/>
          <w:sz w:val="24"/>
          <w:szCs w:val="24"/>
          <w:highlight w:val="none"/>
        </w:rPr>
      </w:pPr>
    </w:p>
    <w:p w14:paraId="52F9C816">
      <w:pPr>
        <w:pStyle w:val="14"/>
        <w:jc w:val="left"/>
        <w:rPr>
          <w:rFonts w:hint="eastAsia" w:hAnsi="宋体" w:cs="宋体"/>
          <w:color w:val="auto"/>
          <w:sz w:val="24"/>
          <w:szCs w:val="24"/>
          <w:highlight w:val="none"/>
        </w:rPr>
      </w:pPr>
    </w:p>
    <w:p w14:paraId="7B4F91CD">
      <w:pPr>
        <w:rPr>
          <w:rFonts w:hint="eastAsia" w:hAnsi="宋体" w:cs="宋体"/>
          <w:color w:val="auto"/>
          <w:sz w:val="24"/>
          <w:highlight w:val="none"/>
        </w:rPr>
      </w:pPr>
      <w:r>
        <w:rPr>
          <w:rFonts w:hint="eastAsia" w:hAnsi="宋体" w:cs="宋体"/>
          <w:color w:val="auto"/>
          <w:sz w:val="24"/>
          <w:highlight w:val="none"/>
        </w:rPr>
        <w:br w:type="page"/>
      </w:r>
    </w:p>
    <w:p w14:paraId="117759C0">
      <w:pPr>
        <w:pStyle w:val="14"/>
        <w:ind w:firstLine="480" w:firstLineChars="200"/>
        <w:jc w:val="left"/>
        <w:rPr>
          <w:rFonts w:hint="eastAsia" w:hAnsi="宋体" w:cs="宋体"/>
          <w:color w:val="auto"/>
          <w:sz w:val="24"/>
          <w:szCs w:val="24"/>
          <w:highlight w:val="none"/>
        </w:rPr>
      </w:pPr>
      <w:r>
        <w:rPr>
          <w:rFonts w:hint="eastAsia" w:hAnsi="宋体" w:cs="宋体"/>
          <w:color w:val="auto"/>
          <w:sz w:val="24"/>
          <w:szCs w:val="24"/>
          <w:highlight w:val="none"/>
        </w:rPr>
        <w:t>附件2：</w:t>
      </w:r>
    </w:p>
    <w:p w14:paraId="2ABAC3AA">
      <w:pPr>
        <w:spacing w:line="528" w:lineRule="exact"/>
        <w:ind w:left="220"/>
        <w:jc w:val="center"/>
        <w:rPr>
          <w:rFonts w:hint="eastAsia" w:ascii="宋体" w:hAnsi="宋体" w:cs="宋体"/>
          <w:b/>
          <w:bCs/>
          <w:color w:val="auto"/>
          <w:sz w:val="36"/>
          <w:szCs w:val="36"/>
          <w:highlight w:val="none"/>
        </w:rPr>
      </w:pPr>
      <w:r>
        <w:rPr>
          <w:rFonts w:hint="eastAsia" w:ascii="宋体" w:hAnsi="宋体" w:cs="宋体"/>
          <w:b/>
          <w:bCs/>
          <w:color w:val="auto"/>
          <w:sz w:val="36"/>
          <w:szCs w:val="36"/>
          <w:highlight w:val="none"/>
        </w:rPr>
        <w:t>中小微企业划型标准</w:t>
      </w:r>
    </w:p>
    <w:tbl>
      <w:tblPr>
        <w:tblStyle w:val="26"/>
        <w:tblW w:w="9418" w:type="dxa"/>
        <w:tblInd w:w="250" w:type="dxa"/>
        <w:tblLayout w:type="fixed"/>
        <w:tblCellMar>
          <w:top w:w="0" w:type="dxa"/>
          <w:left w:w="108" w:type="dxa"/>
          <w:bottom w:w="0" w:type="dxa"/>
          <w:right w:w="108" w:type="dxa"/>
        </w:tblCellMar>
      </w:tblPr>
      <w:tblGrid>
        <w:gridCol w:w="2007"/>
        <w:gridCol w:w="1633"/>
        <w:gridCol w:w="1077"/>
        <w:gridCol w:w="1911"/>
        <w:gridCol w:w="1699"/>
        <w:gridCol w:w="1091"/>
      </w:tblGrid>
      <w:tr w14:paraId="2A272F6D">
        <w:tblPrEx>
          <w:tblCellMar>
            <w:top w:w="0" w:type="dxa"/>
            <w:left w:w="108" w:type="dxa"/>
            <w:bottom w:w="0" w:type="dxa"/>
            <w:right w:w="108" w:type="dxa"/>
          </w:tblCellMar>
        </w:tblPrEx>
        <w:trPr>
          <w:trHeight w:val="364" w:hRule="atLeast"/>
        </w:trPr>
        <w:tc>
          <w:tcPr>
            <w:tcW w:w="2007" w:type="dxa"/>
            <w:tcBorders>
              <w:top w:val="single" w:color="auto" w:sz="4" w:space="0"/>
              <w:left w:val="single" w:color="auto" w:sz="4" w:space="0"/>
              <w:bottom w:val="single" w:color="auto" w:sz="4" w:space="0"/>
              <w:right w:val="single" w:color="auto" w:sz="4" w:space="0"/>
            </w:tcBorders>
            <w:vAlign w:val="center"/>
          </w:tcPr>
          <w:p w14:paraId="59F121FB">
            <w:pPr>
              <w:widowControl/>
              <w:jc w:val="center"/>
              <w:rPr>
                <w:rFonts w:hint="eastAsia" w:ascii="宋体" w:hAnsi="宋体" w:cs="宋体"/>
                <w:b/>
                <w:color w:val="auto"/>
                <w:kern w:val="0"/>
                <w:sz w:val="20"/>
                <w:szCs w:val="20"/>
                <w:highlight w:val="none"/>
              </w:rPr>
            </w:pPr>
            <w:r>
              <w:rPr>
                <w:rFonts w:hint="eastAsia" w:ascii="宋体" w:hAnsi="宋体" w:cs="宋体"/>
                <w:b/>
                <w:color w:val="auto"/>
                <w:kern w:val="0"/>
                <w:sz w:val="20"/>
                <w:szCs w:val="20"/>
                <w:highlight w:val="none"/>
              </w:rPr>
              <w:t>行业名称</w:t>
            </w:r>
          </w:p>
        </w:tc>
        <w:tc>
          <w:tcPr>
            <w:tcW w:w="1633" w:type="dxa"/>
            <w:tcBorders>
              <w:top w:val="single" w:color="auto" w:sz="4" w:space="0"/>
              <w:left w:val="nil"/>
              <w:bottom w:val="single" w:color="auto" w:sz="4" w:space="0"/>
              <w:right w:val="single" w:color="auto" w:sz="4" w:space="0"/>
            </w:tcBorders>
            <w:vAlign w:val="center"/>
          </w:tcPr>
          <w:p w14:paraId="12B17021">
            <w:pPr>
              <w:widowControl/>
              <w:jc w:val="center"/>
              <w:rPr>
                <w:rFonts w:hint="eastAsia" w:ascii="宋体" w:hAnsi="宋体" w:cs="宋体"/>
                <w:b/>
                <w:color w:val="auto"/>
                <w:kern w:val="0"/>
                <w:sz w:val="20"/>
                <w:szCs w:val="20"/>
                <w:highlight w:val="none"/>
              </w:rPr>
            </w:pPr>
            <w:r>
              <w:rPr>
                <w:rFonts w:hint="eastAsia" w:ascii="宋体" w:hAnsi="宋体" w:cs="宋体"/>
                <w:b/>
                <w:color w:val="auto"/>
                <w:kern w:val="0"/>
                <w:sz w:val="20"/>
                <w:szCs w:val="20"/>
                <w:highlight w:val="none"/>
              </w:rPr>
              <w:t>指标名称</w:t>
            </w:r>
          </w:p>
        </w:tc>
        <w:tc>
          <w:tcPr>
            <w:tcW w:w="1077" w:type="dxa"/>
            <w:tcBorders>
              <w:top w:val="single" w:color="auto" w:sz="4" w:space="0"/>
              <w:left w:val="nil"/>
              <w:bottom w:val="single" w:color="auto" w:sz="4" w:space="0"/>
              <w:right w:val="single" w:color="auto" w:sz="4" w:space="0"/>
            </w:tcBorders>
            <w:vAlign w:val="center"/>
          </w:tcPr>
          <w:p w14:paraId="3C276294">
            <w:pPr>
              <w:widowControl/>
              <w:jc w:val="center"/>
              <w:rPr>
                <w:rFonts w:hint="eastAsia" w:ascii="宋体" w:hAnsi="宋体" w:cs="宋体"/>
                <w:b/>
                <w:color w:val="auto"/>
                <w:kern w:val="0"/>
                <w:sz w:val="20"/>
                <w:szCs w:val="20"/>
                <w:highlight w:val="none"/>
              </w:rPr>
            </w:pPr>
            <w:r>
              <w:rPr>
                <w:rFonts w:hint="eastAsia" w:ascii="宋体" w:hAnsi="宋体" w:cs="宋体"/>
                <w:b/>
                <w:color w:val="auto"/>
                <w:kern w:val="0"/>
                <w:sz w:val="20"/>
                <w:szCs w:val="20"/>
                <w:highlight w:val="none"/>
              </w:rPr>
              <w:t>计量单位</w:t>
            </w:r>
          </w:p>
        </w:tc>
        <w:tc>
          <w:tcPr>
            <w:tcW w:w="1911" w:type="dxa"/>
            <w:tcBorders>
              <w:top w:val="single" w:color="auto" w:sz="4" w:space="0"/>
              <w:left w:val="nil"/>
              <w:bottom w:val="single" w:color="auto" w:sz="4" w:space="0"/>
              <w:right w:val="single" w:color="auto" w:sz="4" w:space="0"/>
            </w:tcBorders>
            <w:vAlign w:val="center"/>
          </w:tcPr>
          <w:p w14:paraId="4DFD9145">
            <w:pPr>
              <w:widowControl/>
              <w:jc w:val="center"/>
              <w:rPr>
                <w:rFonts w:hint="eastAsia" w:ascii="宋体" w:hAnsi="宋体" w:cs="宋体"/>
                <w:b/>
                <w:color w:val="auto"/>
                <w:kern w:val="0"/>
                <w:sz w:val="20"/>
                <w:szCs w:val="20"/>
                <w:highlight w:val="none"/>
              </w:rPr>
            </w:pPr>
            <w:r>
              <w:rPr>
                <w:rFonts w:hint="eastAsia" w:ascii="宋体" w:hAnsi="宋体" w:cs="宋体"/>
                <w:b/>
                <w:color w:val="auto"/>
                <w:kern w:val="0"/>
                <w:sz w:val="20"/>
                <w:szCs w:val="20"/>
                <w:highlight w:val="none"/>
              </w:rPr>
              <w:t>中型</w:t>
            </w:r>
          </w:p>
        </w:tc>
        <w:tc>
          <w:tcPr>
            <w:tcW w:w="1699" w:type="dxa"/>
            <w:tcBorders>
              <w:top w:val="single" w:color="auto" w:sz="4" w:space="0"/>
              <w:left w:val="nil"/>
              <w:bottom w:val="single" w:color="auto" w:sz="4" w:space="0"/>
              <w:right w:val="single" w:color="auto" w:sz="4" w:space="0"/>
            </w:tcBorders>
            <w:vAlign w:val="center"/>
          </w:tcPr>
          <w:p w14:paraId="13BAE52D">
            <w:pPr>
              <w:widowControl/>
              <w:jc w:val="center"/>
              <w:rPr>
                <w:rFonts w:hint="eastAsia" w:ascii="宋体" w:hAnsi="宋体" w:cs="宋体"/>
                <w:b/>
                <w:color w:val="auto"/>
                <w:kern w:val="0"/>
                <w:sz w:val="20"/>
                <w:szCs w:val="20"/>
                <w:highlight w:val="none"/>
              </w:rPr>
            </w:pPr>
            <w:r>
              <w:rPr>
                <w:rFonts w:hint="eastAsia" w:ascii="宋体" w:hAnsi="宋体" w:cs="宋体"/>
                <w:b/>
                <w:color w:val="auto"/>
                <w:kern w:val="0"/>
                <w:sz w:val="20"/>
                <w:szCs w:val="20"/>
                <w:highlight w:val="none"/>
              </w:rPr>
              <w:t>小型</w:t>
            </w:r>
          </w:p>
        </w:tc>
        <w:tc>
          <w:tcPr>
            <w:tcW w:w="1091" w:type="dxa"/>
            <w:tcBorders>
              <w:top w:val="single" w:color="auto" w:sz="4" w:space="0"/>
              <w:left w:val="nil"/>
              <w:bottom w:val="single" w:color="auto" w:sz="4" w:space="0"/>
              <w:right w:val="single" w:color="auto" w:sz="4" w:space="0"/>
            </w:tcBorders>
            <w:vAlign w:val="center"/>
          </w:tcPr>
          <w:p w14:paraId="03F6B26A">
            <w:pPr>
              <w:widowControl/>
              <w:jc w:val="center"/>
              <w:rPr>
                <w:rFonts w:hint="eastAsia" w:ascii="宋体" w:hAnsi="宋体" w:cs="宋体"/>
                <w:b/>
                <w:color w:val="auto"/>
                <w:kern w:val="0"/>
                <w:sz w:val="20"/>
                <w:szCs w:val="20"/>
                <w:highlight w:val="none"/>
              </w:rPr>
            </w:pPr>
            <w:r>
              <w:rPr>
                <w:rFonts w:hint="eastAsia" w:ascii="宋体" w:hAnsi="宋体" w:cs="宋体"/>
                <w:b/>
                <w:color w:val="auto"/>
                <w:kern w:val="0"/>
                <w:sz w:val="20"/>
                <w:szCs w:val="20"/>
                <w:highlight w:val="none"/>
              </w:rPr>
              <w:t>微型</w:t>
            </w:r>
          </w:p>
        </w:tc>
      </w:tr>
      <w:tr w14:paraId="795EE912">
        <w:tblPrEx>
          <w:tblCellMar>
            <w:top w:w="0" w:type="dxa"/>
            <w:left w:w="108" w:type="dxa"/>
            <w:bottom w:w="0" w:type="dxa"/>
            <w:right w:w="108" w:type="dxa"/>
          </w:tblCellMar>
        </w:tblPrEx>
        <w:trPr>
          <w:trHeight w:val="364" w:hRule="atLeast"/>
        </w:trPr>
        <w:tc>
          <w:tcPr>
            <w:tcW w:w="2007" w:type="dxa"/>
            <w:tcBorders>
              <w:top w:val="nil"/>
              <w:left w:val="single" w:color="auto" w:sz="4" w:space="0"/>
              <w:bottom w:val="single" w:color="auto" w:sz="4" w:space="0"/>
              <w:right w:val="single" w:color="auto" w:sz="4" w:space="0"/>
            </w:tcBorders>
            <w:vAlign w:val="bottom"/>
          </w:tcPr>
          <w:p w14:paraId="3C5334CD">
            <w:pPr>
              <w:widowControl/>
              <w:jc w:val="center"/>
              <w:rPr>
                <w:rFonts w:hint="eastAsia"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农、林、牧、渔</w:t>
            </w:r>
          </w:p>
        </w:tc>
        <w:tc>
          <w:tcPr>
            <w:tcW w:w="1633" w:type="dxa"/>
            <w:tcBorders>
              <w:top w:val="nil"/>
              <w:left w:val="nil"/>
              <w:bottom w:val="single" w:color="auto" w:sz="4" w:space="0"/>
              <w:right w:val="single" w:color="auto" w:sz="4" w:space="0"/>
            </w:tcBorders>
            <w:vAlign w:val="center"/>
          </w:tcPr>
          <w:p w14:paraId="5F1D6BE5">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营业收入（Y）</w:t>
            </w:r>
          </w:p>
        </w:tc>
        <w:tc>
          <w:tcPr>
            <w:tcW w:w="1077" w:type="dxa"/>
            <w:tcBorders>
              <w:top w:val="nil"/>
              <w:left w:val="nil"/>
              <w:bottom w:val="single" w:color="auto" w:sz="4" w:space="0"/>
              <w:right w:val="single" w:color="auto" w:sz="4" w:space="0"/>
            </w:tcBorders>
            <w:vAlign w:val="center"/>
          </w:tcPr>
          <w:p w14:paraId="06C11EB7">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万元</w:t>
            </w:r>
          </w:p>
        </w:tc>
        <w:tc>
          <w:tcPr>
            <w:tcW w:w="1911" w:type="dxa"/>
            <w:tcBorders>
              <w:top w:val="nil"/>
              <w:left w:val="nil"/>
              <w:bottom w:val="single" w:color="auto" w:sz="4" w:space="0"/>
              <w:right w:val="single" w:color="auto" w:sz="4" w:space="0"/>
            </w:tcBorders>
            <w:vAlign w:val="center"/>
          </w:tcPr>
          <w:p w14:paraId="39C402E3">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500≤Y＜20000</w:t>
            </w:r>
          </w:p>
        </w:tc>
        <w:tc>
          <w:tcPr>
            <w:tcW w:w="1699" w:type="dxa"/>
            <w:tcBorders>
              <w:top w:val="nil"/>
              <w:left w:val="nil"/>
              <w:bottom w:val="single" w:color="auto" w:sz="4" w:space="0"/>
              <w:right w:val="single" w:color="auto" w:sz="4" w:space="0"/>
            </w:tcBorders>
            <w:vAlign w:val="center"/>
          </w:tcPr>
          <w:p w14:paraId="2FAF7EFB">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50≤Y＜500</w:t>
            </w:r>
          </w:p>
        </w:tc>
        <w:tc>
          <w:tcPr>
            <w:tcW w:w="1091" w:type="dxa"/>
            <w:tcBorders>
              <w:top w:val="nil"/>
              <w:left w:val="nil"/>
              <w:bottom w:val="single" w:color="auto" w:sz="4" w:space="0"/>
              <w:right w:val="single" w:color="auto" w:sz="4" w:space="0"/>
            </w:tcBorders>
            <w:vAlign w:val="center"/>
          </w:tcPr>
          <w:p w14:paraId="7AA725B7">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Y＜50</w:t>
            </w:r>
          </w:p>
        </w:tc>
      </w:tr>
      <w:tr w14:paraId="4F03AD8A">
        <w:tblPrEx>
          <w:tblCellMar>
            <w:top w:w="0" w:type="dxa"/>
            <w:left w:w="108" w:type="dxa"/>
            <w:bottom w:w="0" w:type="dxa"/>
            <w:right w:w="108" w:type="dxa"/>
          </w:tblCellMar>
        </w:tblPrEx>
        <w:trPr>
          <w:trHeight w:val="364" w:hRule="atLeast"/>
        </w:trPr>
        <w:tc>
          <w:tcPr>
            <w:tcW w:w="2007" w:type="dxa"/>
            <w:vMerge w:val="restart"/>
            <w:tcBorders>
              <w:top w:val="nil"/>
              <w:left w:val="single" w:color="auto" w:sz="4" w:space="0"/>
              <w:bottom w:val="single" w:color="auto" w:sz="4" w:space="0"/>
              <w:right w:val="single" w:color="auto" w:sz="4" w:space="0"/>
            </w:tcBorders>
            <w:vAlign w:val="bottom"/>
          </w:tcPr>
          <w:p w14:paraId="492040AA">
            <w:pPr>
              <w:widowControl/>
              <w:jc w:val="center"/>
              <w:rPr>
                <w:rFonts w:hint="eastAsia"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工业</w:t>
            </w:r>
          </w:p>
        </w:tc>
        <w:tc>
          <w:tcPr>
            <w:tcW w:w="1633" w:type="dxa"/>
            <w:tcBorders>
              <w:top w:val="nil"/>
              <w:left w:val="nil"/>
              <w:bottom w:val="single" w:color="auto" w:sz="4" w:space="0"/>
              <w:right w:val="single" w:color="auto" w:sz="4" w:space="0"/>
            </w:tcBorders>
            <w:vAlign w:val="center"/>
          </w:tcPr>
          <w:p w14:paraId="755D8D9A">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从业人员（X）</w:t>
            </w:r>
          </w:p>
        </w:tc>
        <w:tc>
          <w:tcPr>
            <w:tcW w:w="1077" w:type="dxa"/>
            <w:tcBorders>
              <w:top w:val="nil"/>
              <w:left w:val="nil"/>
              <w:bottom w:val="single" w:color="auto" w:sz="4" w:space="0"/>
              <w:right w:val="single" w:color="auto" w:sz="4" w:space="0"/>
            </w:tcBorders>
            <w:vAlign w:val="center"/>
          </w:tcPr>
          <w:p w14:paraId="210E309A">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人</w:t>
            </w:r>
          </w:p>
        </w:tc>
        <w:tc>
          <w:tcPr>
            <w:tcW w:w="1911" w:type="dxa"/>
            <w:tcBorders>
              <w:top w:val="nil"/>
              <w:left w:val="nil"/>
              <w:bottom w:val="single" w:color="auto" w:sz="4" w:space="0"/>
              <w:right w:val="single" w:color="auto" w:sz="4" w:space="0"/>
            </w:tcBorders>
            <w:vAlign w:val="center"/>
          </w:tcPr>
          <w:p w14:paraId="386B4DE6">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300≤X＜1000</w:t>
            </w:r>
          </w:p>
        </w:tc>
        <w:tc>
          <w:tcPr>
            <w:tcW w:w="1699" w:type="dxa"/>
            <w:tcBorders>
              <w:top w:val="nil"/>
              <w:left w:val="nil"/>
              <w:bottom w:val="single" w:color="auto" w:sz="4" w:space="0"/>
              <w:right w:val="single" w:color="auto" w:sz="4" w:space="0"/>
            </w:tcBorders>
            <w:vAlign w:val="center"/>
          </w:tcPr>
          <w:p w14:paraId="0798551D">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20≤X＜300</w:t>
            </w:r>
          </w:p>
        </w:tc>
        <w:tc>
          <w:tcPr>
            <w:tcW w:w="1091" w:type="dxa"/>
            <w:tcBorders>
              <w:top w:val="nil"/>
              <w:left w:val="nil"/>
              <w:bottom w:val="single" w:color="auto" w:sz="4" w:space="0"/>
              <w:right w:val="single" w:color="auto" w:sz="4" w:space="0"/>
            </w:tcBorders>
            <w:vAlign w:val="center"/>
          </w:tcPr>
          <w:p w14:paraId="7A05E3DE">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X＜20</w:t>
            </w:r>
          </w:p>
        </w:tc>
      </w:tr>
      <w:tr w14:paraId="5284D7FA">
        <w:tblPrEx>
          <w:tblCellMar>
            <w:top w:w="0" w:type="dxa"/>
            <w:left w:w="108" w:type="dxa"/>
            <w:bottom w:w="0" w:type="dxa"/>
            <w:right w:w="108" w:type="dxa"/>
          </w:tblCellMar>
        </w:tblPrEx>
        <w:trPr>
          <w:trHeight w:val="364" w:hRule="atLeast"/>
        </w:trPr>
        <w:tc>
          <w:tcPr>
            <w:tcW w:w="2007" w:type="dxa"/>
            <w:vMerge w:val="continue"/>
            <w:tcBorders>
              <w:top w:val="nil"/>
              <w:left w:val="single" w:color="auto" w:sz="4" w:space="0"/>
              <w:bottom w:val="single" w:color="auto" w:sz="4" w:space="0"/>
              <w:right w:val="single" w:color="auto" w:sz="4" w:space="0"/>
            </w:tcBorders>
            <w:vAlign w:val="center"/>
          </w:tcPr>
          <w:p w14:paraId="5B256491">
            <w:pPr>
              <w:widowControl/>
              <w:jc w:val="left"/>
              <w:rPr>
                <w:rFonts w:hint="eastAsia" w:ascii="宋体" w:hAnsi="宋体" w:cs="宋体"/>
                <w:b/>
                <w:bCs/>
                <w:color w:val="auto"/>
                <w:kern w:val="0"/>
                <w:sz w:val="20"/>
                <w:szCs w:val="20"/>
                <w:highlight w:val="none"/>
              </w:rPr>
            </w:pPr>
          </w:p>
        </w:tc>
        <w:tc>
          <w:tcPr>
            <w:tcW w:w="1633" w:type="dxa"/>
            <w:tcBorders>
              <w:top w:val="nil"/>
              <w:left w:val="nil"/>
              <w:bottom w:val="single" w:color="auto" w:sz="4" w:space="0"/>
              <w:right w:val="single" w:color="auto" w:sz="4" w:space="0"/>
            </w:tcBorders>
            <w:vAlign w:val="center"/>
          </w:tcPr>
          <w:p w14:paraId="448FFBEC">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营业收入（Y）</w:t>
            </w:r>
          </w:p>
        </w:tc>
        <w:tc>
          <w:tcPr>
            <w:tcW w:w="1077" w:type="dxa"/>
            <w:tcBorders>
              <w:top w:val="nil"/>
              <w:left w:val="nil"/>
              <w:bottom w:val="single" w:color="auto" w:sz="4" w:space="0"/>
              <w:right w:val="single" w:color="auto" w:sz="4" w:space="0"/>
            </w:tcBorders>
            <w:vAlign w:val="center"/>
          </w:tcPr>
          <w:p w14:paraId="62C06021">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万元</w:t>
            </w:r>
          </w:p>
        </w:tc>
        <w:tc>
          <w:tcPr>
            <w:tcW w:w="1911" w:type="dxa"/>
            <w:tcBorders>
              <w:top w:val="nil"/>
              <w:left w:val="nil"/>
              <w:bottom w:val="single" w:color="auto" w:sz="4" w:space="0"/>
              <w:right w:val="single" w:color="auto" w:sz="4" w:space="0"/>
            </w:tcBorders>
            <w:vAlign w:val="center"/>
          </w:tcPr>
          <w:p w14:paraId="0934B233">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2000≤Y＜40000</w:t>
            </w:r>
          </w:p>
        </w:tc>
        <w:tc>
          <w:tcPr>
            <w:tcW w:w="1699" w:type="dxa"/>
            <w:tcBorders>
              <w:top w:val="nil"/>
              <w:left w:val="nil"/>
              <w:bottom w:val="single" w:color="auto" w:sz="4" w:space="0"/>
              <w:right w:val="single" w:color="auto" w:sz="4" w:space="0"/>
            </w:tcBorders>
            <w:vAlign w:val="center"/>
          </w:tcPr>
          <w:p w14:paraId="45A50AB2">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300≤Y＜2000</w:t>
            </w:r>
          </w:p>
        </w:tc>
        <w:tc>
          <w:tcPr>
            <w:tcW w:w="1091" w:type="dxa"/>
            <w:tcBorders>
              <w:top w:val="nil"/>
              <w:left w:val="nil"/>
              <w:bottom w:val="single" w:color="auto" w:sz="4" w:space="0"/>
              <w:right w:val="single" w:color="auto" w:sz="4" w:space="0"/>
            </w:tcBorders>
            <w:vAlign w:val="center"/>
          </w:tcPr>
          <w:p w14:paraId="67982308">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Y＜300</w:t>
            </w:r>
          </w:p>
        </w:tc>
      </w:tr>
      <w:tr w14:paraId="268AF834">
        <w:tblPrEx>
          <w:tblCellMar>
            <w:top w:w="0" w:type="dxa"/>
            <w:left w:w="108" w:type="dxa"/>
            <w:bottom w:w="0" w:type="dxa"/>
            <w:right w:w="108" w:type="dxa"/>
          </w:tblCellMar>
        </w:tblPrEx>
        <w:trPr>
          <w:trHeight w:val="364" w:hRule="atLeast"/>
        </w:trPr>
        <w:tc>
          <w:tcPr>
            <w:tcW w:w="2007" w:type="dxa"/>
            <w:vMerge w:val="restart"/>
            <w:tcBorders>
              <w:top w:val="nil"/>
              <w:left w:val="single" w:color="auto" w:sz="4" w:space="0"/>
              <w:bottom w:val="single" w:color="auto" w:sz="4" w:space="0"/>
              <w:right w:val="single" w:color="auto" w:sz="4" w:space="0"/>
            </w:tcBorders>
            <w:vAlign w:val="bottom"/>
          </w:tcPr>
          <w:p w14:paraId="4D5E6524">
            <w:pPr>
              <w:widowControl/>
              <w:jc w:val="center"/>
              <w:rPr>
                <w:rFonts w:hint="eastAsia"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建筑业</w:t>
            </w:r>
          </w:p>
        </w:tc>
        <w:tc>
          <w:tcPr>
            <w:tcW w:w="1633" w:type="dxa"/>
            <w:tcBorders>
              <w:top w:val="nil"/>
              <w:left w:val="nil"/>
              <w:bottom w:val="single" w:color="auto" w:sz="4" w:space="0"/>
              <w:right w:val="single" w:color="auto" w:sz="4" w:space="0"/>
            </w:tcBorders>
            <w:vAlign w:val="center"/>
          </w:tcPr>
          <w:p w14:paraId="395AEF52">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营业收入（Y）</w:t>
            </w:r>
          </w:p>
        </w:tc>
        <w:tc>
          <w:tcPr>
            <w:tcW w:w="1077" w:type="dxa"/>
            <w:tcBorders>
              <w:top w:val="nil"/>
              <w:left w:val="nil"/>
              <w:bottom w:val="single" w:color="auto" w:sz="4" w:space="0"/>
              <w:right w:val="single" w:color="auto" w:sz="4" w:space="0"/>
            </w:tcBorders>
            <w:vAlign w:val="center"/>
          </w:tcPr>
          <w:p w14:paraId="709BDD13">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万元</w:t>
            </w:r>
          </w:p>
        </w:tc>
        <w:tc>
          <w:tcPr>
            <w:tcW w:w="1911" w:type="dxa"/>
            <w:tcBorders>
              <w:top w:val="nil"/>
              <w:left w:val="nil"/>
              <w:bottom w:val="single" w:color="auto" w:sz="4" w:space="0"/>
              <w:right w:val="single" w:color="auto" w:sz="4" w:space="0"/>
            </w:tcBorders>
            <w:vAlign w:val="center"/>
          </w:tcPr>
          <w:p w14:paraId="267D1C43">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6000≤Y＜80000</w:t>
            </w:r>
          </w:p>
        </w:tc>
        <w:tc>
          <w:tcPr>
            <w:tcW w:w="1699" w:type="dxa"/>
            <w:tcBorders>
              <w:top w:val="nil"/>
              <w:left w:val="nil"/>
              <w:bottom w:val="single" w:color="auto" w:sz="4" w:space="0"/>
              <w:right w:val="single" w:color="auto" w:sz="4" w:space="0"/>
            </w:tcBorders>
            <w:vAlign w:val="center"/>
          </w:tcPr>
          <w:p w14:paraId="28B201A5">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300≤Y＜6000</w:t>
            </w:r>
          </w:p>
        </w:tc>
        <w:tc>
          <w:tcPr>
            <w:tcW w:w="1091" w:type="dxa"/>
            <w:tcBorders>
              <w:top w:val="nil"/>
              <w:left w:val="nil"/>
              <w:bottom w:val="single" w:color="auto" w:sz="4" w:space="0"/>
              <w:right w:val="single" w:color="auto" w:sz="4" w:space="0"/>
            </w:tcBorders>
            <w:vAlign w:val="center"/>
          </w:tcPr>
          <w:p w14:paraId="4FF5DF79">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Y＜300</w:t>
            </w:r>
          </w:p>
        </w:tc>
      </w:tr>
      <w:tr w14:paraId="2C9496E9">
        <w:tblPrEx>
          <w:tblCellMar>
            <w:top w:w="0" w:type="dxa"/>
            <w:left w:w="108" w:type="dxa"/>
            <w:bottom w:w="0" w:type="dxa"/>
            <w:right w:w="108" w:type="dxa"/>
          </w:tblCellMar>
        </w:tblPrEx>
        <w:trPr>
          <w:trHeight w:val="364" w:hRule="atLeast"/>
        </w:trPr>
        <w:tc>
          <w:tcPr>
            <w:tcW w:w="2007" w:type="dxa"/>
            <w:vMerge w:val="continue"/>
            <w:tcBorders>
              <w:top w:val="nil"/>
              <w:left w:val="single" w:color="auto" w:sz="4" w:space="0"/>
              <w:bottom w:val="single" w:color="auto" w:sz="4" w:space="0"/>
              <w:right w:val="single" w:color="auto" w:sz="4" w:space="0"/>
            </w:tcBorders>
            <w:vAlign w:val="center"/>
          </w:tcPr>
          <w:p w14:paraId="3C60B52A">
            <w:pPr>
              <w:widowControl/>
              <w:jc w:val="left"/>
              <w:rPr>
                <w:rFonts w:hint="eastAsia" w:ascii="宋体" w:hAnsi="宋体" w:cs="宋体"/>
                <w:b/>
                <w:bCs/>
                <w:color w:val="auto"/>
                <w:kern w:val="0"/>
                <w:sz w:val="20"/>
                <w:szCs w:val="20"/>
                <w:highlight w:val="none"/>
              </w:rPr>
            </w:pPr>
          </w:p>
        </w:tc>
        <w:tc>
          <w:tcPr>
            <w:tcW w:w="1633" w:type="dxa"/>
            <w:tcBorders>
              <w:top w:val="nil"/>
              <w:left w:val="nil"/>
              <w:bottom w:val="single" w:color="auto" w:sz="4" w:space="0"/>
              <w:right w:val="single" w:color="auto" w:sz="4" w:space="0"/>
            </w:tcBorders>
            <w:vAlign w:val="center"/>
          </w:tcPr>
          <w:p w14:paraId="6512D0AA">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资产总额（Z）</w:t>
            </w:r>
          </w:p>
        </w:tc>
        <w:tc>
          <w:tcPr>
            <w:tcW w:w="1077" w:type="dxa"/>
            <w:tcBorders>
              <w:top w:val="nil"/>
              <w:left w:val="nil"/>
              <w:bottom w:val="single" w:color="auto" w:sz="4" w:space="0"/>
              <w:right w:val="single" w:color="auto" w:sz="4" w:space="0"/>
            </w:tcBorders>
            <w:vAlign w:val="center"/>
          </w:tcPr>
          <w:p w14:paraId="1DDC03BE">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万元</w:t>
            </w:r>
          </w:p>
        </w:tc>
        <w:tc>
          <w:tcPr>
            <w:tcW w:w="1911" w:type="dxa"/>
            <w:tcBorders>
              <w:top w:val="nil"/>
              <w:left w:val="nil"/>
              <w:bottom w:val="single" w:color="auto" w:sz="4" w:space="0"/>
              <w:right w:val="single" w:color="auto" w:sz="4" w:space="0"/>
            </w:tcBorders>
            <w:vAlign w:val="center"/>
          </w:tcPr>
          <w:p w14:paraId="1C885EC7">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5000≤Z＜80000</w:t>
            </w:r>
          </w:p>
        </w:tc>
        <w:tc>
          <w:tcPr>
            <w:tcW w:w="1699" w:type="dxa"/>
            <w:tcBorders>
              <w:top w:val="nil"/>
              <w:left w:val="nil"/>
              <w:bottom w:val="single" w:color="auto" w:sz="4" w:space="0"/>
              <w:right w:val="single" w:color="auto" w:sz="4" w:space="0"/>
            </w:tcBorders>
            <w:vAlign w:val="center"/>
          </w:tcPr>
          <w:p w14:paraId="36A8A819">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300≤Z＜5000</w:t>
            </w:r>
          </w:p>
        </w:tc>
        <w:tc>
          <w:tcPr>
            <w:tcW w:w="1091" w:type="dxa"/>
            <w:tcBorders>
              <w:top w:val="nil"/>
              <w:left w:val="nil"/>
              <w:bottom w:val="single" w:color="auto" w:sz="4" w:space="0"/>
              <w:right w:val="single" w:color="auto" w:sz="4" w:space="0"/>
            </w:tcBorders>
            <w:vAlign w:val="center"/>
          </w:tcPr>
          <w:p w14:paraId="7F459C92">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Z＜300</w:t>
            </w:r>
          </w:p>
        </w:tc>
      </w:tr>
      <w:tr w14:paraId="399C08B9">
        <w:tblPrEx>
          <w:tblCellMar>
            <w:top w:w="0" w:type="dxa"/>
            <w:left w:w="108" w:type="dxa"/>
            <w:bottom w:w="0" w:type="dxa"/>
            <w:right w:w="108" w:type="dxa"/>
          </w:tblCellMar>
        </w:tblPrEx>
        <w:trPr>
          <w:trHeight w:val="364" w:hRule="atLeast"/>
        </w:trPr>
        <w:tc>
          <w:tcPr>
            <w:tcW w:w="2007" w:type="dxa"/>
            <w:vMerge w:val="restart"/>
            <w:tcBorders>
              <w:top w:val="nil"/>
              <w:left w:val="single" w:color="auto" w:sz="4" w:space="0"/>
              <w:bottom w:val="single" w:color="auto" w:sz="4" w:space="0"/>
              <w:right w:val="single" w:color="auto" w:sz="4" w:space="0"/>
            </w:tcBorders>
            <w:vAlign w:val="bottom"/>
          </w:tcPr>
          <w:p w14:paraId="5B6E2483">
            <w:pPr>
              <w:widowControl/>
              <w:jc w:val="center"/>
              <w:rPr>
                <w:rFonts w:hint="eastAsia"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批发业</w:t>
            </w:r>
          </w:p>
        </w:tc>
        <w:tc>
          <w:tcPr>
            <w:tcW w:w="1633" w:type="dxa"/>
            <w:tcBorders>
              <w:top w:val="nil"/>
              <w:left w:val="nil"/>
              <w:bottom w:val="single" w:color="auto" w:sz="4" w:space="0"/>
              <w:right w:val="single" w:color="auto" w:sz="4" w:space="0"/>
            </w:tcBorders>
            <w:vAlign w:val="center"/>
          </w:tcPr>
          <w:p w14:paraId="2B7B9473">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从业人员（X）</w:t>
            </w:r>
          </w:p>
        </w:tc>
        <w:tc>
          <w:tcPr>
            <w:tcW w:w="1077" w:type="dxa"/>
            <w:tcBorders>
              <w:top w:val="nil"/>
              <w:left w:val="nil"/>
              <w:bottom w:val="single" w:color="auto" w:sz="4" w:space="0"/>
              <w:right w:val="single" w:color="auto" w:sz="4" w:space="0"/>
            </w:tcBorders>
            <w:vAlign w:val="center"/>
          </w:tcPr>
          <w:p w14:paraId="3EFAD7F8">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人</w:t>
            </w:r>
          </w:p>
        </w:tc>
        <w:tc>
          <w:tcPr>
            <w:tcW w:w="1911" w:type="dxa"/>
            <w:tcBorders>
              <w:top w:val="nil"/>
              <w:left w:val="nil"/>
              <w:bottom w:val="single" w:color="auto" w:sz="4" w:space="0"/>
              <w:right w:val="single" w:color="auto" w:sz="4" w:space="0"/>
            </w:tcBorders>
            <w:vAlign w:val="center"/>
          </w:tcPr>
          <w:p w14:paraId="383C16EB">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20≤X＜200</w:t>
            </w:r>
          </w:p>
        </w:tc>
        <w:tc>
          <w:tcPr>
            <w:tcW w:w="1699" w:type="dxa"/>
            <w:tcBorders>
              <w:top w:val="nil"/>
              <w:left w:val="nil"/>
              <w:bottom w:val="single" w:color="auto" w:sz="4" w:space="0"/>
              <w:right w:val="single" w:color="auto" w:sz="4" w:space="0"/>
            </w:tcBorders>
            <w:vAlign w:val="center"/>
          </w:tcPr>
          <w:p w14:paraId="7447F655">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5≤X＜20</w:t>
            </w:r>
          </w:p>
        </w:tc>
        <w:tc>
          <w:tcPr>
            <w:tcW w:w="1091" w:type="dxa"/>
            <w:tcBorders>
              <w:top w:val="nil"/>
              <w:left w:val="nil"/>
              <w:bottom w:val="single" w:color="auto" w:sz="4" w:space="0"/>
              <w:right w:val="single" w:color="auto" w:sz="4" w:space="0"/>
            </w:tcBorders>
            <w:vAlign w:val="center"/>
          </w:tcPr>
          <w:p w14:paraId="07C2073B">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X＜5</w:t>
            </w:r>
          </w:p>
        </w:tc>
      </w:tr>
      <w:tr w14:paraId="693FBDCB">
        <w:tblPrEx>
          <w:tblCellMar>
            <w:top w:w="0" w:type="dxa"/>
            <w:left w:w="108" w:type="dxa"/>
            <w:bottom w:w="0" w:type="dxa"/>
            <w:right w:w="108" w:type="dxa"/>
          </w:tblCellMar>
        </w:tblPrEx>
        <w:trPr>
          <w:trHeight w:val="364" w:hRule="atLeast"/>
        </w:trPr>
        <w:tc>
          <w:tcPr>
            <w:tcW w:w="2007" w:type="dxa"/>
            <w:vMerge w:val="continue"/>
            <w:tcBorders>
              <w:top w:val="nil"/>
              <w:left w:val="single" w:color="auto" w:sz="4" w:space="0"/>
              <w:bottom w:val="single" w:color="auto" w:sz="4" w:space="0"/>
              <w:right w:val="single" w:color="auto" w:sz="4" w:space="0"/>
            </w:tcBorders>
            <w:vAlign w:val="center"/>
          </w:tcPr>
          <w:p w14:paraId="32077414">
            <w:pPr>
              <w:widowControl/>
              <w:jc w:val="left"/>
              <w:rPr>
                <w:rFonts w:hint="eastAsia" w:ascii="宋体" w:hAnsi="宋体" w:cs="宋体"/>
                <w:b/>
                <w:bCs/>
                <w:color w:val="auto"/>
                <w:kern w:val="0"/>
                <w:sz w:val="20"/>
                <w:szCs w:val="20"/>
                <w:highlight w:val="none"/>
              </w:rPr>
            </w:pPr>
          </w:p>
        </w:tc>
        <w:tc>
          <w:tcPr>
            <w:tcW w:w="1633" w:type="dxa"/>
            <w:tcBorders>
              <w:top w:val="nil"/>
              <w:left w:val="nil"/>
              <w:bottom w:val="single" w:color="auto" w:sz="4" w:space="0"/>
              <w:right w:val="single" w:color="auto" w:sz="4" w:space="0"/>
            </w:tcBorders>
            <w:vAlign w:val="center"/>
          </w:tcPr>
          <w:p w14:paraId="62FCF90F">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营业收入（Y）</w:t>
            </w:r>
          </w:p>
        </w:tc>
        <w:tc>
          <w:tcPr>
            <w:tcW w:w="1077" w:type="dxa"/>
            <w:tcBorders>
              <w:top w:val="nil"/>
              <w:left w:val="nil"/>
              <w:bottom w:val="single" w:color="auto" w:sz="4" w:space="0"/>
              <w:right w:val="single" w:color="auto" w:sz="4" w:space="0"/>
            </w:tcBorders>
            <w:vAlign w:val="center"/>
          </w:tcPr>
          <w:p w14:paraId="1DEB8D77">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万元</w:t>
            </w:r>
          </w:p>
        </w:tc>
        <w:tc>
          <w:tcPr>
            <w:tcW w:w="1911" w:type="dxa"/>
            <w:tcBorders>
              <w:top w:val="nil"/>
              <w:left w:val="nil"/>
              <w:bottom w:val="single" w:color="auto" w:sz="4" w:space="0"/>
              <w:right w:val="single" w:color="auto" w:sz="4" w:space="0"/>
            </w:tcBorders>
            <w:vAlign w:val="center"/>
          </w:tcPr>
          <w:p w14:paraId="709EDFF9">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5000≤Y＜40000</w:t>
            </w:r>
          </w:p>
        </w:tc>
        <w:tc>
          <w:tcPr>
            <w:tcW w:w="1699" w:type="dxa"/>
            <w:tcBorders>
              <w:top w:val="nil"/>
              <w:left w:val="nil"/>
              <w:bottom w:val="single" w:color="auto" w:sz="4" w:space="0"/>
              <w:right w:val="single" w:color="auto" w:sz="4" w:space="0"/>
            </w:tcBorders>
            <w:vAlign w:val="center"/>
          </w:tcPr>
          <w:p w14:paraId="1A035A2E">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1000≤Y＜5000</w:t>
            </w:r>
          </w:p>
        </w:tc>
        <w:tc>
          <w:tcPr>
            <w:tcW w:w="1091" w:type="dxa"/>
            <w:tcBorders>
              <w:top w:val="nil"/>
              <w:left w:val="nil"/>
              <w:bottom w:val="single" w:color="auto" w:sz="4" w:space="0"/>
              <w:right w:val="single" w:color="auto" w:sz="4" w:space="0"/>
            </w:tcBorders>
            <w:vAlign w:val="center"/>
          </w:tcPr>
          <w:p w14:paraId="0DA760F8">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Y＜1000</w:t>
            </w:r>
          </w:p>
        </w:tc>
      </w:tr>
      <w:tr w14:paraId="33DCAF06">
        <w:tblPrEx>
          <w:tblCellMar>
            <w:top w:w="0" w:type="dxa"/>
            <w:left w:w="108" w:type="dxa"/>
            <w:bottom w:w="0" w:type="dxa"/>
            <w:right w:w="108" w:type="dxa"/>
          </w:tblCellMar>
        </w:tblPrEx>
        <w:trPr>
          <w:trHeight w:val="364" w:hRule="atLeast"/>
        </w:trPr>
        <w:tc>
          <w:tcPr>
            <w:tcW w:w="2007" w:type="dxa"/>
            <w:vMerge w:val="restart"/>
            <w:tcBorders>
              <w:top w:val="nil"/>
              <w:left w:val="single" w:color="auto" w:sz="4" w:space="0"/>
              <w:bottom w:val="single" w:color="auto" w:sz="4" w:space="0"/>
              <w:right w:val="single" w:color="auto" w:sz="4" w:space="0"/>
            </w:tcBorders>
            <w:vAlign w:val="bottom"/>
          </w:tcPr>
          <w:p w14:paraId="4D60FB53">
            <w:pPr>
              <w:widowControl/>
              <w:jc w:val="center"/>
              <w:rPr>
                <w:rFonts w:hint="eastAsia"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零售业</w:t>
            </w:r>
          </w:p>
        </w:tc>
        <w:tc>
          <w:tcPr>
            <w:tcW w:w="1633" w:type="dxa"/>
            <w:tcBorders>
              <w:top w:val="nil"/>
              <w:left w:val="nil"/>
              <w:bottom w:val="single" w:color="auto" w:sz="4" w:space="0"/>
              <w:right w:val="single" w:color="auto" w:sz="4" w:space="0"/>
            </w:tcBorders>
            <w:vAlign w:val="center"/>
          </w:tcPr>
          <w:p w14:paraId="1C966C2E">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从业人员（X）</w:t>
            </w:r>
          </w:p>
        </w:tc>
        <w:tc>
          <w:tcPr>
            <w:tcW w:w="1077" w:type="dxa"/>
            <w:tcBorders>
              <w:top w:val="nil"/>
              <w:left w:val="nil"/>
              <w:bottom w:val="single" w:color="auto" w:sz="4" w:space="0"/>
              <w:right w:val="single" w:color="auto" w:sz="4" w:space="0"/>
            </w:tcBorders>
            <w:vAlign w:val="center"/>
          </w:tcPr>
          <w:p w14:paraId="51C0F00F">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人</w:t>
            </w:r>
          </w:p>
        </w:tc>
        <w:tc>
          <w:tcPr>
            <w:tcW w:w="1911" w:type="dxa"/>
            <w:tcBorders>
              <w:top w:val="nil"/>
              <w:left w:val="nil"/>
              <w:bottom w:val="single" w:color="auto" w:sz="4" w:space="0"/>
              <w:right w:val="single" w:color="auto" w:sz="4" w:space="0"/>
            </w:tcBorders>
            <w:vAlign w:val="center"/>
          </w:tcPr>
          <w:p w14:paraId="71C656FF">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50≤X＜300</w:t>
            </w:r>
          </w:p>
        </w:tc>
        <w:tc>
          <w:tcPr>
            <w:tcW w:w="1699" w:type="dxa"/>
            <w:tcBorders>
              <w:top w:val="nil"/>
              <w:left w:val="nil"/>
              <w:bottom w:val="single" w:color="auto" w:sz="4" w:space="0"/>
              <w:right w:val="single" w:color="auto" w:sz="4" w:space="0"/>
            </w:tcBorders>
            <w:vAlign w:val="center"/>
          </w:tcPr>
          <w:p w14:paraId="610475E3">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10≤X＜50</w:t>
            </w:r>
          </w:p>
        </w:tc>
        <w:tc>
          <w:tcPr>
            <w:tcW w:w="1091" w:type="dxa"/>
            <w:tcBorders>
              <w:top w:val="nil"/>
              <w:left w:val="nil"/>
              <w:bottom w:val="single" w:color="auto" w:sz="4" w:space="0"/>
              <w:right w:val="single" w:color="auto" w:sz="4" w:space="0"/>
            </w:tcBorders>
            <w:vAlign w:val="center"/>
          </w:tcPr>
          <w:p w14:paraId="032B6C0C">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X＜10</w:t>
            </w:r>
          </w:p>
        </w:tc>
      </w:tr>
      <w:tr w14:paraId="0772C448">
        <w:tblPrEx>
          <w:tblCellMar>
            <w:top w:w="0" w:type="dxa"/>
            <w:left w:w="108" w:type="dxa"/>
            <w:bottom w:w="0" w:type="dxa"/>
            <w:right w:w="108" w:type="dxa"/>
          </w:tblCellMar>
        </w:tblPrEx>
        <w:trPr>
          <w:trHeight w:val="364" w:hRule="atLeast"/>
        </w:trPr>
        <w:tc>
          <w:tcPr>
            <w:tcW w:w="2007" w:type="dxa"/>
            <w:vMerge w:val="continue"/>
            <w:tcBorders>
              <w:top w:val="nil"/>
              <w:left w:val="single" w:color="auto" w:sz="4" w:space="0"/>
              <w:bottom w:val="single" w:color="auto" w:sz="4" w:space="0"/>
              <w:right w:val="single" w:color="auto" w:sz="4" w:space="0"/>
            </w:tcBorders>
            <w:vAlign w:val="center"/>
          </w:tcPr>
          <w:p w14:paraId="34334888">
            <w:pPr>
              <w:widowControl/>
              <w:jc w:val="left"/>
              <w:rPr>
                <w:rFonts w:hint="eastAsia" w:ascii="宋体" w:hAnsi="宋体" w:cs="宋体"/>
                <w:b/>
                <w:bCs/>
                <w:color w:val="auto"/>
                <w:kern w:val="0"/>
                <w:sz w:val="20"/>
                <w:szCs w:val="20"/>
                <w:highlight w:val="none"/>
              </w:rPr>
            </w:pPr>
          </w:p>
        </w:tc>
        <w:tc>
          <w:tcPr>
            <w:tcW w:w="1633" w:type="dxa"/>
            <w:tcBorders>
              <w:top w:val="nil"/>
              <w:left w:val="nil"/>
              <w:bottom w:val="single" w:color="auto" w:sz="4" w:space="0"/>
              <w:right w:val="single" w:color="auto" w:sz="4" w:space="0"/>
            </w:tcBorders>
            <w:vAlign w:val="center"/>
          </w:tcPr>
          <w:p w14:paraId="2E726199">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营业收入（Y）</w:t>
            </w:r>
          </w:p>
        </w:tc>
        <w:tc>
          <w:tcPr>
            <w:tcW w:w="1077" w:type="dxa"/>
            <w:tcBorders>
              <w:top w:val="nil"/>
              <w:left w:val="nil"/>
              <w:bottom w:val="single" w:color="auto" w:sz="4" w:space="0"/>
              <w:right w:val="single" w:color="auto" w:sz="4" w:space="0"/>
            </w:tcBorders>
            <w:vAlign w:val="center"/>
          </w:tcPr>
          <w:p w14:paraId="7516FC67">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万元</w:t>
            </w:r>
          </w:p>
        </w:tc>
        <w:tc>
          <w:tcPr>
            <w:tcW w:w="1911" w:type="dxa"/>
            <w:tcBorders>
              <w:top w:val="nil"/>
              <w:left w:val="nil"/>
              <w:bottom w:val="single" w:color="auto" w:sz="4" w:space="0"/>
              <w:right w:val="single" w:color="auto" w:sz="4" w:space="0"/>
            </w:tcBorders>
            <w:vAlign w:val="center"/>
          </w:tcPr>
          <w:p w14:paraId="0DDDE2BF">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500≤Y＜20000</w:t>
            </w:r>
          </w:p>
        </w:tc>
        <w:tc>
          <w:tcPr>
            <w:tcW w:w="1699" w:type="dxa"/>
            <w:tcBorders>
              <w:top w:val="nil"/>
              <w:left w:val="nil"/>
              <w:bottom w:val="single" w:color="auto" w:sz="4" w:space="0"/>
              <w:right w:val="single" w:color="auto" w:sz="4" w:space="0"/>
            </w:tcBorders>
            <w:vAlign w:val="center"/>
          </w:tcPr>
          <w:p w14:paraId="14507F73">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100≤Y＜500</w:t>
            </w:r>
          </w:p>
        </w:tc>
        <w:tc>
          <w:tcPr>
            <w:tcW w:w="1091" w:type="dxa"/>
            <w:tcBorders>
              <w:top w:val="nil"/>
              <w:left w:val="nil"/>
              <w:bottom w:val="single" w:color="auto" w:sz="4" w:space="0"/>
              <w:right w:val="single" w:color="auto" w:sz="4" w:space="0"/>
            </w:tcBorders>
            <w:vAlign w:val="center"/>
          </w:tcPr>
          <w:p w14:paraId="6F360BE2">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Y＜100</w:t>
            </w:r>
          </w:p>
        </w:tc>
      </w:tr>
      <w:tr w14:paraId="1A488AA5">
        <w:tblPrEx>
          <w:tblCellMar>
            <w:top w:w="0" w:type="dxa"/>
            <w:left w:w="108" w:type="dxa"/>
            <w:bottom w:w="0" w:type="dxa"/>
            <w:right w:w="108" w:type="dxa"/>
          </w:tblCellMar>
        </w:tblPrEx>
        <w:trPr>
          <w:trHeight w:val="364" w:hRule="atLeast"/>
        </w:trPr>
        <w:tc>
          <w:tcPr>
            <w:tcW w:w="2007" w:type="dxa"/>
            <w:vMerge w:val="restart"/>
            <w:tcBorders>
              <w:top w:val="nil"/>
              <w:left w:val="single" w:color="auto" w:sz="4" w:space="0"/>
              <w:bottom w:val="single" w:color="auto" w:sz="4" w:space="0"/>
              <w:right w:val="single" w:color="auto" w:sz="4" w:space="0"/>
            </w:tcBorders>
            <w:vAlign w:val="bottom"/>
          </w:tcPr>
          <w:p w14:paraId="58E0B647">
            <w:pPr>
              <w:widowControl/>
              <w:jc w:val="center"/>
              <w:rPr>
                <w:rFonts w:hint="eastAsia"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交通运输业</w:t>
            </w:r>
          </w:p>
        </w:tc>
        <w:tc>
          <w:tcPr>
            <w:tcW w:w="1633" w:type="dxa"/>
            <w:tcBorders>
              <w:top w:val="nil"/>
              <w:left w:val="nil"/>
              <w:bottom w:val="single" w:color="auto" w:sz="4" w:space="0"/>
              <w:right w:val="single" w:color="auto" w:sz="4" w:space="0"/>
            </w:tcBorders>
            <w:vAlign w:val="center"/>
          </w:tcPr>
          <w:p w14:paraId="3FBD9D81">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从业人员（X）</w:t>
            </w:r>
          </w:p>
        </w:tc>
        <w:tc>
          <w:tcPr>
            <w:tcW w:w="1077" w:type="dxa"/>
            <w:tcBorders>
              <w:top w:val="nil"/>
              <w:left w:val="nil"/>
              <w:bottom w:val="single" w:color="auto" w:sz="4" w:space="0"/>
              <w:right w:val="single" w:color="auto" w:sz="4" w:space="0"/>
            </w:tcBorders>
            <w:vAlign w:val="center"/>
          </w:tcPr>
          <w:p w14:paraId="6850444A">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人</w:t>
            </w:r>
          </w:p>
        </w:tc>
        <w:tc>
          <w:tcPr>
            <w:tcW w:w="1911" w:type="dxa"/>
            <w:tcBorders>
              <w:top w:val="nil"/>
              <w:left w:val="nil"/>
              <w:bottom w:val="single" w:color="auto" w:sz="4" w:space="0"/>
              <w:right w:val="single" w:color="auto" w:sz="4" w:space="0"/>
            </w:tcBorders>
            <w:vAlign w:val="center"/>
          </w:tcPr>
          <w:p w14:paraId="6A58B055">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300≤X＜1000</w:t>
            </w:r>
          </w:p>
        </w:tc>
        <w:tc>
          <w:tcPr>
            <w:tcW w:w="1699" w:type="dxa"/>
            <w:tcBorders>
              <w:top w:val="nil"/>
              <w:left w:val="nil"/>
              <w:bottom w:val="single" w:color="auto" w:sz="4" w:space="0"/>
              <w:right w:val="single" w:color="auto" w:sz="4" w:space="0"/>
            </w:tcBorders>
            <w:vAlign w:val="center"/>
          </w:tcPr>
          <w:p w14:paraId="6771AAD5">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20≤X＜300</w:t>
            </w:r>
          </w:p>
        </w:tc>
        <w:tc>
          <w:tcPr>
            <w:tcW w:w="1091" w:type="dxa"/>
            <w:tcBorders>
              <w:top w:val="nil"/>
              <w:left w:val="nil"/>
              <w:bottom w:val="single" w:color="auto" w:sz="4" w:space="0"/>
              <w:right w:val="single" w:color="auto" w:sz="4" w:space="0"/>
            </w:tcBorders>
            <w:vAlign w:val="center"/>
          </w:tcPr>
          <w:p w14:paraId="0EB3942F">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X＜20</w:t>
            </w:r>
          </w:p>
        </w:tc>
      </w:tr>
      <w:tr w14:paraId="6EEA312F">
        <w:tblPrEx>
          <w:tblCellMar>
            <w:top w:w="0" w:type="dxa"/>
            <w:left w:w="108" w:type="dxa"/>
            <w:bottom w:w="0" w:type="dxa"/>
            <w:right w:w="108" w:type="dxa"/>
          </w:tblCellMar>
        </w:tblPrEx>
        <w:trPr>
          <w:trHeight w:val="364" w:hRule="atLeast"/>
        </w:trPr>
        <w:tc>
          <w:tcPr>
            <w:tcW w:w="2007" w:type="dxa"/>
            <w:vMerge w:val="continue"/>
            <w:tcBorders>
              <w:top w:val="nil"/>
              <w:left w:val="single" w:color="auto" w:sz="4" w:space="0"/>
              <w:bottom w:val="single" w:color="auto" w:sz="4" w:space="0"/>
              <w:right w:val="single" w:color="auto" w:sz="4" w:space="0"/>
            </w:tcBorders>
            <w:vAlign w:val="center"/>
          </w:tcPr>
          <w:p w14:paraId="6BFB9EED">
            <w:pPr>
              <w:widowControl/>
              <w:jc w:val="left"/>
              <w:rPr>
                <w:rFonts w:hint="eastAsia" w:ascii="宋体" w:hAnsi="宋体" w:cs="宋体"/>
                <w:b/>
                <w:bCs/>
                <w:color w:val="auto"/>
                <w:kern w:val="0"/>
                <w:sz w:val="20"/>
                <w:szCs w:val="20"/>
                <w:highlight w:val="none"/>
              </w:rPr>
            </w:pPr>
          </w:p>
        </w:tc>
        <w:tc>
          <w:tcPr>
            <w:tcW w:w="1633" w:type="dxa"/>
            <w:tcBorders>
              <w:top w:val="nil"/>
              <w:left w:val="nil"/>
              <w:bottom w:val="single" w:color="auto" w:sz="4" w:space="0"/>
              <w:right w:val="single" w:color="auto" w:sz="4" w:space="0"/>
            </w:tcBorders>
            <w:vAlign w:val="center"/>
          </w:tcPr>
          <w:p w14:paraId="2F0CD2C6">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营业收入（Y）</w:t>
            </w:r>
          </w:p>
        </w:tc>
        <w:tc>
          <w:tcPr>
            <w:tcW w:w="1077" w:type="dxa"/>
            <w:tcBorders>
              <w:top w:val="nil"/>
              <w:left w:val="nil"/>
              <w:bottom w:val="single" w:color="auto" w:sz="4" w:space="0"/>
              <w:right w:val="single" w:color="auto" w:sz="4" w:space="0"/>
            </w:tcBorders>
            <w:vAlign w:val="center"/>
          </w:tcPr>
          <w:p w14:paraId="19FEC655">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万元</w:t>
            </w:r>
          </w:p>
        </w:tc>
        <w:tc>
          <w:tcPr>
            <w:tcW w:w="1911" w:type="dxa"/>
            <w:tcBorders>
              <w:top w:val="nil"/>
              <w:left w:val="nil"/>
              <w:bottom w:val="single" w:color="auto" w:sz="4" w:space="0"/>
              <w:right w:val="single" w:color="auto" w:sz="4" w:space="0"/>
            </w:tcBorders>
            <w:vAlign w:val="center"/>
          </w:tcPr>
          <w:p w14:paraId="5E0B5A88">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3000≤Y＜30000</w:t>
            </w:r>
          </w:p>
        </w:tc>
        <w:tc>
          <w:tcPr>
            <w:tcW w:w="1699" w:type="dxa"/>
            <w:tcBorders>
              <w:top w:val="nil"/>
              <w:left w:val="nil"/>
              <w:bottom w:val="single" w:color="auto" w:sz="4" w:space="0"/>
              <w:right w:val="single" w:color="auto" w:sz="4" w:space="0"/>
            </w:tcBorders>
            <w:vAlign w:val="center"/>
          </w:tcPr>
          <w:p w14:paraId="749D0153">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200≤Y＜3000</w:t>
            </w:r>
          </w:p>
        </w:tc>
        <w:tc>
          <w:tcPr>
            <w:tcW w:w="1091" w:type="dxa"/>
            <w:tcBorders>
              <w:top w:val="nil"/>
              <w:left w:val="nil"/>
              <w:bottom w:val="single" w:color="auto" w:sz="4" w:space="0"/>
              <w:right w:val="single" w:color="auto" w:sz="4" w:space="0"/>
            </w:tcBorders>
            <w:vAlign w:val="center"/>
          </w:tcPr>
          <w:p w14:paraId="4648B8E6">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Y＜200</w:t>
            </w:r>
          </w:p>
        </w:tc>
      </w:tr>
      <w:tr w14:paraId="2B2F23EA">
        <w:tblPrEx>
          <w:tblCellMar>
            <w:top w:w="0" w:type="dxa"/>
            <w:left w:w="108" w:type="dxa"/>
            <w:bottom w:w="0" w:type="dxa"/>
            <w:right w:w="108" w:type="dxa"/>
          </w:tblCellMar>
        </w:tblPrEx>
        <w:trPr>
          <w:trHeight w:val="364" w:hRule="atLeast"/>
        </w:trPr>
        <w:tc>
          <w:tcPr>
            <w:tcW w:w="2007" w:type="dxa"/>
            <w:vMerge w:val="restart"/>
            <w:tcBorders>
              <w:top w:val="nil"/>
              <w:left w:val="single" w:color="auto" w:sz="4" w:space="0"/>
              <w:bottom w:val="single" w:color="auto" w:sz="4" w:space="0"/>
              <w:right w:val="single" w:color="auto" w:sz="4" w:space="0"/>
            </w:tcBorders>
            <w:vAlign w:val="bottom"/>
          </w:tcPr>
          <w:p w14:paraId="296DCBEA">
            <w:pPr>
              <w:widowControl/>
              <w:jc w:val="center"/>
              <w:rPr>
                <w:rFonts w:hint="eastAsia"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仓储业</w:t>
            </w:r>
          </w:p>
        </w:tc>
        <w:tc>
          <w:tcPr>
            <w:tcW w:w="1633" w:type="dxa"/>
            <w:tcBorders>
              <w:top w:val="nil"/>
              <w:left w:val="nil"/>
              <w:bottom w:val="single" w:color="auto" w:sz="4" w:space="0"/>
              <w:right w:val="single" w:color="auto" w:sz="4" w:space="0"/>
            </w:tcBorders>
            <w:vAlign w:val="center"/>
          </w:tcPr>
          <w:p w14:paraId="7434A2F3">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从业人员（X）</w:t>
            </w:r>
          </w:p>
        </w:tc>
        <w:tc>
          <w:tcPr>
            <w:tcW w:w="1077" w:type="dxa"/>
            <w:tcBorders>
              <w:top w:val="nil"/>
              <w:left w:val="nil"/>
              <w:bottom w:val="single" w:color="auto" w:sz="4" w:space="0"/>
              <w:right w:val="single" w:color="auto" w:sz="4" w:space="0"/>
            </w:tcBorders>
            <w:vAlign w:val="center"/>
          </w:tcPr>
          <w:p w14:paraId="225C4767">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人</w:t>
            </w:r>
          </w:p>
        </w:tc>
        <w:tc>
          <w:tcPr>
            <w:tcW w:w="1911" w:type="dxa"/>
            <w:tcBorders>
              <w:top w:val="nil"/>
              <w:left w:val="nil"/>
              <w:bottom w:val="single" w:color="auto" w:sz="4" w:space="0"/>
              <w:right w:val="single" w:color="auto" w:sz="4" w:space="0"/>
            </w:tcBorders>
            <w:vAlign w:val="center"/>
          </w:tcPr>
          <w:p w14:paraId="492C0F76">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100≤X＜200</w:t>
            </w:r>
          </w:p>
        </w:tc>
        <w:tc>
          <w:tcPr>
            <w:tcW w:w="1699" w:type="dxa"/>
            <w:tcBorders>
              <w:top w:val="nil"/>
              <w:left w:val="nil"/>
              <w:bottom w:val="single" w:color="auto" w:sz="4" w:space="0"/>
              <w:right w:val="single" w:color="auto" w:sz="4" w:space="0"/>
            </w:tcBorders>
            <w:vAlign w:val="center"/>
          </w:tcPr>
          <w:p w14:paraId="3A5A01ED">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20≤X＜100</w:t>
            </w:r>
          </w:p>
        </w:tc>
        <w:tc>
          <w:tcPr>
            <w:tcW w:w="1091" w:type="dxa"/>
            <w:tcBorders>
              <w:top w:val="nil"/>
              <w:left w:val="nil"/>
              <w:bottom w:val="single" w:color="auto" w:sz="4" w:space="0"/>
              <w:right w:val="single" w:color="auto" w:sz="4" w:space="0"/>
            </w:tcBorders>
            <w:vAlign w:val="center"/>
          </w:tcPr>
          <w:p w14:paraId="2A08B5B2">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X＜20</w:t>
            </w:r>
          </w:p>
        </w:tc>
      </w:tr>
      <w:tr w14:paraId="1F4BFF84">
        <w:tblPrEx>
          <w:tblCellMar>
            <w:top w:w="0" w:type="dxa"/>
            <w:left w:w="108" w:type="dxa"/>
            <w:bottom w:w="0" w:type="dxa"/>
            <w:right w:w="108" w:type="dxa"/>
          </w:tblCellMar>
        </w:tblPrEx>
        <w:trPr>
          <w:trHeight w:val="364" w:hRule="atLeast"/>
        </w:trPr>
        <w:tc>
          <w:tcPr>
            <w:tcW w:w="2007" w:type="dxa"/>
            <w:vMerge w:val="continue"/>
            <w:tcBorders>
              <w:top w:val="nil"/>
              <w:left w:val="single" w:color="auto" w:sz="4" w:space="0"/>
              <w:bottom w:val="single" w:color="auto" w:sz="4" w:space="0"/>
              <w:right w:val="single" w:color="auto" w:sz="4" w:space="0"/>
            </w:tcBorders>
            <w:vAlign w:val="center"/>
          </w:tcPr>
          <w:p w14:paraId="4A818EF7">
            <w:pPr>
              <w:widowControl/>
              <w:jc w:val="left"/>
              <w:rPr>
                <w:rFonts w:hint="eastAsia" w:ascii="宋体" w:hAnsi="宋体" w:cs="宋体"/>
                <w:b/>
                <w:bCs/>
                <w:color w:val="auto"/>
                <w:kern w:val="0"/>
                <w:sz w:val="20"/>
                <w:szCs w:val="20"/>
                <w:highlight w:val="none"/>
              </w:rPr>
            </w:pPr>
          </w:p>
        </w:tc>
        <w:tc>
          <w:tcPr>
            <w:tcW w:w="1633" w:type="dxa"/>
            <w:tcBorders>
              <w:top w:val="nil"/>
              <w:left w:val="nil"/>
              <w:bottom w:val="single" w:color="auto" w:sz="4" w:space="0"/>
              <w:right w:val="single" w:color="auto" w:sz="4" w:space="0"/>
            </w:tcBorders>
            <w:vAlign w:val="center"/>
          </w:tcPr>
          <w:p w14:paraId="67567418">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营业收入（Y）</w:t>
            </w:r>
          </w:p>
        </w:tc>
        <w:tc>
          <w:tcPr>
            <w:tcW w:w="1077" w:type="dxa"/>
            <w:tcBorders>
              <w:top w:val="nil"/>
              <w:left w:val="nil"/>
              <w:bottom w:val="single" w:color="auto" w:sz="4" w:space="0"/>
              <w:right w:val="single" w:color="auto" w:sz="4" w:space="0"/>
            </w:tcBorders>
            <w:vAlign w:val="center"/>
          </w:tcPr>
          <w:p w14:paraId="7AB098CD">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万元</w:t>
            </w:r>
          </w:p>
        </w:tc>
        <w:tc>
          <w:tcPr>
            <w:tcW w:w="1911" w:type="dxa"/>
            <w:tcBorders>
              <w:top w:val="nil"/>
              <w:left w:val="nil"/>
              <w:bottom w:val="single" w:color="auto" w:sz="4" w:space="0"/>
              <w:right w:val="single" w:color="auto" w:sz="4" w:space="0"/>
            </w:tcBorders>
            <w:vAlign w:val="center"/>
          </w:tcPr>
          <w:p w14:paraId="63E2F9BD">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1000≤Y＜30000</w:t>
            </w:r>
          </w:p>
        </w:tc>
        <w:tc>
          <w:tcPr>
            <w:tcW w:w="1699" w:type="dxa"/>
            <w:tcBorders>
              <w:top w:val="nil"/>
              <w:left w:val="nil"/>
              <w:bottom w:val="single" w:color="auto" w:sz="4" w:space="0"/>
              <w:right w:val="single" w:color="auto" w:sz="4" w:space="0"/>
            </w:tcBorders>
            <w:vAlign w:val="center"/>
          </w:tcPr>
          <w:p w14:paraId="1593BEE0">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100≤Y＜1000</w:t>
            </w:r>
          </w:p>
        </w:tc>
        <w:tc>
          <w:tcPr>
            <w:tcW w:w="1091" w:type="dxa"/>
            <w:tcBorders>
              <w:top w:val="nil"/>
              <w:left w:val="nil"/>
              <w:bottom w:val="single" w:color="auto" w:sz="4" w:space="0"/>
              <w:right w:val="single" w:color="auto" w:sz="4" w:space="0"/>
            </w:tcBorders>
            <w:vAlign w:val="center"/>
          </w:tcPr>
          <w:p w14:paraId="600E4A79">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Y＜100</w:t>
            </w:r>
          </w:p>
        </w:tc>
      </w:tr>
      <w:tr w14:paraId="58294A89">
        <w:tblPrEx>
          <w:tblCellMar>
            <w:top w:w="0" w:type="dxa"/>
            <w:left w:w="108" w:type="dxa"/>
            <w:bottom w:w="0" w:type="dxa"/>
            <w:right w:w="108" w:type="dxa"/>
          </w:tblCellMar>
        </w:tblPrEx>
        <w:trPr>
          <w:trHeight w:val="364" w:hRule="atLeast"/>
        </w:trPr>
        <w:tc>
          <w:tcPr>
            <w:tcW w:w="2007" w:type="dxa"/>
            <w:vMerge w:val="restart"/>
            <w:tcBorders>
              <w:top w:val="nil"/>
              <w:left w:val="single" w:color="auto" w:sz="4" w:space="0"/>
              <w:bottom w:val="single" w:color="auto" w:sz="4" w:space="0"/>
              <w:right w:val="single" w:color="auto" w:sz="4" w:space="0"/>
            </w:tcBorders>
            <w:vAlign w:val="bottom"/>
          </w:tcPr>
          <w:p w14:paraId="41963296">
            <w:pPr>
              <w:widowControl/>
              <w:jc w:val="center"/>
              <w:rPr>
                <w:rFonts w:hint="eastAsia"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邮政业</w:t>
            </w:r>
          </w:p>
        </w:tc>
        <w:tc>
          <w:tcPr>
            <w:tcW w:w="1633" w:type="dxa"/>
            <w:tcBorders>
              <w:top w:val="nil"/>
              <w:left w:val="nil"/>
              <w:bottom w:val="single" w:color="auto" w:sz="4" w:space="0"/>
              <w:right w:val="single" w:color="auto" w:sz="4" w:space="0"/>
            </w:tcBorders>
            <w:vAlign w:val="center"/>
          </w:tcPr>
          <w:p w14:paraId="3A1F70D8">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从业人员（X）</w:t>
            </w:r>
          </w:p>
        </w:tc>
        <w:tc>
          <w:tcPr>
            <w:tcW w:w="1077" w:type="dxa"/>
            <w:tcBorders>
              <w:top w:val="nil"/>
              <w:left w:val="nil"/>
              <w:bottom w:val="single" w:color="auto" w:sz="4" w:space="0"/>
              <w:right w:val="single" w:color="auto" w:sz="4" w:space="0"/>
            </w:tcBorders>
            <w:vAlign w:val="center"/>
          </w:tcPr>
          <w:p w14:paraId="6338EBD4">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人</w:t>
            </w:r>
          </w:p>
        </w:tc>
        <w:tc>
          <w:tcPr>
            <w:tcW w:w="1911" w:type="dxa"/>
            <w:tcBorders>
              <w:top w:val="nil"/>
              <w:left w:val="nil"/>
              <w:bottom w:val="single" w:color="auto" w:sz="4" w:space="0"/>
              <w:right w:val="single" w:color="auto" w:sz="4" w:space="0"/>
            </w:tcBorders>
            <w:vAlign w:val="center"/>
          </w:tcPr>
          <w:p w14:paraId="19BC0A4C">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300≤X＜1000</w:t>
            </w:r>
          </w:p>
        </w:tc>
        <w:tc>
          <w:tcPr>
            <w:tcW w:w="1699" w:type="dxa"/>
            <w:tcBorders>
              <w:top w:val="nil"/>
              <w:left w:val="nil"/>
              <w:bottom w:val="single" w:color="auto" w:sz="4" w:space="0"/>
              <w:right w:val="single" w:color="auto" w:sz="4" w:space="0"/>
            </w:tcBorders>
            <w:vAlign w:val="center"/>
          </w:tcPr>
          <w:p w14:paraId="5DE3B6C3">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20≤X＜300</w:t>
            </w:r>
          </w:p>
        </w:tc>
        <w:tc>
          <w:tcPr>
            <w:tcW w:w="1091" w:type="dxa"/>
            <w:tcBorders>
              <w:top w:val="nil"/>
              <w:left w:val="nil"/>
              <w:bottom w:val="single" w:color="auto" w:sz="4" w:space="0"/>
              <w:right w:val="single" w:color="auto" w:sz="4" w:space="0"/>
            </w:tcBorders>
            <w:vAlign w:val="center"/>
          </w:tcPr>
          <w:p w14:paraId="03E736AD">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X＜20</w:t>
            </w:r>
          </w:p>
        </w:tc>
      </w:tr>
      <w:tr w14:paraId="0F0901AF">
        <w:tblPrEx>
          <w:tblCellMar>
            <w:top w:w="0" w:type="dxa"/>
            <w:left w:w="108" w:type="dxa"/>
            <w:bottom w:w="0" w:type="dxa"/>
            <w:right w:w="108" w:type="dxa"/>
          </w:tblCellMar>
        </w:tblPrEx>
        <w:trPr>
          <w:trHeight w:val="364" w:hRule="atLeast"/>
        </w:trPr>
        <w:tc>
          <w:tcPr>
            <w:tcW w:w="2007" w:type="dxa"/>
            <w:vMerge w:val="continue"/>
            <w:tcBorders>
              <w:top w:val="nil"/>
              <w:left w:val="single" w:color="auto" w:sz="4" w:space="0"/>
              <w:bottom w:val="single" w:color="auto" w:sz="4" w:space="0"/>
              <w:right w:val="single" w:color="auto" w:sz="4" w:space="0"/>
            </w:tcBorders>
            <w:vAlign w:val="center"/>
          </w:tcPr>
          <w:p w14:paraId="431D52BF">
            <w:pPr>
              <w:widowControl/>
              <w:jc w:val="left"/>
              <w:rPr>
                <w:rFonts w:hint="eastAsia" w:ascii="宋体" w:hAnsi="宋体" w:cs="宋体"/>
                <w:b/>
                <w:bCs/>
                <w:color w:val="auto"/>
                <w:kern w:val="0"/>
                <w:sz w:val="20"/>
                <w:szCs w:val="20"/>
                <w:highlight w:val="none"/>
              </w:rPr>
            </w:pPr>
          </w:p>
        </w:tc>
        <w:tc>
          <w:tcPr>
            <w:tcW w:w="1633" w:type="dxa"/>
            <w:tcBorders>
              <w:top w:val="nil"/>
              <w:left w:val="nil"/>
              <w:bottom w:val="single" w:color="auto" w:sz="4" w:space="0"/>
              <w:right w:val="single" w:color="auto" w:sz="4" w:space="0"/>
            </w:tcBorders>
            <w:vAlign w:val="center"/>
          </w:tcPr>
          <w:p w14:paraId="56FC2F38">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营业收入（Y）</w:t>
            </w:r>
          </w:p>
        </w:tc>
        <w:tc>
          <w:tcPr>
            <w:tcW w:w="1077" w:type="dxa"/>
            <w:tcBorders>
              <w:top w:val="nil"/>
              <w:left w:val="nil"/>
              <w:bottom w:val="single" w:color="auto" w:sz="4" w:space="0"/>
              <w:right w:val="single" w:color="auto" w:sz="4" w:space="0"/>
            </w:tcBorders>
            <w:vAlign w:val="center"/>
          </w:tcPr>
          <w:p w14:paraId="23AC5C46">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万元</w:t>
            </w:r>
          </w:p>
        </w:tc>
        <w:tc>
          <w:tcPr>
            <w:tcW w:w="1911" w:type="dxa"/>
            <w:tcBorders>
              <w:top w:val="nil"/>
              <w:left w:val="nil"/>
              <w:bottom w:val="single" w:color="auto" w:sz="4" w:space="0"/>
              <w:right w:val="single" w:color="auto" w:sz="4" w:space="0"/>
            </w:tcBorders>
            <w:vAlign w:val="center"/>
          </w:tcPr>
          <w:p w14:paraId="265CB69C">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2000≤Y＜30000</w:t>
            </w:r>
          </w:p>
        </w:tc>
        <w:tc>
          <w:tcPr>
            <w:tcW w:w="1699" w:type="dxa"/>
            <w:tcBorders>
              <w:top w:val="nil"/>
              <w:left w:val="nil"/>
              <w:bottom w:val="single" w:color="auto" w:sz="4" w:space="0"/>
              <w:right w:val="single" w:color="auto" w:sz="4" w:space="0"/>
            </w:tcBorders>
            <w:vAlign w:val="center"/>
          </w:tcPr>
          <w:p w14:paraId="4DD63598">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100≤Y＜2000</w:t>
            </w:r>
          </w:p>
        </w:tc>
        <w:tc>
          <w:tcPr>
            <w:tcW w:w="1091" w:type="dxa"/>
            <w:tcBorders>
              <w:top w:val="nil"/>
              <w:left w:val="nil"/>
              <w:bottom w:val="single" w:color="auto" w:sz="4" w:space="0"/>
              <w:right w:val="single" w:color="auto" w:sz="4" w:space="0"/>
            </w:tcBorders>
            <w:vAlign w:val="center"/>
          </w:tcPr>
          <w:p w14:paraId="2DD2E787">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Y＜100</w:t>
            </w:r>
          </w:p>
        </w:tc>
      </w:tr>
      <w:tr w14:paraId="77628923">
        <w:tblPrEx>
          <w:tblCellMar>
            <w:top w:w="0" w:type="dxa"/>
            <w:left w:w="108" w:type="dxa"/>
            <w:bottom w:w="0" w:type="dxa"/>
            <w:right w:w="108" w:type="dxa"/>
          </w:tblCellMar>
        </w:tblPrEx>
        <w:trPr>
          <w:trHeight w:val="364" w:hRule="atLeast"/>
        </w:trPr>
        <w:tc>
          <w:tcPr>
            <w:tcW w:w="2007" w:type="dxa"/>
            <w:vMerge w:val="restart"/>
            <w:tcBorders>
              <w:top w:val="nil"/>
              <w:left w:val="single" w:color="auto" w:sz="4" w:space="0"/>
              <w:bottom w:val="single" w:color="auto" w:sz="4" w:space="0"/>
              <w:right w:val="single" w:color="auto" w:sz="4" w:space="0"/>
            </w:tcBorders>
            <w:vAlign w:val="bottom"/>
          </w:tcPr>
          <w:p w14:paraId="67924FAB">
            <w:pPr>
              <w:widowControl/>
              <w:jc w:val="center"/>
              <w:rPr>
                <w:rFonts w:hint="eastAsia"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住宿业</w:t>
            </w:r>
          </w:p>
        </w:tc>
        <w:tc>
          <w:tcPr>
            <w:tcW w:w="1633" w:type="dxa"/>
            <w:tcBorders>
              <w:top w:val="nil"/>
              <w:left w:val="nil"/>
              <w:bottom w:val="single" w:color="auto" w:sz="4" w:space="0"/>
              <w:right w:val="single" w:color="auto" w:sz="4" w:space="0"/>
            </w:tcBorders>
            <w:vAlign w:val="center"/>
          </w:tcPr>
          <w:p w14:paraId="73073CB1">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从业人员（X）</w:t>
            </w:r>
          </w:p>
        </w:tc>
        <w:tc>
          <w:tcPr>
            <w:tcW w:w="1077" w:type="dxa"/>
            <w:tcBorders>
              <w:top w:val="nil"/>
              <w:left w:val="nil"/>
              <w:bottom w:val="single" w:color="auto" w:sz="4" w:space="0"/>
              <w:right w:val="single" w:color="auto" w:sz="4" w:space="0"/>
            </w:tcBorders>
            <w:vAlign w:val="center"/>
          </w:tcPr>
          <w:p w14:paraId="77B04FE1">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人</w:t>
            </w:r>
          </w:p>
        </w:tc>
        <w:tc>
          <w:tcPr>
            <w:tcW w:w="1911" w:type="dxa"/>
            <w:tcBorders>
              <w:top w:val="nil"/>
              <w:left w:val="nil"/>
              <w:bottom w:val="single" w:color="auto" w:sz="4" w:space="0"/>
              <w:right w:val="single" w:color="auto" w:sz="4" w:space="0"/>
            </w:tcBorders>
            <w:vAlign w:val="center"/>
          </w:tcPr>
          <w:p w14:paraId="41F55510">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100≤X＜300</w:t>
            </w:r>
          </w:p>
        </w:tc>
        <w:tc>
          <w:tcPr>
            <w:tcW w:w="1699" w:type="dxa"/>
            <w:tcBorders>
              <w:top w:val="nil"/>
              <w:left w:val="nil"/>
              <w:bottom w:val="single" w:color="auto" w:sz="4" w:space="0"/>
              <w:right w:val="single" w:color="auto" w:sz="4" w:space="0"/>
            </w:tcBorders>
            <w:vAlign w:val="center"/>
          </w:tcPr>
          <w:p w14:paraId="7BCD170F">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10≤X＜100</w:t>
            </w:r>
          </w:p>
        </w:tc>
        <w:tc>
          <w:tcPr>
            <w:tcW w:w="1091" w:type="dxa"/>
            <w:tcBorders>
              <w:top w:val="nil"/>
              <w:left w:val="nil"/>
              <w:bottom w:val="single" w:color="auto" w:sz="4" w:space="0"/>
              <w:right w:val="single" w:color="auto" w:sz="4" w:space="0"/>
            </w:tcBorders>
            <w:vAlign w:val="center"/>
          </w:tcPr>
          <w:p w14:paraId="05FA88E6">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X＜10</w:t>
            </w:r>
          </w:p>
        </w:tc>
      </w:tr>
      <w:tr w14:paraId="391D111A">
        <w:tblPrEx>
          <w:tblCellMar>
            <w:top w:w="0" w:type="dxa"/>
            <w:left w:w="108" w:type="dxa"/>
            <w:bottom w:w="0" w:type="dxa"/>
            <w:right w:w="108" w:type="dxa"/>
          </w:tblCellMar>
        </w:tblPrEx>
        <w:trPr>
          <w:trHeight w:val="364" w:hRule="atLeast"/>
        </w:trPr>
        <w:tc>
          <w:tcPr>
            <w:tcW w:w="2007" w:type="dxa"/>
            <w:vMerge w:val="continue"/>
            <w:tcBorders>
              <w:top w:val="nil"/>
              <w:left w:val="single" w:color="auto" w:sz="4" w:space="0"/>
              <w:bottom w:val="single" w:color="auto" w:sz="4" w:space="0"/>
              <w:right w:val="single" w:color="auto" w:sz="4" w:space="0"/>
            </w:tcBorders>
            <w:vAlign w:val="center"/>
          </w:tcPr>
          <w:p w14:paraId="1A33FCA7">
            <w:pPr>
              <w:widowControl/>
              <w:jc w:val="left"/>
              <w:rPr>
                <w:rFonts w:hint="eastAsia" w:ascii="宋体" w:hAnsi="宋体" w:cs="宋体"/>
                <w:b/>
                <w:bCs/>
                <w:color w:val="auto"/>
                <w:kern w:val="0"/>
                <w:sz w:val="20"/>
                <w:szCs w:val="20"/>
                <w:highlight w:val="none"/>
              </w:rPr>
            </w:pPr>
          </w:p>
        </w:tc>
        <w:tc>
          <w:tcPr>
            <w:tcW w:w="1633" w:type="dxa"/>
            <w:tcBorders>
              <w:top w:val="nil"/>
              <w:left w:val="nil"/>
              <w:bottom w:val="single" w:color="auto" w:sz="4" w:space="0"/>
              <w:right w:val="single" w:color="auto" w:sz="4" w:space="0"/>
            </w:tcBorders>
            <w:vAlign w:val="center"/>
          </w:tcPr>
          <w:p w14:paraId="57704CBC">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营业收入（Y）</w:t>
            </w:r>
          </w:p>
        </w:tc>
        <w:tc>
          <w:tcPr>
            <w:tcW w:w="1077" w:type="dxa"/>
            <w:tcBorders>
              <w:top w:val="nil"/>
              <w:left w:val="nil"/>
              <w:bottom w:val="single" w:color="auto" w:sz="4" w:space="0"/>
              <w:right w:val="single" w:color="auto" w:sz="4" w:space="0"/>
            </w:tcBorders>
            <w:vAlign w:val="center"/>
          </w:tcPr>
          <w:p w14:paraId="0A3CBFBC">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万元</w:t>
            </w:r>
          </w:p>
        </w:tc>
        <w:tc>
          <w:tcPr>
            <w:tcW w:w="1911" w:type="dxa"/>
            <w:tcBorders>
              <w:top w:val="nil"/>
              <w:left w:val="nil"/>
              <w:bottom w:val="single" w:color="auto" w:sz="4" w:space="0"/>
              <w:right w:val="single" w:color="auto" w:sz="4" w:space="0"/>
            </w:tcBorders>
            <w:vAlign w:val="center"/>
          </w:tcPr>
          <w:p w14:paraId="5794574D">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2000≤Y＜10000</w:t>
            </w:r>
          </w:p>
        </w:tc>
        <w:tc>
          <w:tcPr>
            <w:tcW w:w="1699" w:type="dxa"/>
            <w:tcBorders>
              <w:top w:val="nil"/>
              <w:left w:val="nil"/>
              <w:bottom w:val="single" w:color="auto" w:sz="4" w:space="0"/>
              <w:right w:val="single" w:color="auto" w:sz="4" w:space="0"/>
            </w:tcBorders>
            <w:vAlign w:val="center"/>
          </w:tcPr>
          <w:p w14:paraId="70E6142A">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100≤Y＜2000</w:t>
            </w:r>
          </w:p>
        </w:tc>
        <w:tc>
          <w:tcPr>
            <w:tcW w:w="1091" w:type="dxa"/>
            <w:tcBorders>
              <w:top w:val="nil"/>
              <w:left w:val="nil"/>
              <w:bottom w:val="single" w:color="auto" w:sz="4" w:space="0"/>
              <w:right w:val="single" w:color="auto" w:sz="4" w:space="0"/>
            </w:tcBorders>
            <w:vAlign w:val="center"/>
          </w:tcPr>
          <w:p w14:paraId="45A07E60">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Y＜100</w:t>
            </w:r>
          </w:p>
        </w:tc>
      </w:tr>
      <w:tr w14:paraId="736990A7">
        <w:tblPrEx>
          <w:tblCellMar>
            <w:top w:w="0" w:type="dxa"/>
            <w:left w:w="108" w:type="dxa"/>
            <w:bottom w:w="0" w:type="dxa"/>
            <w:right w:w="108" w:type="dxa"/>
          </w:tblCellMar>
        </w:tblPrEx>
        <w:trPr>
          <w:trHeight w:val="364" w:hRule="atLeast"/>
        </w:trPr>
        <w:tc>
          <w:tcPr>
            <w:tcW w:w="2007" w:type="dxa"/>
            <w:vMerge w:val="restart"/>
            <w:tcBorders>
              <w:top w:val="nil"/>
              <w:left w:val="single" w:color="auto" w:sz="4" w:space="0"/>
              <w:bottom w:val="single" w:color="auto" w:sz="4" w:space="0"/>
              <w:right w:val="single" w:color="auto" w:sz="4" w:space="0"/>
            </w:tcBorders>
            <w:vAlign w:val="bottom"/>
          </w:tcPr>
          <w:p w14:paraId="2B25DF53">
            <w:pPr>
              <w:widowControl/>
              <w:jc w:val="center"/>
              <w:rPr>
                <w:rFonts w:hint="eastAsia"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餐饮业</w:t>
            </w:r>
          </w:p>
        </w:tc>
        <w:tc>
          <w:tcPr>
            <w:tcW w:w="1633" w:type="dxa"/>
            <w:tcBorders>
              <w:top w:val="nil"/>
              <w:left w:val="nil"/>
              <w:bottom w:val="single" w:color="auto" w:sz="4" w:space="0"/>
              <w:right w:val="single" w:color="auto" w:sz="4" w:space="0"/>
            </w:tcBorders>
            <w:vAlign w:val="center"/>
          </w:tcPr>
          <w:p w14:paraId="66F53490">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从业人员（X）</w:t>
            </w:r>
          </w:p>
        </w:tc>
        <w:tc>
          <w:tcPr>
            <w:tcW w:w="1077" w:type="dxa"/>
            <w:tcBorders>
              <w:top w:val="nil"/>
              <w:left w:val="nil"/>
              <w:bottom w:val="single" w:color="auto" w:sz="4" w:space="0"/>
              <w:right w:val="single" w:color="auto" w:sz="4" w:space="0"/>
            </w:tcBorders>
            <w:vAlign w:val="center"/>
          </w:tcPr>
          <w:p w14:paraId="67EE681A">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人</w:t>
            </w:r>
          </w:p>
        </w:tc>
        <w:tc>
          <w:tcPr>
            <w:tcW w:w="1911" w:type="dxa"/>
            <w:tcBorders>
              <w:top w:val="nil"/>
              <w:left w:val="nil"/>
              <w:bottom w:val="single" w:color="auto" w:sz="4" w:space="0"/>
              <w:right w:val="single" w:color="auto" w:sz="4" w:space="0"/>
            </w:tcBorders>
            <w:vAlign w:val="center"/>
          </w:tcPr>
          <w:p w14:paraId="401CADF3">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100≤X＜300</w:t>
            </w:r>
          </w:p>
        </w:tc>
        <w:tc>
          <w:tcPr>
            <w:tcW w:w="1699" w:type="dxa"/>
            <w:tcBorders>
              <w:top w:val="nil"/>
              <w:left w:val="nil"/>
              <w:bottom w:val="single" w:color="auto" w:sz="4" w:space="0"/>
              <w:right w:val="single" w:color="auto" w:sz="4" w:space="0"/>
            </w:tcBorders>
            <w:vAlign w:val="center"/>
          </w:tcPr>
          <w:p w14:paraId="274A0A76">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10≤X＜100</w:t>
            </w:r>
          </w:p>
        </w:tc>
        <w:tc>
          <w:tcPr>
            <w:tcW w:w="1091" w:type="dxa"/>
            <w:tcBorders>
              <w:top w:val="nil"/>
              <w:left w:val="nil"/>
              <w:bottom w:val="single" w:color="auto" w:sz="4" w:space="0"/>
              <w:right w:val="single" w:color="auto" w:sz="4" w:space="0"/>
            </w:tcBorders>
            <w:vAlign w:val="center"/>
          </w:tcPr>
          <w:p w14:paraId="5E8019C5">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X＜10</w:t>
            </w:r>
          </w:p>
        </w:tc>
      </w:tr>
      <w:tr w14:paraId="0AFEBCDB">
        <w:tblPrEx>
          <w:tblCellMar>
            <w:top w:w="0" w:type="dxa"/>
            <w:left w:w="108" w:type="dxa"/>
            <w:bottom w:w="0" w:type="dxa"/>
            <w:right w:w="108" w:type="dxa"/>
          </w:tblCellMar>
        </w:tblPrEx>
        <w:trPr>
          <w:trHeight w:val="364" w:hRule="atLeast"/>
        </w:trPr>
        <w:tc>
          <w:tcPr>
            <w:tcW w:w="2007" w:type="dxa"/>
            <w:vMerge w:val="continue"/>
            <w:tcBorders>
              <w:top w:val="nil"/>
              <w:left w:val="single" w:color="auto" w:sz="4" w:space="0"/>
              <w:bottom w:val="single" w:color="auto" w:sz="4" w:space="0"/>
              <w:right w:val="single" w:color="auto" w:sz="4" w:space="0"/>
            </w:tcBorders>
            <w:vAlign w:val="center"/>
          </w:tcPr>
          <w:p w14:paraId="33DF3AB3">
            <w:pPr>
              <w:widowControl/>
              <w:jc w:val="left"/>
              <w:rPr>
                <w:rFonts w:hint="eastAsia" w:ascii="宋体" w:hAnsi="宋体" w:cs="宋体"/>
                <w:b/>
                <w:bCs/>
                <w:color w:val="auto"/>
                <w:kern w:val="0"/>
                <w:sz w:val="20"/>
                <w:szCs w:val="20"/>
                <w:highlight w:val="none"/>
              </w:rPr>
            </w:pPr>
          </w:p>
        </w:tc>
        <w:tc>
          <w:tcPr>
            <w:tcW w:w="1633" w:type="dxa"/>
            <w:tcBorders>
              <w:top w:val="nil"/>
              <w:left w:val="nil"/>
              <w:bottom w:val="single" w:color="auto" w:sz="4" w:space="0"/>
              <w:right w:val="single" w:color="auto" w:sz="4" w:space="0"/>
            </w:tcBorders>
            <w:vAlign w:val="center"/>
          </w:tcPr>
          <w:p w14:paraId="15DBAB63">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营业收入（Y）</w:t>
            </w:r>
          </w:p>
        </w:tc>
        <w:tc>
          <w:tcPr>
            <w:tcW w:w="1077" w:type="dxa"/>
            <w:tcBorders>
              <w:top w:val="nil"/>
              <w:left w:val="nil"/>
              <w:bottom w:val="single" w:color="auto" w:sz="4" w:space="0"/>
              <w:right w:val="single" w:color="auto" w:sz="4" w:space="0"/>
            </w:tcBorders>
            <w:vAlign w:val="center"/>
          </w:tcPr>
          <w:p w14:paraId="274ABDF2">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万元</w:t>
            </w:r>
          </w:p>
        </w:tc>
        <w:tc>
          <w:tcPr>
            <w:tcW w:w="1911" w:type="dxa"/>
            <w:tcBorders>
              <w:top w:val="nil"/>
              <w:left w:val="nil"/>
              <w:bottom w:val="single" w:color="auto" w:sz="4" w:space="0"/>
              <w:right w:val="single" w:color="auto" w:sz="4" w:space="0"/>
            </w:tcBorders>
            <w:vAlign w:val="center"/>
          </w:tcPr>
          <w:p w14:paraId="7965C39A">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2000≤Y＜10000</w:t>
            </w:r>
          </w:p>
        </w:tc>
        <w:tc>
          <w:tcPr>
            <w:tcW w:w="1699" w:type="dxa"/>
            <w:tcBorders>
              <w:top w:val="nil"/>
              <w:left w:val="nil"/>
              <w:bottom w:val="single" w:color="auto" w:sz="4" w:space="0"/>
              <w:right w:val="single" w:color="auto" w:sz="4" w:space="0"/>
            </w:tcBorders>
            <w:vAlign w:val="center"/>
          </w:tcPr>
          <w:p w14:paraId="500DF137">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100≤Y＜2000</w:t>
            </w:r>
          </w:p>
        </w:tc>
        <w:tc>
          <w:tcPr>
            <w:tcW w:w="1091" w:type="dxa"/>
            <w:tcBorders>
              <w:top w:val="nil"/>
              <w:left w:val="nil"/>
              <w:bottom w:val="single" w:color="auto" w:sz="4" w:space="0"/>
              <w:right w:val="single" w:color="auto" w:sz="4" w:space="0"/>
            </w:tcBorders>
            <w:vAlign w:val="center"/>
          </w:tcPr>
          <w:p w14:paraId="41EBB800">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Y＜100</w:t>
            </w:r>
          </w:p>
        </w:tc>
      </w:tr>
      <w:tr w14:paraId="4E3668BD">
        <w:tblPrEx>
          <w:tblCellMar>
            <w:top w:w="0" w:type="dxa"/>
            <w:left w:w="108" w:type="dxa"/>
            <w:bottom w:w="0" w:type="dxa"/>
            <w:right w:w="108" w:type="dxa"/>
          </w:tblCellMar>
        </w:tblPrEx>
        <w:trPr>
          <w:trHeight w:val="364" w:hRule="atLeast"/>
        </w:trPr>
        <w:tc>
          <w:tcPr>
            <w:tcW w:w="2007" w:type="dxa"/>
            <w:vMerge w:val="restart"/>
            <w:tcBorders>
              <w:top w:val="nil"/>
              <w:left w:val="single" w:color="auto" w:sz="4" w:space="0"/>
              <w:bottom w:val="single" w:color="auto" w:sz="4" w:space="0"/>
              <w:right w:val="single" w:color="auto" w:sz="4" w:space="0"/>
            </w:tcBorders>
            <w:vAlign w:val="bottom"/>
          </w:tcPr>
          <w:p w14:paraId="699FE3C4">
            <w:pPr>
              <w:widowControl/>
              <w:jc w:val="center"/>
              <w:rPr>
                <w:rFonts w:hint="eastAsia"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信息传输业</w:t>
            </w:r>
          </w:p>
        </w:tc>
        <w:tc>
          <w:tcPr>
            <w:tcW w:w="1633" w:type="dxa"/>
            <w:tcBorders>
              <w:top w:val="nil"/>
              <w:left w:val="nil"/>
              <w:bottom w:val="single" w:color="auto" w:sz="4" w:space="0"/>
              <w:right w:val="single" w:color="auto" w:sz="4" w:space="0"/>
            </w:tcBorders>
            <w:vAlign w:val="center"/>
          </w:tcPr>
          <w:p w14:paraId="35F1B79C">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从业人员（X）</w:t>
            </w:r>
          </w:p>
        </w:tc>
        <w:tc>
          <w:tcPr>
            <w:tcW w:w="1077" w:type="dxa"/>
            <w:tcBorders>
              <w:top w:val="nil"/>
              <w:left w:val="nil"/>
              <w:bottom w:val="single" w:color="auto" w:sz="4" w:space="0"/>
              <w:right w:val="single" w:color="auto" w:sz="4" w:space="0"/>
            </w:tcBorders>
            <w:vAlign w:val="center"/>
          </w:tcPr>
          <w:p w14:paraId="151DBA9C">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人</w:t>
            </w:r>
          </w:p>
        </w:tc>
        <w:tc>
          <w:tcPr>
            <w:tcW w:w="1911" w:type="dxa"/>
            <w:tcBorders>
              <w:top w:val="nil"/>
              <w:left w:val="nil"/>
              <w:bottom w:val="single" w:color="auto" w:sz="4" w:space="0"/>
              <w:right w:val="single" w:color="auto" w:sz="4" w:space="0"/>
            </w:tcBorders>
            <w:vAlign w:val="center"/>
          </w:tcPr>
          <w:p w14:paraId="308CAB78">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100≤X＜2000</w:t>
            </w:r>
          </w:p>
        </w:tc>
        <w:tc>
          <w:tcPr>
            <w:tcW w:w="1699" w:type="dxa"/>
            <w:tcBorders>
              <w:top w:val="nil"/>
              <w:left w:val="nil"/>
              <w:bottom w:val="single" w:color="auto" w:sz="4" w:space="0"/>
              <w:right w:val="single" w:color="auto" w:sz="4" w:space="0"/>
            </w:tcBorders>
            <w:vAlign w:val="center"/>
          </w:tcPr>
          <w:p w14:paraId="1F9AE84C">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10≤X＜100</w:t>
            </w:r>
          </w:p>
        </w:tc>
        <w:tc>
          <w:tcPr>
            <w:tcW w:w="1091" w:type="dxa"/>
            <w:tcBorders>
              <w:top w:val="nil"/>
              <w:left w:val="nil"/>
              <w:bottom w:val="single" w:color="auto" w:sz="4" w:space="0"/>
              <w:right w:val="single" w:color="auto" w:sz="4" w:space="0"/>
            </w:tcBorders>
            <w:vAlign w:val="center"/>
          </w:tcPr>
          <w:p w14:paraId="14CE6CF3">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X＜10</w:t>
            </w:r>
          </w:p>
        </w:tc>
      </w:tr>
      <w:tr w14:paraId="661D9BBF">
        <w:tblPrEx>
          <w:tblCellMar>
            <w:top w:w="0" w:type="dxa"/>
            <w:left w:w="108" w:type="dxa"/>
            <w:bottom w:w="0" w:type="dxa"/>
            <w:right w:w="108" w:type="dxa"/>
          </w:tblCellMar>
        </w:tblPrEx>
        <w:trPr>
          <w:trHeight w:val="364" w:hRule="atLeast"/>
        </w:trPr>
        <w:tc>
          <w:tcPr>
            <w:tcW w:w="2007" w:type="dxa"/>
            <w:vMerge w:val="continue"/>
            <w:tcBorders>
              <w:top w:val="nil"/>
              <w:left w:val="single" w:color="auto" w:sz="4" w:space="0"/>
              <w:bottom w:val="single" w:color="auto" w:sz="4" w:space="0"/>
              <w:right w:val="single" w:color="auto" w:sz="4" w:space="0"/>
            </w:tcBorders>
            <w:vAlign w:val="center"/>
          </w:tcPr>
          <w:p w14:paraId="185CF8EC">
            <w:pPr>
              <w:widowControl/>
              <w:jc w:val="left"/>
              <w:rPr>
                <w:rFonts w:hint="eastAsia" w:ascii="宋体" w:hAnsi="宋体" w:cs="宋体"/>
                <w:b/>
                <w:bCs/>
                <w:color w:val="auto"/>
                <w:kern w:val="0"/>
                <w:sz w:val="20"/>
                <w:szCs w:val="20"/>
                <w:highlight w:val="none"/>
              </w:rPr>
            </w:pPr>
          </w:p>
        </w:tc>
        <w:tc>
          <w:tcPr>
            <w:tcW w:w="1633" w:type="dxa"/>
            <w:tcBorders>
              <w:top w:val="nil"/>
              <w:left w:val="nil"/>
              <w:bottom w:val="single" w:color="auto" w:sz="4" w:space="0"/>
              <w:right w:val="single" w:color="auto" w:sz="4" w:space="0"/>
            </w:tcBorders>
            <w:vAlign w:val="center"/>
          </w:tcPr>
          <w:p w14:paraId="41C63C8B">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营业收入（Y）</w:t>
            </w:r>
          </w:p>
        </w:tc>
        <w:tc>
          <w:tcPr>
            <w:tcW w:w="1077" w:type="dxa"/>
            <w:tcBorders>
              <w:top w:val="nil"/>
              <w:left w:val="nil"/>
              <w:bottom w:val="single" w:color="auto" w:sz="4" w:space="0"/>
              <w:right w:val="single" w:color="auto" w:sz="4" w:space="0"/>
            </w:tcBorders>
            <w:vAlign w:val="center"/>
          </w:tcPr>
          <w:p w14:paraId="6D0D6CEC">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万元</w:t>
            </w:r>
          </w:p>
        </w:tc>
        <w:tc>
          <w:tcPr>
            <w:tcW w:w="1911" w:type="dxa"/>
            <w:tcBorders>
              <w:top w:val="nil"/>
              <w:left w:val="nil"/>
              <w:bottom w:val="single" w:color="auto" w:sz="4" w:space="0"/>
              <w:right w:val="single" w:color="auto" w:sz="4" w:space="0"/>
            </w:tcBorders>
            <w:vAlign w:val="center"/>
          </w:tcPr>
          <w:p w14:paraId="37187E10">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1000≤Y＜100000</w:t>
            </w:r>
          </w:p>
        </w:tc>
        <w:tc>
          <w:tcPr>
            <w:tcW w:w="1699" w:type="dxa"/>
            <w:tcBorders>
              <w:top w:val="nil"/>
              <w:left w:val="nil"/>
              <w:bottom w:val="single" w:color="auto" w:sz="4" w:space="0"/>
              <w:right w:val="single" w:color="auto" w:sz="4" w:space="0"/>
            </w:tcBorders>
            <w:vAlign w:val="center"/>
          </w:tcPr>
          <w:p w14:paraId="41A90E0B">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100≤Y＜1000</w:t>
            </w:r>
          </w:p>
        </w:tc>
        <w:tc>
          <w:tcPr>
            <w:tcW w:w="1091" w:type="dxa"/>
            <w:tcBorders>
              <w:top w:val="nil"/>
              <w:left w:val="nil"/>
              <w:bottom w:val="single" w:color="auto" w:sz="4" w:space="0"/>
              <w:right w:val="single" w:color="auto" w:sz="4" w:space="0"/>
            </w:tcBorders>
            <w:vAlign w:val="center"/>
          </w:tcPr>
          <w:p w14:paraId="0D8C9ADC">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Y＜100</w:t>
            </w:r>
          </w:p>
        </w:tc>
      </w:tr>
      <w:tr w14:paraId="7397B476">
        <w:tblPrEx>
          <w:tblCellMar>
            <w:top w:w="0" w:type="dxa"/>
            <w:left w:w="108" w:type="dxa"/>
            <w:bottom w:w="0" w:type="dxa"/>
            <w:right w:w="108" w:type="dxa"/>
          </w:tblCellMar>
        </w:tblPrEx>
        <w:trPr>
          <w:trHeight w:val="364" w:hRule="atLeast"/>
        </w:trPr>
        <w:tc>
          <w:tcPr>
            <w:tcW w:w="2007" w:type="dxa"/>
            <w:vMerge w:val="restart"/>
            <w:tcBorders>
              <w:top w:val="nil"/>
              <w:left w:val="single" w:color="auto" w:sz="4" w:space="0"/>
              <w:bottom w:val="single" w:color="auto" w:sz="4" w:space="0"/>
              <w:right w:val="single" w:color="auto" w:sz="4" w:space="0"/>
            </w:tcBorders>
            <w:vAlign w:val="bottom"/>
          </w:tcPr>
          <w:p w14:paraId="18ECE693">
            <w:pPr>
              <w:widowControl/>
              <w:jc w:val="center"/>
              <w:rPr>
                <w:rFonts w:hint="eastAsia"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软件和信息技术服务业</w:t>
            </w:r>
          </w:p>
        </w:tc>
        <w:tc>
          <w:tcPr>
            <w:tcW w:w="1633" w:type="dxa"/>
            <w:tcBorders>
              <w:top w:val="nil"/>
              <w:left w:val="nil"/>
              <w:bottom w:val="single" w:color="auto" w:sz="4" w:space="0"/>
              <w:right w:val="single" w:color="auto" w:sz="4" w:space="0"/>
            </w:tcBorders>
            <w:vAlign w:val="center"/>
          </w:tcPr>
          <w:p w14:paraId="5356565D">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从业人员（X）</w:t>
            </w:r>
          </w:p>
        </w:tc>
        <w:tc>
          <w:tcPr>
            <w:tcW w:w="1077" w:type="dxa"/>
            <w:tcBorders>
              <w:top w:val="nil"/>
              <w:left w:val="nil"/>
              <w:bottom w:val="single" w:color="auto" w:sz="4" w:space="0"/>
              <w:right w:val="single" w:color="auto" w:sz="4" w:space="0"/>
            </w:tcBorders>
            <w:vAlign w:val="center"/>
          </w:tcPr>
          <w:p w14:paraId="323C1A22">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人</w:t>
            </w:r>
          </w:p>
        </w:tc>
        <w:tc>
          <w:tcPr>
            <w:tcW w:w="1911" w:type="dxa"/>
            <w:tcBorders>
              <w:top w:val="nil"/>
              <w:left w:val="nil"/>
              <w:bottom w:val="single" w:color="auto" w:sz="4" w:space="0"/>
              <w:right w:val="single" w:color="auto" w:sz="4" w:space="0"/>
            </w:tcBorders>
            <w:vAlign w:val="center"/>
          </w:tcPr>
          <w:p w14:paraId="46C356DA">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100≤X＜300</w:t>
            </w:r>
          </w:p>
        </w:tc>
        <w:tc>
          <w:tcPr>
            <w:tcW w:w="1699" w:type="dxa"/>
            <w:tcBorders>
              <w:top w:val="nil"/>
              <w:left w:val="nil"/>
              <w:bottom w:val="single" w:color="auto" w:sz="4" w:space="0"/>
              <w:right w:val="single" w:color="auto" w:sz="4" w:space="0"/>
            </w:tcBorders>
            <w:vAlign w:val="center"/>
          </w:tcPr>
          <w:p w14:paraId="4EE7D47E">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10≤X＜100</w:t>
            </w:r>
          </w:p>
        </w:tc>
        <w:tc>
          <w:tcPr>
            <w:tcW w:w="1091" w:type="dxa"/>
            <w:tcBorders>
              <w:top w:val="nil"/>
              <w:left w:val="nil"/>
              <w:bottom w:val="single" w:color="auto" w:sz="4" w:space="0"/>
              <w:right w:val="single" w:color="auto" w:sz="4" w:space="0"/>
            </w:tcBorders>
            <w:vAlign w:val="center"/>
          </w:tcPr>
          <w:p w14:paraId="2ECFC3CF">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X＜10</w:t>
            </w:r>
          </w:p>
        </w:tc>
      </w:tr>
      <w:tr w14:paraId="65AC45BF">
        <w:tblPrEx>
          <w:tblCellMar>
            <w:top w:w="0" w:type="dxa"/>
            <w:left w:w="108" w:type="dxa"/>
            <w:bottom w:w="0" w:type="dxa"/>
            <w:right w:w="108" w:type="dxa"/>
          </w:tblCellMar>
        </w:tblPrEx>
        <w:trPr>
          <w:trHeight w:val="364" w:hRule="atLeast"/>
        </w:trPr>
        <w:tc>
          <w:tcPr>
            <w:tcW w:w="2007" w:type="dxa"/>
            <w:vMerge w:val="continue"/>
            <w:tcBorders>
              <w:top w:val="nil"/>
              <w:left w:val="single" w:color="auto" w:sz="4" w:space="0"/>
              <w:bottom w:val="single" w:color="auto" w:sz="4" w:space="0"/>
              <w:right w:val="single" w:color="auto" w:sz="4" w:space="0"/>
            </w:tcBorders>
            <w:vAlign w:val="center"/>
          </w:tcPr>
          <w:p w14:paraId="1DF31206">
            <w:pPr>
              <w:widowControl/>
              <w:jc w:val="left"/>
              <w:rPr>
                <w:rFonts w:hint="eastAsia" w:ascii="宋体" w:hAnsi="宋体" w:cs="宋体"/>
                <w:b/>
                <w:bCs/>
                <w:color w:val="auto"/>
                <w:kern w:val="0"/>
                <w:sz w:val="20"/>
                <w:szCs w:val="20"/>
                <w:highlight w:val="none"/>
              </w:rPr>
            </w:pPr>
          </w:p>
        </w:tc>
        <w:tc>
          <w:tcPr>
            <w:tcW w:w="1633" w:type="dxa"/>
            <w:tcBorders>
              <w:top w:val="nil"/>
              <w:left w:val="nil"/>
              <w:bottom w:val="single" w:color="auto" w:sz="4" w:space="0"/>
              <w:right w:val="single" w:color="auto" w:sz="4" w:space="0"/>
            </w:tcBorders>
            <w:vAlign w:val="center"/>
          </w:tcPr>
          <w:p w14:paraId="11072D19">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营业收入（Y）</w:t>
            </w:r>
          </w:p>
        </w:tc>
        <w:tc>
          <w:tcPr>
            <w:tcW w:w="1077" w:type="dxa"/>
            <w:tcBorders>
              <w:top w:val="nil"/>
              <w:left w:val="nil"/>
              <w:bottom w:val="single" w:color="auto" w:sz="4" w:space="0"/>
              <w:right w:val="single" w:color="auto" w:sz="4" w:space="0"/>
            </w:tcBorders>
            <w:vAlign w:val="center"/>
          </w:tcPr>
          <w:p w14:paraId="5B59E568">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万元</w:t>
            </w:r>
          </w:p>
        </w:tc>
        <w:tc>
          <w:tcPr>
            <w:tcW w:w="1911" w:type="dxa"/>
            <w:tcBorders>
              <w:top w:val="nil"/>
              <w:left w:val="nil"/>
              <w:bottom w:val="single" w:color="auto" w:sz="4" w:space="0"/>
              <w:right w:val="single" w:color="auto" w:sz="4" w:space="0"/>
            </w:tcBorders>
            <w:vAlign w:val="center"/>
          </w:tcPr>
          <w:p w14:paraId="22C2B201">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1000≤Y＜10000</w:t>
            </w:r>
          </w:p>
        </w:tc>
        <w:tc>
          <w:tcPr>
            <w:tcW w:w="1699" w:type="dxa"/>
            <w:tcBorders>
              <w:top w:val="nil"/>
              <w:left w:val="nil"/>
              <w:bottom w:val="single" w:color="auto" w:sz="4" w:space="0"/>
              <w:right w:val="single" w:color="auto" w:sz="4" w:space="0"/>
            </w:tcBorders>
            <w:vAlign w:val="center"/>
          </w:tcPr>
          <w:p w14:paraId="2233A76F">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50≤Y＜1000</w:t>
            </w:r>
          </w:p>
        </w:tc>
        <w:tc>
          <w:tcPr>
            <w:tcW w:w="1091" w:type="dxa"/>
            <w:tcBorders>
              <w:top w:val="nil"/>
              <w:left w:val="nil"/>
              <w:bottom w:val="single" w:color="auto" w:sz="4" w:space="0"/>
              <w:right w:val="single" w:color="auto" w:sz="4" w:space="0"/>
            </w:tcBorders>
            <w:vAlign w:val="center"/>
          </w:tcPr>
          <w:p w14:paraId="32AB0359">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Y＜50</w:t>
            </w:r>
          </w:p>
        </w:tc>
      </w:tr>
      <w:tr w14:paraId="6ADEC279">
        <w:tblPrEx>
          <w:tblCellMar>
            <w:top w:w="0" w:type="dxa"/>
            <w:left w:w="108" w:type="dxa"/>
            <w:bottom w:w="0" w:type="dxa"/>
            <w:right w:w="108" w:type="dxa"/>
          </w:tblCellMar>
        </w:tblPrEx>
        <w:trPr>
          <w:trHeight w:val="364" w:hRule="atLeast"/>
        </w:trPr>
        <w:tc>
          <w:tcPr>
            <w:tcW w:w="2007" w:type="dxa"/>
            <w:vMerge w:val="restart"/>
            <w:tcBorders>
              <w:top w:val="nil"/>
              <w:left w:val="single" w:color="auto" w:sz="4" w:space="0"/>
              <w:bottom w:val="single" w:color="auto" w:sz="4" w:space="0"/>
              <w:right w:val="single" w:color="auto" w:sz="4" w:space="0"/>
            </w:tcBorders>
            <w:vAlign w:val="bottom"/>
          </w:tcPr>
          <w:p w14:paraId="1CFC971E">
            <w:pPr>
              <w:widowControl/>
              <w:jc w:val="center"/>
              <w:rPr>
                <w:rFonts w:hint="eastAsia"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房地产开发经营</w:t>
            </w:r>
          </w:p>
        </w:tc>
        <w:tc>
          <w:tcPr>
            <w:tcW w:w="1633" w:type="dxa"/>
            <w:tcBorders>
              <w:top w:val="nil"/>
              <w:left w:val="nil"/>
              <w:bottom w:val="single" w:color="auto" w:sz="4" w:space="0"/>
              <w:right w:val="single" w:color="auto" w:sz="4" w:space="0"/>
            </w:tcBorders>
            <w:vAlign w:val="center"/>
          </w:tcPr>
          <w:p w14:paraId="213E0E80">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营业收入（Y）</w:t>
            </w:r>
          </w:p>
        </w:tc>
        <w:tc>
          <w:tcPr>
            <w:tcW w:w="1077" w:type="dxa"/>
            <w:tcBorders>
              <w:top w:val="nil"/>
              <w:left w:val="nil"/>
              <w:bottom w:val="single" w:color="auto" w:sz="4" w:space="0"/>
              <w:right w:val="single" w:color="auto" w:sz="4" w:space="0"/>
            </w:tcBorders>
            <w:vAlign w:val="center"/>
          </w:tcPr>
          <w:p w14:paraId="64BF0B9B">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万元</w:t>
            </w:r>
          </w:p>
        </w:tc>
        <w:tc>
          <w:tcPr>
            <w:tcW w:w="1911" w:type="dxa"/>
            <w:tcBorders>
              <w:top w:val="nil"/>
              <w:left w:val="nil"/>
              <w:bottom w:val="single" w:color="auto" w:sz="4" w:space="0"/>
              <w:right w:val="single" w:color="auto" w:sz="4" w:space="0"/>
            </w:tcBorders>
            <w:vAlign w:val="center"/>
          </w:tcPr>
          <w:p w14:paraId="102D219D">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1000≤Y＜200000</w:t>
            </w:r>
          </w:p>
        </w:tc>
        <w:tc>
          <w:tcPr>
            <w:tcW w:w="1699" w:type="dxa"/>
            <w:tcBorders>
              <w:top w:val="nil"/>
              <w:left w:val="nil"/>
              <w:bottom w:val="single" w:color="auto" w:sz="4" w:space="0"/>
              <w:right w:val="single" w:color="auto" w:sz="4" w:space="0"/>
            </w:tcBorders>
            <w:vAlign w:val="center"/>
          </w:tcPr>
          <w:p w14:paraId="2E6F3185">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100≤X＜1000</w:t>
            </w:r>
          </w:p>
        </w:tc>
        <w:tc>
          <w:tcPr>
            <w:tcW w:w="1091" w:type="dxa"/>
            <w:tcBorders>
              <w:top w:val="nil"/>
              <w:left w:val="nil"/>
              <w:bottom w:val="single" w:color="auto" w:sz="4" w:space="0"/>
              <w:right w:val="single" w:color="auto" w:sz="4" w:space="0"/>
            </w:tcBorders>
            <w:vAlign w:val="center"/>
          </w:tcPr>
          <w:p w14:paraId="7ACB789B">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X＜100</w:t>
            </w:r>
          </w:p>
        </w:tc>
      </w:tr>
      <w:tr w14:paraId="28AF2C0A">
        <w:tblPrEx>
          <w:tblCellMar>
            <w:top w:w="0" w:type="dxa"/>
            <w:left w:w="108" w:type="dxa"/>
            <w:bottom w:w="0" w:type="dxa"/>
            <w:right w:w="108" w:type="dxa"/>
          </w:tblCellMar>
        </w:tblPrEx>
        <w:trPr>
          <w:trHeight w:val="364" w:hRule="atLeast"/>
        </w:trPr>
        <w:tc>
          <w:tcPr>
            <w:tcW w:w="2007" w:type="dxa"/>
            <w:vMerge w:val="continue"/>
            <w:tcBorders>
              <w:top w:val="nil"/>
              <w:left w:val="single" w:color="auto" w:sz="4" w:space="0"/>
              <w:bottom w:val="single" w:color="auto" w:sz="4" w:space="0"/>
              <w:right w:val="single" w:color="auto" w:sz="4" w:space="0"/>
            </w:tcBorders>
            <w:vAlign w:val="center"/>
          </w:tcPr>
          <w:p w14:paraId="7ED79902">
            <w:pPr>
              <w:widowControl/>
              <w:jc w:val="left"/>
              <w:rPr>
                <w:rFonts w:hint="eastAsia" w:ascii="宋体" w:hAnsi="宋体" w:cs="宋体"/>
                <w:b/>
                <w:bCs/>
                <w:color w:val="auto"/>
                <w:kern w:val="0"/>
                <w:sz w:val="20"/>
                <w:szCs w:val="20"/>
                <w:highlight w:val="none"/>
              </w:rPr>
            </w:pPr>
          </w:p>
        </w:tc>
        <w:tc>
          <w:tcPr>
            <w:tcW w:w="1633" w:type="dxa"/>
            <w:tcBorders>
              <w:top w:val="nil"/>
              <w:left w:val="nil"/>
              <w:bottom w:val="single" w:color="auto" w:sz="4" w:space="0"/>
              <w:right w:val="single" w:color="auto" w:sz="4" w:space="0"/>
            </w:tcBorders>
            <w:vAlign w:val="center"/>
          </w:tcPr>
          <w:p w14:paraId="3015E813">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资产总额（Z）</w:t>
            </w:r>
          </w:p>
        </w:tc>
        <w:tc>
          <w:tcPr>
            <w:tcW w:w="1077" w:type="dxa"/>
            <w:tcBorders>
              <w:top w:val="nil"/>
              <w:left w:val="nil"/>
              <w:bottom w:val="single" w:color="auto" w:sz="4" w:space="0"/>
              <w:right w:val="single" w:color="auto" w:sz="4" w:space="0"/>
            </w:tcBorders>
            <w:vAlign w:val="center"/>
          </w:tcPr>
          <w:p w14:paraId="5374EE9A">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万元</w:t>
            </w:r>
          </w:p>
        </w:tc>
        <w:tc>
          <w:tcPr>
            <w:tcW w:w="1911" w:type="dxa"/>
            <w:tcBorders>
              <w:top w:val="nil"/>
              <w:left w:val="nil"/>
              <w:bottom w:val="single" w:color="auto" w:sz="4" w:space="0"/>
              <w:right w:val="single" w:color="auto" w:sz="4" w:space="0"/>
            </w:tcBorders>
            <w:vAlign w:val="center"/>
          </w:tcPr>
          <w:p w14:paraId="47F271A5">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5000≤Z＜10000</w:t>
            </w:r>
          </w:p>
        </w:tc>
        <w:tc>
          <w:tcPr>
            <w:tcW w:w="1699" w:type="dxa"/>
            <w:tcBorders>
              <w:top w:val="nil"/>
              <w:left w:val="nil"/>
              <w:bottom w:val="single" w:color="auto" w:sz="4" w:space="0"/>
              <w:right w:val="single" w:color="auto" w:sz="4" w:space="0"/>
            </w:tcBorders>
            <w:vAlign w:val="center"/>
          </w:tcPr>
          <w:p w14:paraId="3AFEAFC4">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2000≤Y＜5000</w:t>
            </w:r>
          </w:p>
        </w:tc>
        <w:tc>
          <w:tcPr>
            <w:tcW w:w="1091" w:type="dxa"/>
            <w:tcBorders>
              <w:top w:val="nil"/>
              <w:left w:val="nil"/>
              <w:bottom w:val="single" w:color="auto" w:sz="4" w:space="0"/>
              <w:right w:val="single" w:color="auto" w:sz="4" w:space="0"/>
            </w:tcBorders>
            <w:vAlign w:val="center"/>
          </w:tcPr>
          <w:p w14:paraId="57A9D076">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Y＜2000</w:t>
            </w:r>
          </w:p>
        </w:tc>
      </w:tr>
      <w:tr w14:paraId="3639556A">
        <w:tblPrEx>
          <w:tblCellMar>
            <w:top w:w="0" w:type="dxa"/>
            <w:left w:w="108" w:type="dxa"/>
            <w:bottom w:w="0" w:type="dxa"/>
            <w:right w:w="108" w:type="dxa"/>
          </w:tblCellMar>
        </w:tblPrEx>
        <w:trPr>
          <w:trHeight w:val="364" w:hRule="atLeast"/>
        </w:trPr>
        <w:tc>
          <w:tcPr>
            <w:tcW w:w="2007" w:type="dxa"/>
            <w:vMerge w:val="restart"/>
            <w:tcBorders>
              <w:top w:val="nil"/>
              <w:left w:val="single" w:color="auto" w:sz="4" w:space="0"/>
              <w:bottom w:val="single" w:color="auto" w:sz="4" w:space="0"/>
              <w:right w:val="single" w:color="auto" w:sz="4" w:space="0"/>
            </w:tcBorders>
            <w:vAlign w:val="bottom"/>
          </w:tcPr>
          <w:p w14:paraId="6339480F">
            <w:pPr>
              <w:widowControl/>
              <w:jc w:val="center"/>
              <w:rPr>
                <w:rFonts w:hint="eastAsia"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物业管理</w:t>
            </w:r>
          </w:p>
        </w:tc>
        <w:tc>
          <w:tcPr>
            <w:tcW w:w="1633" w:type="dxa"/>
            <w:tcBorders>
              <w:top w:val="nil"/>
              <w:left w:val="nil"/>
              <w:bottom w:val="single" w:color="auto" w:sz="4" w:space="0"/>
              <w:right w:val="single" w:color="auto" w:sz="4" w:space="0"/>
            </w:tcBorders>
            <w:vAlign w:val="center"/>
          </w:tcPr>
          <w:p w14:paraId="278E4BC8">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从业人员（X）</w:t>
            </w:r>
          </w:p>
        </w:tc>
        <w:tc>
          <w:tcPr>
            <w:tcW w:w="1077" w:type="dxa"/>
            <w:tcBorders>
              <w:top w:val="nil"/>
              <w:left w:val="nil"/>
              <w:bottom w:val="single" w:color="auto" w:sz="4" w:space="0"/>
              <w:right w:val="single" w:color="auto" w:sz="4" w:space="0"/>
            </w:tcBorders>
            <w:vAlign w:val="center"/>
          </w:tcPr>
          <w:p w14:paraId="18FDF374">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人</w:t>
            </w:r>
          </w:p>
        </w:tc>
        <w:tc>
          <w:tcPr>
            <w:tcW w:w="1911" w:type="dxa"/>
            <w:tcBorders>
              <w:top w:val="nil"/>
              <w:left w:val="nil"/>
              <w:bottom w:val="single" w:color="auto" w:sz="4" w:space="0"/>
              <w:right w:val="single" w:color="auto" w:sz="4" w:space="0"/>
            </w:tcBorders>
            <w:vAlign w:val="center"/>
          </w:tcPr>
          <w:p w14:paraId="61715AAB">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300≤X＜1000</w:t>
            </w:r>
          </w:p>
        </w:tc>
        <w:tc>
          <w:tcPr>
            <w:tcW w:w="1699" w:type="dxa"/>
            <w:tcBorders>
              <w:top w:val="nil"/>
              <w:left w:val="nil"/>
              <w:bottom w:val="single" w:color="auto" w:sz="4" w:space="0"/>
              <w:right w:val="single" w:color="auto" w:sz="4" w:space="0"/>
            </w:tcBorders>
            <w:vAlign w:val="center"/>
          </w:tcPr>
          <w:p w14:paraId="54B02E6F">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100≤X＜300</w:t>
            </w:r>
          </w:p>
        </w:tc>
        <w:tc>
          <w:tcPr>
            <w:tcW w:w="1091" w:type="dxa"/>
            <w:tcBorders>
              <w:top w:val="nil"/>
              <w:left w:val="nil"/>
              <w:bottom w:val="single" w:color="auto" w:sz="4" w:space="0"/>
              <w:right w:val="single" w:color="auto" w:sz="4" w:space="0"/>
            </w:tcBorders>
            <w:vAlign w:val="center"/>
          </w:tcPr>
          <w:p w14:paraId="05F229C6">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X＜100</w:t>
            </w:r>
          </w:p>
        </w:tc>
      </w:tr>
      <w:tr w14:paraId="63A5377B">
        <w:tblPrEx>
          <w:tblCellMar>
            <w:top w:w="0" w:type="dxa"/>
            <w:left w:w="108" w:type="dxa"/>
            <w:bottom w:w="0" w:type="dxa"/>
            <w:right w:w="108" w:type="dxa"/>
          </w:tblCellMar>
        </w:tblPrEx>
        <w:trPr>
          <w:trHeight w:val="364" w:hRule="atLeast"/>
        </w:trPr>
        <w:tc>
          <w:tcPr>
            <w:tcW w:w="2007" w:type="dxa"/>
            <w:vMerge w:val="continue"/>
            <w:tcBorders>
              <w:top w:val="nil"/>
              <w:left w:val="single" w:color="auto" w:sz="4" w:space="0"/>
              <w:bottom w:val="single" w:color="auto" w:sz="4" w:space="0"/>
              <w:right w:val="single" w:color="auto" w:sz="4" w:space="0"/>
            </w:tcBorders>
            <w:vAlign w:val="center"/>
          </w:tcPr>
          <w:p w14:paraId="508E9E18">
            <w:pPr>
              <w:widowControl/>
              <w:jc w:val="left"/>
              <w:rPr>
                <w:rFonts w:hint="eastAsia" w:ascii="宋体" w:hAnsi="宋体" w:cs="宋体"/>
                <w:b/>
                <w:bCs/>
                <w:color w:val="auto"/>
                <w:kern w:val="0"/>
                <w:sz w:val="20"/>
                <w:szCs w:val="20"/>
                <w:highlight w:val="none"/>
              </w:rPr>
            </w:pPr>
          </w:p>
        </w:tc>
        <w:tc>
          <w:tcPr>
            <w:tcW w:w="1633" w:type="dxa"/>
            <w:tcBorders>
              <w:top w:val="nil"/>
              <w:left w:val="nil"/>
              <w:bottom w:val="single" w:color="auto" w:sz="4" w:space="0"/>
              <w:right w:val="single" w:color="auto" w:sz="4" w:space="0"/>
            </w:tcBorders>
            <w:vAlign w:val="center"/>
          </w:tcPr>
          <w:p w14:paraId="0A53EFB7">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营业收入（Y）</w:t>
            </w:r>
          </w:p>
        </w:tc>
        <w:tc>
          <w:tcPr>
            <w:tcW w:w="1077" w:type="dxa"/>
            <w:tcBorders>
              <w:top w:val="nil"/>
              <w:left w:val="nil"/>
              <w:bottom w:val="single" w:color="auto" w:sz="4" w:space="0"/>
              <w:right w:val="single" w:color="auto" w:sz="4" w:space="0"/>
            </w:tcBorders>
            <w:vAlign w:val="center"/>
          </w:tcPr>
          <w:p w14:paraId="511FEFA9">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万元</w:t>
            </w:r>
          </w:p>
        </w:tc>
        <w:tc>
          <w:tcPr>
            <w:tcW w:w="1911" w:type="dxa"/>
            <w:tcBorders>
              <w:top w:val="nil"/>
              <w:left w:val="nil"/>
              <w:bottom w:val="single" w:color="auto" w:sz="4" w:space="0"/>
              <w:right w:val="single" w:color="auto" w:sz="4" w:space="0"/>
            </w:tcBorders>
            <w:vAlign w:val="center"/>
          </w:tcPr>
          <w:p w14:paraId="5139F85E">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1000≤Y＜5000</w:t>
            </w:r>
          </w:p>
        </w:tc>
        <w:tc>
          <w:tcPr>
            <w:tcW w:w="1699" w:type="dxa"/>
            <w:tcBorders>
              <w:top w:val="nil"/>
              <w:left w:val="nil"/>
              <w:bottom w:val="single" w:color="auto" w:sz="4" w:space="0"/>
              <w:right w:val="single" w:color="auto" w:sz="4" w:space="0"/>
            </w:tcBorders>
            <w:vAlign w:val="center"/>
          </w:tcPr>
          <w:p w14:paraId="37F9FD0C">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500≤Y＜1000</w:t>
            </w:r>
          </w:p>
        </w:tc>
        <w:tc>
          <w:tcPr>
            <w:tcW w:w="1091" w:type="dxa"/>
            <w:tcBorders>
              <w:top w:val="nil"/>
              <w:left w:val="nil"/>
              <w:bottom w:val="single" w:color="auto" w:sz="4" w:space="0"/>
              <w:right w:val="single" w:color="auto" w:sz="4" w:space="0"/>
            </w:tcBorders>
            <w:vAlign w:val="center"/>
          </w:tcPr>
          <w:p w14:paraId="0C6D9978">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Y＜500</w:t>
            </w:r>
          </w:p>
        </w:tc>
      </w:tr>
      <w:tr w14:paraId="2F36D5CD">
        <w:tblPrEx>
          <w:tblCellMar>
            <w:top w:w="0" w:type="dxa"/>
            <w:left w:w="108" w:type="dxa"/>
            <w:bottom w:w="0" w:type="dxa"/>
            <w:right w:w="108" w:type="dxa"/>
          </w:tblCellMar>
        </w:tblPrEx>
        <w:trPr>
          <w:trHeight w:val="364" w:hRule="atLeast"/>
        </w:trPr>
        <w:tc>
          <w:tcPr>
            <w:tcW w:w="2007" w:type="dxa"/>
            <w:vMerge w:val="restart"/>
            <w:tcBorders>
              <w:top w:val="nil"/>
              <w:left w:val="single" w:color="auto" w:sz="4" w:space="0"/>
              <w:bottom w:val="single" w:color="auto" w:sz="4" w:space="0"/>
              <w:right w:val="single" w:color="auto" w:sz="4" w:space="0"/>
            </w:tcBorders>
            <w:vAlign w:val="bottom"/>
          </w:tcPr>
          <w:p w14:paraId="544E4DF0">
            <w:pPr>
              <w:widowControl/>
              <w:jc w:val="center"/>
              <w:rPr>
                <w:rFonts w:hint="eastAsia"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租赁和商务服务业</w:t>
            </w:r>
          </w:p>
        </w:tc>
        <w:tc>
          <w:tcPr>
            <w:tcW w:w="1633" w:type="dxa"/>
            <w:tcBorders>
              <w:top w:val="nil"/>
              <w:left w:val="nil"/>
              <w:bottom w:val="single" w:color="auto" w:sz="4" w:space="0"/>
              <w:right w:val="single" w:color="auto" w:sz="4" w:space="0"/>
            </w:tcBorders>
            <w:vAlign w:val="center"/>
          </w:tcPr>
          <w:p w14:paraId="5B10CB60">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从业人员（X）</w:t>
            </w:r>
          </w:p>
        </w:tc>
        <w:tc>
          <w:tcPr>
            <w:tcW w:w="1077" w:type="dxa"/>
            <w:tcBorders>
              <w:top w:val="nil"/>
              <w:left w:val="nil"/>
              <w:bottom w:val="single" w:color="auto" w:sz="4" w:space="0"/>
              <w:right w:val="single" w:color="auto" w:sz="4" w:space="0"/>
            </w:tcBorders>
            <w:vAlign w:val="center"/>
          </w:tcPr>
          <w:p w14:paraId="2E56FDE3">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人</w:t>
            </w:r>
          </w:p>
        </w:tc>
        <w:tc>
          <w:tcPr>
            <w:tcW w:w="1911" w:type="dxa"/>
            <w:tcBorders>
              <w:top w:val="nil"/>
              <w:left w:val="nil"/>
              <w:bottom w:val="single" w:color="auto" w:sz="4" w:space="0"/>
              <w:right w:val="single" w:color="auto" w:sz="4" w:space="0"/>
            </w:tcBorders>
            <w:vAlign w:val="center"/>
          </w:tcPr>
          <w:p w14:paraId="5A56C967">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100≤X＜300</w:t>
            </w:r>
          </w:p>
        </w:tc>
        <w:tc>
          <w:tcPr>
            <w:tcW w:w="1699" w:type="dxa"/>
            <w:tcBorders>
              <w:top w:val="nil"/>
              <w:left w:val="nil"/>
              <w:bottom w:val="single" w:color="auto" w:sz="4" w:space="0"/>
              <w:right w:val="single" w:color="auto" w:sz="4" w:space="0"/>
            </w:tcBorders>
            <w:vAlign w:val="center"/>
          </w:tcPr>
          <w:p w14:paraId="4E794963">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10≤X＜100</w:t>
            </w:r>
          </w:p>
        </w:tc>
        <w:tc>
          <w:tcPr>
            <w:tcW w:w="1091" w:type="dxa"/>
            <w:tcBorders>
              <w:top w:val="nil"/>
              <w:left w:val="nil"/>
              <w:bottom w:val="single" w:color="auto" w:sz="4" w:space="0"/>
              <w:right w:val="single" w:color="auto" w:sz="4" w:space="0"/>
            </w:tcBorders>
            <w:vAlign w:val="center"/>
          </w:tcPr>
          <w:p w14:paraId="1E01340F">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X＜10</w:t>
            </w:r>
          </w:p>
        </w:tc>
      </w:tr>
      <w:tr w14:paraId="2B57D001">
        <w:tblPrEx>
          <w:tblCellMar>
            <w:top w:w="0" w:type="dxa"/>
            <w:left w:w="108" w:type="dxa"/>
            <w:bottom w:w="0" w:type="dxa"/>
            <w:right w:w="108" w:type="dxa"/>
          </w:tblCellMar>
        </w:tblPrEx>
        <w:trPr>
          <w:trHeight w:val="364" w:hRule="atLeast"/>
        </w:trPr>
        <w:tc>
          <w:tcPr>
            <w:tcW w:w="2007" w:type="dxa"/>
            <w:vMerge w:val="continue"/>
            <w:tcBorders>
              <w:top w:val="nil"/>
              <w:left w:val="single" w:color="auto" w:sz="4" w:space="0"/>
              <w:bottom w:val="single" w:color="auto" w:sz="4" w:space="0"/>
              <w:right w:val="single" w:color="auto" w:sz="4" w:space="0"/>
            </w:tcBorders>
            <w:vAlign w:val="center"/>
          </w:tcPr>
          <w:p w14:paraId="65B4F5B5">
            <w:pPr>
              <w:widowControl/>
              <w:jc w:val="left"/>
              <w:rPr>
                <w:rFonts w:hint="eastAsia" w:ascii="宋体" w:hAnsi="宋体" w:cs="宋体"/>
                <w:b/>
                <w:bCs/>
                <w:color w:val="auto"/>
                <w:kern w:val="0"/>
                <w:sz w:val="20"/>
                <w:szCs w:val="20"/>
                <w:highlight w:val="none"/>
              </w:rPr>
            </w:pPr>
          </w:p>
        </w:tc>
        <w:tc>
          <w:tcPr>
            <w:tcW w:w="1633" w:type="dxa"/>
            <w:tcBorders>
              <w:top w:val="nil"/>
              <w:left w:val="nil"/>
              <w:bottom w:val="single" w:color="auto" w:sz="4" w:space="0"/>
              <w:right w:val="single" w:color="auto" w:sz="4" w:space="0"/>
            </w:tcBorders>
            <w:vAlign w:val="center"/>
          </w:tcPr>
          <w:p w14:paraId="6A431198">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资产总额（Z）</w:t>
            </w:r>
          </w:p>
        </w:tc>
        <w:tc>
          <w:tcPr>
            <w:tcW w:w="1077" w:type="dxa"/>
            <w:tcBorders>
              <w:top w:val="nil"/>
              <w:left w:val="nil"/>
              <w:bottom w:val="single" w:color="auto" w:sz="4" w:space="0"/>
              <w:right w:val="single" w:color="auto" w:sz="4" w:space="0"/>
            </w:tcBorders>
            <w:vAlign w:val="center"/>
          </w:tcPr>
          <w:p w14:paraId="2A06E330">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万元</w:t>
            </w:r>
          </w:p>
        </w:tc>
        <w:tc>
          <w:tcPr>
            <w:tcW w:w="1911" w:type="dxa"/>
            <w:tcBorders>
              <w:top w:val="nil"/>
              <w:left w:val="nil"/>
              <w:bottom w:val="single" w:color="auto" w:sz="4" w:space="0"/>
              <w:right w:val="single" w:color="auto" w:sz="4" w:space="0"/>
            </w:tcBorders>
            <w:vAlign w:val="center"/>
          </w:tcPr>
          <w:p w14:paraId="654682A6">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8000≤Z＜120000</w:t>
            </w:r>
          </w:p>
        </w:tc>
        <w:tc>
          <w:tcPr>
            <w:tcW w:w="1699" w:type="dxa"/>
            <w:tcBorders>
              <w:top w:val="nil"/>
              <w:left w:val="nil"/>
              <w:bottom w:val="single" w:color="auto" w:sz="4" w:space="0"/>
              <w:right w:val="single" w:color="auto" w:sz="4" w:space="0"/>
            </w:tcBorders>
            <w:vAlign w:val="center"/>
          </w:tcPr>
          <w:p w14:paraId="5D0F0ED1">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100≤Z＜8000</w:t>
            </w:r>
          </w:p>
        </w:tc>
        <w:tc>
          <w:tcPr>
            <w:tcW w:w="1091" w:type="dxa"/>
            <w:tcBorders>
              <w:top w:val="nil"/>
              <w:left w:val="nil"/>
              <w:bottom w:val="single" w:color="auto" w:sz="4" w:space="0"/>
              <w:right w:val="single" w:color="auto" w:sz="4" w:space="0"/>
            </w:tcBorders>
            <w:vAlign w:val="center"/>
          </w:tcPr>
          <w:p w14:paraId="25B85313">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Y＜100</w:t>
            </w:r>
          </w:p>
        </w:tc>
      </w:tr>
      <w:tr w14:paraId="3360DC10">
        <w:tblPrEx>
          <w:tblCellMar>
            <w:top w:w="0" w:type="dxa"/>
            <w:left w:w="108" w:type="dxa"/>
            <w:bottom w:w="0" w:type="dxa"/>
            <w:right w:w="108" w:type="dxa"/>
          </w:tblCellMar>
        </w:tblPrEx>
        <w:trPr>
          <w:trHeight w:val="375" w:hRule="atLeast"/>
        </w:trPr>
        <w:tc>
          <w:tcPr>
            <w:tcW w:w="2007" w:type="dxa"/>
            <w:tcBorders>
              <w:top w:val="nil"/>
              <w:left w:val="single" w:color="auto" w:sz="4" w:space="0"/>
              <w:bottom w:val="single" w:color="auto" w:sz="4" w:space="0"/>
              <w:right w:val="single" w:color="auto" w:sz="4" w:space="0"/>
            </w:tcBorders>
            <w:vAlign w:val="bottom"/>
          </w:tcPr>
          <w:p w14:paraId="62D37081">
            <w:pPr>
              <w:widowControl/>
              <w:jc w:val="center"/>
              <w:rPr>
                <w:rFonts w:hint="eastAsia"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其他未列明行业</w:t>
            </w:r>
          </w:p>
        </w:tc>
        <w:tc>
          <w:tcPr>
            <w:tcW w:w="1633" w:type="dxa"/>
            <w:tcBorders>
              <w:top w:val="nil"/>
              <w:left w:val="nil"/>
              <w:bottom w:val="single" w:color="auto" w:sz="4" w:space="0"/>
              <w:right w:val="single" w:color="auto" w:sz="4" w:space="0"/>
            </w:tcBorders>
            <w:vAlign w:val="center"/>
          </w:tcPr>
          <w:p w14:paraId="64900344">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从业人员（X）</w:t>
            </w:r>
          </w:p>
        </w:tc>
        <w:tc>
          <w:tcPr>
            <w:tcW w:w="1077" w:type="dxa"/>
            <w:tcBorders>
              <w:top w:val="nil"/>
              <w:left w:val="nil"/>
              <w:bottom w:val="single" w:color="auto" w:sz="4" w:space="0"/>
              <w:right w:val="single" w:color="auto" w:sz="4" w:space="0"/>
            </w:tcBorders>
            <w:vAlign w:val="center"/>
          </w:tcPr>
          <w:p w14:paraId="03DA31F5">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人</w:t>
            </w:r>
          </w:p>
        </w:tc>
        <w:tc>
          <w:tcPr>
            <w:tcW w:w="1911" w:type="dxa"/>
            <w:tcBorders>
              <w:top w:val="nil"/>
              <w:left w:val="nil"/>
              <w:bottom w:val="single" w:color="auto" w:sz="4" w:space="0"/>
              <w:right w:val="single" w:color="auto" w:sz="4" w:space="0"/>
            </w:tcBorders>
            <w:vAlign w:val="center"/>
          </w:tcPr>
          <w:p w14:paraId="64BB26D8">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100≤X＜300</w:t>
            </w:r>
          </w:p>
        </w:tc>
        <w:tc>
          <w:tcPr>
            <w:tcW w:w="1699" w:type="dxa"/>
            <w:tcBorders>
              <w:top w:val="nil"/>
              <w:left w:val="nil"/>
              <w:bottom w:val="single" w:color="auto" w:sz="4" w:space="0"/>
              <w:right w:val="single" w:color="auto" w:sz="4" w:space="0"/>
            </w:tcBorders>
            <w:vAlign w:val="center"/>
          </w:tcPr>
          <w:p w14:paraId="7ACE1810">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10≤X＜100</w:t>
            </w:r>
          </w:p>
        </w:tc>
        <w:tc>
          <w:tcPr>
            <w:tcW w:w="1091" w:type="dxa"/>
            <w:tcBorders>
              <w:top w:val="nil"/>
              <w:left w:val="nil"/>
              <w:bottom w:val="single" w:color="auto" w:sz="4" w:space="0"/>
              <w:right w:val="single" w:color="auto" w:sz="4" w:space="0"/>
            </w:tcBorders>
            <w:vAlign w:val="center"/>
          </w:tcPr>
          <w:p w14:paraId="4F7E17B8">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X＜10</w:t>
            </w:r>
          </w:p>
        </w:tc>
      </w:tr>
    </w:tbl>
    <w:p w14:paraId="07B04FA0">
      <w:pPr>
        <w:spacing w:line="360" w:lineRule="auto"/>
        <w:ind w:firstLine="602" w:firstLineChars="250"/>
        <w:rPr>
          <w:rFonts w:hint="eastAsia" w:ascii="楷体" w:hAnsi="楷体" w:eastAsia="楷体" w:cs="宋体"/>
          <w:b/>
          <w:color w:val="auto"/>
          <w:sz w:val="24"/>
          <w:highlight w:val="none"/>
        </w:rPr>
      </w:pPr>
      <w:r>
        <w:rPr>
          <w:rFonts w:hint="eastAsia" w:ascii="楷体" w:hAnsi="楷体" w:eastAsia="楷体" w:cs="宋体"/>
          <w:b/>
          <w:color w:val="auto"/>
          <w:sz w:val="24"/>
          <w:highlight w:val="none"/>
        </w:rPr>
        <w:t>说明：</w:t>
      </w:r>
    </w:p>
    <w:p w14:paraId="25E73312">
      <w:pPr>
        <w:spacing w:line="360" w:lineRule="auto"/>
        <w:ind w:firstLine="600" w:firstLineChars="250"/>
        <w:rPr>
          <w:rFonts w:hint="eastAsia" w:ascii="楷体" w:hAnsi="楷体" w:eastAsia="楷体" w:cs="宋体"/>
          <w:color w:val="auto"/>
          <w:sz w:val="24"/>
          <w:highlight w:val="none"/>
        </w:rPr>
      </w:pPr>
      <w:r>
        <w:rPr>
          <w:rFonts w:hint="eastAsia" w:ascii="楷体" w:hAnsi="楷体" w:eastAsia="楷体" w:cs="宋体"/>
          <w:color w:val="auto"/>
          <w:sz w:val="24"/>
          <w:highlight w:val="none"/>
        </w:rPr>
        <w:t>上述标准参照《关于印发中小企业划型标准规定的通知》（工信部联企业</w:t>
      </w:r>
      <w:r>
        <w:rPr>
          <w:rFonts w:ascii="楷体" w:hAnsi="楷体" w:eastAsia="楷体" w:cs="宋体"/>
          <w:color w:val="auto"/>
          <w:sz w:val="24"/>
          <w:highlight w:val="none"/>
        </w:rPr>
        <w:t>[2011]300号），大型、中型和小型企业须同时满足所列指标的下限，否则下划一档；微型企业只须满足所列指标中的一项即可。</w:t>
      </w:r>
    </w:p>
    <w:p w14:paraId="319F0A8A">
      <w:pPr>
        <w:widowControl/>
        <w:jc w:val="left"/>
        <w:rPr>
          <w:rFonts w:hint="eastAsia" w:ascii="宋体" w:hAnsi="宋体" w:cs="宋体"/>
          <w:color w:val="auto"/>
          <w:sz w:val="24"/>
          <w:highlight w:val="none"/>
        </w:rPr>
        <w:sectPr>
          <w:footerReference r:id="rId8" w:type="default"/>
          <w:pgSz w:w="11906" w:h="16838"/>
          <w:pgMar w:top="1134" w:right="1134" w:bottom="1134" w:left="1134" w:header="720" w:footer="720" w:gutter="0"/>
          <w:pgNumType w:start="1"/>
          <w:cols w:space="720" w:num="1"/>
          <w:docGrid w:type="lines" w:linePitch="331" w:charSpace="0"/>
        </w:sectPr>
      </w:pPr>
    </w:p>
    <w:p w14:paraId="3D64112C">
      <w:pPr>
        <w:pStyle w:val="2"/>
        <w:spacing w:before="0" w:after="0" w:line="360" w:lineRule="auto"/>
        <w:ind w:firstLine="883" w:firstLineChars="200"/>
        <w:jc w:val="left"/>
        <w:rPr>
          <w:rFonts w:hint="eastAsia" w:ascii="宋体" w:hAnsi="宋体" w:cs="宋体"/>
          <w:color w:val="auto"/>
          <w:highlight w:val="none"/>
        </w:rPr>
      </w:pPr>
      <w:bookmarkStart w:id="46" w:name="_Toc18244"/>
      <w:r>
        <w:rPr>
          <w:rFonts w:hint="eastAsia" w:ascii="宋体" w:hAnsi="宋体" w:cs="宋体"/>
          <w:color w:val="auto"/>
          <w:highlight w:val="none"/>
        </w:rPr>
        <w:t xml:space="preserve">第四章  </w:t>
      </w:r>
      <w:bookmarkStart w:id="47" w:name="_Hlk68601507"/>
      <w:r>
        <w:rPr>
          <w:rFonts w:hint="eastAsia" w:ascii="宋体" w:hAnsi="宋体" w:cs="宋体"/>
          <w:color w:val="auto"/>
          <w:highlight w:val="none"/>
        </w:rPr>
        <w:t>评审程序和评定成交的标准</w:t>
      </w:r>
      <w:bookmarkEnd w:id="46"/>
      <w:bookmarkEnd w:id="47"/>
    </w:p>
    <w:p w14:paraId="42F391F0">
      <w:pPr>
        <w:spacing w:line="360" w:lineRule="auto"/>
        <w:jc w:val="center"/>
        <w:rPr>
          <w:rFonts w:hint="eastAsia" w:ascii="宋体" w:hAnsi="宋体" w:cs="宋体"/>
          <w:b/>
          <w:color w:val="auto"/>
          <w:sz w:val="32"/>
          <w:szCs w:val="32"/>
          <w:highlight w:val="none"/>
        </w:rPr>
      </w:pPr>
    </w:p>
    <w:p w14:paraId="15326C92">
      <w:pPr>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一、评审程序</w:t>
      </w:r>
    </w:p>
    <w:p w14:paraId="4A7BE259">
      <w:pPr>
        <w:spacing w:line="360" w:lineRule="auto"/>
        <w:ind w:firstLine="482" w:firstLineChars="200"/>
        <w:rPr>
          <w:rFonts w:hint="eastAsia" w:ascii="宋体" w:hAnsi="宋体" w:cs="宋体"/>
          <w:b/>
          <w:bCs/>
          <w:color w:val="auto"/>
          <w:sz w:val="24"/>
          <w:highlight w:val="none"/>
        </w:rPr>
      </w:pPr>
    </w:p>
    <w:p w14:paraId="0DA74AD9">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1.确认谈判文件</w:t>
      </w:r>
    </w:p>
    <w:p w14:paraId="65EF2A7E">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由谈判小组确认谈判文件。</w:t>
      </w:r>
    </w:p>
    <w:p w14:paraId="233DFE70">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2.资格审查</w:t>
      </w:r>
    </w:p>
    <w:p w14:paraId="1C56E049">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2.1响应文件开启后，谈判小组依法对供应商的资格证明文件进行审查。</w:t>
      </w:r>
    </w:p>
    <w:p w14:paraId="4BE722F1">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（1）查询渠道：“信用中国”网站（www.creditchina.gov.cn）、中国政府采购网（</w:t>
      </w:r>
      <w:r>
        <w:rPr>
          <w:color w:val="auto"/>
          <w:highlight w:val="none"/>
        </w:rPr>
        <w:fldChar w:fldCharType="begin"/>
      </w:r>
      <w:r>
        <w:rPr>
          <w:color w:val="auto"/>
          <w:highlight w:val="none"/>
        </w:rPr>
        <w:instrText xml:space="preserve"> HYPERLINK "http://www.ccgp.gov.cn" </w:instrText>
      </w:r>
      <w:r>
        <w:rPr>
          <w:color w:val="auto"/>
          <w:highlight w:val="none"/>
        </w:rPr>
        <w:fldChar w:fldCharType="separate"/>
      </w:r>
      <w:r>
        <w:rPr>
          <w:rFonts w:hint="eastAsia" w:ascii="宋体" w:hAnsi="宋体" w:cs="宋体"/>
          <w:color w:val="auto"/>
          <w:sz w:val="24"/>
          <w:highlight w:val="none"/>
        </w:rPr>
        <w:t>www.ccgp.gov.cn</w:t>
      </w:r>
      <w:r>
        <w:rPr>
          <w:rFonts w:hint="eastAsia" w:ascii="宋体" w:hAnsi="宋体" w:cs="宋体"/>
          <w:color w:val="auto"/>
          <w:sz w:val="24"/>
          <w:highlight w:val="none"/>
        </w:rPr>
        <w:fldChar w:fldCharType="end"/>
      </w:r>
      <w:r>
        <w:rPr>
          <w:rFonts w:hint="eastAsia" w:ascii="宋体" w:hAnsi="宋体" w:cs="宋体"/>
          <w:color w:val="auto"/>
          <w:sz w:val="24"/>
          <w:highlight w:val="none"/>
        </w:rPr>
        <w:t xml:space="preserve">） </w:t>
      </w:r>
    </w:p>
    <w:p w14:paraId="7D3449E5">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（2）信用查询截止时点：资格审查结束前</w:t>
      </w:r>
    </w:p>
    <w:p w14:paraId="5A03C7EE">
      <w:pPr>
        <w:snapToGrid w:val="0"/>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（3）查询记录和证据留存方式：将查询网站中的查询记录截图并作为评审资料保存。</w:t>
      </w:r>
    </w:p>
    <w:p w14:paraId="5E19EB79">
      <w:pPr>
        <w:snapToGrid w:val="0"/>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（4）信用信息使用规则：根据财政部《关于在政府采购活动中查询及使用信用记录有关问题的通知》（财库〔2016〕125号）的规定，对在“信用中国”网站(www.creditchina.gov.cn)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236B5E05">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2.2资格审查标准为本谈判文件中载明对供应商资格要求的条件。本项目资格审查采用合格制，凡符合谈判文件规定的供应商资格要求的供应商均通过资格审查。</w:t>
      </w:r>
    </w:p>
    <w:p w14:paraId="6902B038">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2.3 供应商有下列情形之一的，资格审查不通过，其响应文件按无效响应处理：</w:t>
      </w:r>
    </w:p>
    <w:p w14:paraId="272F3C59">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（1）不具备谈判文件中规定的资格要求的；</w:t>
      </w:r>
    </w:p>
    <w:p w14:paraId="5A2ADA4D">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（2）响应文件中的资格证明文件缺少任一项“供应商须知前附表”资格证明文件规定的“必须提供”的文件资料的；</w:t>
      </w:r>
    </w:p>
    <w:p w14:paraId="3905B01D">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（3）响应文件中的资格证明文件出现任一项不符合“供应商须知前附表”资格证明文件规定的“必须提供”的文件资料要求或者无效的；</w:t>
      </w:r>
    </w:p>
    <w:p w14:paraId="2A4210D8">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（4）同一合同项下的不同供应商，单位负责人为同一人或者存在直接控股、管理关系的；为本项目提供过整体设计、规范编制或者项目管理、监理、检测等服务的供应商，再参加该采购项目的其他采购活动的。</w:t>
      </w:r>
    </w:p>
    <w:p w14:paraId="438CECCF">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2.4通过资格审查的合格供应商不足3家（本章3.7条规定除外）的，不得进入符合性审查环节，应当重新开展采购活动。</w:t>
      </w:r>
    </w:p>
    <w:p w14:paraId="10659FD6">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3.符合性审查</w:t>
      </w:r>
    </w:p>
    <w:p w14:paraId="25B19808">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3.1由谈判小组对资格审查的合格的供应商的响应文件进行</w:t>
      </w:r>
      <w:r>
        <w:rPr>
          <w:rFonts w:hint="eastAsia" w:ascii="宋体" w:hAnsi="宋体" w:cs="宋体"/>
          <w:color w:val="auto"/>
          <w:sz w:val="24"/>
          <w:highlight w:val="none"/>
          <w:lang w:bidi="ar"/>
        </w:rPr>
        <w:t>竞争性谈判</w:t>
      </w:r>
      <w:r>
        <w:rPr>
          <w:rFonts w:hint="eastAsia" w:ascii="宋体" w:hAnsi="宋体" w:cs="宋体"/>
          <w:color w:val="auto"/>
          <w:sz w:val="24"/>
          <w:highlight w:val="none"/>
        </w:rPr>
        <w:t>报价、商务、技术等实质性要求符合性审查，以确定其是否满足谈判文件的实质性要求。</w:t>
      </w:r>
    </w:p>
    <w:p w14:paraId="292222BB">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3.2谈判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1D9B1FC6">
      <w:pPr>
        <w:spacing w:line="360" w:lineRule="auto"/>
        <w:ind w:firstLine="480" w:firstLineChars="200"/>
        <w:rPr>
          <w:rFonts w:hint="eastAsia" w:ascii="宋体" w:hAnsi="宋体" w:cs="宋体"/>
          <w:color w:val="auto"/>
          <w:spacing w:val="-6"/>
          <w:sz w:val="24"/>
          <w:highlight w:val="none"/>
        </w:rPr>
      </w:pPr>
      <w:r>
        <w:rPr>
          <w:rFonts w:hint="eastAsia" w:ascii="宋体" w:hAnsi="宋体" w:cs="宋体"/>
          <w:color w:val="auto"/>
          <w:sz w:val="24"/>
          <w:highlight w:val="none"/>
        </w:rPr>
        <w:t>3.3谈判小组要求供应商澄清、说明或者更正响应文件应当以电子澄清函形式作出。供应商的澄清、说明或者更正应当以电子回函形式按照谈判小组的要求作出明确的澄清、说明或者更正，未按谈判小组的要求作出明确澄清、说明或者更正的供应商的响应文件将按照有利于采购人的原则由谈判小组进行判定。供应商的澄清、说明或者更正必须由法定代表人或者其委托代理人签字或者加盖供应商公章。</w:t>
      </w:r>
    </w:p>
    <w:p w14:paraId="631EBF7A">
      <w:pPr>
        <w:spacing w:line="360" w:lineRule="auto"/>
        <w:ind w:firstLine="456" w:firstLineChars="200"/>
        <w:rPr>
          <w:rFonts w:hint="eastAsia" w:ascii="宋体" w:hAnsi="宋体" w:cs="宋体"/>
          <w:color w:val="auto"/>
          <w:sz w:val="24"/>
          <w:highlight w:val="none"/>
        </w:rPr>
      </w:pPr>
      <w:r>
        <w:rPr>
          <w:rFonts w:hint="eastAsia" w:ascii="宋体" w:hAnsi="宋体" w:cs="宋体"/>
          <w:color w:val="auto"/>
          <w:spacing w:val="-6"/>
          <w:sz w:val="24"/>
          <w:highlight w:val="none"/>
        </w:rPr>
        <w:t>3.4</w:t>
      </w:r>
      <w:r>
        <w:rPr>
          <w:rFonts w:hint="eastAsia" w:ascii="宋体" w:hAnsi="宋体" w:cs="宋体"/>
          <w:color w:val="auto"/>
          <w:sz w:val="24"/>
          <w:highlight w:val="none"/>
        </w:rPr>
        <w:t xml:space="preserve">首次响应文件报价出现前后不一致的，按照下列规定修正： </w:t>
      </w:r>
    </w:p>
    <w:p w14:paraId="2DA48F47">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（1）响应文件中报价表内容与响应文件中相应内容不一致的，以报价表为准；</w:t>
      </w:r>
    </w:p>
    <w:p w14:paraId="1D19561C">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（2）大写金额和小写金额不一致的，以大写金额为准；</w:t>
      </w:r>
    </w:p>
    <w:p w14:paraId="7009364D">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（3）单价金额小数点或者百分比有明显错位的，以报价表的总价为准，并修改单价；</w:t>
      </w:r>
    </w:p>
    <w:p w14:paraId="2C7528C7">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（4）总价金额与按单价汇总金额不一致的，以单价金额计算结果为准。</w:t>
      </w:r>
    </w:p>
    <w:p w14:paraId="25AA1710">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同时出现两种以上不一致的，按照以上（1）-（4）规定的顺序逐条进行修正。修正后的报价经供应商确认后产生约束力，供应商不确认的，其响应文件按无效响应处理。</w:t>
      </w:r>
    </w:p>
    <w:p w14:paraId="09438035">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3.5商务技术报价评审</w:t>
      </w:r>
    </w:p>
    <w:p w14:paraId="7D9A17FD">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在评审时，如发现下列情形之一的，将被视为响应文件无效响应处理：</w:t>
      </w:r>
    </w:p>
    <w:p w14:paraId="1B974198">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（1）商务技术评审</w:t>
      </w:r>
    </w:p>
    <w:p w14:paraId="14BC214A">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1）响应文件未按谈判文件要求签署、盖章的；</w:t>
      </w:r>
    </w:p>
    <w:p w14:paraId="1055C8C9">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2）委托代理人未能出具有效身份证或者出具的身份证与授权委托书中的信息不符的； </w:t>
      </w:r>
    </w:p>
    <w:p w14:paraId="460483A3">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3）提交的谈判保证金无效的或者未按照谈判文件的规定提交谈判保证金；</w:t>
      </w:r>
    </w:p>
    <w:p w14:paraId="363ADC08">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4）响应文件中的报价商务技术文件出现任一项不符合“供应商须知前附表”中“必须提供”或者“委托时必须提供”文件资料要求的规定或者提供的报价商务技术文件无效。</w:t>
      </w:r>
    </w:p>
    <w:p w14:paraId="0B17F441">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5）商务条款中标“▲”的条款发生负偏离或者允许负偏离的条款数超过“供应商须知前附表”规定项数的；</w:t>
      </w:r>
    </w:p>
    <w:p w14:paraId="310210D2">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6）未对</w:t>
      </w:r>
      <w:r>
        <w:rPr>
          <w:rFonts w:hint="eastAsia" w:ascii="宋体" w:hAnsi="宋体" w:cs="宋体"/>
          <w:color w:val="auto"/>
          <w:sz w:val="24"/>
          <w:highlight w:val="none"/>
          <w:lang w:bidi="ar"/>
        </w:rPr>
        <w:t>竞争性谈判</w:t>
      </w:r>
      <w:r>
        <w:rPr>
          <w:rFonts w:hint="eastAsia" w:ascii="宋体" w:hAnsi="宋体" w:cs="宋体"/>
          <w:color w:val="auto"/>
          <w:sz w:val="24"/>
          <w:highlight w:val="none"/>
        </w:rPr>
        <w:t>有效期作出响应或者响应文件承诺的</w:t>
      </w:r>
      <w:r>
        <w:rPr>
          <w:rFonts w:hint="eastAsia" w:ascii="宋体" w:hAnsi="宋体" w:cs="宋体"/>
          <w:color w:val="auto"/>
          <w:sz w:val="24"/>
          <w:highlight w:val="none"/>
          <w:lang w:bidi="ar"/>
        </w:rPr>
        <w:t>竞争性谈判</w:t>
      </w:r>
      <w:r>
        <w:rPr>
          <w:rFonts w:hint="eastAsia" w:ascii="宋体" w:hAnsi="宋体" w:cs="宋体"/>
          <w:color w:val="auto"/>
          <w:sz w:val="24"/>
          <w:highlight w:val="none"/>
        </w:rPr>
        <w:t>有效期不满足谈判文件要求；</w:t>
      </w:r>
    </w:p>
    <w:p w14:paraId="374C0C66">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7）响应文件的实质性内容未使用中文表述、使用计量单位不符合谈判文件要求的；</w:t>
      </w:r>
    </w:p>
    <w:p w14:paraId="7B848329">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8）响应文件中的文件资料因填写不齐全或者内容虚假或者出现其他情形而导致被谈判小组认定无效的；</w:t>
      </w:r>
    </w:p>
    <w:p w14:paraId="25A8C17E">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9）响应文件含有采购人不能接受的附加条件的；</w:t>
      </w:r>
    </w:p>
    <w:p w14:paraId="5613D384">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10）属于“供应商须知正文”第7.</w:t>
      </w:r>
      <w:r>
        <w:rPr>
          <w:rFonts w:ascii="宋体" w:hAnsi="宋体" w:cs="宋体"/>
          <w:color w:val="auto"/>
          <w:sz w:val="24"/>
          <w:highlight w:val="none"/>
        </w:rPr>
        <w:t>4</w:t>
      </w:r>
      <w:r>
        <w:rPr>
          <w:rFonts w:hint="eastAsia" w:ascii="宋体" w:hAnsi="宋体" w:cs="宋体"/>
          <w:color w:val="auto"/>
          <w:sz w:val="24"/>
          <w:highlight w:val="none"/>
        </w:rPr>
        <w:t>条的情形的；</w:t>
      </w:r>
    </w:p>
    <w:p w14:paraId="51A65980">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11）技术要求中标“▲”的条款发生负偏离或允许负偏离的条款数超过“供应商须知前附表”规定项数的；</w:t>
      </w:r>
    </w:p>
    <w:p w14:paraId="75C46893">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12）虚假响应，或者出现其他情形而导致被谈判小组认定无效的；</w:t>
      </w:r>
    </w:p>
    <w:p w14:paraId="0AECD0E2">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13）</w:t>
      </w:r>
      <w:bookmarkStart w:id="48" w:name="_Hlk71704147"/>
      <w:r>
        <w:rPr>
          <w:rFonts w:hint="eastAsia" w:ascii="宋体" w:hAnsi="宋体" w:cs="宋体"/>
          <w:color w:val="auto"/>
          <w:sz w:val="24"/>
          <w:highlight w:val="none"/>
        </w:rPr>
        <w:t>谈判文件未载明允许提供备选（替代）响应方案或明确不允许提供备选（替代）响应方案时，供应商提供了备选（替代）响应方案的；</w:t>
      </w:r>
      <w:bookmarkEnd w:id="48"/>
    </w:p>
    <w:p w14:paraId="3A161CC8">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14）响应文件标注的项目名称或者项目编号与谈判文件标注的项目名称或者项目编号不一致的；</w:t>
      </w:r>
    </w:p>
    <w:p w14:paraId="7D5B04B6">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15）</w:t>
      </w:r>
      <w:r>
        <w:rPr>
          <w:rFonts w:hint="eastAsia" w:ascii="宋体" w:hAnsi="宋体" w:cs="宋体"/>
          <w:b/>
          <w:color w:val="auto"/>
          <w:sz w:val="24"/>
          <w:highlight w:val="none"/>
        </w:rPr>
        <w:t>谈判文件明确不允许分包，响应文件拟分包的；</w:t>
      </w:r>
    </w:p>
    <w:p w14:paraId="27D0B514">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16）未响应谈判文件实质性要求；</w:t>
      </w:r>
    </w:p>
    <w:p w14:paraId="0CBF7698">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17）法律、法规和谈判文件规定的其他无效情形。</w:t>
      </w:r>
    </w:p>
    <w:p w14:paraId="28354CC8">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（2）报价评审</w:t>
      </w:r>
    </w:p>
    <w:p w14:paraId="1FCF6AE7">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1）响应文件未提供“供应商须知前附表” 报价商务技术文件中规定的“</w:t>
      </w:r>
      <w:r>
        <w:rPr>
          <w:rFonts w:hint="eastAsia" w:ascii="宋体" w:hAnsi="宋体" w:cs="宋体"/>
          <w:color w:val="auto"/>
          <w:sz w:val="24"/>
          <w:highlight w:val="none"/>
          <w:lang w:bidi="ar"/>
        </w:rPr>
        <w:t>竞争性谈判</w:t>
      </w:r>
      <w:r>
        <w:rPr>
          <w:rFonts w:hint="eastAsia" w:ascii="宋体" w:hAnsi="宋体" w:cs="宋体"/>
          <w:color w:val="auto"/>
          <w:sz w:val="24"/>
          <w:highlight w:val="none"/>
        </w:rPr>
        <w:t>报价表”的；</w:t>
      </w:r>
    </w:p>
    <w:p w14:paraId="7344D603">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2）未采用人民币报价或者未按照谈判文件标明的币种报价的；</w:t>
      </w:r>
    </w:p>
    <w:p w14:paraId="32D336D7">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3）供应商未就所参与</w:t>
      </w:r>
      <w:r>
        <w:rPr>
          <w:rFonts w:hint="eastAsia" w:ascii="宋体" w:hAnsi="宋体" w:cs="宋体"/>
          <w:color w:val="auto"/>
          <w:sz w:val="24"/>
          <w:highlight w:val="none"/>
          <w:lang w:bidi="ar"/>
        </w:rPr>
        <w:t>竞争性谈判</w:t>
      </w:r>
      <w:r>
        <w:rPr>
          <w:rFonts w:hint="eastAsia" w:ascii="宋体" w:hAnsi="宋体" w:cs="宋体"/>
          <w:color w:val="auto"/>
          <w:sz w:val="24"/>
          <w:highlight w:val="none"/>
        </w:rPr>
        <w:t>分标进行报价或者存在漏项报价的；供应商未就所参与</w:t>
      </w:r>
      <w:r>
        <w:rPr>
          <w:rFonts w:hint="eastAsia" w:ascii="宋体" w:hAnsi="宋体" w:cs="宋体"/>
          <w:color w:val="auto"/>
          <w:sz w:val="24"/>
          <w:highlight w:val="none"/>
          <w:lang w:bidi="ar"/>
        </w:rPr>
        <w:t>竞争性谈判</w:t>
      </w:r>
      <w:r>
        <w:rPr>
          <w:rFonts w:hint="eastAsia" w:ascii="宋体" w:hAnsi="宋体" w:cs="宋体"/>
          <w:color w:val="auto"/>
          <w:sz w:val="24"/>
          <w:highlight w:val="none"/>
        </w:rPr>
        <w:t>分标的单项内容作唯一报价的；供应商未就所参与</w:t>
      </w:r>
      <w:r>
        <w:rPr>
          <w:rFonts w:hint="eastAsia" w:ascii="宋体" w:hAnsi="宋体" w:cs="宋体"/>
          <w:color w:val="auto"/>
          <w:sz w:val="24"/>
          <w:highlight w:val="none"/>
          <w:lang w:bidi="ar"/>
        </w:rPr>
        <w:t>竞争性谈判</w:t>
      </w:r>
      <w:r>
        <w:rPr>
          <w:rFonts w:hint="eastAsia" w:ascii="宋体" w:hAnsi="宋体" w:cs="宋体"/>
          <w:color w:val="auto"/>
          <w:sz w:val="24"/>
          <w:highlight w:val="none"/>
        </w:rPr>
        <w:t>分标的全部内容作完整唯一总价报价的；供应商响应文件中存在有选择、有条件报价的（谈判文件允许有备选方案或者其他约定的除外）；</w:t>
      </w:r>
    </w:p>
    <w:p w14:paraId="0625354D">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w:t>
      </w:r>
      <w:r>
        <w:rPr>
          <w:rFonts w:hint="eastAsia" w:ascii="宋体" w:hAnsi="宋体" w:cs="宋体"/>
          <w:color w:val="auto"/>
          <w:sz w:val="24"/>
          <w:highlight w:val="none"/>
          <w:lang w:bidi="ar"/>
        </w:rPr>
        <w:t>竞争性谈判</w:t>
      </w:r>
      <w:r>
        <w:rPr>
          <w:rFonts w:hint="eastAsia" w:ascii="宋体" w:hAnsi="宋体" w:cs="宋体"/>
          <w:color w:val="auto"/>
          <w:sz w:val="24"/>
          <w:highlight w:val="none"/>
        </w:rPr>
        <w:t>报价（包含首次报价、最后报价）超过所参与</w:t>
      </w:r>
      <w:r>
        <w:rPr>
          <w:rFonts w:hint="eastAsia" w:ascii="宋体" w:hAnsi="宋体" w:cs="宋体"/>
          <w:color w:val="auto"/>
          <w:sz w:val="24"/>
          <w:highlight w:val="none"/>
          <w:lang w:bidi="ar"/>
        </w:rPr>
        <w:t>竞争性谈判</w:t>
      </w:r>
      <w:r>
        <w:rPr>
          <w:rFonts w:hint="eastAsia" w:ascii="宋体" w:hAnsi="宋体" w:cs="宋体"/>
          <w:color w:val="auto"/>
          <w:sz w:val="24"/>
          <w:highlight w:val="none"/>
        </w:rPr>
        <w:t>分标规定的采购预算金额或者最高限价的；</w:t>
      </w:r>
    </w:p>
    <w:p w14:paraId="6BEB926C">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w:t>
      </w:r>
      <w:r>
        <w:rPr>
          <w:rFonts w:hint="eastAsia" w:ascii="宋体" w:hAnsi="宋体" w:cs="宋体"/>
          <w:color w:val="auto"/>
          <w:sz w:val="24"/>
          <w:highlight w:val="none"/>
          <w:lang w:bidi="ar"/>
        </w:rPr>
        <w:t>竞争性谈判</w:t>
      </w:r>
      <w:r>
        <w:rPr>
          <w:rFonts w:hint="eastAsia" w:ascii="宋体" w:hAnsi="宋体" w:cs="宋体"/>
          <w:color w:val="auto"/>
          <w:sz w:val="24"/>
          <w:highlight w:val="none"/>
        </w:rPr>
        <w:t>报价（包含首次报价、最后报价）超过分项采购预算金额或者最高限价的，其响应文件将作无效处理；</w:t>
      </w:r>
    </w:p>
    <w:p w14:paraId="475D1B8A">
      <w:pPr>
        <w:spacing w:line="360" w:lineRule="auto"/>
        <w:ind w:firstLine="480" w:firstLineChars="200"/>
        <w:rPr>
          <w:rFonts w:hint="eastAsia" w:ascii="宋体" w:hAnsi="宋体" w:cs="宋体"/>
          <w:color w:val="auto"/>
          <w:sz w:val="24"/>
          <w:highlight w:val="none"/>
        </w:rPr>
      </w:pPr>
      <w:r>
        <w:rPr>
          <w:rFonts w:ascii="宋体" w:hAnsi="宋体" w:cs="宋体"/>
          <w:color w:val="auto"/>
          <w:sz w:val="24"/>
          <w:highlight w:val="none"/>
        </w:rPr>
        <w:t>6</w:t>
      </w:r>
      <w:r>
        <w:rPr>
          <w:rFonts w:hint="eastAsia" w:ascii="宋体" w:hAnsi="宋体" w:cs="宋体"/>
          <w:color w:val="auto"/>
          <w:sz w:val="24"/>
          <w:highlight w:val="none"/>
        </w:rPr>
        <w:t>）修正后的报价，供应商不确认的；或者经供应商确认修正后的最后报价超过所参与</w:t>
      </w:r>
      <w:r>
        <w:rPr>
          <w:rFonts w:hint="eastAsia" w:ascii="宋体" w:hAnsi="宋体" w:cs="宋体"/>
          <w:color w:val="auto"/>
          <w:sz w:val="24"/>
          <w:highlight w:val="none"/>
          <w:lang w:bidi="ar"/>
        </w:rPr>
        <w:t>竞争性谈判</w:t>
      </w:r>
      <w:r>
        <w:rPr>
          <w:rFonts w:hint="eastAsia" w:ascii="宋体" w:hAnsi="宋体" w:cs="宋体"/>
          <w:color w:val="auto"/>
          <w:sz w:val="24"/>
          <w:highlight w:val="none"/>
        </w:rPr>
        <w:t>分标规定的采购预算金额或者最高限价（如本项目公布了最高限价）；</w:t>
      </w:r>
    </w:p>
    <w:p w14:paraId="59F662F6">
      <w:pPr>
        <w:spacing w:line="360" w:lineRule="auto"/>
        <w:ind w:firstLine="480" w:firstLineChars="200"/>
        <w:rPr>
          <w:rFonts w:hint="eastAsia" w:ascii="宋体" w:hAnsi="宋体" w:cs="宋体"/>
          <w:color w:val="auto"/>
          <w:sz w:val="24"/>
          <w:highlight w:val="none"/>
        </w:rPr>
      </w:pPr>
      <w:r>
        <w:rPr>
          <w:rFonts w:ascii="宋体" w:hAnsi="宋体" w:cs="宋体"/>
          <w:color w:val="auto"/>
          <w:sz w:val="24"/>
          <w:highlight w:val="none"/>
        </w:rPr>
        <w:t>7</w:t>
      </w:r>
      <w:r>
        <w:rPr>
          <w:rFonts w:hint="eastAsia" w:ascii="宋体" w:hAnsi="宋体" w:cs="宋体"/>
          <w:color w:val="auto"/>
          <w:sz w:val="24"/>
          <w:highlight w:val="none"/>
        </w:rPr>
        <w:t>）响应文件响应的标的数量及单位与竞争性谈判采购文件要求实质性不一致的。</w:t>
      </w:r>
    </w:p>
    <w:p w14:paraId="5C3F4B6F">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3.6谈判小组对响应文件进行评审，未实质性响应谈判文件的响应文件按无效响应处理。谈判小组应当将资格和符合性不通过的情况告知有关供应商。谈判小组从符合谈判文件规定的相应资格条件的供应商名单中确定不少于3家的供应商参加谈判。</w:t>
      </w:r>
    </w:p>
    <w:p w14:paraId="033DD9E3">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3.7竞争性谈判方式采购的货物、服务项目，竞争性谈判过程中提交响应文件或者经评审实质性响应文件要求的供应商只有两家时，采购人、采购代理机构按照《政府采购非招标采购方式管理办法》（财政部74号令）第四条经本级财政部门批准后可以与该两家供应商进行竞争性谈判采购，采购人、采购代理机构应当根据</w:t>
      </w:r>
      <w:r>
        <w:rPr>
          <w:rFonts w:hint="eastAsia" w:ascii="宋体" w:hAnsi="宋体" w:cs="宋体"/>
          <w:color w:val="auto"/>
          <w:sz w:val="24"/>
          <w:highlight w:val="none"/>
          <w:lang w:bidi="ar"/>
        </w:rPr>
        <w:t>竞争性谈判</w:t>
      </w:r>
      <w:r>
        <w:rPr>
          <w:rFonts w:hint="eastAsia" w:ascii="宋体" w:hAnsi="宋体" w:cs="宋体"/>
          <w:color w:val="auto"/>
          <w:sz w:val="24"/>
          <w:highlight w:val="none"/>
        </w:rPr>
        <w:t>文件中的采购需求编制谈判文件，成立谈判小组，由谈判小组对谈判文件进行确认。</w:t>
      </w:r>
    </w:p>
    <w:p w14:paraId="76DC96E7">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3.8通过符合性审查的合格供应商不足3家的，不得进入谈判环节，应当重新开展采购活动。</w:t>
      </w:r>
    </w:p>
    <w:p w14:paraId="07961A07">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4.谈判程序</w:t>
      </w:r>
    </w:p>
    <w:p w14:paraId="24713D8F">
      <w:pPr>
        <w:spacing w:line="360" w:lineRule="auto"/>
        <w:ind w:firstLine="480" w:firstLineChars="200"/>
        <w:rPr>
          <w:rFonts w:hint="eastAsia" w:ascii="宋体" w:hAnsi="宋体" w:cs="宋体"/>
          <w:color w:val="auto"/>
          <w:sz w:val="24"/>
          <w:highlight w:val="none"/>
        </w:rPr>
      </w:pPr>
      <w:r>
        <w:rPr>
          <w:rFonts w:hint="eastAsia" w:ascii="宋体" w:hAnsi="宋体" w:cs="宋体"/>
          <w:color w:val="auto"/>
          <w:kern w:val="0"/>
          <w:sz w:val="24"/>
          <w:highlight w:val="none"/>
        </w:rPr>
        <w:t>4.1谈判小组按照“供应商须知前附表”第26条确定的</w:t>
      </w:r>
      <w:r>
        <w:rPr>
          <w:rFonts w:hint="eastAsia" w:ascii="宋体" w:hAnsi="宋体" w:cs="宋体"/>
          <w:color w:val="auto"/>
          <w:sz w:val="24"/>
          <w:highlight w:val="none"/>
        </w:rPr>
        <w:t>顺序，集中与单一供应商分别进行谈判，并给予所有参加谈判的供应商平等的谈判机会。符合谈判资格的供应商必须在接到谈判通知后规定时间内参加谈判，未在规定时间内参加谈判的视同放弃参加谈判权利，其响应文件按无效响应处理。</w:t>
      </w:r>
    </w:p>
    <w:p w14:paraId="27536793">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4.2在谈判过程中，谈判小组可以根据谈判文件和谈判情况实质性变动采购需求中的技术、服务要求以及合同草案条款，但不得变动谈判文件中的其他内容，实质性变动的内容须经采购人代表确认。可能实质性变动的内容为采购需求中的技术、服务要求以及合同草案条款。</w:t>
      </w:r>
    </w:p>
    <w:p w14:paraId="45B936F6">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4.3对谈判文件作出的实质性变动是谈判文件的有效组成部分，谈判小组应当及时以电子谈判记录形式同时通知所有参加谈判的供应商。</w:t>
      </w:r>
    </w:p>
    <w:p w14:paraId="6D7E5CEC">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4.4供应商必须按照谈判文件的变动情况和谈判小组的要求以电子回函的形式重新提交响应文件，并由其法定代表人或者委托代理人签字或者加盖供应商公章。由委托代理人签字的，</w:t>
      </w:r>
      <w:r>
        <w:rPr>
          <w:rFonts w:hint="eastAsia" w:ascii="宋体" w:hAnsi="宋体" w:cs="宋体"/>
          <w:bCs/>
          <w:color w:val="auto"/>
          <w:sz w:val="24"/>
          <w:highlight w:val="none"/>
        </w:rPr>
        <w:t>若委托代理人不是响应文件中授权的委托代理人时，必须同时出示有效的授权委托书原件</w:t>
      </w:r>
      <w:r>
        <w:rPr>
          <w:rFonts w:hint="eastAsia" w:ascii="宋体" w:hAnsi="宋体" w:cs="宋体"/>
          <w:color w:val="auto"/>
          <w:sz w:val="24"/>
          <w:highlight w:val="none"/>
        </w:rPr>
        <w:t>。供应商为自然人的，必须由本人签字并附身份证明。参加谈判的供应商未在规定时间内以电子回函的形式重新提交响应文件的，视同退出谈判，其响应文件按无效响应处理。</w:t>
      </w:r>
    </w:p>
    <w:p w14:paraId="23BFB69B">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4.5谈判中，谈判的任何一方不得透露与谈判有关的其他供应商的技术资料、价格和其他信息。</w:t>
      </w:r>
    </w:p>
    <w:p w14:paraId="0CCD2F4E">
      <w:pPr>
        <w:tabs>
          <w:tab w:val="left" w:pos="2835"/>
        </w:tabs>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4.6对谈判过程提交的响应文件进行有效性、完整性和响应程度审查，通过审查的合格供应商不足3家的，采购人或者采购代理机构应当重新开展采购活动。</w:t>
      </w:r>
    </w:p>
    <w:p w14:paraId="369C7264">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5.最后报价</w:t>
      </w:r>
    </w:p>
    <w:p w14:paraId="2ADD42DE">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5.1谈判文件能够详细列明采购标的的技术、服务要求的，谈判结束后，谈判小组应当要求所有继续参加谈判的供应商在规定时间内以电子文件形式提交最后报价，提交最后报价的供应商不得少于3家，除本章第3.7条外，否则必须重新采购。</w:t>
      </w:r>
    </w:p>
    <w:p w14:paraId="055AFEA4">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5.2谈判文件不能详细列明采购标的的技术、服务要求，需经谈判由供应商提供最后设计方案或者解决方案的，谈判结束后，谈判小组应当按照少数服从多数的原则投票推荐3家以上供应商的设计方案或者解决方案，并要求其在规定时间内以电子文件形式提交最后报价。</w:t>
      </w:r>
    </w:p>
    <w:p w14:paraId="0EE791B4">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5.3最后报价是供应商响应文件的有效组成部分。</w:t>
      </w:r>
    </w:p>
    <w:p w14:paraId="64CD5BBD">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5.4已经提交响应文件的供应商，在提交最后报价之前，可以根据谈判情况退出谈判。采购人、采购代理机构将退还退出谈判的供应商的保证金。</w:t>
      </w:r>
    </w:p>
    <w:p w14:paraId="35454817">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5.5供应商未在规定时间内提交最后报价的，视为退出谈判，其响应文件按无效响应处理。</w:t>
      </w:r>
    </w:p>
    <w:p w14:paraId="3DEB5972">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5.6谈判小组收齐某一分标最后报价后或达到规定时间后统一开启，谈判小组对最后报价进行有效性、完整性和响应程度的审查。</w:t>
      </w:r>
    </w:p>
    <w:p w14:paraId="08D34202">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5.7响应文件首次及最后报价出现前后不一致的，按照本章第3.4条的规定修正。 </w:t>
      </w:r>
    </w:p>
    <w:p w14:paraId="2B98072B">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5.8经供应商确认修正后的最后报价作为评审及签订合同的依据。</w:t>
      </w:r>
    </w:p>
    <w:p w14:paraId="6DC87283">
      <w:pPr>
        <w:snapToGrid w:val="0"/>
        <w:spacing w:line="360" w:lineRule="auto"/>
        <w:ind w:firstLine="420" w:firstLineChars="200"/>
        <w:rPr>
          <w:rFonts w:hint="eastAsia" w:ascii="宋体" w:hAnsi="宋体" w:cs="宋体"/>
          <w:color w:val="auto"/>
          <w:sz w:val="24"/>
          <w:highlight w:val="none"/>
        </w:rPr>
      </w:pPr>
      <w:bookmarkStart w:id="49" w:name="OLE_LINK5"/>
      <w:r>
        <w:rPr>
          <w:rFonts w:hint="eastAsia"/>
          <w:color w:val="auto"/>
          <w:highlight w:val="none"/>
        </w:rPr>
        <w:t>5</w:t>
      </w:r>
      <w:r>
        <w:rPr>
          <w:color w:val="auto"/>
          <w:highlight w:val="none"/>
        </w:rPr>
        <w:t>.9</w:t>
      </w:r>
      <w:r>
        <w:rPr>
          <w:rFonts w:hint="eastAsia" w:ascii="宋体" w:hAnsi="宋体" w:cs="宋体"/>
          <w:color w:val="auto"/>
          <w:sz w:val="24"/>
          <w:highlight w:val="none"/>
        </w:rPr>
        <w:t>政府采购评审中出现下列情形之一的，谈判小组应当启动异常低价投标（响应）审查程序：</w:t>
      </w:r>
    </w:p>
    <w:p w14:paraId="3DDDFD2E">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w:t>
      </w:r>
      <w:r>
        <w:rPr>
          <w:rFonts w:ascii="宋体" w:hAnsi="宋体" w:cs="宋体"/>
          <w:color w:val="auto"/>
          <w:sz w:val="24"/>
          <w:highlight w:val="none"/>
        </w:rPr>
        <w:t>1</w:t>
      </w:r>
      <w:r>
        <w:rPr>
          <w:rFonts w:hint="eastAsia" w:ascii="宋体" w:hAnsi="宋体" w:cs="宋体"/>
          <w:color w:val="auto"/>
          <w:sz w:val="24"/>
          <w:highlight w:val="none"/>
        </w:rPr>
        <w:t>）投标（响应）报价低于全部通过符合性审查供应商投标（响应）报价平均值50%的，即投标（响应）报价&lt;全部通过符合性审查供应商投标（响应）报价平均值×50%；</w:t>
      </w:r>
    </w:p>
    <w:p w14:paraId="0846B5A4">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w:t>
      </w:r>
      <w:r>
        <w:rPr>
          <w:rFonts w:ascii="宋体" w:hAnsi="宋体" w:cs="宋体"/>
          <w:color w:val="auto"/>
          <w:sz w:val="24"/>
          <w:highlight w:val="none"/>
        </w:rPr>
        <w:t>2</w:t>
      </w:r>
      <w:r>
        <w:rPr>
          <w:rFonts w:hint="eastAsia" w:ascii="宋体" w:hAnsi="宋体" w:cs="宋体"/>
          <w:color w:val="auto"/>
          <w:sz w:val="24"/>
          <w:highlight w:val="none"/>
        </w:rPr>
        <w:t>）投标（响应）报价低于通过符合性审查的次低报价供应商投标（响应）报价50%的，即投标（响应）报价&lt;通过符合性审查的次低报价供应商投标（响应）报价×50%；</w:t>
      </w:r>
    </w:p>
    <w:p w14:paraId="1BB30595">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w:t>
      </w:r>
      <w:r>
        <w:rPr>
          <w:rFonts w:ascii="宋体" w:hAnsi="宋体" w:cs="宋体"/>
          <w:color w:val="auto"/>
          <w:sz w:val="24"/>
          <w:highlight w:val="none"/>
        </w:rPr>
        <w:t>3</w:t>
      </w:r>
      <w:r>
        <w:rPr>
          <w:rFonts w:hint="eastAsia" w:ascii="宋体" w:hAnsi="宋体" w:cs="宋体"/>
          <w:color w:val="auto"/>
          <w:sz w:val="24"/>
          <w:highlight w:val="none"/>
        </w:rPr>
        <w:t>）投标（响应）报价低于采购项目最高限价45%的，即投标（响应）报价&lt;采购项目最高限价×45%；</w:t>
      </w:r>
    </w:p>
    <w:p w14:paraId="3DE9F707">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w:t>
      </w:r>
      <w:r>
        <w:rPr>
          <w:rFonts w:ascii="宋体" w:hAnsi="宋体" w:cs="宋体"/>
          <w:color w:val="auto"/>
          <w:sz w:val="24"/>
          <w:highlight w:val="none"/>
        </w:rPr>
        <w:t>4</w:t>
      </w:r>
      <w:r>
        <w:rPr>
          <w:rFonts w:hint="eastAsia" w:ascii="宋体" w:hAnsi="宋体" w:cs="宋体"/>
          <w:color w:val="auto"/>
          <w:sz w:val="24"/>
          <w:highlight w:val="none"/>
        </w:rPr>
        <w:t>）谈判小组基于专业判断，认为供应商报价过低，有可能影响产品质量或者不能诚信履约的其他情形。</w:t>
      </w:r>
    </w:p>
    <w:p w14:paraId="53B68F79">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谈判小组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1DAAFD2F">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谈判小组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谈判小组应当将其作为无效投标（响应）处理。</w:t>
      </w:r>
    </w:p>
    <w:p w14:paraId="43BFC0F3">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采购人、采购代理机构应当为谈判小组在评审现场及时获取同类项目中标（成交）价格、类似产品市场价格水平、行业人工费用标准、国家有关部门指导行业协会发布的行业平均成本等相关信息资料提供便利。谈判小组借助互联网等渠道查询相关信息的，应当严格遵守评审工作纪律，不得实施影响评审公正的行为。</w:t>
      </w:r>
    </w:p>
    <w:p w14:paraId="194CC023">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异常低价投标（响应）审查的启动原因、审查意见和审查结果应当在评审报告中记录，并随供应商提供的相关书面说明及证明材料，以及谈判小组有关互联网浏览、查询历史一并归档。</w:t>
      </w:r>
    </w:p>
    <w:bookmarkEnd w:id="49"/>
    <w:p w14:paraId="0257B831">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w:t>
      </w:r>
      <w:r>
        <w:rPr>
          <w:rFonts w:ascii="宋体" w:hAnsi="宋体" w:cs="宋体"/>
          <w:color w:val="auto"/>
          <w:sz w:val="24"/>
          <w:highlight w:val="none"/>
        </w:rPr>
        <w:t>10</w:t>
      </w:r>
      <w:r>
        <w:rPr>
          <w:rFonts w:hint="eastAsia" w:ascii="宋体" w:hAnsi="宋体" w:cs="宋体"/>
          <w:color w:val="auto"/>
          <w:sz w:val="24"/>
          <w:highlight w:val="none"/>
        </w:rPr>
        <w:t>供应商出现最后报价按无效响应处理或者响应文件按无效响应处理时，谈判小组应当告知有关供应商。</w:t>
      </w:r>
    </w:p>
    <w:p w14:paraId="7A41F2C9">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5.1</w:t>
      </w:r>
      <w:r>
        <w:rPr>
          <w:rFonts w:ascii="宋体" w:hAnsi="宋体" w:cs="宋体"/>
          <w:color w:val="auto"/>
          <w:sz w:val="24"/>
          <w:highlight w:val="none"/>
        </w:rPr>
        <w:t>1</w:t>
      </w:r>
      <w:r>
        <w:rPr>
          <w:rFonts w:hint="eastAsia" w:ascii="宋体" w:hAnsi="宋体" w:cs="宋体"/>
          <w:color w:val="auto"/>
          <w:sz w:val="24"/>
          <w:highlight w:val="none"/>
        </w:rPr>
        <w:t>最后报价结束后，谈判小组不得再与供应商进行任何形式的商谈。</w:t>
      </w:r>
    </w:p>
    <w:p w14:paraId="4F0BF1B2">
      <w:pPr>
        <w:spacing w:line="360" w:lineRule="auto"/>
        <w:ind w:firstLine="472" w:firstLineChars="196"/>
        <w:rPr>
          <w:rFonts w:hint="eastAsia" w:ascii="宋体" w:hAnsi="宋体" w:cs="宋体"/>
          <w:b/>
          <w:bCs/>
          <w:color w:val="auto"/>
          <w:sz w:val="24"/>
          <w:highlight w:val="none"/>
        </w:rPr>
      </w:pPr>
      <w:r>
        <w:rPr>
          <w:rFonts w:hint="eastAsia" w:ascii="宋体" w:hAnsi="宋体" w:cs="宋体"/>
          <w:b/>
          <w:bCs/>
          <w:color w:val="auto"/>
          <w:sz w:val="24"/>
          <w:highlight w:val="none"/>
        </w:rPr>
        <w:t>6.最后报价政府采购政策性扣除</w:t>
      </w:r>
    </w:p>
    <w:p w14:paraId="184420FE">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6.1评标价为供应商的最后报价进行政策性扣除后的价格，评标价只是作为评审时使用。最终成交供应商的成交金额等于最后报价（如有修正，以确认修正后的最后报价为准）。</w:t>
      </w:r>
    </w:p>
    <w:p w14:paraId="08B27643">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6.2政策性扣除计算方法。</w:t>
      </w:r>
    </w:p>
    <w:p w14:paraId="416F8E7B">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根据《政府采购促进中小企业发展管理办法》</w:t>
      </w:r>
      <w:r>
        <w:rPr>
          <w:rFonts w:hint="eastAsia" w:hAnsi="宋体" w:cs="宋体"/>
          <w:bCs/>
          <w:color w:val="auto"/>
          <w:sz w:val="24"/>
          <w:highlight w:val="none"/>
        </w:rPr>
        <w:t>及《广西壮族自治区财政厅关于持续优化政府采购营商环境推动高质量发展的通知》</w:t>
      </w:r>
      <w:r>
        <w:rPr>
          <w:rFonts w:hint="eastAsia" w:ascii="宋体" w:hAnsi="宋体" w:cs="宋体"/>
          <w:color w:val="auto"/>
          <w:sz w:val="24"/>
          <w:highlight w:val="none"/>
        </w:rPr>
        <w:t>的规定，</w:t>
      </w:r>
      <w:r>
        <w:rPr>
          <w:rFonts w:hint="eastAsia" w:hAnsi="宋体" w:cs="宋体"/>
          <w:bCs/>
          <w:color w:val="auto"/>
          <w:sz w:val="24"/>
          <w:highlight w:val="none"/>
        </w:rPr>
        <w:t>调整对小微企业的价格评审优惠幅度</w:t>
      </w:r>
      <w:r>
        <w:rPr>
          <w:rFonts w:hint="eastAsia" w:ascii="宋体" w:hAnsi="宋体" w:cs="宋体"/>
          <w:color w:val="auto"/>
          <w:sz w:val="24"/>
          <w:highlight w:val="none"/>
        </w:rPr>
        <w:t>，供应商属于《政府采购促进中小企业发展管理办法》规定的小微企业的，对</w:t>
      </w:r>
      <w:r>
        <w:rPr>
          <w:rFonts w:hint="eastAsia" w:ascii="宋体" w:hAnsi="宋体" w:cs="宋体"/>
          <w:color w:val="auto"/>
          <w:sz w:val="24"/>
          <w:highlight w:val="none"/>
          <w:lang w:bidi="ar"/>
        </w:rPr>
        <w:t>竞争性谈判</w:t>
      </w:r>
      <w:r>
        <w:rPr>
          <w:rFonts w:hint="eastAsia" w:ascii="宋体" w:hAnsi="宋体" w:cs="宋体"/>
          <w:color w:val="auto"/>
          <w:sz w:val="24"/>
          <w:highlight w:val="none"/>
        </w:rPr>
        <w:t>报价给予20%的扣除，用扣除后的价格参加评审；大中型企业与小微企业组成联合体或者大中型企业向一家或者多家小微企业分包，且联合协议或者分包意向协议约定小微企业的合同份额占到合同总金额30%以上的，对联合体或者大中型企业的报价给予6%的扣除，用扣除后的价格参加评审。符合上述规定对报价给予扣除的，扣除后的价格为评标价，即评标价=最后报价×（1 - 扣除比例）。</w:t>
      </w:r>
    </w:p>
    <w:p w14:paraId="6FB9C99D">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14:paraId="4578906F">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6.4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41EEB531">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6.5本国产品政策性扣除计算方法。</w:t>
      </w:r>
    </w:p>
    <w:p w14:paraId="7DA9FF99">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14:paraId="7DBF98E0">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bookmarkStart w:id="50" w:name="OLE_LINK4"/>
      <w:bookmarkStart w:id="51" w:name="OLE_LINK3"/>
      <w:r>
        <w:rPr>
          <w:rFonts w:hint="eastAsia" w:ascii="宋体" w:hAnsi="宋体" w:cs="宋体"/>
          <w:color w:val="auto"/>
          <w:sz w:val="24"/>
          <w:highlight w:val="none"/>
        </w:rPr>
        <w:t>未达到80%，不享受价格评审优惠。</w:t>
      </w:r>
      <w:bookmarkEnd w:id="50"/>
      <w:bookmarkEnd w:id="51"/>
    </w:p>
    <w:p w14:paraId="3A58B2CD">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如果所有参与竞争的供应商均可享受本国产品价格评审优惠，则统一不进行价格扣除。</w:t>
      </w:r>
    </w:p>
    <w:p w14:paraId="77D02BD3">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供应商在其响应文件中提供《关于符合本国产品标准的声明函》或财政部会同有关部门规定的有关证明文件，出具符合要求的《声明函》或有关证明文件的，该产品视为本国产品。</w:t>
      </w:r>
    </w:p>
    <w:p w14:paraId="082E3731">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6.6中小企业折扣与本国产品折扣进行叠加计算，用扣除后的价格参加评审。即评审价=竞标报价-中小企业折扣-本国产品折扣。</w:t>
      </w:r>
    </w:p>
    <w:p w14:paraId="7007F7E3">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6.7除上述情况外，评审价＝最后报价。</w:t>
      </w:r>
    </w:p>
    <w:p w14:paraId="52F0BB84">
      <w:pPr>
        <w:spacing w:line="360" w:lineRule="auto"/>
        <w:ind w:firstLine="480" w:firstLineChars="200"/>
        <w:rPr>
          <w:rFonts w:hint="eastAsia" w:ascii="宋体" w:hAnsi="宋体" w:cs="宋体"/>
          <w:color w:val="auto"/>
          <w:sz w:val="24"/>
          <w:highlight w:val="none"/>
        </w:rPr>
      </w:pPr>
    </w:p>
    <w:p w14:paraId="092CE42D">
      <w:pPr>
        <w:spacing w:line="360" w:lineRule="auto"/>
        <w:jc w:val="center"/>
        <w:rPr>
          <w:rFonts w:hint="eastAsia" w:ascii="宋体" w:hAnsi="宋体" w:cs="宋体"/>
          <w:b/>
          <w:color w:val="auto"/>
          <w:sz w:val="24"/>
          <w:highlight w:val="none"/>
        </w:rPr>
      </w:pPr>
    </w:p>
    <w:p w14:paraId="78569609">
      <w:pPr>
        <w:spacing w:line="360" w:lineRule="auto"/>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二、评定成交的标准</w:t>
      </w:r>
    </w:p>
    <w:p w14:paraId="2CC6C45E">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7.成交候选人推荐原则</w:t>
      </w:r>
    </w:p>
    <w:p w14:paraId="60680F9B">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谈判小组应当从质量和服务均能满足谈判文件实质性响应要求的供应商中，按照评审价由低到高的顺序提出3名以上成交候选人（评审价相同时，按照最后报价由低到高顺序依次推荐；最后报价相同时，由谈判小组按“供应商须知前附表”第26条规定的顺序推荐）,并编写评审报告。</w:t>
      </w:r>
    </w:p>
    <w:p w14:paraId="132B95C3">
      <w:pPr>
        <w:pStyle w:val="2"/>
        <w:spacing w:before="0" w:after="0" w:line="360" w:lineRule="auto"/>
        <w:jc w:val="center"/>
        <w:rPr>
          <w:rFonts w:hint="eastAsia" w:ascii="宋体" w:hAnsi="宋体" w:cs="宋体"/>
          <w:color w:val="auto"/>
          <w:highlight w:val="none"/>
        </w:rPr>
      </w:pPr>
      <w:r>
        <w:rPr>
          <w:rFonts w:hint="eastAsia" w:ascii="宋体" w:hAnsi="宋体" w:cs="宋体"/>
          <w:color w:val="auto"/>
          <w:sz w:val="24"/>
          <w:szCs w:val="24"/>
          <w:highlight w:val="none"/>
        </w:rPr>
        <w:br w:type="page"/>
      </w:r>
    </w:p>
    <w:p w14:paraId="359CE639">
      <w:pPr>
        <w:rPr>
          <w:rFonts w:hint="eastAsia" w:ascii="宋体" w:hAnsi="宋体" w:cs="宋体"/>
          <w:color w:val="auto"/>
          <w:highlight w:val="none"/>
        </w:rPr>
      </w:pPr>
    </w:p>
    <w:p w14:paraId="5F38DBD7">
      <w:pPr>
        <w:pStyle w:val="2"/>
        <w:spacing w:before="0" w:after="0"/>
        <w:jc w:val="center"/>
        <w:rPr>
          <w:rFonts w:hint="eastAsia" w:ascii="宋体" w:hAnsi="宋体" w:cs="宋体"/>
          <w:color w:val="auto"/>
          <w:highlight w:val="none"/>
        </w:rPr>
      </w:pPr>
      <w:bookmarkStart w:id="52" w:name="_Toc5926"/>
      <w:r>
        <w:rPr>
          <w:rFonts w:hint="eastAsia" w:ascii="宋体" w:hAnsi="宋体" w:cs="宋体"/>
          <w:color w:val="auto"/>
          <w:highlight w:val="none"/>
        </w:rPr>
        <w:t>第五章 响应文件格式</w:t>
      </w:r>
      <w:bookmarkEnd w:id="52"/>
    </w:p>
    <w:p w14:paraId="2356BDB8">
      <w:pPr>
        <w:spacing w:line="240" w:lineRule="atLeast"/>
        <w:rPr>
          <w:rFonts w:hint="eastAsia" w:ascii="宋体" w:hAnsi="宋体" w:cs="宋体"/>
          <w:b/>
          <w:color w:val="auto"/>
          <w:sz w:val="32"/>
          <w:szCs w:val="32"/>
          <w:highlight w:val="none"/>
        </w:rPr>
      </w:pPr>
    </w:p>
    <w:p w14:paraId="60087986">
      <w:pPr>
        <w:spacing w:line="240" w:lineRule="atLeast"/>
        <w:rPr>
          <w:rFonts w:hint="eastAsia" w:ascii="宋体" w:hAnsi="宋体" w:cs="宋体"/>
          <w:b/>
          <w:color w:val="auto"/>
          <w:sz w:val="32"/>
          <w:szCs w:val="32"/>
          <w:highlight w:val="none"/>
        </w:rPr>
      </w:pPr>
    </w:p>
    <w:p w14:paraId="402AEB29">
      <w:pPr>
        <w:spacing w:line="360" w:lineRule="auto"/>
        <w:rPr>
          <w:rFonts w:hint="eastAsia" w:ascii="宋体" w:hAnsi="宋体" w:cs="宋体"/>
          <w:b/>
          <w:color w:val="auto"/>
          <w:sz w:val="32"/>
          <w:szCs w:val="32"/>
          <w:highlight w:val="none"/>
        </w:rPr>
      </w:pPr>
      <w:bookmarkStart w:id="53" w:name="_Toc71366060"/>
      <w:bookmarkStart w:id="54" w:name="_Toc71365382"/>
      <w:r>
        <w:rPr>
          <w:rFonts w:hint="eastAsia" w:ascii="宋体" w:hAnsi="宋体" w:cs="宋体"/>
          <w:b/>
          <w:color w:val="auto"/>
          <w:sz w:val="32"/>
          <w:szCs w:val="32"/>
          <w:highlight w:val="none"/>
        </w:rPr>
        <w:t>一、资格证明文件格式</w:t>
      </w:r>
      <w:bookmarkEnd w:id="53"/>
      <w:bookmarkEnd w:id="54"/>
    </w:p>
    <w:p w14:paraId="498C69CC">
      <w:pPr>
        <w:snapToGrid w:val="0"/>
        <w:spacing w:line="360" w:lineRule="auto"/>
        <w:jc w:val="left"/>
        <w:rPr>
          <w:rFonts w:hint="eastAsia" w:ascii="宋体" w:hAnsi="宋体" w:cs="宋体"/>
          <w:b/>
          <w:color w:val="auto"/>
          <w:sz w:val="24"/>
          <w:highlight w:val="none"/>
        </w:rPr>
      </w:pPr>
      <w:r>
        <w:rPr>
          <w:rFonts w:hint="eastAsia" w:ascii="宋体" w:hAnsi="宋体" w:cs="宋体"/>
          <w:b/>
          <w:color w:val="auto"/>
          <w:sz w:val="32"/>
          <w:szCs w:val="32"/>
          <w:highlight w:val="none"/>
        </w:rPr>
        <w:t>1.资格证明文件封面格式：</w:t>
      </w:r>
      <w:r>
        <w:rPr>
          <w:rFonts w:hint="eastAsia" w:ascii="宋体" w:hAnsi="宋体" w:cs="宋体"/>
          <w:b/>
          <w:color w:val="auto"/>
          <w:sz w:val="24"/>
          <w:highlight w:val="none"/>
        </w:rPr>
        <w:t xml:space="preserve"> </w:t>
      </w:r>
    </w:p>
    <w:p w14:paraId="2AC39226">
      <w:pPr>
        <w:snapToGrid w:val="0"/>
        <w:spacing w:line="360" w:lineRule="auto"/>
        <w:rPr>
          <w:rFonts w:hint="eastAsia" w:ascii="宋体" w:hAnsi="宋体" w:cs="宋体"/>
          <w:bCs/>
          <w:color w:val="auto"/>
          <w:sz w:val="32"/>
          <w:szCs w:val="20"/>
          <w:highlight w:val="none"/>
        </w:rPr>
      </w:pPr>
      <w:r>
        <w:rPr>
          <w:rFonts w:hint="eastAsia" w:ascii="宋体" w:hAnsi="宋体" w:cs="宋体"/>
          <w:color w:val="auto"/>
          <w:sz w:val="24"/>
          <w:highlight w:val="none"/>
        </w:rPr>
        <w:t xml:space="preserve">                                                  </w:t>
      </w:r>
    </w:p>
    <w:p w14:paraId="2BCA89E2">
      <w:pPr>
        <w:snapToGrid w:val="0"/>
        <w:spacing w:line="360" w:lineRule="auto"/>
        <w:jc w:val="center"/>
        <w:rPr>
          <w:rFonts w:hint="eastAsia" w:ascii="宋体" w:hAnsi="宋体" w:cs="宋体"/>
          <w:bCs/>
          <w:color w:val="auto"/>
          <w:sz w:val="44"/>
          <w:szCs w:val="44"/>
          <w:highlight w:val="none"/>
        </w:rPr>
      </w:pPr>
    </w:p>
    <w:p w14:paraId="141860EC">
      <w:pPr>
        <w:snapToGrid w:val="0"/>
        <w:spacing w:line="360" w:lineRule="auto"/>
        <w:jc w:val="center"/>
        <w:rPr>
          <w:rFonts w:hint="eastAsia" w:ascii="宋体" w:hAnsi="宋体" w:cs="宋体"/>
          <w:bCs/>
          <w:color w:val="auto"/>
          <w:sz w:val="84"/>
          <w:szCs w:val="84"/>
          <w:highlight w:val="none"/>
        </w:rPr>
      </w:pPr>
      <w:r>
        <w:rPr>
          <w:rFonts w:hint="eastAsia" w:ascii="宋体" w:hAnsi="宋体" w:cs="宋体"/>
          <w:bCs/>
          <w:color w:val="auto"/>
          <w:sz w:val="84"/>
          <w:szCs w:val="84"/>
          <w:highlight w:val="none"/>
        </w:rPr>
        <w:t>响  应  文  件</w:t>
      </w:r>
    </w:p>
    <w:p w14:paraId="064AEB98">
      <w:pPr>
        <w:snapToGrid w:val="0"/>
        <w:spacing w:line="360" w:lineRule="auto"/>
        <w:rPr>
          <w:rFonts w:hint="eastAsia" w:ascii="宋体" w:hAnsi="宋体" w:cs="宋体"/>
          <w:color w:val="auto"/>
          <w:sz w:val="24"/>
          <w:szCs w:val="20"/>
          <w:highlight w:val="none"/>
        </w:rPr>
      </w:pPr>
    </w:p>
    <w:p w14:paraId="033CDFFE">
      <w:pPr>
        <w:snapToGrid w:val="0"/>
        <w:spacing w:line="360" w:lineRule="auto"/>
        <w:jc w:val="center"/>
        <w:rPr>
          <w:rFonts w:hint="eastAsia" w:ascii="宋体" w:hAnsi="宋体" w:cs="宋体"/>
          <w:bCs/>
          <w:color w:val="auto"/>
          <w:sz w:val="32"/>
          <w:szCs w:val="32"/>
          <w:highlight w:val="none"/>
        </w:rPr>
      </w:pPr>
      <w:r>
        <w:rPr>
          <w:rFonts w:hint="eastAsia" w:ascii="宋体" w:hAnsi="宋体" w:cs="宋体"/>
          <w:bCs/>
          <w:color w:val="auto"/>
          <w:sz w:val="32"/>
          <w:szCs w:val="32"/>
          <w:highlight w:val="none"/>
        </w:rPr>
        <w:t>资  格  证  明  文  件</w:t>
      </w:r>
    </w:p>
    <w:p w14:paraId="5169C879">
      <w:pPr>
        <w:snapToGrid w:val="0"/>
        <w:spacing w:line="360" w:lineRule="auto"/>
        <w:rPr>
          <w:rFonts w:hint="eastAsia" w:ascii="宋体" w:hAnsi="宋体" w:cs="宋体"/>
          <w:bCs/>
          <w:color w:val="auto"/>
          <w:sz w:val="24"/>
          <w:szCs w:val="20"/>
          <w:highlight w:val="none"/>
        </w:rPr>
      </w:pPr>
    </w:p>
    <w:p w14:paraId="623CA273">
      <w:pPr>
        <w:snapToGrid w:val="0"/>
        <w:spacing w:line="360" w:lineRule="auto"/>
        <w:rPr>
          <w:rFonts w:hint="eastAsia" w:ascii="宋体" w:hAnsi="宋体" w:cs="宋体"/>
          <w:bCs/>
          <w:color w:val="auto"/>
          <w:sz w:val="24"/>
          <w:szCs w:val="20"/>
          <w:highlight w:val="none"/>
        </w:rPr>
      </w:pPr>
    </w:p>
    <w:p w14:paraId="4B30F41D">
      <w:pPr>
        <w:snapToGrid w:val="0"/>
        <w:spacing w:line="360" w:lineRule="auto"/>
        <w:ind w:firstLine="2739" w:firstLineChars="856"/>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3011CA50">
      <w:pPr>
        <w:snapToGrid w:val="0"/>
        <w:spacing w:line="360" w:lineRule="auto"/>
        <w:ind w:firstLine="2739" w:firstLineChars="856"/>
        <w:rPr>
          <w:rFonts w:hint="eastAsia" w:ascii="宋体" w:hAnsi="宋体" w:cs="宋体"/>
          <w:bCs/>
          <w:color w:val="auto"/>
          <w:sz w:val="32"/>
          <w:szCs w:val="32"/>
          <w:highlight w:val="none"/>
        </w:rPr>
      </w:pPr>
      <w:r>
        <w:rPr>
          <w:rFonts w:hint="eastAsia" w:ascii="宋体" w:hAnsi="宋体" w:cs="宋体"/>
          <w:bCs/>
          <w:color w:val="auto"/>
          <w:sz w:val="32"/>
          <w:szCs w:val="32"/>
          <w:highlight w:val="none"/>
        </w:rPr>
        <w:t xml:space="preserve">项目编号： </w:t>
      </w:r>
    </w:p>
    <w:p w14:paraId="358B275F">
      <w:pPr>
        <w:snapToGrid w:val="0"/>
        <w:spacing w:line="360" w:lineRule="auto"/>
        <w:ind w:firstLine="2739" w:firstLineChars="856"/>
        <w:rPr>
          <w:rFonts w:hint="eastAsia" w:ascii="宋体" w:hAnsi="宋体" w:cs="宋体"/>
          <w:bCs/>
          <w:color w:val="auto"/>
          <w:sz w:val="32"/>
          <w:szCs w:val="32"/>
          <w:highlight w:val="none"/>
        </w:rPr>
      </w:pPr>
      <w:r>
        <w:rPr>
          <w:rFonts w:hint="eastAsia" w:ascii="宋体" w:hAnsi="宋体" w:cs="宋体"/>
          <w:bCs/>
          <w:color w:val="auto"/>
          <w:sz w:val="32"/>
          <w:szCs w:val="32"/>
          <w:highlight w:val="none"/>
        </w:rPr>
        <w:t>所竞分标（如有）：</w:t>
      </w:r>
    </w:p>
    <w:p w14:paraId="367225DA">
      <w:pPr>
        <w:pStyle w:val="6"/>
        <w:snapToGrid w:val="0"/>
        <w:spacing w:line="360" w:lineRule="auto"/>
        <w:ind w:firstLine="2739" w:firstLineChars="856"/>
        <w:rPr>
          <w:rFonts w:hint="eastAsia"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5422FAD4">
      <w:pPr>
        <w:pStyle w:val="6"/>
        <w:snapToGrid w:val="0"/>
        <w:spacing w:line="360" w:lineRule="auto"/>
        <w:ind w:firstLine="0"/>
        <w:rPr>
          <w:rFonts w:hint="eastAsia" w:ascii="宋体" w:hAnsi="宋体" w:cs="宋体"/>
          <w:bCs/>
          <w:color w:val="auto"/>
          <w:sz w:val="32"/>
          <w:szCs w:val="32"/>
          <w:highlight w:val="none"/>
        </w:rPr>
      </w:pPr>
    </w:p>
    <w:p w14:paraId="5CFD80AA">
      <w:pPr>
        <w:pStyle w:val="6"/>
        <w:snapToGrid w:val="0"/>
        <w:spacing w:line="360" w:lineRule="auto"/>
        <w:ind w:firstLine="1280" w:firstLineChars="400"/>
        <w:rPr>
          <w:rFonts w:hint="eastAsia" w:ascii="宋体" w:hAnsi="宋体" w:cs="宋体"/>
          <w:bCs/>
          <w:color w:val="auto"/>
          <w:sz w:val="32"/>
          <w:szCs w:val="32"/>
          <w:highlight w:val="none"/>
        </w:rPr>
      </w:pPr>
    </w:p>
    <w:p w14:paraId="043DD7F2">
      <w:pPr>
        <w:snapToGrid w:val="0"/>
        <w:spacing w:line="360" w:lineRule="auto"/>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年    月    日</w:t>
      </w:r>
    </w:p>
    <w:p w14:paraId="53921EC1">
      <w:pPr>
        <w:snapToGrid w:val="0"/>
        <w:spacing w:line="360" w:lineRule="auto"/>
        <w:jc w:val="left"/>
        <w:rPr>
          <w:rFonts w:hint="eastAsia" w:ascii="宋体" w:hAnsi="宋体" w:cs="宋体"/>
          <w:b/>
          <w:bCs/>
          <w:color w:val="auto"/>
          <w:sz w:val="32"/>
          <w:szCs w:val="32"/>
          <w:highlight w:val="none"/>
        </w:rPr>
      </w:pPr>
      <w:r>
        <w:rPr>
          <w:rFonts w:hint="eastAsia" w:ascii="宋体" w:hAnsi="宋体" w:cs="宋体"/>
          <w:color w:val="auto"/>
          <w:sz w:val="24"/>
          <w:highlight w:val="none"/>
        </w:rPr>
        <w:br w:type="page"/>
      </w:r>
      <w:r>
        <w:rPr>
          <w:rFonts w:hint="eastAsia" w:ascii="宋体" w:hAnsi="宋体" w:cs="宋体"/>
          <w:b/>
          <w:bCs/>
          <w:color w:val="auto"/>
          <w:sz w:val="32"/>
          <w:szCs w:val="32"/>
          <w:highlight w:val="none"/>
        </w:rPr>
        <w:t>2.资格证明文件目录</w:t>
      </w:r>
    </w:p>
    <w:p w14:paraId="27B2A2AA">
      <w:pPr>
        <w:snapToGrid w:val="0"/>
        <w:spacing w:line="360" w:lineRule="auto"/>
        <w:ind w:firstLine="645"/>
        <w:rPr>
          <w:rFonts w:hint="eastAsia" w:ascii="宋体" w:hAnsi="宋体" w:cs="宋体"/>
          <w:color w:val="auto"/>
          <w:sz w:val="32"/>
          <w:szCs w:val="32"/>
          <w:highlight w:val="none"/>
        </w:rPr>
      </w:pPr>
      <w:r>
        <w:rPr>
          <w:rFonts w:hint="eastAsia" w:ascii="宋体" w:hAnsi="宋体" w:cs="宋体"/>
          <w:color w:val="auto"/>
          <w:sz w:val="32"/>
          <w:szCs w:val="32"/>
          <w:highlight w:val="none"/>
        </w:rPr>
        <w:t>根据谈判文件规定及供应商提供的材料自行编写目录（部分格式后附）。</w:t>
      </w:r>
    </w:p>
    <w:p w14:paraId="0B17115A">
      <w:pPr>
        <w:snapToGrid w:val="0"/>
        <w:spacing w:line="360" w:lineRule="auto"/>
        <w:rPr>
          <w:rFonts w:hint="eastAsia" w:ascii="宋体" w:hAnsi="宋体" w:cs="宋体"/>
          <w:color w:val="auto"/>
          <w:sz w:val="24"/>
          <w:szCs w:val="20"/>
          <w:highlight w:val="none"/>
        </w:rPr>
      </w:pPr>
      <w:r>
        <w:rPr>
          <w:rFonts w:hint="eastAsia" w:ascii="宋体" w:hAnsi="宋体" w:cs="宋体"/>
          <w:color w:val="auto"/>
          <w:sz w:val="24"/>
          <w:szCs w:val="20"/>
          <w:highlight w:val="none"/>
        </w:rPr>
        <w:t xml:space="preserve"> </w:t>
      </w:r>
    </w:p>
    <w:p w14:paraId="0F016903">
      <w:pPr>
        <w:spacing w:line="360" w:lineRule="auto"/>
        <w:rPr>
          <w:rFonts w:hint="eastAsia" w:ascii="宋体" w:hAnsi="宋体" w:cs="宋体"/>
          <w:color w:val="auto"/>
          <w:szCs w:val="21"/>
          <w:highlight w:val="none"/>
        </w:rPr>
      </w:pPr>
    </w:p>
    <w:p w14:paraId="44265E39">
      <w:pPr>
        <w:spacing w:line="360" w:lineRule="auto"/>
        <w:rPr>
          <w:rFonts w:hint="eastAsia" w:ascii="宋体" w:hAnsi="宋体" w:cs="宋体"/>
          <w:color w:val="auto"/>
          <w:szCs w:val="21"/>
          <w:highlight w:val="none"/>
        </w:rPr>
      </w:pPr>
    </w:p>
    <w:p w14:paraId="0EF98B26">
      <w:pPr>
        <w:spacing w:line="360" w:lineRule="auto"/>
        <w:rPr>
          <w:rFonts w:hint="eastAsia" w:ascii="宋体" w:hAnsi="宋体" w:cs="宋体"/>
          <w:color w:val="auto"/>
          <w:szCs w:val="21"/>
          <w:highlight w:val="none"/>
        </w:rPr>
      </w:pPr>
    </w:p>
    <w:p w14:paraId="165BED80">
      <w:pPr>
        <w:spacing w:line="360" w:lineRule="auto"/>
        <w:rPr>
          <w:rFonts w:hint="eastAsia" w:ascii="宋体" w:hAnsi="宋体" w:cs="宋体"/>
          <w:color w:val="auto"/>
          <w:szCs w:val="21"/>
          <w:highlight w:val="none"/>
        </w:rPr>
      </w:pPr>
    </w:p>
    <w:p w14:paraId="5FB2FFEB">
      <w:pPr>
        <w:spacing w:line="360" w:lineRule="auto"/>
        <w:rPr>
          <w:rFonts w:hint="eastAsia" w:ascii="宋体" w:hAnsi="宋体" w:cs="宋体"/>
          <w:color w:val="auto"/>
          <w:szCs w:val="21"/>
          <w:highlight w:val="none"/>
        </w:rPr>
      </w:pPr>
    </w:p>
    <w:p w14:paraId="7110D1F4">
      <w:pPr>
        <w:spacing w:line="360" w:lineRule="auto"/>
        <w:rPr>
          <w:rFonts w:hint="eastAsia" w:ascii="宋体" w:hAnsi="宋体" w:cs="宋体"/>
          <w:color w:val="auto"/>
          <w:szCs w:val="21"/>
          <w:highlight w:val="none"/>
        </w:rPr>
      </w:pPr>
    </w:p>
    <w:p w14:paraId="2D5379F3">
      <w:pPr>
        <w:spacing w:line="360" w:lineRule="auto"/>
        <w:rPr>
          <w:rFonts w:hint="eastAsia" w:ascii="宋体" w:hAnsi="宋体" w:cs="宋体"/>
          <w:color w:val="auto"/>
          <w:szCs w:val="21"/>
          <w:highlight w:val="none"/>
        </w:rPr>
      </w:pPr>
    </w:p>
    <w:p w14:paraId="767A1FF0">
      <w:pPr>
        <w:spacing w:line="360" w:lineRule="auto"/>
        <w:rPr>
          <w:rFonts w:hint="eastAsia" w:ascii="宋体" w:hAnsi="宋体" w:cs="宋体"/>
          <w:color w:val="auto"/>
          <w:szCs w:val="21"/>
          <w:highlight w:val="none"/>
        </w:rPr>
      </w:pPr>
    </w:p>
    <w:p w14:paraId="46283106">
      <w:pPr>
        <w:spacing w:line="360" w:lineRule="auto"/>
        <w:rPr>
          <w:rFonts w:hint="eastAsia" w:ascii="宋体" w:hAnsi="宋体" w:cs="宋体"/>
          <w:color w:val="auto"/>
          <w:szCs w:val="21"/>
          <w:highlight w:val="none"/>
        </w:rPr>
      </w:pPr>
    </w:p>
    <w:p w14:paraId="0EED9052">
      <w:pPr>
        <w:spacing w:line="360" w:lineRule="auto"/>
        <w:rPr>
          <w:rFonts w:hint="eastAsia" w:ascii="宋体" w:hAnsi="宋体" w:cs="宋体"/>
          <w:color w:val="auto"/>
          <w:szCs w:val="21"/>
          <w:highlight w:val="none"/>
        </w:rPr>
      </w:pPr>
    </w:p>
    <w:p w14:paraId="4AC644CC">
      <w:pPr>
        <w:spacing w:line="360" w:lineRule="auto"/>
        <w:rPr>
          <w:rFonts w:hint="eastAsia" w:ascii="宋体" w:hAnsi="宋体" w:cs="宋体"/>
          <w:color w:val="auto"/>
          <w:szCs w:val="21"/>
          <w:highlight w:val="none"/>
        </w:rPr>
      </w:pPr>
    </w:p>
    <w:p w14:paraId="334A29FD">
      <w:pPr>
        <w:spacing w:line="360" w:lineRule="auto"/>
        <w:rPr>
          <w:rFonts w:hint="eastAsia" w:ascii="宋体" w:hAnsi="宋体" w:cs="宋体"/>
          <w:color w:val="auto"/>
          <w:szCs w:val="21"/>
          <w:highlight w:val="none"/>
        </w:rPr>
      </w:pPr>
    </w:p>
    <w:p w14:paraId="3F39AD9F">
      <w:pPr>
        <w:spacing w:line="360" w:lineRule="auto"/>
        <w:rPr>
          <w:rFonts w:hint="eastAsia" w:ascii="宋体" w:hAnsi="宋体" w:cs="宋体"/>
          <w:color w:val="auto"/>
          <w:szCs w:val="21"/>
          <w:highlight w:val="none"/>
        </w:rPr>
      </w:pPr>
    </w:p>
    <w:p w14:paraId="22C67705">
      <w:pPr>
        <w:spacing w:line="360" w:lineRule="auto"/>
        <w:rPr>
          <w:rFonts w:hint="eastAsia" w:ascii="宋体" w:hAnsi="宋体" w:cs="宋体"/>
          <w:color w:val="auto"/>
          <w:szCs w:val="21"/>
          <w:highlight w:val="none"/>
        </w:rPr>
      </w:pPr>
    </w:p>
    <w:p w14:paraId="32D0AE85">
      <w:pPr>
        <w:spacing w:line="360" w:lineRule="auto"/>
        <w:rPr>
          <w:rFonts w:hint="eastAsia" w:ascii="宋体" w:hAnsi="宋体" w:cs="宋体"/>
          <w:color w:val="auto"/>
          <w:szCs w:val="21"/>
          <w:highlight w:val="none"/>
        </w:rPr>
      </w:pPr>
    </w:p>
    <w:p w14:paraId="0AC3E489">
      <w:pPr>
        <w:spacing w:line="360" w:lineRule="auto"/>
        <w:jc w:val="left"/>
        <w:rPr>
          <w:rFonts w:hint="eastAsia" w:ascii="宋体" w:hAnsi="宋体" w:cs="宋体"/>
          <w:color w:val="auto"/>
          <w:szCs w:val="21"/>
          <w:highlight w:val="none"/>
        </w:rPr>
      </w:pPr>
    </w:p>
    <w:p w14:paraId="1823026F">
      <w:pPr>
        <w:snapToGrid w:val="0"/>
        <w:spacing w:line="360" w:lineRule="auto"/>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br w:type="page"/>
      </w:r>
      <w:r>
        <w:rPr>
          <w:rFonts w:hint="eastAsia" w:ascii="宋体" w:hAnsi="宋体" w:cs="宋体"/>
          <w:b/>
          <w:color w:val="auto"/>
          <w:sz w:val="32"/>
          <w:szCs w:val="32"/>
          <w:highlight w:val="none"/>
        </w:rPr>
        <w:t>3.供应商直接控股、管理关系信息表</w:t>
      </w:r>
    </w:p>
    <w:p w14:paraId="12212BAD">
      <w:pPr>
        <w:snapToGrid w:val="0"/>
        <w:spacing w:line="360" w:lineRule="auto"/>
        <w:jc w:val="center"/>
        <w:rPr>
          <w:rFonts w:hint="eastAsia" w:ascii="宋体" w:hAnsi="宋体" w:cs="宋体"/>
          <w:b/>
          <w:color w:val="auto"/>
          <w:sz w:val="32"/>
          <w:szCs w:val="32"/>
          <w:highlight w:val="none"/>
        </w:rPr>
      </w:pPr>
    </w:p>
    <w:p w14:paraId="1D954D0A">
      <w:pPr>
        <w:snapToGrid w:val="0"/>
        <w:spacing w:line="360" w:lineRule="auto"/>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供应商直接控股股东信息表</w:t>
      </w:r>
    </w:p>
    <w:p w14:paraId="03B92D29">
      <w:pPr>
        <w:snapToGrid w:val="0"/>
        <w:spacing w:line="360" w:lineRule="auto"/>
        <w:jc w:val="center"/>
        <w:rPr>
          <w:rFonts w:hint="eastAsia" w:ascii="宋体" w:hAnsi="宋体" w:cs="宋体"/>
          <w:b/>
          <w:color w:val="auto"/>
          <w:sz w:val="32"/>
          <w:szCs w:val="32"/>
          <w:highlight w:val="none"/>
        </w:rPr>
      </w:pPr>
    </w:p>
    <w:tbl>
      <w:tblPr>
        <w:tblStyle w:val="26"/>
        <w:tblW w:w="9318" w:type="dxa"/>
        <w:jc w:val="center"/>
        <w:shd w:val="clear" w:color="auto" w:fill="FBFBFB"/>
        <w:tblLayout w:type="fixed"/>
        <w:tblCellMar>
          <w:top w:w="0" w:type="dxa"/>
          <w:left w:w="0" w:type="dxa"/>
          <w:bottom w:w="0" w:type="dxa"/>
          <w:right w:w="0" w:type="dxa"/>
        </w:tblCellMar>
      </w:tblPr>
      <w:tblGrid>
        <w:gridCol w:w="880"/>
        <w:gridCol w:w="2655"/>
        <w:gridCol w:w="1455"/>
        <w:gridCol w:w="3503"/>
        <w:gridCol w:w="825"/>
      </w:tblGrid>
      <w:tr w14:paraId="6403331B">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2063E08">
            <w:pPr>
              <w:widowControl/>
              <w:spacing w:line="360" w:lineRule="auto"/>
              <w:jc w:val="center"/>
              <w:rPr>
                <w:rFonts w:hint="eastAsia" w:ascii="宋体" w:hAnsi="宋体" w:cs="宋体"/>
                <w:b/>
                <w:bCs/>
                <w:color w:val="auto"/>
                <w:kern w:val="0"/>
                <w:sz w:val="28"/>
                <w:szCs w:val="28"/>
                <w:highlight w:val="none"/>
              </w:rPr>
            </w:pPr>
            <w:r>
              <w:rPr>
                <w:rFonts w:hint="eastAsia" w:ascii="宋体" w:hAnsi="宋体" w:cs="宋体"/>
                <w:b/>
                <w:bCs/>
                <w:color w:val="auto"/>
                <w:kern w:val="0"/>
                <w:sz w:val="28"/>
                <w:szCs w:val="28"/>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486A553">
            <w:pPr>
              <w:widowControl/>
              <w:spacing w:line="360" w:lineRule="auto"/>
              <w:jc w:val="center"/>
              <w:rPr>
                <w:rFonts w:hint="eastAsia" w:ascii="宋体" w:hAnsi="宋体" w:cs="宋体"/>
                <w:b/>
                <w:bCs/>
                <w:color w:val="auto"/>
                <w:kern w:val="0"/>
                <w:sz w:val="28"/>
                <w:szCs w:val="28"/>
                <w:highlight w:val="none"/>
              </w:rPr>
            </w:pPr>
            <w:r>
              <w:rPr>
                <w:rFonts w:hint="eastAsia" w:ascii="宋体" w:hAnsi="宋体" w:cs="宋体"/>
                <w:b/>
                <w:bCs/>
                <w:color w:val="auto"/>
                <w:kern w:val="0"/>
                <w:sz w:val="28"/>
                <w:szCs w:val="28"/>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C815B0F">
            <w:pPr>
              <w:widowControl/>
              <w:spacing w:line="360" w:lineRule="auto"/>
              <w:jc w:val="center"/>
              <w:rPr>
                <w:rFonts w:hint="eastAsia" w:ascii="宋体" w:hAnsi="宋体" w:cs="宋体"/>
                <w:b/>
                <w:bCs/>
                <w:color w:val="auto"/>
                <w:kern w:val="0"/>
                <w:sz w:val="28"/>
                <w:szCs w:val="28"/>
                <w:highlight w:val="none"/>
              </w:rPr>
            </w:pPr>
            <w:r>
              <w:rPr>
                <w:rFonts w:hint="eastAsia" w:ascii="宋体" w:hAnsi="宋体" w:cs="宋体"/>
                <w:b/>
                <w:bCs/>
                <w:color w:val="auto"/>
                <w:kern w:val="0"/>
                <w:sz w:val="28"/>
                <w:szCs w:val="28"/>
                <w:highlight w:val="none"/>
              </w:rPr>
              <w:t>出资比例</w:t>
            </w:r>
          </w:p>
        </w:tc>
        <w:tc>
          <w:tcPr>
            <w:tcW w:w="3503"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98F3CAB">
            <w:pPr>
              <w:widowControl/>
              <w:spacing w:line="360" w:lineRule="auto"/>
              <w:jc w:val="center"/>
              <w:rPr>
                <w:rFonts w:hint="eastAsia" w:ascii="宋体" w:hAnsi="宋体" w:cs="宋体"/>
                <w:b/>
                <w:bCs/>
                <w:color w:val="auto"/>
                <w:kern w:val="0"/>
                <w:sz w:val="28"/>
                <w:szCs w:val="28"/>
                <w:highlight w:val="none"/>
              </w:rPr>
            </w:pPr>
            <w:r>
              <w:rPr>
                <w:rFonts w:hint="eastAsia" w:ascii="宋体" w:hAnsi="宋体" w:cs="宋体"/>
                <w:b/>
                <w:bCs/>
                <w:color w:val="auto"/>
                <w:kern w:val="0"/>
                <w:sz w:val="28"/>
                <w:szCs w:val="28"/>
                <w:highlight w:val="none"/>
              </w:rPr>
              <w:t>身份证号码或者统一社会信用代码</w:t>
            </w:r>
          </w:p>
        </w:tc>
        <w:tc>
          <w:tcPr>
            <w:tcW w:w="82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7174D74">
            <w:pPr>
              <w:widowControl/>
              <w:spacing w:line="360" w:lineRule="auto"/>
              <w:jc w:val="center"/>
              <w:rPr>
                <w:rFonts w:hint="eastAsia" w:ascii="宋体" w:hAnsi="宋体" w:cs="宋体"/>
                <w:b/>
                <w:bCs/>
                <w:color w:val="auto"/>
                <w:kern w:val="0"/>
                <w:sz w:val="28"/>
                <w:szCs w:val="28"/>
                <w:highlight w:val="none"/>
              </w:rPr>
            </w:pPr>
            <w:r>
              <w:rPr>
                <w:rFonts w:hint="eastAsia" w:ascii="宋体" w:hAnsi="宋体" w:cs="宋体"/>
                <w:b/>
                <w:bCs/>
                <w:color w:val="auto"/>
                <w:kern w:val="0"/>
                <w:sz w:val="28"/>
                <w:szCs w:val="28"/>
                <w:highlight w:val="none"/>
              </w:rPr>
              <w:t>备注</w:t>
            </w:r>
          </w:p>
        </w:tc>
      </w:tr>
      <w:tr w14:paraId="108F60E6">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9CC7616">
            <w:pPr>
              <w:widowControl/>
              <w:spacing w:line="360" w:lineRule="auto"/>
              <w:jc w:val="center"/>
              <w:rPr>
                <w:rFonts w:hint="eastAsia" w:ascii="宋体" w:hAnsi="宋体" w:cs="宋体"/>
                <w:color w:val="auto"/>
                <w:kern w:val="0"/>
                <w:sz w:val="28"/>
                <w:szCs w:val="28"/>
                <w:highlight w:val="none"/>
              </w:rPr>
            </w:pPr>
            <w:r>
              <w:rPr>
                <w:rFonts w:hint="eastAsia" w:ascii="宋体" w:hAnsi="宋体" w:cs="宋体"/>
                <w:color w:val="auto"/>
                <w:kern w:val="0"/>
                <w:sz w:val="28"/>
                <w:szCs w:val="28"/>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3DB1DAE">
            <w:pPr>
              <w:widowControl/>
              <w:spacing w:line="360" w:lineRule="auto"/>
              <w:jc w:val="center"/>
              <w:rPr>
                <w:rFonts w:hint="eastAsia" w:ascii="宋体" w:hAnsi="宋体" w:cs="宋体"/>
                <w:color w:val="auto"/>
                <w:kern w:val="0"/>
                <w:sz w:val="28"/>
                <w:szCs w:val="28"/>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80E876E">
            <w:pPr>
              <w:widowControl/>
              <w:spacing w:line="360" w:lineRule="auto"/>
              <w:jc w:val="center"/>
              <w:rPr>
                <w:rFonts w:hint="eastAsia" w:ascii="宋体" w:hAnsi="宋体" w:cs="宋体"/>
                <w:color w:val="auto"/>
                <w:kern w:val="0"/>
                <w:sz w:val="28"/>
                <w:szCs w:val="28"/>
                <w:highlight w:val="none"/>
              </w:rPr>
            </w:pPr>
          </w:p>
        </w:tc>
        <w:tc>
          <w:tcPr>
            <w:tcW w:w="3503"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06E8465">
            <w:pPr>
              <w:widowControl/>
              <w:spacing w:line="360" w:lineRule="auto"/>
              <w:jc w:val="center"/>
              <w:rPr>
                <w:rFonts w:hint="eastAsia" w:ascii="宋体" w:hAnsi="宋体" w:cs="宋体"/>
                <w:color w:val="auto"/>
                <w:kern w:val="0"/>
                <w:sz w:val="28"/>
                <w:szCs w:val="28"/>
                <w:highlight w:val="none"/>
              </w:rPr>
            </w:pPr>
          </w:p>
        </w:tc>
        <w:tc>
          <w:tcPr>
            <w:tcW w:w="82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AD9CCB6">
            <w:pPr>
              <w:widowControl/>
              <w:spacing w:line="360" w:lineRule="auto"/>
              <w:jc w:val="center"/>
              <w:rPr>
                <w:rFonts w:hint="eastAsia" w:ascii="宋体" w:hAnsi="宋体" w:cs="宋体"/>
                <w:color w:val="auto"/>
                <w:kern w:val="0"/>
                <w:sz w:val="28"/>
                <w:szCs w:val="28"/>
                <w:highlight w:val="none"/>
              </w:rPr>
            </w:pPr>
          </w:p>
        </w:tc>
      </w:tr>
      <w:tr w14:paraId="020C6937">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78517EA">
            <w:pPr>
              <w:widowControl/>
              <w:spacing w:line="360" w:lineRule="auto"/>
              <w:jc w:val="center"/>
              <w:rPr>
                <w:rFonts w:hint="eastAsia" w:ascii="宋体" w:hAnsi="宋体" w:cs="宋体"/>
                <w:color w:val="auto"/>
                <w:kern w:val="0"/>
                <w:sz w:val="28"/>
                <w:szCs w:val="28"/>
                <w:highlight w:val="none"/>
              </w:rPr>
            </w:pPr>
            <w:r>
              <w:rPr>
                <w:rFonts w:hint="eastAsia" w:ascii="宋体" w:hAnsi="宋体" w:cs="宋体"/>
                <w:color w:val="auto"/>
                <w:kern w:val="0"/>
                <w:sz w:val="28"/>
                <w:szCs w:val="28"/>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7F36D55">
            <w:pPr>
              <w:widowControl/>
              <w:spacing w:line="360" w:lineRule="auto"/>
              <w:jc w:val="center"/>
              <w:rPr>
                <w:rFonts w:hint="eastAsia" w:ascii="宋体" w:hAnsi="宋体" w:cs="宋体"/>
                <w:color w:val="auto"/>
                <w:kern w:val="0"/>
                <w:sz w:val="28"/>
                <w:szCs w:val="28"/>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0B64359">
            <w:pPr>
              <w:widowControl/>
              <w:spacing w:line="360" w:lineRule="auto"/>
              <w:jc w:val="center"/>
              <w:rPr>
                <w:rFonts w:hint="eastAsia" w:ascii="宋体" w:hAnsi="宋体" w:cs="宋体"/>
                <w:color w:val="auto"/>
                <w:kern w:val="0"/>
                <w:sz w:val="28"/>
                <w:szCs w:val="28"/>
                <w:highlight w:val="none"/>
              </w:rPr>
            </w:pPr>
          </w:p>
        </w:tc>
        <w:tc>
          <w:tcPr>
            <w:tcW w:w="3503"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B4295B4">
            <w:pPr>
              <w:widowControl/>
              <w:spacing w:line="360" w:lineRule="auto"/>
              <w:jc w:val="center"/>
              <w:rPr>
                <w:rFonts w:hint="eastAsia" w:ascii="宋体" w:hAnsi="宋体" w:cs="宋体"/>
                <w:color w:val="auto"/>
                <w:kern w:val="0"/>
                <w:sz w:val="28"/>
                <w:szCs w:val="28"/>
                <w:highlight w:val="none"/>
              </w:rPr>
            </w:pPr>
          </w:p>
        </w:tc>
        <w:tc>
          <w:tcPr>
            <w:tcW w:w="82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4761B91">
            <w:pPr>
              <w:widowControl/>
              <w:spacing w:line="360" w:lineRule="auto"/>
              <w:jc w:val="center"/>
              <w:rPr>
                <w:rFonts w:hint="eastAsia" w:ascii="宋体" w:hAnsi="宋体" w:cs="宋体"/>
                <w:color w:val="auto"/>
                <w:kern w:val="0"/>
                <w:sz w:val="28"/>
                <w:szCs w:val="28"/>
                <w:highlight w:val="none"/>
              </w:rPr>
            </w:pPr>
          </w:p>
        </w:tc>
      </w:tr>
      <w:tr w14:paraId="52253A20">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12D06CC">
            <w:pPr>
              <w:widowControl/>
              <w:spacing w:line="360" w:lineRule="auto"/>
              <w:jc w:val="center"/>
              <w:rPr>
                <w:rFonts w:hint="eastAsia" w:ascii="宋体" w:hAnsi="宋体" w:cs="宋体"/>
                <w:color w:val="auto"/>
                <w:kern w:val="0"/>
                <w:sz w:val="28"/>
                <w:szCs w:val="28"/>
                <w:highlight w:val="none"/>
              </w:rPr>
            </w:pPr>
            <w:r>
              <w:rPr>
                <w:rFonts w:hint="eastAsia" w:ascii="宋体" w:hAnsi="宋体" w:cs="宋体"/>
                <w:color w:val="auto"/>
                <w:kern w:val="0"/>
                <w:sz w:val="28"/>
                <w:szCs w:val="28"/>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76A9336">
            <w:pPr>
              <w:widowControl/>
              <w:spacing w:line="360" w:lineRule="auto"/>
              <w:jc w:val="center"/>
              <w:rPr>
                <w:rFonts w:hint="eastAsia" w:ascii="宋体" w:hAnsi="宋体" w:cs="宋体"/>
                <w:color w:val="auto"/>
                <w:kern w:val="0"/>
                <w:sz w:val="28"/>
                <w:szCs w:val="28"/>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E9E3398">
            <w:pPr>
              <w:widowControl/>
              <w:spacing w:line="360" w:lineRule="auto"/>
              <w:jc w:val="center"/>
              <w:rPr>
                <w:rFonts w:hint="eastAsia" w:ascii="宋体" w:hAnsi="宋体" w:cs="宋体"/>
                <w:color w:val="auto"/>
                <w:kern w:val="0"/>
                <w:sz w:val="28"/>
                <w:szCs w:val="28"/>
                <w:highlight w:val="none"/>
              </w:rPr>
            </w:pPr>
          </w:p>
        </w:tc>
        <w:tc>
          <w:tcPr>
            <w:tcW w:w="3503"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62E11CE">
            <w:pPr>
              <w:widowControl/>
              <w:spacing w:line="360" w:lineRule="auto"/>
              <w:jc w:val="center"/>
              <w:rPr>
                <w:rFonts w:hint="eastAsia" w:ascii="宋体" w:hAnsi="宋体" w:cs="宋体"/>
                <w:color w:val="auto"/>
                <w:kern w:val="0"/>
                <w:sz w:val="28"/>
                <w:szCs w:val="28"/>
                <w:highlight w:val="none"/>
              </w:rPr>
            </w:pPr>
          </w:p>
        </w:tc>
        <w:tc>
          <w:tcPr>
            <w:tcW w:w="82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06DDF88">
            <w:pPr>
              <w:widowControl/>
              <w:spacing w:line="360" w:lineRule="auto"/>
              <w:jc w:val="center"/>
              <w:rPr>
                <w:rFonts w:hint="eastAsia" w:ascii="宋体" w:hAnsi="宋体" w:cs="宋体"/>
                <w:color w:val="auto"/>
                <w:kern w:val="0"/>
                <w:sz w:val="28"/>
                <w:szCs w:val="28"/>
                <w:highlight w:val="none"/>
              </w:rPr>
            </w:pPr>
          </w:p>
        </w:tc>
      </w:tr>
      <w:tr w14:paraId="13E7A450">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933AFAB">
            <w:pPr>
              <w:widowControl/>
              <w:spacing w:line="360" w:lineRule="auto"/>
              <w:jc w:val="center"/>
              <w:rPr>
                <w:rFonts w:hint="eastAsia" w:ascii="宋体" w:hAnsi="宋体" w:cs="宋体"/>
                <w:color w:val="auto"/>
                <w:kern w:val="0"/>
                <w:sz w:val="28"/>
                <w:szCs w:val="28"/>
                <w:highlight w:val="none"/>
              </w:rPr>
            </w:pPr>
            <w:r>
              <w:rPr>
                <w:rFonts w:hint="eastAsia" w:ascii="宋体" w:hAnsi="宋体" w:cs="宋体"/>
                <w:color w:val="auto"/>
                <w:kern w:val="0"/>
                <w:sz w:val="28"/>
                <w:szCs w:val="28"/>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EE72F5A">
            <w:pPr>
              <w:widowControl/>
              <w:spacing w:line="360" w:lineRule="auto"/>
              <w:jc w:val="center"/>
              <w:rPr>
                <w:rFonts w:hint="eastAsia" w:ascii="宋体" w:hAnsi="宋体" w:cs="宋体"/>
                <w:color w:val="auto"/>
                <w:kern w:val="0"/>
                <w:sz w:val="28"/>
                <w:szCs w:val="28"/>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6106FD5">
            <w:pPr>
              <w:widowControl/>
              <w:spacing w:line="360" w:lineRule="auto"/>
              <w:jc w:val="center"/>
              <w:rPr>
                <w:rFonts w:hint="eastAsia" w:ascii="宋体" w:hAnsi="宋体" w:cs="宋体"/>
                <w:color w:val="auto"/>
                <w:kern w:val="0"/>
                <w:sz w:val="28"/>
                <w:szCs w:val="28"/>
                <w:highlight w:val="none"/>
              </w:rPr>
            </w:pPr>
          </w:p>
        </w:tc>
        <w:tc>
          <w:tcPr>
            <w:tcW w:w="3503"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F9EF395">
            <w:pPr>
              <w:widowControl/>
              <w:spacing w:line="360" w:lineRule="auto"/>
              <w:jc w:val="center"/>
              <w:rPr>
                <w:rFonts w:hint="eastAsia" w:ascii="宋体" w:hAnsi="宋体" w:cs="宋体"/>
                <w:color w:val="auto"/>
                <w:kern w:val="0"/>
                <w:sz w:val="28"/>
                <w:szCs w:val="28"/>
                <w:highlight w:val="none"/>
              </w:rPr>
            </w:pPr>
          </w:p>
        </w:tc>
        <w:tc>
          <w:tcPr>
            <w:tcW w:w="82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FF34D41">
            <w:pPr>
              <w:widowControl/>
              <w:spacing w:line="360" w:lineRule="auto"/>
              <w:jc w:val="center"/>
              <w:rPr>
                <w:rFonts w:hint="eastAsia" w:ascii="宋体" w:hAnsi="宋体" w:cs="宋体"/>
                <w:color w:val="auto"/>
                <w:kern w:val="0"/>
                <w:sz w:val="28"/>
                <w:szCs w:val="28"/>
                <w:highlight w:val="none"/>
              </w:rPr>
            </w:pPr>
          </w:p>
        </w:tc>
      </w:tr>
    </w:tbl>
    <w:p w14:paraId="3897418B">
      <w:pPr>
        <w:spacing w:line="360" w:lineRule="auto"/>
        <w:contextualSpacing/>
        <w:jc w:val="left"/>
        <w:rPr>
          <w:rFonts w:hint="eastAsia" w:ascii="楷体" w:hAnsi="楷体" w:eastAsia="楷体" w:cs="宋体"/>
          <w:b/>
          <w:color w:val="auto"/>
          <w:sz w:val="24"/>
          <w:highlight w:val="none"/>
        </w:rPr>
      </w:pPr>
      <w:r>
        <w:rPr>
          <w:rFonts w:hint="eastAsia" w:ascii="楷体" w:hAnsi="楷体" w:eastAsia="楷体" w:cs="宋体"/>
          <w:b/>
          <w:color w:val="auto"/>
          <w:sz w:val="24"/>
          <w:highlight w:val="none"/>
        </w:rPr>
        <w:t>注：</w:t>
      </w:r>
    </w:p>
    <w:p w14:paraId="1DBA38FB">
      <w:pPr>
        <w:spacing w:line="360" w:lineRule="auto"/>
        <w:ind w:firstLine="480" w:firstLineChars="200"/>
        <w:contextualSpacing/>
        <w:jc w:val="left"/>
        <w:rPr>
          <w:rFonts w:hint="eastAsia" w:ascii="楷体" w:hAnsi="楷体" w:eastAsia="楷体" w:cs="宋体"/>
          <w:color w:val="auto"/>
          <w:sz w:val="24"/>
          <w:highlight w:val="none"/>
        </w:rPr>
      </w:pPr>
      <w:r>
        <w:rPr>
          <w:rFonts w:ascii="楷体" w:hAnsi="楷体" w:eastAsia="楷体" w:cs="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0C28B39A">
      <w:pPr>
        <w:spacing w:line="360" w:lineRule="auto"/>
        <w:ind w:firstLine="480" w:firstLineChars="200"/>
        <w:contextualSpacing/>
        <w:jc w:val="left"/>
        <w:rPr>
          <w:rFonts w:hint="eastAsia" w:ascii="楷体" w:hAnsi="楷体" w:eastAsia="楷体" w:cs="宋体"/>
          <w:color w:val="auto"/>
          <w:sz w:val="24"/>
          <w:highlight w:val="none"/>
        </w:rPr>
      </w:pPr>
      <w:r>
        <w:rPr>
          <w:rFonts w:ascii="楷体" w:hAnsi="楷体" w:eastAsia="楷体" w:cs="宋体"/>
          <w:color w:val="auto"/>
          <w:sz w:val="24"/>
          <w:highlight w:val="none"/>
        </w:rPr>
        <w:t>2.本表所指的控股关系仅限于直接控股关系，不包括间接的控股关系。公司实际控制人与公司之间的关系不属于本表所指的直接控股关系。</w:t>
      </w:r>
    </w:p>
    <w:p w14:paraId="107EDA30">
      <w:pPr>
        <w:spacing w:line="360" w:lineRule="auto"/>
        <w:ind w:firstLine="480" w:firstLineChars="200"/>
        <w:contextualSpacing/>
        <w:jc w:val="left"/>
        <w:rPr>
          <w:rFonts w:hint="eastAsia" w:ascii="楷体" w:hAnsi="楷体" w:eastAsia="楷体" w:cs="宋体"/>
          <w:color w:val="auto"/>
          <w:sz w:val="24"/>
          <w:highlight w:val="none"/>
        </w:rPr>
      </w:pPr>
      <w:r>
        <w:rPr>
          <w:rFonts w:ascii="楷体" w:hAnsi="楷体" w:eastAsia="楷体" w:cs="宋体"/>
          <w:color w:val="auto"/>
          <w:sz w:val="24"/>
          <w:highlight w:val="none"/>
        </w:rPr>
        <w:t>3.供应商不存在直接控股股东的，则填“无”。</w:t>
      </w:r>
    </w:p>
    <w:p w14:paraId="6D852299">
      <w:pPr>
        <w:spacing w:line="360" w:lineRule="auto"/>
        <w:ind w:firstLine="420" w:firstLineChars="200"/>
        <w:contextualSpacing/>
        <w:jc w:val="left"/>
        <w:rPr>
          <w:rFonts w:hint="eastAsia" w:ascii="宋体" w:hAnsi="宋体" w:cs="宋体"/>
          <w:color w:val="auto"/>
          <w:szCs w:val="21"/>
          <w:highlight w:val="none"/>
        </w:rPr>
      </w:pPr>
    </w:p>
    <w:p w14:paraId="278D4C82">
      <w:pPr>
        <w:spacing w:line="360" w:lineRule="auto"/>
        <w:ind w:firstLine="560" w:firstLineChars="200"/>
        <w:contextualSpacing/>
        <w:jc w:val="left"/>
        <w:rPr>
          <w:rFonts w:hint="eastAsia" w:ascii="宋体" w:hAnsi="宋体" w:cs="宋体"/>
          <w:color w:val="auto"/>
          <w:sz w:val="28"/>
          <w:szCs w:val="28"/>
          <w:highlight w:val="none"/>
        </w:rPr>
      </w:pPr>
    </w:p>
    <w:p w14:paraId="72BCD3B1">
      <w:pPr>
        <w:spacing w:line="360" w:lineRule="auto"/>
        <w:contextualSpacing/>
        <w:jc w:val="center"/>
        <w:rPr>
          <w:rFonts w:hint="eastAsia" w:ascii="宋体" w:hAnsi="宋体" w:cs="宋体"/>
          <w:color w:val="auto"/>
          <w:sz w:val="24"/>
          <w:highlight w:val="none"/>
          <w:u w:val="single"/>
        </w:rPr>
      </w:pPr>
      <w:r>
        <w:rPr>
          <w:rFonts w:hint="eastAsia" w:ascii="宋体" w:hAnsi="宋体" w:cs="宋体"/>
          <w:color w:val="auto"/>
          <w:sz w:val="24"/>
          <w:highlight w:val="none"/>
        </w:rPr>
        <w:t xml:space="preserve">        法定代表人或者委托代理人签字：</w:t>
      </w:r>
      <w:r>
        <w:rPr>
          <w:rFonts w:hint="eastAsia" w:ascii="宋体" w:hAnsi="宋体" w:cs="宋体"/>
          <w:color w:val="auto"/>
          <w:sz w:val="24"/>
          <w:highlight w:val="none"/>
          <w:u w:val="single"/>
        </w:rPr>
        <w:t xml:space="preserve">                    </w:t>
      </w:r>
    </w:p>
    <w:p w14:paraId="51121D8B">
      <w:pPr>
        <w:spacing w:line="360" w:lineRule="auto"/>
        <w:ind w:firstLine="3120" w:firstLineChars="1300"/>
        <w:contextualSpacing/>
        <w:rPr>
          <w:rFonts w:hint="eastAsia" w:ascii="宋体" w:hAnsi="宋体" w:cs="宋体"/>
          <w:color w:val="auto"/>
          <w:sz w:val="24"/>
          <w:highlight w:val="none"/>
          <w:u w:val="single"/>
        </w:rPr>
      </w:pPr>
      <w:r>
        <w:rPr>
          <w:rFonts w:hint="eastAsia" w:ascii="宋体" w:hAnsi="宋体" w:cs="宋体"/>
          <w:color w:val="auto"/>
          <w:sz w:val="24"/>
          <w:highlight w:val="none"/>
        </w:rPr>
        <w:t xml:space="preserve">供应商（公章 ）： </w:t>
      </w:r>
      <w:r>
        <w:rPr>
          <w:rFonts w:hint="eastAsia" w:ascii="宋体" w:hAnsi="宋体" w:cs="宋体"/>
          <w:color w:val="auto"/>
          <w:sz w:val="24"/>
          <w:highlight w:val="none"/>
          <w:u w:val="single"/>
        </w:rPr>
        <w:t xml:space="preserve">                              </w:t>
      </w:r>
    </w:p>
    <w:p w14:paraId="20612931">
      <w:pPr>
        <w:spacing w:line="360" w:lineRule="auto"/>
        <w:ind w:firstLine="3120" w:firstLineChars="1300"/>
        <w:contextualSpacing/>
        <w:rPr>
          <w:rFonts w:hint="eastAsia" w:ascii="宋体" w:hAnsi="宋体" w:cs="宋体"/>
          <w:b/>
          <w:color w:val="auto"/>
          <w:sz w:val="28"/>
          <w:szCs w:val="28"/>
          <w:highlight w:val="none"/>
        </w:rPr>
      </w:pPr>
      <w:r>
        <w:rPr>
          <w:rFonts w:hint="eastAsia" w:ascii="宋体" w:hAnsi="宋体" w:cs="宋体"/>
          <w:color w:val="auto"/>
          <w:sz w:val="24"/>
          <w:highlight w:val="none"/>
        </w:rPr>
        <w:t>日期：</w:t>
      </w:r>
      <w:r>
        <w:rPr>
          <w:rFonts w:hint="eastAsia" w:cs="宋体" w:asciiTheme="minorEastAsia" w:hAnsiTheme="minorEastAsia" w:eastAsiaTheme="minorEastAsia"/>
          <w:color w:val="auto"/>
          <w:spacing w:val="20"/>
          <w:sz w:val="24"/>
          <w:highlight w:val="none"/>
          <w:u w:val="single"/>
        </w:rPr>
        <w:t xml:space="preserve"> </w:t>
      </w:r>
      <w:r>
        <w:rPr>
          <w:rFonts w:cs="宋体" w:asciiTheme="minorEastAsia" w:hAnsiTheme="minorEastAsia" w:eastAsiaTheme="minorEastAsia"/>
          <w:color w:val="auto"/>
          <w:spacing w:val="20"/>
          <w:sz w:val="24"/>
          <w:highlight w:val="none"/>
          <w:u w:val="single"/>
        </w:rPr>
        <w:t xml:space="preserve">  </w:t>
      </w:r>
      <w:r>
        <w:rPr>
          <w:rFonts w:hint="eastAsia" w:cs="宋体" w:asciiTheme="minorEastAsia" w:hAnsiTheme="minorEastAsia" w:eastAsiaTheme="minorEastAsia"/>
          <w:color w:val="auto"/>
          <w:spacing w:val="20"/>
          <w:sz w:val="24"/>
          <w:highlight w:val="none"/>
          <w:u w:val="single"/>
        </w:rPr>
        <w:t xml:space="preserve">  </w:t>
      </w:r>
      <w:r>
        <w:rPr>
          <w:rFonts w:hint="eastAsia" w:cs="宋体" w:asciiTheme="minorEastAsia" w:hAnsiTheme="minorEastAsia" w:eastAsiaTheme="minorEastAsia"/>
          <w:color w:val="auto"/>
          <w:spacing w:val="20"/>
          <w:sz w:val="24"/>
          <w:highlight w:val="none"/>
        </w:rPr>
        <w:t>年</w:t>
      </w:r>
      <w:r>
        <w:rPr>
          <w:rFonts w:hint="eastAsia" w:cs="宋体" w:asciiTheme="minorEastAsia" w:hAnsiTheme="minorEastAsia" w:eastAsiaTheme="minorEastAsia"/>
          <w:color w:val="auto"/>
          <w:spacing w:val="20"/>
          <w:sz w:val="24"/>
          <w:highlight w:val="none"/>
          <w:u w:val="single"/>
        </w:rPr>
        <w:t xml:space="preserve">  </w:t>
      </w:r>
      <w:r>
        <w:rPr>
          <w:rFonts w:hint="eastAsia" w:cs="宋体" w:asciiTheme="minorEastAsia" w:hAnsiTheme="minorEastAsia" w:eastAsiaTheme="minorEastAsia"/>
          <w:color w:val="auto"/>
          <w:spacing w:val="20"/>
          <w:sz w:val="24"/>
          <w:highlight w:val="none"/>
        </w:rPr>
        <w:t>月</w:t>
      </w:r>
      <w:r>
        <w:rPr>
          <w:rFonts w:hint="eastAsia" w:cs="宋体" w:asciiTheme="minorEastAsia" w:hAnsiTheme="minorEastAsia" w:eastAsiaTheme="minorEastAsia"/>
          <w:color w:val="auto"/>
          <w:spacing w:val="20"/>
          <w:sz w:val="24"/>
          <w:highlight w:val="none"/>
          <w:u w:val="single"/>
        </w:rPr>
        <w:t xml:space="preserve">  </w:t>
      </w:r>
      <w:r>
        <w:rPr>
          <w:rFonts w:hint="eastAsia" w:cs="宋体" w:asciiTheme="minorEastAsia" w:hAnsiTheme="minorEastAsia" w:eastAsiaTheme="minorEastAsia"/>
          <w:color w:val="auto"/>
          <w:spacing w:val="20"/>
          <w:sz w:val="24"/>
          <w:highlight w:val="none"/>
        </w:rPr>
        <w:t>日</w:t>
      </w:r>
      <w:r>
        <w:rPr>
          <w:rFonts w:hint="eastAsia" w:ascii="宋体" w:hAnsi="宋体" w:cs="宋体"/>
          <w:b/>
          <w:color w:val="auto"/>
          <w:sz w:val="28"/>
          <w:szCs w:val="28"/>
          <w:highlight w:val="none"/>
        </w:rPr>
        <w:br w:type="page"/>
      </w:r>
    </w:p>
    <w:p w14:paraId="4A75FFB6">
      <w:pPr>
        <w:snapToGrid w:val="0"/>
        <w:spacing w:line="360" w:lineRule="auto"/>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供应商直接管理关系信息表</w:t>
      </w:r>
    </w:p>
    <w:p w14:paraId="2BDFCAD3">
      <w:pPr>
        <w:snapToGrid w:val="0"/>
        <w:spacing w:line="360" w:lineRule="auto"/>
        <w:jc w:val="center"/>
        <w:rPr>
          <w:rFonts w:hint="eastAsia" w:ascii="宋体" w:hAnsi="宋体" w:cs="宋体"/>
          <w:b/>
          <w:color w:val="auto"/>
          <w:sz w:val="32"/>
          <w:szCs w:val="32"/>
          <w:highlight w:val="none"/>
        </w:rPr>
      </w:pPr>
    </w:p>
    <w:tbl>
      <w:tblPr>
        <w:tblStyle w:val="26"/>
        <w:tblW w:w="8942" w:type="dxa"/>
        <w:jc w:val="center"/>
        <w:shd w:val="clear" w:color="auto" w:fill="FBFBFB"/>
        <w:tblLayout w:type="fixed"/>
        <w:tblCellMar>
          <w:top w:w="0" w:type="dxa"/>
          <w:left w:w="0" w:type="dxa"/>
          <w:bottom w:w="0" w:type="dxa"/>
          <w:right w:w="0" w:type="dxa"/>
        </w:tblCellMar>
      </w:tblPr>
      <w:tblGrid>
        <w:gridCol w:w="808"/>
        <w:gridCol w:w="3600"/>
        <w:gridCol w:w="3555"/>
        <w:gridCol w:w="979"/>
      </w:tblGrid>
      <w:tr w14:paraId="3829AEDE">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374D519">
            <w:pPr>
              <w:widowControl/>
              <w:spacing w:line="360" w:lineRule="auto"/>
              <w:jc w:val="center"/>
              <w:rPr>
                <w:rFonts w:hint="eastAsia" w:ascii="宋体" w:hAnsi="宋体" w:cs="宋体"/>
                <w:b/>
                <w:bCs/>
                <w:color w:val="auto"/>
                <w:kern w:val="0"/>
                <w:sz w:val="28"/>
                <w:szCs w:val="28"/>
                <w:highlight w:val="none"/>
              </w:rPr>
            </w:pPr>
            <w:r>
              <w:rPr>
                <w:rFonts w:hint="eastAsia" w:ascii="宋体" w:hAnsi="宋体" w:cs="宋体"/>
                <w:b/>
                <w:bCs/>
                <w:color w:val="auto"/>
                <w:kern w:val="0"/>
                <w:sz w:val="28"/>
                <w:szCs w:val="28"/>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41FEEC1">
            <w:pPr>
              <w:widowControl/>
              <w:spacing w:line="360" w:lineRule="auto"/>
              <w:jc w:val="center"/>
              <w:rPr>
                <w:rFonts w:hint="eastAsia" w:ascii="宋体" w:hAnsi="宋体" w:cs="宋体"/>
                <w:b/>
                <w:bCs/>
                <w:color w:val="auto"/>
                <w:kern w:val="0"/>
                <w:sz w:val="28"/>
                <w:szCs w:val="28"/>
                <w:highlight w:val="none"/>
              </w:rPr>
            </w:pPr>
            <w:r>
              <w:rPr>
                <w:rFonts w:hint="eastAsia" w:ascii="宋体" w:hAnsi="宋体" w:cs="宋体"/>
                <w:b/>
                <w:bCs/>
                <w:color w:val="auto"/>
                <w:kern w:val="0"/>
                <w:sz w:val="28"/>
                <w:szCs w:val="28"/>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81757AE">
            <w:pPr>
              <w:widowControl/>
              <w:spacing w:line="360" w:lineRule="auto"/>
              <w:jc w:val="center"/>
              <w:rPr>
                <w:rFonts w:hint="eastAsia" w:ascii="宋体" w:hAnsi="宋体" w:cs="宋体"/>
                <w:b/>
                <w:bCs/>
                <w:color w:val="auto"/>
                <w:kern w:val="0"/>
                <w:sz w:val="28"/>
                <w:szCs w:val="28"/>
                <w:highlight w:val="none"/>
              </w:rPr>
            </w:pPr>
            <w:r>
              <w:rPr>
                <w:rFonts w:hint="eastAsia" w:ascii="宋体" w:hAnsi="宋体" w:cs="宋体"/>
                <w:b/>
                <w:bCs/>
                <w:color w:val="auto"/>
                <w:kern w:val="0"/>
                <w:sz w:val="28"/>
                <w:szCs w:val="28"/>
                <w:highlight w:val="none"/>
              </w:rPr>
              <w:t>统一社会信用代码</w:t>
            </w:r>
          </w:p>
        </w:tc>
        <w:tc>
          <w:tcPr>
            <w:tcW w:w="97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28B618A">
            <w:pPr>
              <w:widowControl/>
              <w:spacing w:line="360" w:lineRule="auto"/>
              <w:jc w:val="center"/>
              <w:rPr>
                <w:rFonts w:hint="eastAsia" w:ascii="宋体" w:hAnsi="宋体" w:cs="宋体"/>
                <w:b/>
                <w:bCs/>
                <w:color w:val="auto"/>
                <w:kern w:val="0"/>
                <w:sz w:val="28"/>
                <w:szCs w:val="28"/>
                <w:highlight w:val="none"/>
              </w:rPr>
            </w:pPr>
            <w:r>
              <w:rPr>
                <w:rFonts w:hint="eastAsia" w:ascii="宋体" w:hAnsi="宋体" w:cs="宋体"/>
                <w:b/>
                <w:bCs/>
                <w:color w:val="auto"/>
                <w:kern w:val="0"/>
                <w:sz w:val="28"/>
                <w:szCs w:val="28"/>
                <w:highlight w:val="none"/>
              </w:rPr>
              <w:t>备注</w:t>
            </w:r>
          </w:p>
        </w:tc>
      </w:tr>
      <w:tr w14:paraId="29994060">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2265C49">
            <w:pPr>
              <w:widowControl/>
              <w:wordWrap w:val="0"/>
              <w:spacing w:line="360" w:lineRule="auto"/>
              <w:jc w:val="center"/>
              <w:rPr>
                <w:rFonts w:hint="eastAsia" w:ascii="宋体" w:hAnsi="宋体" w:cs="宋体"/>
                <w:color w:val="auto"/>
                <w:kern w:val="0"/>
                <w:sz w:val="28"/>
                <w:szCs w:val="28"/>
                <w:highlight w:val="none"/>
              </w:rPr>
            </w:pPr>
            <w:r>
              <w:rPr>
                <w:rFonts w:hint="eastAsia" w:ascii="宋体" w:hAnsi="宋体" w:cs="宋体"/>
                <w:color w:val="auto"/>
                <w:kern w:val="0"/>
                <w:sz w:val="28"/>
                <w:szCs w:val="28"/>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4AF1AA4">
            <w:pPr>
              <w:widowControl/>
              <w:wordWrap w:val="0"/>
              <w:spacing w:line="360" w:lineRule="auto"/>
              <w:jc w:val="center"/>
              <w:rPr>
                <w:rFonts w:hint="eastAsia" w:ascii="宋体" w:hAnsi="宋体" w:cs="宋体"/>
                <w:color w:val="auto"/>
                <w:kern w:val="0"/>
                <w:sz w:val="28"/>
                <w:szCs w:val="28"/>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C9DA8F2">
            <w:pPr>
              <w:widowControl/>
              <w:wordWrap w:val="0"/>
              <w:spacing w:line="360" w:lineRule="auto"/>
              <w:jc w:val="center"/>
              <w:rPr>
                <w:rFonts w:hint="eastAsia" w:ascii="宋体" w:hAnsi="宋体" w:cs="宋体"/>
                <w:color w:val="auto"/>
                <w:kern w:val="0"/>
                <w:sz w:val="28"/>
                <w:szCs w:val="28"/>
                <w:highlight w:val="none"/>
              </w:rPr>
            </w:pPr>
          </w:p>
        </w:tc>
        <w:tc>
          <w:tcPr>
            <w:tcW w:w="97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7671B90">
            <w:pPr>
              <w:widowControl/>
              <w:wordWrap w:val="0"/>
              <w:spacing w:line="360" w:lineRule="auto"/>
              <w:jc w:val="center"/>
              <w:rPr>
                <w:rFonts w:hint="eastAsia" w:ascii="宋体" w:hAnsi="宋体" w:cs="宋体"/>
                <w:color w:val="auto"/>
                <w:kern w:val="0"/>
                <w:sz w:val="28"/>
                <w:szCs w:val="28"/>
                <w:highlight w:val="none"/>
              </w:rPr>
            </w:pPr>
          </w:p>
        </w:tc>
      </w:tr>
      <w:tr w14:paraId="09D17317">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7476D47">
            <w:pPr>
              <w:widowControl/>
              <w:wordWrap w:val="0"/>
              <w:spacing w:line="360" w:lineRule="auto"/>
              <w:jc w:val="center"/>
              <w:rPr>
                <w:rFonts w:hint="eastAsia" w:ascii="宋体" w:hAnsi="宋体" w:cs="宋体"/>
                <w:color w:val="auto"/>
                <w:kern w:val="0"/>
                <w:sz w:val="28"/>
                <w:szCs w:val="28"/>
                <w:highlight w:val="none"/>
              </w:rPr>
            </w:pPr>
            <w:r>
              <w:rPr>
                <w:rFonts w:hint="eastAsia" w:ascii="宋体" w:hAnsi="宋体" w:cs="宋体"/>
                <w:color w:val="auto"/>
                <w:kern w:val="0"/>
                <w:sz w:val="28"/>
                <w:szCs w:val="28"/>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A3824CC">
            <w:pPr>
              <w:widowControl/>
              <w:wordWrap w:val="0"/>
              <w:spacing w:line="360" w:lineRule="auto"/>
              <w:jc w:val="center"/>
              <w:rPr>
                <w:rFonts w:hint="eastAsia" w:ascii="宋体" w:hAnsi="宋体" w:cs="宋体"/>
                <w:color w:val="auto"/>
                <w:kern w:val="0"/>
                <w:sz w:val="28"/>
                <w:szCs w:val="28"/>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6E85E15">
            <w:pPr>
              <w:widowControl/>
              <w:wordWrap w:val="0"/>
              <w:spacing w:line="360" w:lineRule="auto"/>
              <w:jc w:val="center"/>
              <w:rPr>
                <w:rFonts w:hint="eastAsia" w:ascii="宋体" w:hAnsi="宋体" w:cs="宋体"/>
                <w:color w:val="auto"/>
                <w:kern w:val="0"/>
                <w:sz w:val="28"/>
                <w:szCs w:val="28"/>
                <w:highlight w:val="none"/>
              </w:rPr>
            </w:pPr>
          </w:p>
        </w:tc>
        <w:tc>
          <w:tcPr>
            <w:tcW w:w="97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B6E1968">
            <w:pPr>
              <w:widowControl/>
              <w:wordWrap w:val="0"/>
              <w:spacing w:line="360" w:lineRule="auto"/>
              <w:jc w:val="center"/>
              <w:rPr>
                <w:rFonts w:hint="eastAsia" w:ascii="宋体" w:hAnsi="宋体" w:cs="宋体"/>
                <w:color w:val="auto"/>
                <w:kern w:val="0"/>
                <w:sz w:val="28"/>
                <w:szCs w:val="28"/>
                <w:highlight w:val="none"/>
              </w:rPr>
            </w:pPr>
          </w:p>
        </w:tc>
      </w:tr>
      <w:tr w14:paraId="275717EA">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338F7B2">
            <w:pPr>
              <w:widowControl/>
              <w:wordWrap w:val="0"/>
              <w:spacing w:line="360" w:lineRule="auto"/>
              <w:jc w:val="center"/>
              <w:rPr>
                <w:rFonts w:hint="eastAsia" w:ascii="宋体" w:hAnsi="宋体" w:cs="宋体"/>
                <w:color w:val="auto"/>
                <w:kern w:val="0"/>
                <w:sz w:val="28"/>
                <w:szCs w:val="28"/>
                <w:highlight w:val="none"/>
              </w:rPr>
            </w:pPr>
            <w:r>
              <w:rPr>
                <w:rFonts w:hint="eastAsia" w:ascii="宋体" w:hAnsi="宋体" w:cs="宋体"/>
                <w:color w:val="auto"/>
                <w:kern w:val="0"/>
                <w:sz w:val="28"/>
                <w:szCs w:val="28"/>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B83464C">
            <w:pPr>
              <w:widowControl/>
              <w:wordWrap w:val="0"/>
              <w:spacing w:line="360" w:lineRule="auto"/>
              <w:jc w:val="center"/>
              <w:rPr>
                <w:rFonts w:hint="eastAsia" w:ascii="宋体" w:hAnsi="宋体" w:cs="宋体"/>
                <w:color w:val="auto"/>
                <w:kern w:val="0"/>
                <w:sz w:val="28"/>
                <w:szCs w:val="28"/>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62CBB41">
            <w:pPr>
              <w:widowControl/>
              <w:wordWrap w:val="0"/>
              <w:spacing w:line="360" w:lineRule="auto"/>
              <w:jc w:val="center"/>
              <w:rPr>
                <w:rFonts w:hint="eastAsia" w:ascii="宋体" w:hAnsi="宋体" w:cs="宋体"/>
                <w:color w:val="auto"/>
                <w:kern w:val="0"/>
                <w:sz w:val="28"/>
                <w:szCs w:val="28"/>
                <w:highlight w:val="none"/>
              </w:rPr>
            </w:pPr>
          </w:p>
        </w:tc>
        <w:tc>
          <w:tcPr>
            <w:tcW w:w="97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D18B150">
            <w:pPr>
              <w:widowControl/>
              <w:wordWrap w:val="0"/>
              <w:spacing w:line="360" w:lineRule="auto"/>
              <w:jc w:val="center"/>
              <w:rPr>
                <w:rFonts w:hint="eastAsia" w:ascii="宋体" w:hAnsi="宋体" w:cs="宋体"/>
                <w:color w:val="auto"/>
                <w:kern w:val="0"/>
                <w:sz w:val="28"/>
                <w:szCs w:val="28"/>
                <w:highlight w:val="none"/>
              </w:rPr>
            </w:pPr>
          </w:p>
        </w:tc>
      </w:tr>
      <w:tr w14:paraId="157E04D5">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33D3B48">
            <w:pPr>
              <w:widowControl/>
              <w:wordWrap w:val="0"/>
              <w:spacing w:line="360" w:lineRule="auto"/>
              <w:jc w:val="center"/>
              <w:rPr>
                <w:rFonts w:hint="eastAsia" w:ascii="宋体" w:hAnsi="宋体" w:cs="宋体"/>
                <w:color w:val="auto"/>
                <w:kern w:val="0"/>
                <w:sz w:val="28"/>
                <w:szCs w:val="28"/>
                <w:highlight w:val="none"/>
              </w:rPr>
            </w:pPr>
            <w:r>
              <w:rPr>
                <w:rFonts w:hint="eastAsia" w:ascii="宋体" w:hAnsi="宋体" w:cs="宋体"/>
                <w:color w:val="auto"/>
                <w:kern w:val="0"/>
                <w:sz w:val="28"/>
                <w:szCs w:val="28"/>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F1819BC">
            <w:pPr>
              <w:widowControl/>
              <w:wordWrap w:val="0"/>
              <w:spacing w:line="360" w:lineRule="auto"/>
              <w:jc w:val="center"/>
              <w:rPr>
                <w:rFonts w:hint="eastAsia" w:ascii="宋体" w:hAnsi="宋体" w:cs="宋体"/>
                <w:color w:val="auto"/>
                <w:kern w:val="0"/>
                <w:sz w:val="28"/>
                <w:szCs w:val="28"/>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AA046AC">
            <w:pPr>
              <w:widowControl/>
              <w:wordWrap w:val="0"/>
              <w:spacing w:line="360" w:lineRule="auto"/>
              <w:jc w:val="center"/>
              <w:rPr>
                <w:rFonts w:hint="eastAsia" w:ascii="宋体" w:hAnsi="宋体" w:cs="宋体"/>
                <w:color w:val="auto"/>
                <w:kern w:val="0"/>
                <w:sz w:val="28"/>
                <w:szCs w:val="28"/>
                <w:highlight w:val="none"/>
              </w:rPr>
            </w:pPr>
          </w:p>
        </w:tc>
        <w:tc>
          <w:tcPr>
            <w:tcW w:w="97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1C3F440">
            <w:pPr>
              <w:widowControl/>
              <w:wordWrap w:val="0"/>
              <w:spacing w:line="360" w:lineRule="auto"/>
              <w:jc w:val="center"/>
              <w:rPr>
                <w:rFonts w:hint="eastAsia" w:ascii="宋体" w:hAnsi="宋体" w:cs="宋体"/>
                <w:color w:val="auto"/>
                <w:kern w:val="0"/>
                <w:sz w:val="28"/>
                <w:szCs w:val="28"/>
                <w:highlight w:val="none"/>
              </w:rPr>
            </w:pPr>
          </w:p>
        </w:tc>
      </w:tr>
    </w:tbl>
    <w:p w14:paraId="1E8C2118">
      <w:pPr>
        <w:spacing w:line="360" w:lineRule="auto"/>
        <w:contextualSpacing/>
        <w:jc w:val="left"/>
        <w:rPr>
          <w:rFonts w:hint="eastAsia" w:ascii="楷体" w:hAnsi="楷体" w:eastAsia="楷体" w:cs="宋体"/>
          <w:b/>
          <w:color w:val="auto"/>
          <w:sz w:val="24"/>
          <w:highlight w:val="none"/>
        </w:rPr>
      </w:pPr>
      <w:r>
        <w:rPr>
          <w:rFonts w:hint="eastAsia" w:ascii="楷体" w:hAnsi="楷体" w:eastAsia="楷体" w:cs="宋体"/>
          <w:b/>
          <w:color w:val="auto"/>
          <w:sz w:val="24"/>
          <w:highlight w:val="none"/>
        </w:rPr>
        <w:t>注：</w:t>
      </w:r>
    </w:p>
    <w:p w14:paraId="00DE54AA">
      <w:pPr>
        <w:spacing w:line="360" w:lineRule="auto"/>
        <w:ind w:firstLine="480" w:firstLineChars="200"/>
        <w:contextualSpacing/>
        <w:jc w:val="left"/>
        <w:rPr>
          <w:rFonts w:hint="eastAsia" w:ascii="楷体" w:hAnsi="楷体" w:eastAsia="楷体" w:cs="宋体"/>
          <w:color w:val="auto"/>
          <w:sz w:val="24"/>
          <w:highlight w:val="none"/>
        </w:rPr>
      </w:pPr>
      <w:r>
        <w:rPr>
          <w:rFonts w:ascii="楷体" w:hAnsi="楷体" w:eastAsia="楷体" w:cs="宋体"/>
          <w:color w:val="auto"/>
          <w:sz w:val="24"/>
          <w:highlight w:val="none"/>
        </w:rPr>
        <w:t>1.管理关系：是指不具有出资持股关系的其他单位之间存在的管理与被管理关系，如一些上下级关系的事业单位和团体组织。</w:t>
      </w:r>
    </w:p>
    <w:p w14:paraId="6C62A10C">
      <w:pPr>
        <w:spacing w:line="360" w:lineRule="auto"/>
        <w:ind w:firstLine="480" w:firstLineChars="200"/>
        <w:contextualSpacing/>
        <w:jc w:val="left"/>
        <w:rPr>
          <w:rFonts w:hint="eastAsia" w:ascii="楷体" w:hAnsi="楷体" w:eastAsia="楷体" w:cs="宋体"/>
          <w:color w:val="auto"/>
          <w:sz w:val="24"/>
          <w:highlight w:val="none"/>
        </w:rPr>
      </w:pPr>
      <w:r>
        <w:rPr>
          <w:rFonts w:ascii="楷体" w:hAnsi="楷体" w:eastAsia="楷体" w:cs="宋体"/>
          <w:color w:val="auto"/>
          <w:sz w:val="24"/>
          <w:highlight w:val="none"/>
        </w:rPr>
        <w:t>2.</w:t>
      </w:r>
      <w:r>
        <w:rPr>
          <w:rFonts w:hint="eastAsia" w:ascii="楷体" w:hAnsi="楷体" w:eastAsia="楷体" w:cs="宋体"/>
          <w:color w:val="auto"/>
          <w:spacing w:val="-6"/>
          <w:sz w:val="24"/>
          <w:highlight w:val="none"/>
        </w:rPr>
        <w:t>本表所指的管理关系仅限于直接管理关系，不包括间接的管理关系。</w:t>
      </w:r>
    </w:p>
    <w:p w14:paraId="1EC93868">
      <w:pPr>
        <w:spacing w:line="360" w:lineRule="auto"/>
        <w:ind w:firstLine="480" w:firstLineChars="200"/>
        <w:contextualSpacing/>
        <w:jc w:val="left"/>
        <w:rPr>
          <w:rFonts w:hint="eastAsia" w:ascii="楷体" w:hAnsi="楷体" w:eastAsia="楷体" w:cs="宋体"/>
          <w:color w:val="auto"/>
          <w:sz w:val="24"/>
          <w:highlight w:val="none"/>
        </w:rPr>
      </w:pPr>
      <w:r>
        <w:rPr>
          <w:rFonts w:ascii="楷体" w:hAnsi="楷体" w:eastAsia="楷体" w:cs="宋体"/>
          <w:color w:val="auto"/>
          <w:sz w:val="24"/>
          <w:highlight w:val="none"/>
        </w:rPr>
        <w:t>3.供应商不存在直接管理关系的，则填“无”。</w:t>
      </w:r>
    </w:p>
    <w:p w14:paraId="2885B424">
      <w:pPr>
        <w:spacing w:line="360" w:lineRule="auto"/>
        <w:contextualSpacing/>
        <w:jc w:val="left"/>
        <w:rPr>
          <w:rFonts w:hint="eastAsia" w:ascii="宋体" w:hAnsi="宋体" w:cs="宋体"/>
          <w:color w:val="auto"/>
          <w:sz w:val="28"/>
          <w:szCs w:val="28"/>
          <w:highlight w:val="none"/>
        </w:rPr>
      </w:pPr>
    </w:p>
    <w:p w14:paraId="2C5C920F">
      <w:pPr>
        <w:spacing w:line="360" w:lineRule="auto"/>
        <w:contextualSpacing/>
        <w:jc w:val="left"/>
        <w:rPr>
          <w:rFonts w:hint="eastAsia" w:ascii="宋体" w:hAnsi="宋体" w:cs="宋体"/>
          <w:color w:val="auto"/>
          <w:sz w:val="28"/>
          <w:szCs w:val="28"/>
          <w:highlight w:val="none"/>
        </w:rPr>
      </w:pPr>
    </w:p>
    <w:p w14:paraId="765C2023">
      <w:pPr>
        <w:spacing w:line="360" w:lineRule="auto"/>
        <w:contextualSpacing/>
        <w:jc w:val="left"/>
        <w:rPr>
          <w:rFonts w:hint="eastAsia" w:ascii="宋体" w:hAnsi="宋体" w:cs="宋体"/>
          <w:color w:val="auto"/>
          <w:sz w:val="28"/>
          <w:szCs w:val="28"/>
          <w:highlight w:val="none"/>
        </w:rPr>
      </w:pPr>
    </w:p>
    <w:p w14:paraId="4749E4FC">
      <w:pPr>
        <w:spacing w:line="360" w:lineRule="auto"/>
        <w:contextualSpacing/>
        <w:jc w:val="left"/>
        <w:rPr>
          <w:rFonts w:hint="eastAsia" w:ascii="宋体" w:hAnsi="宋体" w:cs="宋体"/>
          <w:color w:val="auto"/>
          <w:sz w:val="28"/>
          <w:szCs w:val="28"/>
          <w:highlight w:val="none"/>
        </w:rPr>
      </w:pPr>
    </w:p>
    <w:p w14:paraId="78E28490">
      <w:pPr>
        <w:spacing w:line="360" w:lineRule="auto"/>
        <w:contextualSpacing/>
        <w:jc w:val="left"/>
        <w:rPr>
          <w:rFonts w:hint="eastAsia" w:ascii="宋体" w:hAnsi="宋体" w:cs="宋体"/>
          <w:color w:val="auto"/>
          <w:sz w:val="28"/>
          <w:szCs w:val="28"/>
          <w:highlight w:val="none"/>
        </w:rPr>
      </w:pPr>
    </w:p>
    <w:p w14:paraId="25049388">
      <w:pPr>
        <w:spacing w:line="360" w:lineRule="auto"/>
        <w:contextualSpacing/>
        <w:jc w:val="left"/>
        <w:rPr>
          <w:rFonts w:hint="eastAsia" w:ascii="宋体" w:hAnsi="宋体" w:cs="宋体"/>
          <w:color w:val="auto"/>
          <w:sz w:val="28"/>
          <w:szCs w:val="28"/>
          <w:highlight w:val="none"/>
        </w:rPr>
      </w:pPr>
    </w:p>
    <w:p w14:paraId="3B9C8EC4">
      <w:pPr>
        <w:spacing w:line="360" w:lineRule="auto"/>
        <w:contextualSpacing/>
        <w:jc w:val="center"/>
        <w:rPr>
          <w:rFonts w:hint="eastAsia" w:ascii="宋体" w:hAnsi="宋体" w:cs="宋体"/>
          <w:color w:val="auto"/>
          <w:sz w:val="24"/>
          <w:highlight w:val="none"/>
          <w:u w:val="single"/>
        </w:rPr>
      </w:pPr>
      <w:r>
        <w:rPr>
          <w:rFonts w:hint="eastAsia" w:ascii="宋体" w:hAnsi="宋体" w:cs="宋体"/>
          <w:color w:val="auto"/>
          <w:sz w:val="24"/>
          <w:highlight w:val="none"/>
        </w:rPr>
        <w:t xml:space="preserve">              法定代表人或者委托代理人签字：</w:t>
      </w:r>
      <w:r>
        <w:rPr>
          <w:rFonts w:hint="eastAsia" w:ascii="宋体" w:hAnsi="宋体" w:cs="宋体"/>
          <w:color w:val="auto"/>
          <w:sz w:val="24"/>
          <w:highlight w:val="none"/>
          <w:u w:val="single"/>
        </w:rPr>
        <w:t xml:space="preserve">                   </w:t>
      </w:r>
    </w:p>
    <w:p w14:paraId="001DBE30">
      <w:pPr>
        <w:spacing w:line="360" w:lineRule="auto"/>
        <w:ind w:firstLine="3600" w:firstLineChars="1500"/>
        <w:contextualSpacing/>
        <w:rPr>
          <w:rFonts w:hint="eastAsia" w:ascii="宋体" w:hAnsi="宋体" w:cs="宋体"/>
          <w:color w:val="auto"/>
          <w:sz w:val="24"/>
          <w:highlight w:val="none"/>
        </w:rPr>
      </w:pPr>
      <w:r>
        <w:rPr>
          <w:rFonts w:hint="eastAsia" w:ascii="宋体" w:hAnsi="宋体" w:cs="宋体"/>
          <w:color w:val="auto"/>
          <w:sz w:val="24"/>
          <w:highlight w:val="none"/>
        </w:rPr>
        <w:t>供应商（公章）：</w:t>
      </w:r>
      <w:r>
        <w:rPr>
          <w:rFonts w:hint="eastAsia" w:ascii="宋体" w:hAnsi="宋体" w:cs="宋体"/>
          <w:color w:val="auto"/>
          <w:sz w:val="24"/>
          <w:highlight w:val="none"/>
          <w:u w:val="single"/>
        </w:rPr>
        <w:t xml:space="preserve">                </w:t>
      </w:r>
    </w:p>
    <w:p w14:paraId="1015E7C5">
      <w:pPr>
        <w:spacing w:line="360" w:lineRule="auto"/>
        <w:ind w:firstLine="240" w:firstLineChars="100"/>
        <w:contextualSpacing/>
        <w:jc w:val="center"/>
        <w:rPr>
          <w:rFonts w:hint="eastAsia" w:ascii="宋体" w:hAnsi="宋体" w:cs="宋体"/>
          <w:color w:val="auto"/>
          <w:sz w:val="28"/>
          <w:szCs w:val="28"/>
          <w:highlight w:val="none"/>
        </w:rPr>
      </w:pPr>
      <w:r>
        <w:rPr>
          <w:rFonts w:hint="eastAsia" w:ascii="宋体" w:hAnsi="宋体" w:cs="宋体"/>
          <w:color w:val="auto"/>
          <w:sz w:val="24"/>
          <w:highlight w:val="none"/>
        </w:rPr>
        <w:t xml:space="preserve">        日期：</w:t>
      </w:r>
      <w:r>
        <w:rPr>
          <w:rFonts w:hint="eastAsia" w:cs="宋体" w:asciiTheme="minorEastAsia" w:hAnsiTheme="minorEastAsia" w:eastAsiaTheme="minorEastAsia"/>
          <w:color w:val="auto"/>
          <w:spacing w:val="20"/>
          <w:sz w:val="24"/>
          <w:highlight w:val="none"/>
          <w:u w:val="single"/>
        </w:rPr>
        <w:t xml:space="preserve"> </w:t>
      </w:r>
      <w:r>
        <w:rPr>
          <w:rFonts w:cs="宋体" w:asciiTheme="minorEastAsia" w:hAnsiTheme="minorEastAsia" w:eastAsiaTheme="minorEastAsia"/>
          <w:color w:val="auto"/>
          <w:spacing w:val="20"/>
          <w:sz w:val="24"/>
          <w:highlight w:val="none"/>
          <w:u w:val="single"/>
        </w:rPr>
        <w:t xml:space="preserve">  </w:t>
      </w:r>
      <w:r>
        <w:rPr>
          <w:rFonts w:hint="eastAsia" w:cs="宋体" w:asciiTheme="minorEastAsia" w:hAnsiTheme="minorEastAsia" w:eastAsiaTheme="minorEastAsia"/>
          <w:color w:val="auto"/>
          <w:spacing w:val="20"/>
          <w:sz w:val="24"/>
          <w:highlight w:val="none"/>
          <w:u w:val="single"/>
        </w:rPr>
        <w:t xml:space="preserve">  </w:t>
      </w:r>
      <w:r>
        <w:rPr>
          <w:rFonts w:hint="eastAsia" w:cs="宋体" w:asciiTheme="minorEastAsia" w:hAnsiTheme="minorEastAsia" w:eastAsiaTheme="minorEastAsia"/>
          <w:color w:val="auto"/>
          <w:spacing w:val="20"/>
          <w:sz w:val="24"/>
          <w:highlight w:val="none"/>
        </w:rPr>
        <w:t>年</w:t>
      </w:r>
      <w:r>
        <w:rPr>
          <w:rFonts w:hint="eastAsia" w:cs="宋体" w:asciiTheme="minorEastAsia" w:hAnsiTheme="minorEastAsia" w:eastAsiaTheme="minorEastAsia"/>
          <w:color w:val="auto"/>
          <w:spacing w:val="20"/>
          <w:sz w:val="24"/>
          <w:highlight w:val="none"/>
          <w:u w:val="single"/>
        </w:rPr>
        <w:t xml:space="preserve">  </w:t>
      </w:r>
      <w:r>
        <w:rPr>
          <w:rFonts w:hint="eastAsia" w:cs="宋体" w:asciiTheme="minorEastAsia" w:hAnsiTheme="minorEastAsia" w:eastAsiaTheme="minorEastAsia"/>
          <w:color w:val="auto"/>
          <w:spacing w:val="20"/>
          <w:sz w:val="24"/>
          <w:highlight w:val="none"/>
        </w:rPr>
        <w:t>月</w:t>
      </w:r>
      <w:r>
        <w:rPr>
          <w:rFonts w:hint="eastAsia" w:cs="宋体" w:asciiTheme="minorEastAsia" w:hAnsiTheme="minorEastAsia" w:eastAsiaTheme="minorEastAsia"/>
          <w:color w:val="auto"/>
          <w:spacing w:val="20"/>
          <w:sz w:val="24"/>
          <w:highlight w:val="none"/>
          <w:u w:val="single"/>
        </w:rPr>
        <w:t xml:space="preserve">  </w:t>
      </w:r>
      <w:r>
        <w:rPr>
          <w:rFonts w:hint="eastAsia" w:cs="宋体" w:asciiTheme="minorEastAsia" w:hAnsiTheme="minorEastAsia" w:eastAsiaTheme="minorEastAsia"/>
          <w:color w:val="auto"/>
          <w:spacing w:val="20"/>
          <w:sz w:val="24"/>
          <w:highlight w:val="none"/>
        </w:rPr>
        <w:t>日</w:t>
      </w:r>
    </w:p>
    <w:p w14:paraId="33692A1D">
      <w:pPr>
        <w:spacing w:line="360" w:lineRule="auto"/>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br w:type="page"/>
      </w:r>
      <w:r>
        <w:rPr>
          <w:rFonts w:hint="eastAsia" w:ascii="宋体" w:hAnsi="宋体" w:cs="宋体"/>
          <w:b/>
          <w:color w:val="auto"/>
          <w:sz w:val="32"/>
          <w:szCs w:val="32"/>
          <w:highlight w:val="none"/>
        </w:rPr>
        <w:t>参与竞争性谈判声明</w:t>
      </w:r>
    </w:p>
    <w:p w14:paraId="64816F8F">
      <w:pPr>
        <w:spacing w:line="360" w:lineRule="auto"/>
        <w:jc w:val="center"/>
        <w:rPr>
          <w:rFonts w:hint="eastAsia" w:ascii="宋体" w:hAnsi="宋体" w:cs="宋体"/>
          <w:color w:val="auto"/>
          <w:sz w:val="24"/>
          <w:szCs w:val="20"/>
          <w:highlight w:val="none"/>
        </w:rPr>
      </w:pPr>
    </w:p>
    <w:p w14:paraId="54A1A8E0">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58D870BD">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我方</w:t>
      </w:r>
      <w:r>
        <w:rPr>
          <w:rFonts w:hint="eastAsia" w:ascii="宋体" w:hAnsi="宋体" w:cs="宋体"/>
          <w:color w:val="auto"/>
          <w:sz w:val="24"/>
          <w:highlight w:val="none"/>
          <w:u w:val="single"/>
        </w:rPr>
        <w:t>（供应商名称）</w:t>
      </w:r>
      <w:r>
        <w:rPr>
          <w:rFonts w:hint="eastAsia" w:ascii="宋体" w:hAnsi="宋体" w:cs="宋体"/>
          <w:color w:val="auto"/>
          <w:sz w:val="24"/>
          <w:highlight w:val="none"/>
        </w:rPr>
        <w:t>系中华人民共和国合法供应商，经营地址</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0269FAED">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我方愿意参加贵方组织的</w:t>
      </w:r>
      <w:r>
        <w:rPr>
          <w:rFonts w:hint="eastAsia" w:ascii="宋体" w:hAnsi="宋体" w:cs="宋体"/>
          <w:color w:val="auto"/>
          <w:sz w:val="24"/>
          <w:highlight w:val="none"/>
          <w:u w:val="single"/>
        </w:rPr>
        <w:t>（项目名称）</w:t>
      </w:r>
      <w:r>
        <w:rPr>
          <w:rFonts w:hint="eastAsia" w:ascii="宋体" w:hAnsi="宋体" w:cs="宋体"/>
          <w:color w:val="auto"/>
          <w:sz w:val="24"/>
          <w:highlight w:val="none"/>
        </w:rPr>
        <w:t>项目的</w:t>
      </w:r>
      <w:r>
        <w:rPr>
          <w:rFonts w:hint="eastAsia" w:ascii="宋体" w:hAnsi="宋体" w:cs="宋体"/>
          <w:color w:val="auto"/>
          <w:sz w:val="24"/>
          <w:highlight w:val="none"/>
          <w:lang w:bidi="ar"/>
        </w:rPr>
        <w:t>竞争性谈判</w:t>
      </w:r>
      <w:r>
        <w:rPr>
          <w:rFonts w:hint="eastAsia" w:ascii="宋体" w:hAnsi="宋体" w:cs="宋体"/>
          <w:color w:val="auto"/>
          <w:sz w:val="24"/>
          <w:highlight w:val="none"/>
        </w:rPr>
        <w:t>，为便于贵方公正、择优地确定成交供应商及其参与</w:t>
      </w:r>
      <w:r>
        <w:rPr>
          <w:rFonts w:hint="eastAsia" w:ascii="宋体" w:hAnsi="宋体" w:cs="宋体"/>
          <w:color w:val="auto"/>
          <w:sz w:val="24"/>
          <w:highlight w:val="none"/>
          <w:lang w:bidi="ar"/>
        </w:rPr>
        <w:t>竞争性谈判的</w:t>
      </w:r>
      <w:r>
        <w:rPr>
          <w:rFonts w:hint="eastAsia" w:ascii="宋体" w:hAnsi="宋体" w:cs="宋体"/>
          <w:color w:val="auto"/>
          <w:sz w:val="24"/>
          <w:highlight w:val="none"/>
        </w:rPr>
        <w:t>产品和服务，我方就本次参与</w:t>
      </w:r>
      <w:r>
        <w:rPr>
          <w:rFonts w:hint="eastAsia" w:ascii="宋体" w:hAnsi="宋体" w:cs="宋体"/>
          <w:color w:val="auto"/>
          <w:sz w:val="24"/>
          <w:highlight w:val="none"/>
          <w:lang w:bidi="ar"/>
        </w:rPr>
        <w:t>竞争性谈判</w:t>
      </w:r>
      <w:r>
        <w:rPr>
          <w:rFonts w:hint="eastAsia" w:ascii="宋体" w:hAnsi="宋体" w:cs="宋体"/>
          <w:color w:val="auto"/>
          <w:sz w:val="24"/>
          <w:highlight w:val="none"/>
        </w:rPr>
        <w:t>有关事项郑重声明如下：</w:t>
      </w:r>
    </w:p>
    <w:p w14:paraId="36CBF7AB">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1.我方向贵方提交的所有响应文件、资料都是准确的和真实的。</w:t>
      </w:r>
    </w:p>
    <w:p w14:paraId="49E91CFC">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2.我方不是为本次采购项目提供整体设计、规范编制或者项目管理、监理、检测等服务的供应商。</w:t>
      </w:r>
    </w:p>
    <w:p w14:paraId="0F09D36E">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3.在此，我方宣布同意如下：</w:t>
      </w:r>
    </w:p>
    <w:p w14:paraId="0700DB50">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（1）将按谈判文件的约定履行合同责任和义务；</w:t>
      </w:r>
    </w:p>
    <w:p w14:paraId="46EA2FF4">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（2）已详细审查全部谈判文件，包括补遗文件（如有）；</w:t>
      </w:r>
    </w:p>
    <w:p w14:paraId="213E7DB5">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（3）同意提供按照贵方可能要求的与谈判有关的一切数据或者资料；</w:t>
      </w:r>
    </w:p>
    <w:p w14:paraId="756948F7">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（4）响应谈判文件规定的</w:t>
      </w:r>
      <w:r>
        <w:rPr>
          <w:rFonts w:hint="eastAsia" w:ascii="宋体" w:hAnsi="宋体" w:cs="宋体"/>
          <w:color w:val="auto"/>
          <w:sz w:val="24"/>
          <w:highlight w:val="none"/>
          <w:lang w:bidi="ar"/>
        </w:rPr>
        <w:t>竞争性谈判</w:t>
      </w:r>
      <w:r>
        <w:rPr>
          <w:rFonts w:hint="eastAsia" w:ascii="宋体" w:hAnsi="宋体" w:cs="宋体"/>
          <w:color w:val="auto"/>
          <w:sz w:val="24"/>
          <w:highlight w:val="none"/>
        </w:rPr>
        <w:t>有效期。</w:t>
      </w:r>
    </w:p>
    <w:p w14:paraId="63211F1E">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4.我方承诺符合《中华人民共和国政府采购法》第二十二条规定：</w:t>
      </w:r>
    </w:p>
    <w:p w14:paraId="08B3B79D">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（1）具有独立承担民事责任的能力；</w:t>
      </w:r>
    </w:p>
    <w:p w14:paraId="7197C338">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（2）具有良好的商业信誉和健全的财务会计制度；</w:t>
      </w:r>
    </w:p>
    <w:p w14:paraId="66293C98">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（3）具有履行合同所必需的设备和专业技术能力；</w:t>
      </w:r>
    </w:p>
    <w:p w14:paraId="570679CB">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（4）有依法缴纳税收和社会保障资金的良好记录；</w:t>
      </w:r>
    </w:p>
    <w:p w14:paraId="2E7B5423">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（5）参加政府采购活动前三年内，在经营活动中没有重大违法记录；</w:t>
      </w:r>
    </w:p>
    <w:p w14:paraId="4C579210">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（6）法律、行政法规规定的其他条件。</w:t>
      </w:r>
    </w:p>
    <w:p w14:paraId="568B575D">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3AA365AC">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29805DFD">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内容中</w:t>
      </w:r>
      <w:r>
        <w:rPr>
          <w:rFonts w:hint="eastAsia" w:ascii="宋体" w:hAnsi="宋体" w:cs="宋体"/>
          <w:color w:val="auto"/>
          <w:sz w:val="24"/>
          <w:highlight w:val="none"/>
        </w:rPr>
        <w:t>未</w:t>
      </w:r>
      <w:r>
        <w:rPr>
          <w:rFonts w:hint="eastAsia" w:ascii="宋体" w:hAnsi="宋体" w:cs="宋体"/>
          <w:color w:val="auto"/>
          <w:kern w:val="0"/>
          <w:sz w:val="24"/>
          <w:highlight w:val="none"/>
        </w:rPr>
        <w:t>涉及商业秘密；</w:t>
      </w:r>
    </w:p>
    <w:p w14:paraId="3CA278F8">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涉及商业秘密的内容有：</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w:t>
      </w:r>
    </w:p>
    <w:p w14:paraId="40079590">
      <w:pPr>
        <w:pStyle w:val="14"/>
        <w:spacing w:line="360" w:lineRule="auto"/>
        <w:ind w:firstLine="480" w:firstLineChars="200"/>
        <w:contextualSpacing/>
        <w:rPr>
          <w:rFonts w:hint="eastAsia" w:hAnsi="宋体" w:cs="宋体"/>
          <w:color w:val="auto"/>
          <w:sz w:val="24"/>
          <w:szCs w:val="24"/>
          <w:highlight w:val="none"/>
          <w:u w:val="single"/>
        </w:rPr>
      </w:pPr>
      <w:r>
        <w:rPr>
          <w:rFonts w:hint="eastAsia" w:hAnsi="宋体" w:cs="宋体"/>
          <w:color w:val="auto"/>
          <w:sz w:val="24"/>
          <w:szCs w:val="24"/>
          <w:highlight w:val="none"/>
        </w:rPr>
        <w:t>7.与本谈判有关的一切正式往来信函请寄：</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邮政编码：</w:t>
      </w:r>
      <w:r>
        <w:rPr>
          <w:rFonts w:hint="eastAsia" w:hAnsi="宋体" w:cs="宋体"/>
          <w:color w:val="auto"/>
          <w:sz w:val="24"/>
          <w:szCs w:val="24"/>
          <w:highlight w:val="none"/>
          <w:u w:val="single"/>
        </w:rPr>
        <w:t xml:space="preserve">    </w:t>
      </w:r>
    </w:p>
    <w:p w14:paraId="7E019C7C">
      <w:pPr>
        <w:pStyle w:val="14"/>
        <w:spacing w:line="360" w:lineRule="auto"/>
        <w:ind w:firstLine="480" w:firstLineChars="200"/>
        <w:contextualSpacing/>
        <w:rPr>
          <w:rFonts w:hint="eastAsia" w:hAnsi="宋体" w:cs="宋体"/>
          <w:color w:val="auto"/>
          <w:sz w:val="24"/>
          <w:szCs w:val="24"/>
          <w:highlight w:val="none"/>
        </w:rPr>
      </w:pPr>
      <w:r>
        <w:rPr>
          <w:rFonts w:hint="eastAsia" w:hAnsi="宋体" w:cs="宋体"/>
          <w:color w:val="auto"/>
          <w:sz w:val="24"/>
          <w:szCs w:val="24"/>
          <w:highlight w:val="none"/>
        </w:rPr>
        <w:t>电话/传真：</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电子函件：</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w:t>
      </w:r>
    </w:p>
    <w:p w14:paraId="1EDD45D2">
      <w:pPr>
        <w:pStyle w:val="12"/>
        <w:tabs>
          <w:tab w:val="left" w:pos="939"/>
        </w:tabs>
        <w:spacing w:line="360" w:lineRule="auto"/>
        <w:ind w:left="0" w:leftChars="0" w:firstLine="360" w:firstLineChars="150"/>
        <w:rPr>
          <w:rFonts w:hint="eastAsia" w:ascii="宋体" w:hAnsi="宋体" w:cs="宋体"/>
          <w:color w:val="auto"/>
          <w:sz w:val="24"/>
          <w:highlight w:val="none"/>
          <w:u w:val="single"/>
        </w:rPr>
      </w:pPr>
      <w:r>
        <w:rPr>
          <w:rFonts w:hint="eastAsia" w:ascii="宋体" w:hAnsi="宋体" w:cs="宋体"/>
          <w:color w:val="auto"/>
          <w:sz w:val="24"/>
          <w:highlight w:val="none"/>
        </w:rPr>
        <w:t>开户银行：</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帐号/行号：</w:t>
      </w:r>
      <w:r>
        <w:rPr>
          <w:rFonts w:hint="eastAsia" w:ascii="宋体" w:hAnsi="宋体" w:cs="宋体"/>
          <w:color w:val="auto"/>
          <w:sz w:val="24"/>
          <w:highlight w:val="none"/>
          <w:u w:val="single"/>
        </w:rPr>
        <w:t xml:space="preserve">           </w:t>
      </w:r>
    </w:p>
    <w:p w14:paraId="7D5BF548">
      <w:pPr>
        <w:pStyle w:val="12"/>
        <w:tabs>
          <w:tab w:val="left" w:pos="939"/>
        </w:tabs>
        <w:spacing w:line="360" w:lineRule="auto"/>
        <w:ind w:left="0" w:leftChars="0" w:firstLine="360" w:firstLineChars="150"/>
        <w:rPr>
          <w:rFonts w:hint="eastAsia" w:ascii="宋体" w:hAnsi="宋体" w:cs="宋体"/>
          <w:color w:val="auto"/>
          <w:sz w:val="24"/>
          <w:highlight w:val="none"/>
        </w:rPr>
      </w:pPr>
      <w:r>
        <w:rPr>
          <w:rFonts w:ascii="宋体" w:hAnsi="宋体" w:cs="宋体"/>
          <w:color w:val="auto"/>
          <w:sz w:val="24"/>
          <w:highlight w:val="none"/>
        </w:rPr>
        <w:t>8</w:t>
      </w:r>
      <w:r>
        <w:rPr>
          <w:rFonts w:hint="eastAsia" w:ascii="宋体" w:hAnsi="宋体" w:cs="宋体"/>
          <w:color w:val="auto"/>
          <w:sz w:val="24"/>
          <w:highlight w:val="none"/>
        </w:rPr>
        <w:t>.</w:t>
      </w:r>
      <w:r>
        <w:rPr>
          <w:rFonts w:ascii="宋体" w:hAnsi="宋体" w:cs="宋体"/>
          <w:color w:val="auto"/>
          <w:sz w:val="24"/>
          <w:highlight w:val="none"/>
        </w:rPr>
        <w:t>我方若</w:t>
      </w:r>
      <w:r>
        <w:rPr>
          <w:rFonts w:hint="eastAsia" w:ascii="宋体" w:hAnsi="宋体" w:cs="宋体"/>
          <w:color w:val="auto"/>
          <w:sz w:val="24"/>
          <w:highlight w:val="none"/>
        </w:rPr>
        <w:t>参与</w:t>
      </w:r>
      <w:r>
        <w:rPr>
          <w:rFonts w:hint="eastAsia" w:ascii="宋体" w:hAnsi="宋体" w:cs="宋体"/>
          <w:color w:val="auto"/>
          <w:sz w:val="24"/>
          <w:highlight w:val="none"/>
          <w:lang w:bidi="ar"/>
        </w:rPr>
        <w:t>竞争性谈判</w:t>
      </w:r>
      <w:r>
        <w:rPr>
          <w:rFonts w:hint="eastAsia" w:ascii="宋体" w:hAnsi="宋体" w:cs="宋体"/>
          <w:color w:val="auto"/>
          <w:sz w:val="24"/>
          <w:highlight w:val="none"/>
        </w:rPr>
        <w:t>成功</w:t>
      </w:r>
      <w:r>
        <w:rPr>
          <w:rFonts w:ascii="宋体" w:hAnsi="宋体" w:cs="宋体"/>
          <w:color w:val="auto"/>
          <w:sz w:val="24"/>
          <w:highlight w:val="none"/>
        </w:rPr>
        <w:t>，将采取</w:t>
      </w:r>
      <w:r>
        <w:rPr>
          <w:rFonts w:ascii="宋体" w:hAnsi="宋体" w:cs="宋体"/>
          <w:color w:val="auto"/>
          <w:sz w:val="24"/>
          <w:highlight w:val="none"/>
          <w:u w:val="single"/>
        </w:rPr>
        <w:t>      </w:t>
      </w:r>
      <w:r>
        <w:rPr>
          <w:rFonts w:ascii="宋体" w:hAnsi="宋体" w:cs="宋体"/>
          <w:color w:val="auto"/>
          <w:sz w:val="24"/>
          <w:highlight w:val="none"/>
        </w:rPr>
        <w:t>（</w:t>
      </w:r>
      <w:r>
        <w:rPr>
          <w:rFonts w:hint="eastAsia" w:ascii="宋体" w:hAnsi="宋体" w:cs="宋体"/>
          <w:color w:val="auto"/>
          <w:sz w:val="24"/>
          <w:highlight w:val="none"/>
        </w:rPr>
        <w:t>汽车、火车、飞机等</w:t>
      </w:r>
      <w:r>
        <w:rPr>
          <w:rFonts w:ascii="宋体" w:hAnsi="宋体" w:cs="宋体"/>
          <w:color w:val="auto"/>
          <w:sz w:val="24"/>
          <w:highlight w:val="none"/>
        </w:rPr>
        <w:t>）方式运输货物。</w:t>
      </w:r>
    </w:p>
    <w:p w14:paraId="5D1DB1F7">
      <w:pPr>
        <w:pStyle w:val="12"/>
        <w:tabs>
          <w:tab w:val="left" w:pos="939"/>
        </w:tabs>
        <w:spacing w:line="360" w:lineRule="auto"/>
        <w:ind w:left="0" w:leftChars="0" w:firstLine="360" w:firstLineChars="150"/>
        <w:rPr>
          <w:rFonts w:hint="eastAsia" w:ascii="宋体" w:hAnsi="宋体" w:cs="宋体"/>
          <w:color w:val="auto"/>
          <w:sz w:val="24"/>
          <w:highlight w:val="none"/>
        </w:rPr>
      </w:pPr>
      <w:r>
        <w:rPr>
          <w:rFonts w:hint="eastAsia" w:ascii="宋体" w:hAnsi="宋体" w:cs="宋体"/>
          <w:color w:val="auto"/>
          <w:sz w:val="24"/>
          <w:highlight w:val="none"/>
        </w:rPr>
        <w:t>9</w:t>
      </w:r>
      <w:r>
        <w:rPr>
          <w:rFonts w:ascii="宋体" w:hAnsi="宋体" w:cs="宋体"/>
          <w:color w:val="auto"/>
          <w:sz w:val="24"/>
          <w:highlight w:val="none"/>
        </w:rPr>
        <w:t>.</w:t>
      </w:r>
      <w:r>
        <w:rPr>
          <w:rFonts w:hint="eastAsia" w:ascii="宋体" w:hAnsi="宋体" w:cs="宋体"/>
          <w:color w:val="auto"/>
          <w:sz w:val="24"/>
          <w:highlight w:val="none"/>
        </w:rPr>
        <w:t>我方若参与</w:t>
      </w:r>
      <w:r>
        <w:rPr>
          <w:rFonts w:hint="eastAsia" w:ascii="宋体" w:hAnsi="宋体" w:cs="宋体"/>
          <w:color w:val="auto"/>
          <w:sz w:val="24"/>
          <w:highlight w:val="none"/>
          <w:lang w:bidi="ar"/>
        </w:rPr>
        <w:t>竞争性谈判</w:t>
      </w:r>
      <w:r>
        <w:rPr>
          <w:rFonts w:hint="eastAsia" w:ascii="宋体" w:hAnsi="宋体" w:cs="宋体"/>
          <w:color w:val="auto"/>
          <w:sz w:val="24"/>
          <w:highlight w:val="none"/>
        </w:rPr>
        <w:t>成功，除非发生不可抗力，承诺与采购人及时签订《合同书》。如果放弃，自愿按照本文件之《供应商须知正文》第2</w:t>
      </w:r>
      <w:r>
        <w:rPr>
          <w:rFonts w:ascii="宋体" w:hAnsi="宋体" w:cs="宋体"/>
          <w:color w:val="auto"/>
          <w:sz w:val="24"/>
          <w:highlight w:val="none"/>
        </w:rPr>
        <w:t>7.5</w:t>
      </w:r>
      <w:r>
        <w:rPr>
          <w:rFonts w:hint="eastAsia" w:ascii="宋体" w:hAnsi="宋体" w:cs="宋体"/>
          <w:color w:val="auto"/>
          <w:sz w:val="24"/>
          <w:highlight w:val="none"/>
        </w:rPr>
        <w:t>条的要求承担法律责任和失信惩戒。</w:t>
      </w:r>
    </w:p>
    <w:p w14:paraId="29CC5E09">
      <w:pPr>
        <w:pStyle w:val="12"/>
        <w:tabs>
          <w:tab w:val="left" w:pos="939"/>
        </w:tabs>
        <w:spacing w:line="360" w:lineRule="auto"/>
        <w:ind w:left="0" w:leftChars="0" w:firstLine="360" w:firstLineChars="150"/>
        <w:rPr>
          <w:rFonts w:hint="eastAsia" w:ascii="宋体" w:hAnsi="宋体" w:cs="宋体"/>
          <w:color w:val="auto"/>
          <w:sz w:val="24"/>
          <w:highlight w:val="none"/>
        </w:rPr>
      </w:pPr>
      <w:r>
        <w:rPr>
          <w:rFonts w:ascii="宋体" w:hAnsi="宋体" w:cs="宋体"/>
          <w:color w:val="auto"/>
          <w:sz w:val="24"/>
          <w:highlight w:val="none"/>
        </w:rPr>
        <w:t>10</w:t>
      </w:r>
      <w:r>
        <w:rPr>
          <w:rFonts w:hint="eastAsia" w:ascii="宋体" w:hAnsi="宋体" w:cs="宋体"/>
          <w:color w:val="auto"/>
          <w:sz w:val="24"/>
          <w:highlight w:val="none"/>
        </w:rPr>
        <w:t>.以上事项如有虚假或者隐瞒，我方愿意承担一切后果，并不再寻求任何旨在减轻或者免除法律责任的辩解。</w:t>
      </w:r>
    </w:p>
    <w:p w14:paraId="20404375">
      <w:pPr>
        <w:pStyle w:val="12"/>
        <w:tabs>
          <w:tab w:val="left" w:pos="939"/>
        </w:tabs>
        <w:spacing w:line="360" w:lineRule="auto"/>
        <w:ind w:left="0" w:leftChars="0" w:firstLine="360" w:firstLineChars="150"/>
        <w:rPr>
          <w:rFonts w:hint="eastAsia" w:ascii="宋体" w:hAnsi="宋体" w:cs="宋体"/>
          <w:color w:val="auto"/>
          <w:szCs w:val="21"/>
          <w:highlight w:val="none"/>
        </w:rPr>
      </w:pPr>
      <w:r>
        <w:rPr>
          <w:rFonts w:hint="eastAsia" w:ascii="宋体" w:hAnsi="宋体" w:cs="宋体"/>
          <w:color w:val="auto"/>
          <w:sz w:val="24"/>
          <w:highlight w:val="none"/>
        </w:rPr>
        <w:t>特此承诺。</w:t>
      </w:r>
    </w:p>
    <w:p w14:paraId="5C689E38">
      <w:pPr>
        <w:spacing w:line="360" w:lineRule="auto"/>
        <w:contextualSpacing/>
        <w:jc w:val="left"/>
        <w:rPr>
          <w:rFonts w:hint="eastAsia" w:ascii="楷体" w:hAnsi="楷体" w:eastAsia="楷体" w:cs="宋体"/>
          <w:b/>
          <w:color w:val="auto"/>
          <w:sz w:val="24"/>
          <w:highlight w:val="none"/>
        </w:rPr>
      </w:pPr>
      <w:r>
        <w:rPr>
          <w:rFonts w:hint="eastAsia" w:ascii="宋体" w:hAnsi="宋体" w:cs="宋体"/>
          <w:b/>
          <w:color w:val="auto"/>
          <w:sz w:val="24"/>
          <w:highlight w:val="none"/>
        </w:rPr>
        <w:t xml:space="preserve">   </w:t>
      </w:r>
      <w:r>
        <w:rPr>
          <w:rFonts w:hint="eastAsia" w:ascii="楷体" w:hAnsi="楷体" w:eastAsia="楷体" w:cs="宋体"/>
          <w:b/>
          <w:color w:val="auto"/>
          <w:sz w:val="24"/>
          <w:highlight w:val="none"/>
        </w:rPr>
        <w:t xml:space="preserve"> 注：如为联合体参与</w:t>
      </w:r>
      <w:r>
        <w:rPr>
          <w:rFonts w:hint="eastAsia" w:ascii="楷体" w:hAnsi="楷体" w:eastAsia="楷体" w:cs="宋体"/>
          <w:b/>
          <w:color w:val="auto"/>
          <w:sz w:val="24"/>
          <w:highlight w:val="none"/>
          <w:lang w:bidi="ar"/>
        </w:rPr>
        <w:t>竞争性谈判</w:t>
      </w:r>
      <w:r>
        <w:rPr>
          <w:rFonts w:hint="eastAsia" w:ascii="楷体" w:hAnsi="楷体" w:eastAsia="楷体" w:cs="宋体"/>
          <w:b/>
          <w:color w:val="auto"/>
          <w:sz w:val="24"/>
          <w:highlight w:val="none"/>
        </w:rPr>
        <w:t>，盖章处须加盖联合体各方公章并由联合体各方法定代表人分别签署，否则响应文件按无效响应处理。</w:t>
      </w:r>
    </w:p>
    <w:p w14:paraId="348AA575">
      <w:pPr>
        <w:spacing w:line="360" w:lineRule="auto"/>
        <w:contextualSpacing/>
        <w:jc w:val="left"/>
        <w:rPr>
          <w:rFonts w:hint="eastAsia" w:ascii="宋体" w:hAnsi="宋体" w:cs="宋体"/>
          <w:color w:val="auto"/>
          <w:szCs w:val="21"/>
          <w:highlight w:val="none"/>
        </w:rPr>
      </w:pPr>
    </w:p>
    <w:p w14:paraId="45FA4E8C">
      <w:pPr>
        <w:spacing w:line="360" w:lineRule="auto"/>
        <w:ind w:firstLine="4320" w:firstLineChars="1800"/>
        <w:contextualSpacing/>
        <w:rPr>
          <w:rFonts w:hint="eastAsia" w:ascii="宋体" w:hAnsi="宋体" w:cs="宋体"/>
          <w:color w:val="auto"/>
          <w:sz w:val="24"/>
          <w:highlight w:val="none"/>
        </w:rPr>
      </w:pPr>
      <w:r>
        <w:rPr>
          <w:rFonts w:hint="eastAsia" w:ascii="宋体" w:hAnsi="宋体" w:cs="宋体"/>
          <w:color w:val="auto"/>
          <w:sz w:val="24"/>
          <w:highlight w:val="none"/>
        </w:rPr>
        <w:t>法定代表人（签字）：</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2EA430EB">
      <w:pPr>
        <w:spacing w:line="360" w:lineRule="auto"/>
        <w:ind w:firstLine="4320" w:firstLineChars="1800"/>
        <w:contextualSpacing/>
        <w:rPr>
          <w:rFonts w:hint="eastAsia" w:ascii="宋体" w:hAnsi="宋体" w:cs="宋体"/>
          <w:color w:val="auto"/>
          <w:sz w:val="24"/>
          <w:highlight w:val="none"/>
          <w:u w:val="single"/>
        </w:rPr>
      </w:pPr>
      <w:r>
        <w:rPr>
          <w:rFonts w:hint="eastAsia" w:ascii="宋体" w:hAnsi="宋体" w:cs="宋体"/>
          <w:color w:val="auto"/>
          <w:sz w:val="24"/>
          <w:highlight w:val="none"/>
        </w:rPr>
        <w:t>供应商（公章）：</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43A18F58">
      <w:pPr>
        <w:spacing w:line="360" w:lineRule="auto"/>
        <w:ind w:firstLine="240" w:firstLineChars="100"/>
        <w:contextualSpacing/>
        <w:jc w:val="center"/>
        <w:rPr>
          <w:rFonts w:hint="eastAsia" w:ascii="宋体" w:hAnsi="宋体" w:cs="宋体"/>
          <w:b/>
          <w:color w:val="auto"/>
          <w:sz w:val="32"/>
          <w:szCs w:val="32"/>
          <w:highlight w:val="none"/>
        </w:rPr>
      </w:pPr>
      <w:r>
        <w:rPr>
          <w:rFonts w:hint="eastAsia" w:ascii="宋体" w:hAnsi="宋体" w:cs="宋体"/>
          <w:color w:val="auto"/>
          <w:sz w:val="24"/>
          <w:highlight w:val="none"/>
        </w:rPr>
        <w:t xml:space="preserve">                      日期： </w:t>
      </w:r>
      <w:r>
        <w:rPr>
          <w:rFonts w:hint="eastAsia" w:cs="宋体" w:asciiTheme="minorEastAsia" w:hAnsiTheme="minorEastAsia" w:eastAsiaTheme="minorEastAsia"/>
          <w:color w:val="auto"/>
          <w:spacing w:val="20"/>
          <w:sz w:val="24"/>
          <w:highlight w:val="none"/>
          <w:u w:val="single"/>
        </w:rPr>
        <w:t xml:space="preserve"> </w:t>
      </w:r>
      <w:r>
        <w:rPr>
          <w:rFonts w:cs="宋体" w:asciiTheme="minorEastAsia" w:hAnsiTheme="minorEastAsia" w:eastAsiaTheme="minorEastAsia"/>
          <w:color w:val="auto"/>
          <w:spacing w:val="20"/>
          <w:sz w:val="24"/>
          <w:highlight w:val="none"/>
          <w:u w:val="single"/>
        </w:rPr>
        <w:t xml:space="preserve">  </w:t>
      </w:r>
      <w:r>
        <w:rPr>
          <w:rFonts w:hint="eastAsia" w:cs="宋体" w:asciiTheme="minorEastAsia" w:hAnsiTheme="minorEastAsia" w:eastAsiaTheme="minorEastAsia"/>
          <w:color w:val="auto"/>
          <w:spacing w:val="20"/>
          <w:sz w:val="24"/>
          <w:highlight w:val="none"/>
          <w:u w:val="single"/>
        </w:rPr>
        <w:t xml:space="preserve">  </w:t>
      </w:r>
      <w:r>
        <w:rPr>
          <w:rFonts w:hint="eastAsia" w:cs="宋体" w:asciiTheme="minorEastAsia" w:hAnsiTheme="minorEastAsia" w:eastAsiaTheme="minorEastAsia"/>
          <w:color w:val="auto"/>
          <w:spacing w:val="20"/>
          <w:sz w:val="24"/>
          <w:highlight w:val="none"/>
        </w:rPr>
        <w:t>年</w:t>
      </w:r>
      <w:r>
        <w:rPr>
          <w:rFonts w:hint="eastAsia" w:cs="宋体" w:asciiTheme="minorEastAsia" w:hAnsiTheme="minorEastAsia" w:eastAsiaTheme="minorEastAsia"/>
          <w:color w:val="auto"/>
          <w:spacing w:val="20"/>
          <w:sz w:val="24"/>
          <w:highlight w:val="none"/>
          <w:u w:val="single"/>
        </w:rPr>
        <w:t xml:space="preserve">  </w:t>
      </w:r>
      <w:r>
        <w:rPr>
          <w:rFonts w:hint="eastAsia" w:cs="宋体" w:asciiTheme="minorEastAsia" w:hAnsiTheme="minorEastAsia" w:eastAsiaTheme="minorEastAsia"/>
          <w:color w:val="auto"/>
          <w:spacing w:val="20"/>
          <w:sz w:val="24"/>
          <w:highlight w:val="none"/>
        </w:rPr>
        <w:t>月</w:t>
      </w:r>
      <w:r>
        <w:rPr>
          <w:rFonts w:hint="eastAsia" w:cs="宋体" w:asciiTheme="minorEastAsia" w:hAnsiTheme="minorEastAsia" w:eastAsiaTheme="minorEastAsia"/>
          <w:color w:val="auto"/>
          <w:spacing w:val="20"/>
          <w:sz w:val="24"/>
          <w:highlight w:val="none"/>
          <w:u w:val="single"/>
        </w:rPr>
        <w:t xml:space="preserve">  </w:t>
      </w:r>
      <w:r>
        <w:rPr>
          <w:rFonts w:hint="eastAsia" w:cs="宋体" w:asciiTheme="minorEastAsia" w:hAnsiTheme="minorEastAsia" w:eastAsiaTheme="minorEastAsia"/>
          <w:color w:val="auto"/>
          <w:spacing w:val="20"/>
          <w:sz w:val="24"/>
          <w:highlight w:val="none"/>
        </w:rPr>
        <w:t>日</w:t>
      </w:r>
      <w:r>
        <w:rPr>
          <w:rFonts w:hint="eastAsia" w:ascii="宋体" w:hAnsi="宋体" w:cs="宋体"/>
          <w:color w:val="auto"/>
          <w:sz w:val="32"/>
          <w:szCs w:val="32"/>
          <w:highlight w:val="none"/>
        </w:rPr>
        <w:br w:type="page"/>
      </w:r>
      <w:r>
        <w:rPr>
          <w:rFonts w:hint="eastAsia" w:ascii="宋体" w:hAnsi="宋体" w:cs="宋体"/>
          <w:b/>
          <w:color w:val="auto"/>
          <w:sz w:val="32"/>
          <w:szCs w:val="32"/>
          <w:highlight w:val="none"/>
        </w:rPr>
        <w:t>联合体参与竞争性谈判协议书</w:t>
      </w:r>
    </w:p>
    <w:p w14:paraId="2804E9ED">
      <w:pPr>
        <w:pStyle w:val="6"/>
        <w:overflowPunct w:val="0"/>
        <w:spacing w:line="360" w:lineRule="auto"/>
        <w:ind w:firstLine="0"/>
        <w:contextualSpacing/>
        <w:rPr>
          <w:rFonts w:hint="eastAsia" w:ascii="宋体" w:hAnsi="宋体" w:cs="宋体"/>
          <w:color w:val="auto"/>
          <w:sz w:val="24"/>
          <w:szCs w:val="24"/>
          <w:highlight w:val="none"/>
        </w:rPr>
      </w:pPr>
    </w:p>
    <w:p w14:paraId="5F8F0376">
      <w:pPr>
        <w:pStyle w:val="6"/>
        <w:overflowPunct w:val="0"/>
        <w:spacing w:line="360" w:lineRule="auto"/>
        <w:ind w:firstLine="480" w:firstLineChars="200"/>
        <w:contextualSpacing/>
        <w:rPr>
          <w:rFonts w:hint="eastAsia" w:ascii="宋体" w:hAnsi="宋体" w:cs="宋体"/>
          <w:color w:val="auto"/>
          <w:sz w:val="24"/>
          <w:szCs w:val="24"/>
          <w:highlight w:val="none"/>
        </w:rPr>
      </w:pP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（所有成员单位名称）自愿组成</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（联合体名称）联合体，共同参加</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（项目名称）采购项目</w:t>
      </w:r>
      <w:r>
        <w:rPr>
          <w:rFonts w:hint="eastAsia" w:ascii="宋体" w:hAnsi="宋体" w:cs="宋体"/>
          <w:color w:val="auto"/>
          <w:sz w:val="24"/>
          <w:highlight w:val="none"/>
          <w:lang w:bidi="ar"/>
        </w:rPr>
        <w:t>竞争性谈判</w:t>
      </w:r>
      <w:r>
        <w:rPr>
          <w:rFonts w:hint="eastAsia" w:ascii="宋体" w:hAnsi="宋体" w:cs="宋体"/>
          <w:color w:val="auto"/>
          <w:sz w:val="24"/>
          <w:szCs w:val="24"/>
          <w:highlight w:val="none"/>
        </w:rPr>
        <w:t>。现就联合体参与</w:t>
      </w:r>
      <w:r>
        <w:rPr>
          <w:rFonts w:hint="eastAsia" w:ascii="宋体" w:hAnsi="宋体" w:cs="宋体"/>
          <w:color w:val="auto"/>
          <w:sz w:val="24"/>
          <w:highlight w:val="none"/>
          <w:lang w:bidi="ar"/>
        </w:rPr>
        <w:t>竞争性谈判</w:t>
      </w:r>
      <w:r>
        <w:rPr>
          <w:rFonts w:hint="eastAsia" w:ascii="宋体" w:hAnsi="宋体" w:cs="宋体"/>
          <w:color w:val="auto"/>
          <w:sz w:val="24"/>
          <w:szCs w:val="24"/>
          <w:highlight w:val="none"/>
        </w:rPr>
        <w:t>事宜订立如下协议。</w:t>
      </w:r>
    </w:p>
    <w:p w14:paraId="0C84A1F5">
      <w:pPr>
        <w:pStyle w:val="6"/>
        <w:overflowPunct w:val="0"/>
        <w:spacing w:line="360" w:lineRule="auto"/>
        <w:ind w:firstLine="480" w:firstLineChars="200"/>
        <w:contextualSpacing/>
        <w:rPr>
          <w:rFonts w:hint="eastAsia" w:ascii="宋体" w:hAnsi="宋体" w:cs="宋体"/>
          <w:color w:val="auto"/>
          <w:sz w:val="24"/>
          <w:szCs w:val="24"/>
          <w:highlight w:val="none"/>
        </w:rPr>
      </w:pPr>
      <w:r>
        <w:rPr>
          <w:rFonts w:hint="eastAsia" w:ascii="宋体" w:hAnsi="宋体" w:cs="宋体"/>
          <w:color w:val="auto"/>
          <w:sz w:val="24"/>
          <w:szCs w:val="24"/>
          <w:highlight w:val="none"/>
        </w:rPr>
        <w:t>1.</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rPr>
        <w:tab/>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（某成员单位名称）为</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（联合体名称）牵头人。</w:t>
      </w:r>
    </w:p>
    <w:p w14:paraId="5745F08B">
      <w:pPr>
        <w:pStyle w:val="6"/>
        <w:overflowPunct w:val="0"/>
        <w:spacing w:line="360" w:lineRule="auto"/>
        <w:ind w:firstLine="480" w:firstLineChars="200"/>
        <w:contextualSpacing/>
        <w:rPr>
          <w:rFonts w:hint="eastAsia" w:ascii="宋体" w:hAnsi="宋体" w:cs="宋体"/>
          <w:color w:val="auto"/>
          <w:sz w:val="24"/>
          <w:szCs w:val="24"/>
          <w:highlight w:val="none"/>
        </w:rPr>
      </w:pPr>
      <w:r>
        <w:rPr>
          <w:rFonts w:hint="eastAsia" w:ascii="宋体" w:hAnsi="宋体" w:cs="宋体"/>
          <w:color w:val="auto"/>
          <w:sz w:val="24"/>
          <w:szCs w:val="24"/>
          <w:highlight w:val="none"/>
        </w:rPr>
        <w:t>2.联合体各成员授权牵头人代表联合体参加</w:t>
      </w:r>
      <w:r>
        <w:rPr>
          <w:rFonts w:hint="eastAsia" w:ascii="宋体" w:hAnsi="宋体" w:cs="宋体"/>
          <w:color w:val="auto"/>
          <w:sz w:val="24"/>
          <w:highlight w:val="none"/>
          <w:lang w:bidi="ar"/>
        </w:rPr>
        <w:t>竞争性谈判</w:t>
      </w:r>
      <w:r>
        <w:rPr>
          <w:rFonts w:hint="eastAsia" w:ascii="宋体" w:hAnsi="宋体" w:cs="宋体"/>
          <w:color w:val="auto"/>
          <w:sz w:val="24"/>
          <w:szCs w:val="24"/>
          <w:highlight w:val="none"/>
        </w:rPr>
        <w:t>活动，签署文件及对文件的盖章，提交和接收相关的资料、信息及指示，进行合同谈判活动，负责合同实施阶段的组织和协调工作，以及处理与本</w:t>
      </w:r>
      <w:r>
        <w:rPr>
          <w:rFonts w:hint="eastAsia" w:ascii="宋体" w:hAnsi="宋体" w:cs="宋体"/>
          <w:color w:val="auto"/>
          <w:sz w:val="24"/>
          <w:highlight w:val="none"/>
          <w:lang w:bidi="ar"/>
        </w:rPr>
        <w:t>竞争性谈判</w:t>
      </w:r>
      <w:r>
        <w:rPr>
          <w:rFonts w:hint="eastAsia" w:ascii="宋体" w:hAnsi="宋体" w:cs="宋体"/>
          <w:color w:val="auto"/>
          <w:sz w:val="24"/>
          <w:szCs w:val="24"/>
          <w:highlight w:val="none"/>
        </w:rPr>
        <w:t>项目有关的一切事宜。</w:t>
      </w:r>
    </w:p>
    <w:p w14:paraId="3129FBB5">
      <w:pPr>
        <w:pStyle w:val="6"/>
        <w:overflowPunct w:val="0"/>
        <w:spacing w:line="360" w:lineRule="auto"/>
        <w:ind w:firstLine="480" w:firstLineChars="200"/>
        <w:contextualSpacing/>
        <w:rPr>
          <w:rFonts w:hint="eastAsia" w:ascii="宋体" w:hAnsi="宋体" w:cs="宋体"/>
          <w:color w:val="auto"/>
          <w:sz w:val="24"/>
          <w:szCs w:val="24"/>
          <w:highlight w:val="none"/>
        </w:rPr>
      </w:pPr>
      <w:r>
        <w:rPr>
          <w:rFonts w:hint="eastAsia" w:ascii="宋体" w:hAnsi="宋体" w:cs="宋体"/>
          <w:color w:val="auto"/>
          <w:sz w:val="24"/>
          <w:szCs w:val="24"/>
          <w:highlight w:val="none"/>
        </w:rPr>
        <w:t>3.联合体牵头人在本项目中签署和盖章的一切文件和处理的一切事宜，联合体各成员均予以承认。联合体各成员将严格按照谈判文件、响应文件和合同的要求全面履行义务，并向采购人承担连带责任。</w:t>
      </w:r>
    </w:p>
    <w:p w14:paraId="32AA2838">
      <w:pPr>
        <w:pStyle w:val="6"/>
        <w:overflowPunct w:val="0"/>
        <w:spacing w:line="360" w:lineRule="auto"/>
        <w:ind w:firstLine="480" w:firstLineChars="200"/>
        <w:contextualSpacing/>
        <w:rPr>
          <w:rFonts w:hint="eastAsia" w:ascii="宋体" w:hAnsi="宋体" w:cs="宋体"/>
          <w:color w:val="auto"/>
          <w:sz w:val="24"/>
          <w:szCs w:val="24"/>
          <w:highlight w:val="none"/>
        </w:rPr>
      </w:pPr>
      <w:r>
        <w:rPr>
          <w:rFonts w:hint="eastAsia" w:ascii="宋体" w:hAnsi="宋体" w:cs="宋体"/>
          <w:color w:val="auto"/>
          <w:sz w:val="24"/>
          <w:szCs w:val="24"/>
          <w:highlight w:val="none"/>
        </w:rPr>
        <w:t>4.联合体各成员单位内部的职责分工如下：</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14:paraId="44D5C18A">
      <w:pPr>
        <w:pStyle w:val="6"/>
        <w:overflowPunct w:val="0"/>
        <w:spacing w:line="360" w:lineRule="auto"/>
        <w:ind w:firstLine="480" w:firstLineChars="200"/>
        <w:contextualSpacing/>
        <w:rPr>
          <w:rFonts w:hint="eastAsia" w:ascii="宋体" w:hAnsi="宋体" w:cs="宋体"/>
          <w:color w:val="auto"/>
          <w:sz w:val="24"/>
          <w:szCs w:val="24"/>
          <w:highlight w:val="none"/>
        </w:rPr>
      </w:pPr>
      <w:r>
        <w:rPr>
          <w:rFonts w:hint="eastAsia" w:ascii="宋体" w:hAnsi="宋体" w:cs="宋体"/>
          <w:color w:val="auto"/>
          <w:sz w:val="24"/>
          <w:szCs w:val="24"/>
          <w:highlight w:val="none"/>
        </w:rPr>
        <w:t>5.本</w:t>
      </w:r>
      <w:r>
        <w:rPr>
          <w:rFonts w:hint="eastAsia" w:ascii="宋体" w:hAnsi="宋体" w:cs="宋体"/>
          <w:color w:val="auto"/>
          <w:spacing w:val="-6"/>
          <w:sz w:val="24"/>
          <w:szCs w:val="24"/>
          <w:highlight w:val="none"/>
        </w:rPr>
        <w:t>协议书自所有成员单位法定代表人或者其委托代理人签字或者盖单位章之日起生效，合同履行完毕后自动失效。</w:t>
      </w:r>
    </w:p>
    <w:p w14:paraId="576E92C3">
      <w:pPr>
        <w:pStyle w:val="6"/>
        <w:overflowPunct w:val="0"/>
        <w:spacing w:line="360" w:lineRule="auto"/>
        <w:ind w:firstLine="480" w:firstLineChars="200"/>
        <w:contextualSpacing/>
        <w:rPr>
          <w:rFonts w:hint="eastAsia" w:ascii="宋体" w:hAnsi="宋体" w:cs="宋体"/>
          <w:color w:val="auto"/>
          <w:sz w:val="24"/>
          <w:szCs w:val="24"/>
          <w:highlight w:val="none"/>
        </w:rPr>
      </w:pPr>
      <w:r>
        <w:rPr>
          <w:rFonts w:hint="eastAsia" w:ascii="宋体" w:hAnsi="宋体" w:cs="宋体"/>
          <w:color w:val="auto"/>
          <w:sz w:val="24"/>
          <w:szCs w:val="24"/>
          <w:highlight w:val="none"/>
        </w:rPr>
        <w:t>6.本协议书一式</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rPr>
        <w:tab/>
      </w:r>
      <w:r>
        <w:rPr>
          <w:rFonts w:hint="eastAsia" w:ascii="宋体" w:hAnsi="宋体" w:cs="宋体"/>
          <w:color w:val="auto"/>
          <w:sz w:val="24"/>
          <w:szCs w:val="24"/>
          <w:highlight w:val="none"/>
        </w:rPr>
        <w:t>份，联合体成员和采购人各执壹份。</w:t>
      </w:r>
    </w:p>
    <w:p w14:paraId="4801358E">
      <w:pPr>
        <w:pStyle w:val="6"/>
        <w:overflowPunct w:val="0"/>
        <w:spacing w:line="360" w:lineRule="auto"/>
        <w:ind w:firstLine="480" w:firstLineChars="200"/>
        <w:contextualSpacing/>
        <w:rPr>
          <w:rFonts w:hint="eastAsia" w:ascii="宋体" w:hAnsi="宋体" w:cs="宋体"/>
          <w:color w:val="auto"/>
          <w:sz w:val="24"/>
          <w:szCs w:val="24"/>
          <w:highlight w:val="none"/>
        </w:rPr>
      </w:pPr>
      <w:r>
        <w:rPr>
          <w:rFonts w:hint="eastAsia" w:ascii="宋体" w:hAnsi="宋体" w:cs="宋体"/>
          <w:color w:val="auto"/>
          <w:sz w:val="24"/>
          <w:szCs w:val="24"/>
          <w:highlight w:val="none"/>
        </w:rPr>
        <w:t>注：本协议书由法定代表人签字的，应附法定代表人身份证明；由委托代理人签字的，应附联合体协议签订授权委托书（格式自拟）。</w:t>
      </w:r>
    </w:p>
    <w:p w14:paraId="717065F2">
      <w:pPr>
        <w:pStyle w:val="6"/>
        <w:overflowPunct w:val="0"/>
        <w:spacing w:line="360" w:lineRule="auto"/>
        <w:ind w:firstLineChars="175"/>
        <w:contextualSpacing/>
        <w:rPr>
          <w:rFonts w:hint="eastAsia" w:ascii="宋体" w:hAnsi="宋体" w:cs="宋体"/>
          <w:color w:val="auto"/>
          <w:sz w:val="24"/>
          <w:szCs w:val="24"/>
          <w:highlight w:val="none"/>
        </w:rPr>
      </w:pPr>
    </w:p>
    <w:p w14:paraId="0003DB32">
      <w:pPr>
        <w:pStyle w:val="6"/>
        <w:overflowPunct w:val="0"/>
        <w:spacing w:line="360" w:lineRule="auto"/>
        <w:ind w:firstLine="0"/>
        <w:contextualSpacing/>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联合体牵头人名称（公章）：</w:t>
      </w:r>
      <w:r>
        <w:rPr>
          <w:rFonts w:hint="eastAsia" w:ascii="宋体" w:hAnsi="宋体" w:cs="宋体"/>
          <w:color w:val="auto"/>
          <w:sz w:val="24"/>
          <w:szCs w:val="24"/>
          <w:highlight w:val="none"/>
          <w:u w:val="single"/>
        </w:rPr>
        <w:t xml:space="preserve"> </w:t>
      </w:r>
      <w:r>
        <w:rPr>
          <w:rFonts w:ascii="宋体" w:hAnsi="宋体" w:cs="宋体"/>
          <w:color w:val="auto"/>
          <w:sz w:val="24"/>
          <w:szCs w:val="24"/>
          <w:highlight w:val="none"/>
          <w:u w:val="single"/>
        </w:rPr>
        <w:t xml:space="preserve">               </w:t>
      </w:r>
    </w:p>
    <w:p w14:paraId="2EFCBE65">
      <w:pPr>
        <w:pStyle w:val="6"/>
        <w:overflowPunct w:val="0"/>
        <w:spacing w:line="360" w:lineRule="auto"/>
        <w:ind w:firstLine="0"/>
        <w:contextualSpacing/>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法定代表人或者其委托代理人（签字）：</w:t>
      </w:r>
      <w:r>
        <w:rPr>
          <w:rFonts w:hint="eastAsia" w:ascii="宋体" w:hAnsi="宋体" w:cs="宋体"/>
          <w:color w:val="auto"/>
          <w:sz w:val="24"/>
          <w:szCs w:val="24"/>
          <w:highlight w:val="none"/>
          <w:u w:val="single"/>
        </w:rPr>
        <w:t xml:space="preserve"> </w:t>
      </w:r>
      <w:r>
        <w:rPr>
          <w:rFonts w:ascii="宋体" w:hAnsi="宋体" w:cs="宋体"/>
          <w:color w:val="auto"/>
          <w:sz w:val="24"/>
          <w:szCs w:val="24"/>
          <w:highlight w:val="none"/>
          <w:u w:val="single"/>
        </w:rPr>
        <w:t xml:space="preserve">               </w:t>
      </w:r>
    </w:p>
    <w:p w14:paraId="3120E922">
      <w:pPr>
        <w:pStyle w:val="6"/>
        <w:overflowPunct w:val="0"/>
        <w:spacing w:line="360" w:lineRule="auto"/>
        <w:ind w:firstLine="0"/>
        <w:contextualSpacing/>
        <w:rPr>
          <w:rFonts w:hint="eastAsia" w:ascii="宋体" w:hAnsi="宋体" w:cs="宋体"/>
          <w:color w:val="auto"/>
          <w:sz w:val="24"/>
          <w:szCs w:val="24"/>
          <w:highlight w:val="none"/>
        </w:rPr>
      </w:pPr>
    </w:p>
    <w:p w14:paraId="569C86BE">
      <w:pPr>
        <w:pStyle w:val="6"/>
        <w:overflowPunct w:val="0"/>
        <w:spacing w:line="360" w:lineRule="auto"/>
        <w:ind w:firstLine="0"/>
        <w:contextualSpacing/>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联合体成员名称（公章）：</w:t>
      </w:r>
      <w:r>
        <w:rPr>
          <w:rFonts w:ascii="宋体" w:hAnsi="宋体" w:cs="宋体"/>
          <w:color w:val="auto"/>
          <w:sz w:val="24"/>
          <w:szCs w:val="24"/>
          <w:highlight w:val="none"/>
          <w:u w:val="single"/>
        </w:rPr>
        <w:t xml:space="preserve">               </w:t>
      </w:r>
    </w:p>
    <w:p w14:paraId="4DEA10DC">
      <w:pPr>
        <w:pStyle w:val="6"/>
        <w:overflowPunct w:val="0"/>
        <w:spacing w:line="360" w:lineRule="auto"/>
        <w:ind w:firstLine="0"/>
        <w:contextualSpacing/>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法定代表人或者其委托代理人（签字）：</w:t>
      </w:r>
      <w:r>
        <w:rPr>
          <w:rFonts w:hint="eastAsia" w:ascii="宋体" w:hAnsi="宋体" w:cs="宋体"/>
          <w:color w:val="auto"/>
          <w:sz w:val="24"/>
          <w:szCs w:val="24"/>
          <w:highlight w:val="none"/>
          <w:u w:val="single"/>
        </w:rPr>
        <w:t xml:space="preserve"> </w:t>
      </w:r>
      <w:r>
        <w:rPr>
          <w:rFonts w:ascii="宋体" w:hAnsi="宋体" w:cs="宋体"/>
          <w:color w:val="auto"/>
          <w:sz w:val="24"/>
          <w:szCs w:val="24"/>
          <w:highlight w:val="none"/>
          <w:u w:val="single"/>
        </w:rPr>
        <w:t xml:space="preserve">              </w:t>
      </w:r>
    </w:p>
    <w:p w14:paraId="2795A463">
      <w:pPr>
        <w:pStyle w:val="6"/>
        <w:overflowPunct w:val="0"/>
        <w:spacing w:line="360" w:lineRule="auto"/>
        <w:ind w:firstLine="0"/>
        <w:contextualSpacing/>
        <w:rPr>
          <w:rFonts w:hint="eastAsia" w:ascii="宋体" w:hAnsi="宋体" w:cs="宋体"/>
          <w:color w:val="auto"/>
          <w:sz w:val="24"/>
          <w:szCs w:val="24"/>
          <w:highlight w:val="none"/>
        </w:rPr>
      </w:pPr>
    </w:p>
    <w:p w14:paraId="32D022FD">
      <w:pPr>
        <w:pStyle w:val="6"/>
        <w:overflowPunct w:val="0"/>
        <w:spacing w:line="360" w:lineRule="auto"/>
        <w:ind w:firstLine="0"/>
        <w:contextualSpacing/>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联合体成员名称（公章）：</w:t>
      </w:r>
      <w:r>
        <w:rPr>
          <w:rFonts w:hint="eastAsia" w:ascii="宋体" w:hAnsi="宋体" w:cs="宋体"/>
          <w:color w:val="auto"/>
          <w:sz w:val="24"/>
          <w:szCs w:val="24"/>
          <w:highlight w:val="none"/>
          <w:u w:val="single"/>
        </w:rPr>
        <w:t xml:space="preserve"> </w:t>
      </w:r>
      <w:r>
        <w:rPr>
          <w:rFonts w:ascii="宋体" w:hAnsi="宋体" w:cs="宋体"/>
          <w:color w:val="auto"/>
          <w:sz w:val="24"/>
          <w:szCs w:val="24"/>
          <w:highlight w:val="none"/>
          <w:u w:val="single"/>
        </w:rPr>
        <w:t xml:space="preserve">                </w:t>
      </w:r>
    </w:p>
    <w:p w14:paraId="75DB0026">
      <w:pPr>
        <w:pStyle w:val="6"/>
        <w:overflowPunct w:val="0"/>
        <w:spacing w:line="360" w:lineRule="auto"/>
        <w:ind w:firstLine="0"/>
        <w:contextualSpacing/>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法定代表人或者其委托代理人（签字）：</w:t>
      </w:r>
      <w:r>
        <w:rPr>
          <w:rFonts w:hint="eastAsia" w:ascii="宋体" w:hAnsi="宋体" w:cs="宋体"/>
          <w:color w:val="auto"/>
          <w:sz w:val="24"/>
          <w:szCs w:val="24"/>
          <w:highlight w:val="none"/>
          <w:u w:val="single"/>
        </w:rPr>
        <w:t xml:space="preserve"> </w:t>
      </w:r>
      <w:r>
        <w:rPr>
          <w:rFonts w:ascii="宋体" w:hAnsi="宋体" w:cs="宋体"/>
          <w:color w:val="auto"/>
          <w:sz w:val="24"/>
          <w:szCs w:val="24"/>
          <w:highlight w:val="none"/>
          <w:u w:val="single"/>
        </w:rPr>
        <w:t xml:space="preserve">             </w:t>
      </w:r>
    </w:p>
    <w:p w14:paraId="6DA1B381">
      <w:pPr>
        <w:pStyle w:val="6"/>
        <w:overflowPunct w:val="0"/>
        <w:spacing w:line="360" w:lineRule="auto"/>
        <w:ind w:firstLine="0"/>
        <w:contextualSpacing/>
        <w:rPr>
          <w:rFonts w:hint="eastAsia" w:ascii="宋体" w:hAnsi="宋体" w:cs="宋体"/>
          <w:color w:val="auto"/>
          <w:sz w:val="24"/>
          <w:szCs w:val="24"/>
          <w:highlight w:val="none"/>
        </w:rPr>
      </w:pPr>
      <w:r>
        <w:rPr>
          <w:rFonts w:hint="eastAsia" w:ascii="宋体" w:hAnsi="宋体" w:cs="宋体"/>
          <w:color w:val="auto"/>
          <w:sz w:val="24"/>
          <w:szCs w:val="24"/>
          <w:highlight w:val="none"/>
        </w:rPr>
        <w:t>……</w:t>
      </w:r>
    </w:p>
    <w:p w14:paraId="6F7045E2">
      <w:pPr>
        <w:spacing w:line="360" w:lineRule="auto"/>
        <w:contextualSpacing/>
        <w:jc w:val="right"/>
        <w:rPr>
          <w:rFonts w:hint="eastAsia" w:ascii="宋体" w:hAnsi="宋体" w:cs="宋体"/>
          <w:color w:val="auto"/>
          <w:sz w:val="24"/>
          <w:highlight w:val="none"/>
        </w:rPr>
      </w:pPr>
      <w:r>
        <w:rPr>
          <w:rFonts w:hint="eastAsia" w:ascii="宋体" w:hAnsi="宋体" w:cs="宋体"/>
          <w:color w:val="auto"/>
          <w:sz w:val="24"/>
          <w:highlight w:val="none"/>
        </w:rPr>
        <w:t>日期：</w:t>
      </w:r>
      <w:r>
        <w:rPr>
          <w:rFonts w:hint="eastAsia" w:cs="宋体" w:asciiTheme="minorEastAsia" w:hAnsiTheme="minorEastAsia" w:eastAsiaTheme="minorEastAsia"/>
          <w:color w:val="auto"/>
          <w:spacing w:val="20"/>
          <w:sz w:val="24"/>
          <w:highlight w:val="none"/>
          <w:u w:val="single"/>
        </w:rPr>
        <w:t xml:space="preserve"> </w:t>
      </w:r>
      <w:r>
        <w:rPr>
          <w:rFonts w:cs="宋体" w:asciiTheme="minorEastAsia" w:hAnsiTheme="minorEastAsia" w:eastAsiaTheme="minorEastAsia"/>
          <w:color w:val="auto"/>
          <w:spacing w:val="20"/>
          <w:sz w:val="24"/>
          <w:highlight w:val="none"/>
          <w:u w:val="single"/>
        </w:rPr>
        <w:t xml:space="preserve">  </w:t>
      </w:r>
      <w:r>
        <w:rPr>
          <w:rFonts w:hint="eastAsia" w:cs="宋体" w:asciiTheme="minorEastAsia" w:hAnsiTheme="minorEastAsia" w:eastAsiaTheme="minorEastAsia"/>
          <w:color w:val="auto"/>
          <w:spacing w:val="20"/>
          <w:sz w:val="24"/>
          <w:highlight w:val="none"/>
          <w:u w:val="single"/>
        </w:rPr>
        <w:t xml:space="preserve">  </w:t>
      </w:r>
      <w:r>
        <w:rPr>
          <w:rFonts w:hint="eastAsia" w:cs="宋体" w:asciiTheme="minorEastAsia" w:hAnsiTheme="minorEastAsia" w:eastAsiaTheme="minorEastAsia"/>
          <w:color w:val="auto"/>
          <w:spacing w:val="20"/>
          <w:sz w:val="24"/>
          <w:highlight w:val="none"/>
        </w:rPr>
        <w:t>年</w:t>
      </w:r>
      <w:r>
        <w:rPr>
          <w:rFonts w:hint="eastAsia" w:cs="宋体" w:asciiTheme="minorEastAsia" w:hAnsiTheme="minorEastAsia" w:eastAsiaTheme="minorEastAsia"/>
          <w:color w:val="auto"/>
          <w:spacing w:val="20"/>
          <w:sz w:val="24"/>
          <w:highlight w:val="none"/>
          <w:u w:val="single"/>
        </w:rPr>
        <w:t xml:space="preserve">  </w:t>
      </w:r>
      <w:r>
        <w:rPr>
          <w:rFonts w:hint="eastAsia" w:cs="宋体" w:asciiTheme="minorEastAsia" w:hAnsiTheme="minorEastAsia" w:eastAsiaTheme="minorEastAsia"/>
          <w:color w:val="auto"/>
          <w:spacing w:val="20"/>
          <w:sz w:val="24"/>
          <w:highlight w:val="none"/>
        </w:rPr>
        <w:t>月</w:t>
      </w:r>
      <w:r>
        <w:rPr>
          <w:rFonts w:hint="eastAsia" w:cs="宋体" w:asciiTheme="minorEastAsia" w:hAnsiTheme="minorEastAsia" w:eastAsiaTheme="minorEastAsia"/>
          <w:color w:val="auto"/>
          <w:spacing w:val="20"/>
          <w:sz w:val="24"/>
          <w:highlight w:val="none"/>
          <w:u w:val="single"/>
        </w:rPr>
        <w:t xml:space="preserve">  </w:t>
      </w:r>
      <w:r>
        <w:rPr>
          <w:rFonts w:hint="eastAsia" w:cs="宋体" w:asciiTheme="minorEastAsia" w:hAnsiTheme="minorEastAsia" w:eastAsiaTheme="minorEastAsia"/>
          <w:color w:val="auto"/>
          <w:spacing w:val="20"/>
          <w:sz w:val="24"/>
          <w:highlight w:val="none"/>
        </w:rPr>
        <w:t>日</w:t>
      </w:r>
      <w:r>
        <w:rPr>
          <w:rFonts w:hint="eastAsia" w:ascii="宋体" w:hAnsi="宋体" w:cs="宋体"/>
          <w:color w:val="auto"/>
          <w:sz w:val="32"/>
          <w:szCs w:val="32"/>
          <w:highlight w:val="none"/>
        </w:rPr>
        <w:t xml:space="preserve"> </w:t>
      </w:r>
    </w:p>
    <w:p w14:paraId="4135F034">
      <w:pPr>
        <w:spacing w:line="360" w:lineRule="auto"/>
        <w:contextualSpacing/>
        <w:jc w:val="left"/>
        <w:rPr>
          <w:rFonts w:hint="eastAsia" w:ascii="宋体" w:hAnsi="宋体" w:cs="宋体"/>
          <w:b/>
          <w:color w:val="auto"/>
          <w:sz w:val="32"/>
          <w:szCs w:val="32"/>
          <w:highlight w:val="none"/>
        </w:rPr>
      </w:pPr>
      <w:r>
        <w:rPr>
          <w:rFonts w:hint="eastAsia" w:ascii="宋体" w:hAnsi="宋体" w:cs="宋体"/>
          <w:color w:val="auto"/>
          <w:szCs w:val="21"/>
          <w:highlight w:val="none"/>
        </w:rPr>
        <w:br w:type="page"/>
      </w:r>
      <w:r>
        <w:rPr>
          <w:rFonts w:hint="eastAsia" w:ascii="宋体" w:hAnsi="宋体" w:cs="宋体"/>
          <w:b/>
          <w:bCs/>
          <w:color w:val="auto"/>
          <w:sz w:val="32"/>
          <w:szCs w:val="32"/>
          <w:highlight w:val="none"/>
        </w:rPr>
        <w:t>二、</w:t>
      </w:r>
      <w:r>
        <w:rPr>
          <w:rFonts w:hint="eastAsia" w:ascii="宋体" w:hAnsi="宋体" w:cs="宋体"/>
          <w:b/>
          <w:color w:val="auto"/>
          <w:sz w:val="32"/>
          <w:szCs w:val="32"/>
          <w:highlight w:val="none"/>
        </w:rPr>
        <w:t xml:space="preserve">报价商务技术文件格式 </w:t>
      </w:r>
    </w:p>
    <w:p w14:paraId="4D4CD388">
      <w:pPr>
        <w:snapToGrid w:val="0"/>
        <w:spacing w:line="360" w:lineRule="auto"/>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rPr>
        <w:t>1.报价商务技术文件封面格式</w:t>
      </w:r>
    </w:p>
    <w:p w14:paraId="175BDDAD">
      <w:pPr>
        <w:snapToGrid w:val="0"/>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                                                   </w:t>
      </w:r>
    </w:p>
    <w:p w14:paraId="3A540473">
      <w:pPr>
        <w:snapToGrid w:val="0"/>
        <w:spacing w:line="360" w:lineRule="auto"/>
        <w:rPr>
          <w:rFonts w:hint="eastAsia" w:ascii="宋体" w:hAnsi="宋体" w:cs="宋体"/>
          <w:color w:val="auto"/>
          <w:sz w:val="24"/>
          <w:highlight w:val="none"/>
        </w:rPr>
      </w:pPr>
    </w:p>
    <w:p w14:paraId="443B7802">
      <w:pPr>
        <w:snapToGrid w:val="0"/>
        <w:spacing w:line="360" w:lineRule="auto"/>
        <w:rPr>
          <w:rFonts w:hint="eastAsia" w:ascii="宋体" w:hAnsi="宋体" w:cs="宋体"/>
          <w:color w:val="auto"/>
          <w:sz w:val="24"/>
          <w:szCs w:val="20"/>
          <w:highlight w:val="none"/>
        </w:rPr>
      </w:pPr>
    </w:p>
    <w:p w14:paraId="3877C276">
      <w:pPr>
        <w:snapToGrid w:val="0"/>
        <w:spacing w:line="360" w:lineRule="auto"/>
        <w:jc w:val="center"/>
        <w:rPr>
          <w:rFonts w:hint="eastAsia" w:ascii="宋体" w:hAnsi="宋体" w:cs="宋体"/>
          <w:bCs/>
          <w:color w:val="auto"/>
          <w:sz w:val="84"/>
          <w:szCs w:val="84"/>
          <w:highlight w:val="none"/>
        </w:rPr>
      </w:pPr>
      <w:r>
        <w:rPr>
          <w:rFonts w:hint="eastAsia" w:ascii="宋体" w:hAnsi="宋体" w:cs="宋体"/>
          <w:b/>
          <w:color w:val="auto"/>
          <w:sz w:val="84"/>
          <w:szCs w:val="84"/>
          <w:highlight w:val="none"/>
        </w:rPr>
        <w:t>响  应  文  件</w:t>
      </w:r>
    </w:p>
    <w:p w14:paraId="656C0B9F">
      <w:pPr>
        <w:snapToGrid w:val="0"/>
        <w:spacing w:line="360" w:lineRule="auto"/>
        <w:rPr>
          <w:rFonts w:hint="eastAsia" w:ascii="宋体" w:hAnsi="宋体" w:cs="宋体"/>
          <w:color w:val="auto"/>
          <w:sz w:val="24"/>
          <w:szCs w:val="20"/>
          <w:highlight w:val="none"/>
        </w:rPr>
      </w:pPr>
    </w:p>
    <w:p w14:paraId="7D06BC08">
      <w:pPr>
        <w:snapToGrid w:val="0"/>
        <w:spacing w:line="360" w:lineRule="auto"/>
        <w:jc w:val="center"/>
        <w:rPr>
          <w:rFonts w:hint="eastAsia" w:ascii="宋体" w:hAnsi="宋体" w:cs="宋体"/>
          <w:bCs/>
          <w:color w:val="auto"/>
          <w:sz w:val="32"/>
          <w:szCs w:val="32"/>
          <w:highlight w:val="none"/>
        </w:rPr>
      </w:pPr>
      <w:r>
        <w:rPr>
          <w:rFonts w:hint="eastAsia" w:ascii="宋体" w:hAnsi="宋体" w:cs="宋体"/>
          <w:bCs/>
          <w:color w:val="auto"/>
          <w:sz w:val="32"/>
          <w:szCs w:val="32"/>
          <w:highlight w:val="none"/>
        </w:rPr>
        <w:t>报价商务技术文件</w:t>
      </w:r>
    </w:p>
    <w:p w14:paraId="066886FB">
      <w:pPr>
        <w:snapToGrid w:val="0"/>
        <w:spacing w:line="360" w:lineRule="auto"/>
        <w:rPr>
          <w:rFonts w:hint="eastAsia" w:ascii="宋体" w:hAnsi="宋体" w:cs="宋体"/>
          <w:bCs/>
          <w:color w:val="auto"/>
          <w:sz w:val="28"/>
          <w:szCs w:val="28"/>
          <w:highlight w:val="none"/>
        </w:rPr>
      </w:pPr>
    </w:p>
    <w:p w14:paraId="730EF943">
      <w:pPr>
        <w:snapToGrid w:val="0"/>
        <w:spacing w:line="360" w:lineRule="auto"/>
        <w:rPr>
          <w:rFonts w:hint="eastAsia" w:ascii="宋体" w:hAnsi="宋体" w:cs="宋体"/>
          <w:bCs/>
          <w:color w:val="auto"/>
          <w:sz w:val="28"/>
          <w:szCs w:val="28"/>
          <w:highlight w:val="none"/>
        </w:rPr>
      </w:pPr>
    </w:p>
    <w:p w14:paraId="207D7461">
      <w:pPr>
        <w:snapToGrid w:val="0"/>
        <w:spacing w:line="360" w:lineRule="auto"/>
        <w:ind w:firstLine="1680" w:firstLineChars="600"/>
        <w:rPr>
          <w:rFonts w:hint="eastAsia" w:ascii="宋体" w:hAnsi="宋体" w:cs="宋体"/>
          <w:bCs/>
          <w:color w:val="auto"/>
          <w:sz w:val="28"/>
          <w:szCs w:val="28"/>
          <w:highlight w:val="none"/>
        </w:rPr>
      </w:pPr>
      <w:r>
        <w:rPr>
          <w:rFonts w:hint="eastAsia" w:ascii="宋体" w:hAnsi="宋体" w:cs="宋体"/>
          <w:bCs/>
          <w:color w:val="auto"/>
          <w:sz w:val="28"/>
          <w:szCs w:val="28"/>
          <w:highlight w:val="none"/>
        </w:rPr>
        <w:t>项目名称：</w:t>
      </w:r>
    </w:p>
    <w:p w14:paraId="07E67C97">
      <w:pPr>
        <w:snapToGrid w:val="0"/>
        <w:spacing w:line="360" w:lineRule="auto"/>
        <w:ind w:firstLine="1680" w:firstLineChars="600"/>
        <w:rPr>
          <w:rFonts w:hint="eastAsia" w:ascii="宋体" w:hAnsi="宋体" w:cs="宋体"/>
          <w:bCs/>
          <w:color w:val="auto"/>
          <w:sz w:val="28"/>
          <w:szCs w:val="28"/>
          <w:highlight w:val="none"/>
        </w:rPr>
      </w:pPr>
      <w:r>
        <w:rPr>
          <w:rFonts w:hint="eastAsia" w:ascii="宋体" w:hAnsi="宋体" w:cs="宋体"/>
          <w:bCs/>
          <w:color w:val="auto"/>
          <w:sz w:val="28"/>
          <w:szCs w:val="28"/>
          <w:highlight w:val="none"/>
        </w:rPr>
        <w:t xml:space="preserve">项目编号： </w:t>
      </w:r>
    </w:p>
    <w:p w14:paraId="30466E0B">
      <w:pPr>
        <w:snapToGrid w:val="0"/>
        <w:spacing w:line="360" w:lineRule="auto"/>
        <w:ind w:firstLine="1680" w:firstLineChars="600"/>
        <w:rPr>
          <w:rFonts w:hint="eastAsia" w:ascii="宋体" w:hAnsi="宋体" w:cs="宋体"/>
          <w:bCs/>
          <w:color w:val="auto"/>
          <w:sz w:val="28"/>
          <w:szCs w:val="28"/>
          <w:highlight w:val="none"/>
        </w:rPr>
      </w:pPr>
      <w:r>
        <w:rPr>
          <w:rFonts w:hint="eastAsia" w:ascii="宋体" w:hAnsi="宋体" w:cs="宋体"/>
          <w:bCs/>
          <w:color w:val="auto"/>
          <w:sz w:val="28"/>
          <w:szCs w:val="28"/>
          <w:highlight w:val="none"/>
        </w:rPr>
        <w:t>所竞分标（如有）：</w:t>
      </w:r>
    </w:p>
    <w:p w14:paraId="18F876E3">
      <w:pPr>
        <w:pStyle w:val="6"/>
        <w:snapToGrid w:val="0"/>
        <w:spacing w:line="360" w:lineRule="auto"/>
        <w:ind w:firstLine="1680" w:firstLineChars="600"/>
        <w:rPr>
          <w:rFonts w:hint="eastAsia" w:ascii="宋体" w:hAnsi="宋体" w:cs="宋体"/>
          <w:bCs/>
          <w:color w:val="auto"/>
          <w:sz w:val="28"/>
          <w:szCs w:val="28"/>
          <w:highlight w:val="none"/>
        </w:rPr>
      </w:pPr>
      <w:r>
        <w:rPr>
          <w:rFonts w:hint="eastAsia" w:ascii="宋体" w:hAnsi="宋体" w:cs="宋体"/>
          <w:bCs/>
          <w:color w:val="auto"/>
          <w:sz w:val="28"/>
          <w:szCs w:val="28"/>
          <w:highlight w:val="none"/>
        </w:rPr>
        <w:t>供应商名称：</w:t>
      </w:r>
    </w:p>
    <w:p w14:paraId="0EF5A29B">
      <w:pPr>
        <w:pStyle w:val="6"/>
        <w:snapToGrid w:val="0"/>
        <w:spacing w:line="360" w:lineRule="auto"/>
        <w:ind w:firstLine="1680" w:firstLineChars="600"/>
        <w:rPr>
          <w:rFonts w:hint="eastAsia" w:ascii="宋体" w:hAnsi="宋体" w:cs="宋体"/>
          <w:bCs/>
          <w:color w:val="auto"/>
          <w:sz w:val="28"/>
          <w:szCs w:val="28"/>
          <w:highlight w:val="none"/>
        </w:rPr>
      </w:pPr>
    </w:p>
    <w:p w14:paraId="006BDA5F">
      <w:pPr>
        <w:snapToGrid w:val="0"/>
        <w:spacing w:line="360" w:lineRule="auto"/>
        <w:jc w:val="center"/>
        <w:rPr>
          <w:rFonts w:hint="eastAsia" w:ascii="宋体" w:hAnsi="宋体" w:cs="宋体"/>
          <w:color w:val="auto"/>
          <w:sz w:val="28"/>
          <w:szCs w:val="28"/>
          <w:highlight w:val="none"/>
        </w:rPr>
      </w:pPr>
      <w:r>
        <w:rPr>
          <w:rFonts w:hint="eastAsia" w:ascii="宋体" w:hAnsi="宋体" w:cs="宋体"/>
          <w:color w:val="auto"/>
          <w:sz w:val="28"/>
          <w:szCs w:val="28"/>
          <w:highlight w:val="none"/>
        </w:rPr>
        <w:t>年    月    日</w:t>
      </w:r>
    </w:p>
    <w:p w14:paraId="44A51B9E">
      <w:pPr>
        <w:snapToGrid w:val="0"/>
        <w:spacing w:line="360" w:lineRule="auto"/>
        <w:jc w:val="left"/>
        <w:rPr>
          <w:rFonts w:hint="eastAsia" w:ascii="宋体" w:hAnsi="宋体" w:cs="宋体"/>
          <w:b/>
          <w:bCs/>
          <w:color w:val="auto"/>
          <w:sz w:val="24"/>
          <w:highlight w:val="none"/>
        </w:rPr>
      </w:pPr>
      <w:r>
        <w:rPr>
          <w:rFonts w:hint="eastAsia" w:ascii="宋体" w:hAnsi="宋体" w:cs="宋体"/>
          <w:color w:val="auto"/>
          <w:sz w:val="28"/>
          <w:szCs w:val="28"/>
          <w:highlight w:val="none"/>
        </w:rPr>
        <w:br w:type="page"/>
      </w:r>
      <w:r>
        <w:rPr>
          <w:rFonts w:hint="eastAsia" w:ascii="宋体" w:hAnsi="宋体" w:cs="宋体"/>
          <w:b/>
          <w:bCs/>
          <w:color w:val="auto"/>
          <w:sz w:val="32"/>
          <w:szCs w:val="32"/>
          <w:highlight w:val="none"/>
        </w:rPr>
        <w:t>2.报价商务技术文件目录</w:t>
      </w:r>
    </w:p>
    <w:p w14:paraId="0D216394">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根据谈判文件规定及供应商提供的材料自行编写目录（部分格式后附）。</w:t>
      </w:r>
    </w:p>
    <w:p w14:paraId="54F5E846">
      <w:pPr>
        <w:spacing w:line="360" w:lineRule="auto"/>
        <w:rPr>
          <w:rFonts w:hint="eastAsia" w:ascii="宋体" w:hAnsi="宋体" w:cs="宋体"/>
          <w:color w:val="auto"/>
          <w:sz w:val="32"/>
          <w:szCs w:val="32"/>
          <w:highlight w:val="none"/>
        </w:rPr>
      </w:pPr>
    </w:p>
    <w:p w14:paraId="78DCB884">
      <w:pPr>
        <w:spacing w:line="360" w:lineRule="auto"/>
        <w:jc w:val="center"/>
        <w:rPr>
          <w:rFonts w:hint="eastAsia" w:ascii="宋体" w:hAnsi="宋体" w:cs="宋体"/>
          <w:b/>
          <w:color w:val="auto"/>
          <w:sz w:val="32"/>
          <w:szCs w:val="32"/>
          <w:highlight w:val="none"/>
        </w:rPr>
      </w:pPr>
      <w:r>
        <w:rPr>
          <w:rFonts w:hint="eastAsia" w:ascii="宋体" w:hAnsi="宋体" w:cs="宋体"/>
          <w:color w:val="auto"/>
          <w:sz w:val="44"/>
          <w:szCs w:val="44"/>
          <w:highlight w:val="none"/>
        </w:rPr>
        <w:br w:type="page"/>
      </w:r>
      <w:r>
        <w:rPr>
          <w:rFonts w:hint="eastAsia" w:ascii="宋体" w:hAnsi="宋体" w:cs="宋体"/>
          <w:b/>
          <w:color w:val="auto"/>
          <w:sz w:val="44"/>
          <w:szCs w:val="44"/>
          <w:highlight w:val="none"/>
        </w:rPr>
        <w:t>无串通参与竞争性谈判行为的承诺函</w:t>
      </w:r>
    </w:p>
    <w:p w14:paraId="469FA028">
      <w:pPr>
        <w:spacing w:line="360" w:lineRule="auto"/>
        <w:ind w:firstLine="640" w:firstLineChars="200"/>
        <w:contextualSpacing/>
        <w:rPr>
          <w:rFonts w:hint="eastAsia" w:ascii="宋体" w:hAnsi="宋体" w:cs="宋体"/>
          <w:color w:val="auto"/>
          <w:sz w:val="32"/>
          <w:szCs w:val="32"/>
          <w:highlight w:val="none"/>
        </w:rPr>
      </w:pPr>
    </w:p>
    <w:p w14:paraId="74CFF046">
      <w:pPr>
        <w:spacing w:line="360" w:lineRule="auto"/>
        <w:ind w:firstLine="482" w:firstLineChars="200"/>
        <w:contextualSpacing/>
        <w:rPr>
          <w:rFonts w:hint="eastAsia" w:ascii="宋体" w:hAnsi="宋体" w:cs="宋体"/>
          <w:b/>
          <w:bCs/>
          <w:color w:val="auto"/>
          <w:sz w:val="24"/>
          <w:highlight w:val="none"/>
        </w:rPr>
      </w:pPr>
      <w:r>
        <w:rPr>
          <w:rFonts w:hint="eastAsia" w:ascii="宋体" w:hAnsi="宋体" w:cs="宋体"/>
          <w:b/>
          <w:bCs/>
          <w:color w:val="auto"/>
          <w:sz w:val="24"/>
          <w:highlight w:val="none"/>
        </w:rPr>
        <w:t>一、我方承诺无下列相互串通参与</w:t>
      </w:r>
      <w:r>
        <w:rPr>
          <w:rFonts w:hint="eastAsia" w:ascii="宋体" w:hAnsi="宋体" w:cs="宋体"/>
          <w:b/>
          <w:color w:val="auto"/>
          <w:sz w:val="24"/>
          <w:highlight w:val="none"/>
          <w:lang w:bidi="ar"/>
        </w:rPr>
        <w:t>竞争性谈判</w:t>
      </w:r>
      <w:r>
        <w:rPr>
          <w:rFonts w:hint="eastAsia" w:ascii="宋体" w:hAnsi="宋体" w:cs="宋体"/>
          <w:b/>
          <w:bCs/>
          <w:color w:val="auto"/>
          <w:sz w:val="24"/>
          <w:highlight w:val="none"/>
        </w:rPr>
        <w:t>的情形：</w:t>
      </w:r>
    </w:p>
    <w:p w14:paraId="6841B426">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1.不同供应商的响应文件由同一单位或者个人编制；</w:t>
      </w:r>
    </w:p>
    <w:p w14:paraId="3BA9066C">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2.不同供应商委托同一单位或者个人办理参与</w:t>
      </w:r>
      <w:r>
        <w:rPr>
          <w:rFonts w:hint="eastAsia" w:ascii="宋体" w:hAnsi="宋体" w:cs="宋体"/>
          <w:color w:val="auto"/>
          <w:sz w:val="24"/>
          <w:highlight w:val="none"/>
          <w:lang w:bidi="ar"/>
        </w:rPr>
        <w:t>竞争性谈判</w:t>
      </w:r>
      <w:r>
        <w:rPr>
          <w:rFonts w:hint="eastAsia" w:ascii="宋体" w:hAnsi="宋体" w:cs="宋体"/>
          <w:color w:val="auto"/>
          <w:sz w:val="24"/>
          <w:highlight w:val="none"/>
        </w:rPr>
        <w:t>事宜；</w:t>
      </w:r>
    </w:p>
    <w:p w14:paraId="5E68374C">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3.不同的供应商的响应文件载明的项目管理员为同一个人；</w:t>
      </w:r>
    </w:p>
    <w:p w14:paraId="5F1E452F">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4.不</w:t>
      </w:r>
      <w:r>
        <w:rPr>
          <w:rFonts w:hint="eastAsia" w:ascii="宋体" w:hAnsi="宋体" w:cs="宋体"/>
          <w:color w:val="auto"/>
          <w:spacing w:val="-6"/>
          <w:sz w:val="24"/>
          <w:highlight w:val="none"/>
        </w:rPr>
        <w:t>同供应商的响应文件异常一致或者参与</w:t>
      </w:r>
      <w:r>
        <w:rPr>
          <w:rFonts w:hint="eastAsia" w:ascii="宋体" w:hAnsi="宋体" w:cs="宋体"/>
          <w:color w:val="auto"/>
          <w:sz w:val="24"/>
          <w:highlight w:val="none"/>
          <w:lang w:bidi="ar"/>
        </w:rPr>
        <w:t>竞争性谈判的</w:t>
      </w:r>
      <w:r>
        <w:rPr>
          <w:rFonts w:hint="eastAsia" w:ascii="宋体" w:hAnsi="宋体" w:cs="宋体"/>
          <w:color w:val="auto"/>
          <w:spacing w:val="-6"/>
          <w:sz w:val="24"/>
          <w:highlight w:val="none"/>
        </w:rPr>
        <w:t>报价呈规律性差异；</w:t>
      </w:r>
    </w:p>
    <w:p w14:paraId="27510F77">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5.不同供应商的响应文件相互混装；</w:t>
      </w:r>
    </w:p>
    <w:p w14:paraId="6BCB1794">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6.不同供应商的谈判保证金从同一单位或者个人账户转出。</w:t>
      </w:r>
    </w:p>
    <w:p w14:paraId="69547050">
      <w:pPr>
        <w:spacing w:line="360" w:lineRule="auto"/>
        <w:ind w:firstLine="482" w:firstLineChars="200"/>
        <w:contextualSpacing/>
        <w:rPr>
          <w:rFonts w:hint="eastAsia" w:ascii="宋体" w:hAnsi="宋体" w:cs="宋体"/>
          <w:b/>
          <w:bCs/>
          <w:color w:val="auto"/>
          <w:sz w:val="24"/>
          <w:highlight w:val="none"/>
        </w:rPr>
      </w:pPr>
      <w:r>
        <w:rPr>
          <w:rFonts w:hint="eastAsia" w:ascii="宋体" w:hAnsi="宋体" w:cs="宋体"/>
          <w:b/>
          <w:bCs/>
          <w:color w:val="auto"/>
          <w:sz w:val="24"/>
          <w:highlight w:val="none"/>
        </w:rPr>
        <w:t>二、我方承诺无下列恶意串通的情形：</w:t>
      </w:r>
    </w:p>
    <w:p w14:paraId="6765AE76">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1.供应商直接或者间接从采购人或者采购代理机构处获得其他供应商的相关信息并修改其响应文件；</w:t>
      </w:r>
    </w:p>
    <w:p w14:paraId="42E2D94E">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2.供应商按照采购人或者采购代理机构的授意撤换、修改响应文件；</w:t>
      </w:r>
    </w:p>
    <w:p w14:paraId="13B76985">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3.供</w:t>
      </w:r>
      <w:r>
        <w:rPr>
          <w:rFonts w:hint="eastAsia" w:ascii="宋体" w:hAnsi="宋体" w:cs="宋体"/>
          <w:color w:val="auto"/>
          <w:spacing w:val="-6"/>
          <w:sz w:val="24"/>
          <w:highlight w:val="none"/>
        </w:rPr>
        <w:t>应商之间协商报价、技术方案等响应文件的实质性内容；</w:t>
      </w:r>
    </w:p>
    <w:p w14:paraId="7E57C12B">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4.属于同一集团、协会、商会等组织成员的供应商按照该组织要求协同参加政府采购活动；</w:t>
      </w:r>
    </w:p>
    <w:p w14:paraId="079A951F">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5.供应商之间事先约定一致抬高或者压低</w:t>
      </w:r>
      <w:r>
        <w:rPr>
          <w:rFonts w:hint="eastAsia" w:ascii="宋体" w:hAnsi="宋体" w:cs="宋体"/>
          <w:color w:val="auto"/>
          <w:sz w:val="24"/>
          <w:highlight w:val="none"/>
          <w:lang w:bidi="ar"/>
        </w:rPr>
        <w:t>竞争性谈判</w:t>
      </w:r>
      <w:r>
        <w:rPr>
          <w:rFonts w:hint="eastAsia" w:ascii="宋体" w:hAnsi="宋体" w:cs="宋体"/>
          <w:color w:val="auto"/>
          <w:sz w:val="24"/>
          <w:highlight w:val="none"/>
        </w:rPr>
        <w:t>报价,或者在竞争性谈判项目中事先约定轮流以高价位或者低价位成交,或者事先约定由某一特定供应商成交,然后再参加</w:t>
      </w:r>
      <w:r>
        <w:rPr>
          <w:rFonts w:hint="eastAsia" w:ascii="宋体" w:hAnsi="宋体" w:cs="宋体"/>
          <w:color w:val="auto"/>
          <w:sz w:val="24"/>
          <w:highlight w:val="none"/>
          <w:lang w:bidi="ar"/>
        </w:rPr>
        <w:t>竞争性谈判</w:t>
      </w:r>
      <w:r>
        <w:rPr>
          <w:rFonts w:hint="eastAsia" w:ascii="宋体" w:hAnsi="宋体" w:cs="宋体"/>
          <w:color w:val="auto"/>
          <w:sz w:val="24"/>
          <w:highlight w:val="none"/>
        </w:rPr>
        <w:t>；</w:t>
      </w:r>
    </w:p>
    <w:p w14:paraId="50577B89">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6.供应商之间商定部分供应商放弃参加政府采购活动或者放弃成交；</w:t>
      </w:r>
    </w:p>
    <w:p w14:paraId="472B163A">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7.供应商与采购人或者采购代理机构之间、供应商相互之间，为</w:t>
      </w:r>
      <w:r>
        <w:rPr>
          <w:rFonts w:hint="eastAsia" w:ascii="宋体" w:hAnsi="宋体" w:cs="宋体"/>
          <w:color w:val="auto"/>
          <w:spacing w:val="-6"/>
          <w:sz w:val="24"/>
          <w:highlight w:val="none"/>
        </w:rPr>
        <w:t>谋求特定供应商成交或者排斥其他供应商的其他串通行为。</w:t>
      </w:r>
    </w:p>
    <w:p w14:paraId="5B0098A5">
      <w:pPr>
        <w:spacing w:line="360" w:lineRule="auto"/>
        <w:ind w:firstLine="480" w:firstLineChars="200"/>
        <w:contextualSpacing/>
        <w:rPr>
          <w:rFonts w:hint="eastAsia" w:ascii="宋体" w:hAnsi="宋体" w:cs="宋体"/>
          <w:color w:val="auto"/>
          <w:sz w:val="24"/>
          <w:highlight w:val="none"/>
        </w:rPr>
      </w:pPr>
    </w:p>
    <w:p w14:paraId="40ECC929">
      <w:pPr>
        <w:spacing w:line="360" w:lineRule="auto"/>
        <w:ind w:firstLine="482" w:firstLineChars="200"/>
        <w:contextualSpacing/>
        <w:rPr>
          <w:rFonts w:hint="eastAsia" w:ascii="宋体" w:hAnsi="宋体" w:cs="宋体"/>
          <w:b/>
          <w:bCs/>
          <w:color w:val="auto"/>
          <w:sz w:val="24"/>
          <w:highlight w:val="none"/>
        </w:rPr>
      </w:pPr>
      <w:r>
        <w:rPr>
          <w:rFonts w:hint="eastAsia" w:ascii="宋体" w:hAnsi="宋体" w:cs="宋体"/>
          <w:b/>
          <w:bCs/>
          <w:color w:val="auto"/>
          <w:sz w:val="24"/>
          <w:highlight w:val="none"/>
        </w:rPr>
        <w:t>以上情形一经核查属实，我方愿意承担一切后果，并不再寻求任何旨在减轻或者免除法律责任的辩解。</w:t>
      </w:r>
    </w:p>
    <w:p w14:paraId="56EDEDDA">
      <w:pPr>
        <w:spacing w:line="360" w:lineRule="auto"/>
        <w:ind w:firstLine="480" w:firstLineChars="200"/>
        <w:contextualSpacing/>
        <w:rPr>
          <w:rFonts w:hint="eastAsia" w:ascii="宋体" w:hAnsi="宋体" w:cs="宋体"/>
          <w:color w:val="auto"/>
          <w:sz w:val="24"/>
          <w:highlight w:val="none"/>
        </w:rPr>
      </w:pPr>
    </w:p>
    <w:p w14:paraId="00CABABC">
      <w:pPr>
        <w:spacing w:line="360" w:lineRule="auto"/>
        <w:ind w:firstLine="3600" w:firstLineChars="1500"/>
        <w:contextualSpacing/>
        <w:rPr>
          <w:rFonts w:hint="eastAsia" w:ascii="宋体" w:hAnsi="宋体" w:cs="宋体"/>
          <w:color w:val="auto"/>
          <w:sz w:val="24"/>
          <w:highlight w:val="none"/>
          <w:u w:val="single"/>
        </w:rPr>
      </w:pPr>
      <w:r>
        <w:rPr>
          <w:rFonts w:hint="eastAsia" w:ascii="宋体" w:hAnsi="宋体" w:cs="宋体"/>
          <w:color w:val="auto"/>
          <w:sz w:val="24"/>
          <w:highlight w:val="none"/>
        </w:rPr>
        <w:t>供应商（公章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p>
    <w:p w14:paraId="7C6A7F68">
      <w:pPr>
        <w:spacing w:line="360" w:lineRule="auto"/>
        <w:ind w:firstLine="480" w:firstLineChars="200"/>
        <w:contextualSpacing/>
        <w:jc w:val="center"/>
        <w:rPr>
          <w:rFonts w:hint="eastAsia" w:ascii="宋体" w:hAnsi="宋体" w:cs="宋体"/>
          <w:color w:val="auto"/>
          <w:sz w:val="24"/>
          <w:highlight w:val="none"/>
        </w:rPr>
      </w:pPr>
      <w:r>
        <w:rPr>
          <w:rFonts w:hint="eastAsia" w:ascii="宋体" w:hAnsi="宋体" w:cs="宋体"/>
          <w:color w:val="auto"/>
          <w:sz w:val="24"/>
          <w:highlight w:val="none"/>
        </w:rPr>
        <w:t xml:space="preserve">                              日期：</w:t>
      </w:r>
      <w:r>
        <w:rPr>
          <w:rFonts w:hint="eastAsia" w:cs="宋体" w:asciiTheme="minorEastAsia" w:hAnsiTheme="minorEastAsia" w:eastAsiaTheme="minorEastAsia"/>
          <w:color w:val="auto"/>
          <w:spacing w:val="20"/>
          <w:sz w:val="24"/>
          <w:highlight w:val="none"/>
          <w:u w:val="single"/>
        </w:rPr>
        <w:t xml:space="preserve"> </w:t>
      </w:r>
      <w:r>
        <w:rPr>
          <w:rFonts w:cs="宋体" w:asciiTheme="minorEastAsia" w:hAnsiTheme="minorEastAsia" w:eastAsiaTheme="minorEastAsia"/>
          <w:color w:val="auto"/>
          <w:spacing w:val="20"/>
          <w:sz w:val="24"/>
          <w:highlight w:val="none"/>
          <w:u w:val="single"/>
        </w:rPr>
        <w:t xml:space="preserve">  </w:t>
      </w:r>
      <w:r>
        <w:rPr>
          <w:rFonts w:hint="eastAsia" w:cs="宋体" w:asciiTheme="minorEastAsia" w:hAnsiTheme="minorEastAsia" w:eastAsiaTheme="minorEastAsia"/>
          <w:color w:val="auto"/>
          <w:spacing w:val="20"/>
          <w:sz w:val="24"/>
          <w:highlight w:val="none"/>
          <w:u w:val="single"/>
        </w:rPr>
        <w:t xml:space="preserve">  </w:t>
      </w:r>
      <w:r>
        <w:rPr>
          <w:rFonts w:hint="eastAsia" w:cs="宋体" w:asciiTheme="minorEastAsia" w:hAnsiTheme="minorEastAsia" w:eastAsiaTheme="minorEastAsia"/>
          <w:color w:val="auto"/>
          <w:spacing w:val="20"/>
          <w:sz w:val="24"/>
          <w:highlight w:val="none"/>
        </w:rPr>
        <w:t>年</w:t>
      </w:r>
      <w:r>
        <w:rPr>
          <w:rFonts w:hint="eastAsia" w:cs="宋体" w:asciiTheme="minorEastAsia" w:hAnsiTheme="minorEastAsia" w:eastAsiaTheme="minorEastAsia"/>
          <w:color w:val="auto"/>
          <w:spacing w:val="20"/>
          <w:sz w:val="24"/>
          <w:highlight w:val="none"/>
          <w:u w:val="single"/>
        </w:rPr>
        <w:t xml:space="preserve">  </w:t>
      </w:r>
      <w:r>
        <w:rPr>
          <w:rFonts w:hint="eastAsia" w:cs="宋体" w:asciiTheme="minorEastAsia" w:hAnsiTheme="minorEastAsia" w:eastAsiaTheme="minorEastAsia"/>
          <w:color w:val="auto"/>
          <w:spacing w:val="20"/>
          <w:sz w:val="24"/>
          <w:highlight w:val="none"/>
        </w:rPr>
        <w:t>月</w:t>
      </w:r>
      <w:r>
        <w:rPr>
          <w:rFonts w:hint="eastAsia" w:cs="宋体" w:asciiTheme="minorEastAsia" w:hAnsiTheme="minorEastAsia" w:eastAsiaTheme="minorEastAsia"/>
          <w:color w:val="auto"/>
          <w:spacing w:val="20"/>
          <w:sz w:val="24"/>
          <w:highlight w:val="none"/>
          <w:u w:val="single"/>
        </w:rPr>
        <w:t xml:space="preserve">  </w:t>
      </w:r>
      <w:r>
        <w:rPr>
          <w:rFonts w:hint="eastAsia" w:cs="宋体" w:asciiTheme="minorEastAsia" w:hAnsiTheme="minorEastAsia" w:eastAsiaTheme="minorEastAsia"/>
          <w:color w:val="auto"/>
          <w:spacing w:val="20"/>
          <w:sz w:val="24"/>
          <w:highlight w:val="none"/>
        </w:rPr>
        <w:t>日</w:t>
      </w:r>
    </w:p>
    <w:p w14:paraId="1CA6B311">
      <w:pPr>
        <w:tabs>
          <w:tab w:val="left" w:pos="3479"/>
        </w:tabs>
        <w:spacing w:line="360" w:lineRule="auto"/>
        <w:jc w:val="center"/>
        <w:rPr>
          <w:rFonts w:hint="eastAsia" w:ascii="宋体" w:hAnsi="宋体" w:cs="宋体"/>
          <w:b/>
          <w:bCs/>
          <w:color w:val="auto"/>
          <w:sz w:val="32"/>
          <w:szCs w:val="32"/>
          <w:highlight w:val="none"/>
        </w:rPr>
      </w:pPr>
      <w:r>
        <w:rPr>
          <w:rFonts w:hint="eastAsia" w:ascii="宋体" w:hAnsi="宋体" w:cs="宋体"/>
          <w:b/>
          <w:bCs/>
          <w:color w:val="auto"/>
          <w:sz w:val="44"/>
          <w:szCs w:val="44"/>
          <w:highlight w:val="none"/>
        </w:rPr>
        <w:t>竞争性谈判报价表</w:t>
      </w:r>
    </w:p>
    <w:p w14:paraId="423062F9">
      <w:pPr>
        <w:spacing w:line="360" w:lineRule="auto"/>
        <w:jc w:val="center"/>
        <w:rPr>
          <w:rFonts w:hint="eastAsia" w:ascii="宋体" w:hAnsi="宋体" w:cs="宋体"/>
          <w:bCs/>
          <w:color w:val="auto"/>
          <w:sz w:val="24"/>
          <w:highlight w:val="none"/>
        </w:rPr>
      </w:pPr>
    </w:p>
    <w:p w14:paraId="5551D574">
      <w:pPr>
        <w:snapToGrid w:val="0"/>
        <w:spacing w:line="360" w:lineRule="auto"/>
        <w:rPr>
          <w:rFonts w:hint="eastAsia" w:ascii="宋体" w:hAnsi="宋体" w:cs="宋体"/>
          <w:color w:val="auto"/>
          <w:sz w:val="24"/>
          <w:highlight w:val="none"/>
        </w:rPr>
      </w:pPr>
      <w:r>
        <w:rPr>
          <w:rFonts w:hint="eastAsia" w:ascii="宋体" w:hAnsi="宋体" w:cs="宋体"/>
          <w:color w:val="auto"/>
          <w:sz w:val="24"/>
          <w:highlight w:val="none"/>
        </w:rPr>
        <w:t>项目名称：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项目编号：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分标（如有）：</w:t>
      </w:r>
      <w:r>
        <w:rPr>
          <w:rFonts w:hint="eastAsia" w:ascii="宋体" w:hAnsi="宋体" w:cs="宋体"/>
          <w:color w:val="auto"/>
          <w:sz w:val="24"/>
          <w:highlight w:val="none"/>
          <w:u w:val="single"/>
        </w:rPr>
        <w:t xml:space="preserve">            </w:t>
      </w:r>
    </w:p>
    <w:p w14:paraId="3F76ABAA">
      <w:pPr>
        <w:snapToGrid w:val="0"/>
        <w:spacing w:line="360" w:lineRule="auto"/>
        <w:rPr>
          <w:rFonts w:hint="eastAsia" w:ascii="宋体" w:hAnsi="宋体" w:cs="宋体"/>
          <w:color w:val="auto"/>
          <w:sz w:val="24"/>
          <w:highlight w:val="none"/>
        </w:rPr>
      </w:pPr>
      <w:r>
        <w:rPr>
          <w:rFonts w:hint="eastAsia" w:ascii="宋体" w:hAnsi="宋体" w:cs="宋体"/>
          <w:color w:val="auto"/>
          <w:sz w:val="24"/>
          <w:highlight w:val="none"/>
        </w:rPr>
        <w:t>供应商名称：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46A48182">
      <w:pPr>
        <w:snapToGrid w:val="0"/>
        <w:spacing w:line="360" w:lineRule="auto"/>
        <w:ind w:firstLine="5520" w:firstLineChars="2300"/>
        <w:rPr>
          <w:rFonts w:hint="eastAsia" w:ascii="宋体" w:hAnsi="宋体" w:cs="宋体"/>
          <w:color w:val="auto"/>
          <w:sz w:val="24"/>
          <w:highlight w:val="none"/>
        </w:rPr>
      </w:pPr>
      <w:r>
        <w:rPr>
          <w:rFonts w:hint="eastAsia" w:ascii="宋体" w:hAnsi="宋体" w:cs="宋体"/>
          <w:color w:val="auto"/>
          <w:sz w:val="24"/>
          <w:highlight w:val="none"/>
        </w:rPr>
        <w:t>货币单位：人民币元</w:t>
      </w:r>
    </w:p>
    <w:tbl>
      <w:tblPr>
        <w:tblStyle w:val="26"/>
        <w:tblW w:w="108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034"/>
        <w:gridCol w:w="1134"/>
        <w:gridCol w:w="1276"/>
        <w:gridCol w:w="1134"/>
        <w:gridCol w:w="992"/>
        <w:gridCol w:w="709"/>
        <w:gridCol w:w="830"/>
        <w:gridCol w:w="1722"/>
        <w:gridCol w:w="1276"/>
      </w:tblGrid>
      <w:tr w14:paraId="279C5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jc w:val="center"/>
        </w:trPr>
        <w:tc>
          <w:tcPr>
            <w:tcW w:w="709" w:type="dxa"/>
            <w:vAlign w:val="center"/>
          </w:tcPr>
          <w:p w14:paraId="218DEF4F">
            <w:pPr>
              <w:snapToGrid w:val="0"/>
              <w:spacing w:line="460" w:lineRule="exact"/>
              <w:jc w:val="center"/>
              <w:rPr>
                <w:rFonts w:hint="eastAsia" w:ascii="宋体" w:hAnsi="宋体" w:cs="宋体"/>
                <w:color w:val="auto"/>
                <w:sz w:val="24"/>
                <w:highlight w:val="none"/>
              </w:rPr>
            </w:pPr>
            <w:r>
              <w:rPr>
                <w:rFonts w:hint="eastAsia" w:ascii="宋体" w:hAnsi="宋体" w:cs="宋体"/>
                <w:color w:val="auto"/>
                <w:sz w:val="24"/>
                <w:highlight w:val="none"/>
              </w:rPr>
              <w:t>序号</w:t>
            </w:r>
          </w:p>
        </w:tc>
        <w:tc>
          <w:tcPr>
            <w:tcW w:w="1034" w:type="dxa"/>
            <w:vAlign w:val="center"/>
          </w:tcPr>
          <w:p w14:paraId="5D2261D2">
            <w:pPr>
              <w:snapToGrid w:val="0"/>
              <w:spacing w:line="460" w:lineRule="exact"/>
              <w:jc w:val="center"/>
              <w:rPr>
                <w:rFonts w:hint="eastAsia" w:ascii="宋体" w:hAnsi="宋体" w:cs="宋体"/>
                <w:color w:val="auto"/>
                <w:sz w:val="24"/>
                <w:highlight w:val="none"/>
              </w:rPr>
            </w:pPr>
            <w:r>
              <w:rPr>
                <w:rFonts w:hint="eastAsia" w:ascii="宋体" w:hAnsi="宋体" w:cs="宋体"/>
                <w:color w:val="auto"/>
                <w:sz w:val="24"/>
                <w:highlight w:val="none"/>
              </w:rPr>
              <w:t>货物名称</w:t>
            </w:r>
          </w:p>
        </w:tc>
        <w:tc>
          <w:tcPr>
            <w:tcW w:w="1134" w:type="dxa"/>
            <w:vAlign w:val="center"/>
          </w:tcPr>
          <w:p w14:paraId="0B0F9101">
            <w:pPr>
              <w:snapToGrid w:val="0"/>
              <w:spacing w:line="460" w:lineRule="exact"/>
              <w:jc w:val="center"/>
              <w:rPr>
                <w:rFonts w:hint="eastAsia" w:ascii="宋体" w:hAnsi="宋体" w:cs="宋体"/>
                <w:color w:val="auto"/>
                <w:sz w:val="24"/>
                <w:highlight w:val="none"/>
              </w:rPr>
            </w:pPr>
            <w:r>
              <w:rPr>
                <w:rFonts w:hint="eastAsia" w:ascii="宋体" w:hAnsi="宋体" w:cs="宋体"/>
                <w:color w:val="auto"/>
                <w:sz w:val="24"/>
                <w:highlight w:val="none"/>
              </w:rPr>
              <w:t>品牌</w:t>
            </w:r>
          </w:p>
        </w:tc>
        <w:tc>
          <w:tcPr>
            <w:tcW w:w="1276" w:type="dxa"/>
            <w:vAlign w:val="center"/>
          </w:tcPr>
          <w:p w14:paraId="6F3A936D">
            <w:pPr>
              <w:snapToGrid w:val="0"/>
              <w:spacing w:line="460" w:lineRule="exact"/>
              <w:jc w:val="center"/>
              <w:rPr>
                <w:rFonts w:hint="eastAsia" w:ascii="宋体" w:hAnsi="宋体" w:cs="宋体"/>
                <w:color w:val="auto"/>
                <w:sz w:val="24"/>
                <w:highlight w:val="none"/>
              </w:rPr>
            </w:pPr>
            <w:r>
              <w:rPr>
                <w:rFonts w:hint="eastAsia" w:ascii="宋体" w:hAnsi="宋体" w:cs="宋体"/>
                <w:color w:val="auto"/>
                <w:sz w:val="24"/>
                <w:highlight w:val="none"/>
              </w:rPr>
              <w:t>型号（与铭牌一致）</w:t>
            </w:r>
          </w:p>
        </w:tc>
        <w:tc>
          <w:tcPr>
            <w:tcW w:w="1134" w:type="dxa"/>
            <w:vAlign w:val="center"/>
          </w:tcPr>
          <w:p w14:paraId="3536A20D">
            <w:pPr>
              <w:snapToGrid w:val="0"/>
              <w:jc w:val="center"/>
              <w:rPr>
                <w:rFonts w:hint="eastAsia" w:ascii="宋体" w:hAnsi="宋体" w:cs="宋体"/>
                <w:color w:val="auto"/>
                <w:sz w:val="24"/>
                <w:highlight w:val="none"/>
              </w:rPr>
            </w:pPr>
            <w:r>
              <w:rPr>
                <w:rFonts w:hint="eastAsia" w:ascii="宋体" w:hAnsi="宋体" w:cs="宋体"/>
                <w:color w:val="auto"/>
                <w:sz w:val="24"/>
                <w:highlight w:val="none"/>
              </w:rPr>
              <w:t>生产厂家</w:t>
            </w:r>
          </w:p>
        </w:tc>
        <w:tc>
          <w:tcPr>
            <w:tcW w:w="992" w:type="dxa"/>
            <w:vAlign w:val="center"/>
          </w:tcPr>
          <w:p w14:paraId="0BF3A478">
            <w:pPr>
              <w:snapToGrid w:val="0"/>
              <w:jc w:val="center"/>
              <w:rPr>
                <w:rFonts w:hint="eastAsia" w:ascii="宋体" w:hAnsi="宋体" w:cs="宋体"/>
                <w:color w:val="auto"/>
                <w:sz w:val="24"/>
                <w:highlight w:val="none"/>
              </w:rPr>
            </w:pPr>
            <w:r>
              <w:rPr>
                <w:rFonts w:hint="eastAsia" w:ascii="宋体" w:hAnsi="宋体" w:cs="宋体"/>
                <w:color w:val="auto"/>
                <w:sz w:val="24"/>
                <w:highlight w:val="none"/>
              </w:rPr>
              <w:t>产地</w:t>
            </w:r>
          </w:p>
        </w:tc>
        <w:tc>
          <w:tcPr>
            <w:tcW w:w="709" w:type="dxa"/>
            <w:vAlign w:val="center"/>
          </w:tcPr>
          <w:p w14:paraId="1CF9379C">
            <w:pPr>
              <w:snapToGrid w:val="0"/>
              <w:jc w:val="center"/>
              <w:rPr>
                <w:rFonts w:hint="eastAsia" w:ascii="宋体" w:hAnsi="宋体" w:cs="宋体"/>
                <w:color w:val="auto"/>
                <w:sz w:val="24"/>
                <w:highlight w:val="none"/>
              </w:rPr>
            </w:pPr>
            <w:r>
              <w:rPr>
                <w:rFonts w:hint="eastAsia" w:ascii="宋体" w:hAnsi="宋体" w:cs="宋体"/>
                <w:color w:val="auto"/>
                <w:sz w:val="24"/>
                <w:highlight w:val="none"/>
              </w:rPr>
              <w:t>数  量①</w:t>
            </w:r>
          </w:p>
        </w:tc>
        <w:tc>
          <w:tcPr>
            <w:tcW w:w="830" w:type="dxa"/>
            <w:vAlign w:val="center"/>
          </w:tcPr>
          <w:p w14:paraId="1FD70F00">
            <w:pPr>
              <w:snapToGrid w:val="0"/>
              <w:jc w:val="center"/>
              <w:rPr>
                <w:rFonts w:hint="eastAsia" w:ascii="宋体" w:hAnsi="宋体" w:cs="宋体"/>
                <w:color w:val="auto"/>
                <w:sz w:val="24"/>
                <w:highlight w:val="none"/>
              </w:rPr>
            </w:pPr>
            <w:r>
              <w:rPr>
                <w:rFonts w:hint="eastAsia" w:ascii="宋体" w:hAnsi="宋体" w:cs="宋体"/>
                <w:color w:val="auto"/>
                <w:sz w:val="24"/>
                <w:highlight w:val="none"/>
              </w:rPr>
              <w:t>单位</w:t>
            </w:r>
          </w:p>
        </w:tc>
        <w:tc>
          <w:tcPr>
            <w:tcW w:w="1722" w:type="dxa"/>
            <w:vAlign w:val="center"/>
          </w:tcPr>
          <w:p w14:paraId="186736BD">
            <w:pPr>
              <w:snapToGrid w:val="0"/>
              <w:jc w:val="center"/>
              <w:rPr>
                <w:rFonts w:hint="eastAsia" w:ascii="宋体" w:hAnsi="宋体" w:cs="宋体"/>
                <w:color w:val="auto"/>
                <w:sz w:val="24"/>
                <w:highlight w:val="none"/>
              </w:rPr>
            </w:pPr>
            <w:r>
              <w:rPr>
                <w:rFonts w:hint="eastAsia" w:ascii="宋体" w:hAnsi="宋体" w:cs="宋体"/>
                <w:color w:val="auto"/>
                <w:sz w:val="24"/>
                <w:highlight w:val="none"/>
              </w:rPr>
              <w:t>单  价</w:t>
            </w:r>
          </w:p>
          <w:p w14:paraId="4AABABEE">
            <w:pPr>
              <w:snapToGrid w:val="0"/>
              <w:jc w:val="center"/>
              <w:rPr>
                <w:rFonts w:hint="eastAsia" w:ascii="宋体" w:hAnsi="宋体" w:cs="宋体"/>
                <w:color w:val="auto"/>
                <w:sz w:val="24"/>
                <w:highlight w:val="none"/>
              </w:rPr>
            </w:pPr>
            <w:r>
              <w:rPr>
                <w:rFonts w:hint="eastAsia" w:ascii="宋体" w:hAnsi="宋体" w:cs="宋体"/>
                <w:color w:val="auto"/>
                <w:sz w:val="24"/>
                <w:highlight w:val="none"/>
              </w:rPr>
              <w:t>②</w:t>
            </w:r>
          </w:p>
        </w:tc>
        <w:tc>
          <w:tcPr>
            <w:tcW w:w="1276" w:type="dxa"/>
            <w:vAlign w:val="center"/>
          </w:tcPr>
          <w:p w14:paraId="36EF96F0">
            <w:pPr>
              <w:snapToGrid w:val="0"/>
              <w:spacing w:before="50" w:after="50" w:line="360" w:lineRule="auto"/>
              <w:jc w:val="center"/>
              <w:rPr>
                <w:rFonts w:hint="eastAsia" w:ascii="宋体" w:hAnsi="宋体" w:cs="宋体"/>
                <w:color w:val="auto"/>
                <w:sz w:val="24"/>
                <w:highlight w:val="none"/>
              </w:rPr>
            </w:pPr>
            <w:r>
              <w:rPr>
                <w:rFonts w:hint="eastAsia" w:ascii="宋体" w:hAnsi="宋体" w:cs="宋体"/>
                <w:color w:val="auto"/>
                <w:sz w:val="24"/>
                <w:highlight w:val="none"/>
                <w:lang w:bidi="ar"/>
              </w:rPr>
              <w:t>竞争性谈判</w:t>
            </w:r>
            <w:r>
              <w:rPr>
                <w:rFonts w:hint="eastAsia" w:ascii="宋体" w:hAnsi="宋体" w:cs="宋体"/>
                <w:color w:val="auto"/>
                <w:sz w:val="24"/>
                <w:highlight w:val="none"/>
              </w:rPr>
              <w:t>报价</w:t>
            </w:r>
          </w:p>
          <w:p w14:paraId="207E47FC">
            <w:pPr>
              <w:snapToGrid w:val="0"/>
              <w:jc w:val="center"/>
              <w:rPr>
                <w:rFonts w:hint="eastAsia" w:ascii="宋体" w:hAnsi="宋体" w:cs="宋体"/>
                <w:color w:val="auto"/>
                <w:sz w:val="24"/>
                <w:highlight w:val="none"/>
              </w:rPr>
            </w:pPr>
            <w:r>
              <w:rPr>
                <w:rFonts w:hint="eastAsia" w:ascii="宋体" w:hAnsi="宋体" w:cs="宋体"/>
                <w:color w:val="auto"/>
                <w:sz w:val="24"/>
                <w:highlight w:val="none"/>
              </w:rPr>
              <w:t>③=①×②</w:t>
            </w:r>
          </w:p>
        </w:tc>
      </w:tr>
      <w:tr w14:paraId="41EAA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7" w:hRule="atLeast"/>
          <w:jc w:val="center"/>
        </w:trPr>
        <w:tc>
          <w:tcPr>
            <w:tcW w:w="709" w:type="dxa"/>
            <w:vAlign w:val="center"/>
          </w:tcPr>
          <w:p w14:paraId="34B6E2A6">
            <w:pPr>
              <w:snapToGrid w:val="0"/>
              <w:spacing w:line="460" w:lineRule="exact"/>
              <w:jc w:val="center"/>
              <w:rPr>
                <w:rFonts w:hint="eastAsia" w:ascii="宋体" w:hAnsi="宋体" w:cs="宋体"/>
                <w:color w:val="auto"/>
                <w:sz w:val="24"/>
                <w:highlight w:val="none"/>
              </w:rPr>
            </w:pPr>
            <w:r>
              <w:rPr>
                <w:rFonts w:hint="eastAsia" w:ascii="宋体" w:hAnsi="宋体" w:cs="宋体"/>
                <w:color w:val="auto"/>
                <w:sz w:val="24"/>
                <w:highlight w:val="none"/>
              </w:rPr>
              <w:t>1</w:t>
            </w:r>
          </w:p>
        </w:tc>
        <w:tc>
          <w:tcPr>
            <w:tcW w:w="1034" w:type="dxa"/>
            <w:vAlign w:val="center"/>
          </w:tcPr>
          <w:p w14:paraId="6721CBAD">
            <w:pPr>
              <w:snapToGrid w:val="0"/>
              <w:spacing w:line="460" w:lineRule="exact"/>
              <w:jc w:val="center"/>
              <w:rPr>
                <w:rFonts w:hint="eastAsia" w:ascii="宋体" w:hAnsi="宋体" w:cs="宋体"/>
                <w:color w:val="auto"/>
                <w:sz w:val="24"/>
                <w:highlight w:val="none"/>
              </w:rPr>
            </w:pPr>
          </w:p>
        </w:tc>
        <w:tc>
          <w:tcPr>
            <w:tcW w:w="1134" w:type="dxa"/>
            <w:vAlign w:val="center"/>
          </w:tcPr>
          <w:p w14:paraId="168F8FBB">
            <w:pPr>
              <w:snapToGrid w:val="0"/>
              <w:spacing w:line="460" w:lineRule="exact"/>
              <w:jc w:val="center"/>
              <w:rPr>
                <w:rFonts w:hint="eastAsia" w:ascii="宋体" w:hAnsi="宋体" w:cs="宋体"/>
                <w:color w:val="auto"/>
                <w:sz w:val="24"/>
                <w:highlight w:val="none"/>
              </w:rPr>
            </w:pPr>
          </w:p>
        </w:tc>
        <w:tc>
          <w:tcPr>
            <w:tcW w:w="1276" w:type="dxa"/>
            <w:vAlign w:val="center"/>
          </w:tcPr>
          <w:p w14:paraId="1C89B148">
            <w:pPr>
              <w:snapToGrid w:val="0"/>
              <w:spacing w:line="460" w:lineRule="exact"/>
              <w:jc w:val="center"/>
              <w:rPr>
                <w:rFonts w:hint="eastAsia" w:ascii="宋体" w:hAnsi="宋体" w:cs="宋体"/>
                <w:color w:val="auto"/>
                <w:sz w:val="24"/>
                <w:highlight w:val="none"/>
              </w:rPr>
            </w:pPr>
          </w:p>
        </w:tc>
        <w:tc>
          <w:tcPr>
            <w:tcW w:w="1134" w:type="dxa"/>
          </w:tcPr>
          <w:p w14:paraId="6962E168">
            <w:pPr>
              <w:snapToGrid w:val="0"/>
              <w:spacing w:line="460" w:lineRule="exact"/>
              <w:jc w:val="center"/>
              <w:rPr>
                <w:rFonts w:hint="eastAsia" w:ascii="宋体" w:hAnsi="宋体" w:cs="宋体"/>
                <w:color w:val="auto"/>
                <w:sz w:val="24"/>
                <w:highlight w:val="none"/>
              </w:rPr>
            </w:pPr>
          </w:p>
        </w:tc>
        <w:tc>
          <w:tcPr>
            <w:tcW w:w="992" w:type="dxa"/>
            <w:vAlign w:val="center"/>
          </w:tcPr>
          <w:p w14:paraId="116E5336">
            <w:pPr>
              <w:snapToGrid w:val="0"/>
              <w:spacing w:line="460" w:lineRule="exact"/>
              <w:jc w:val="center"/>
              <w:rPr>
                <w:rFonts w:hint="eastAsia" w:ascii="宋体" w:hAnsi="宋体" w:cs="宋体"/>
                <w:color w:val="auto"/>
                <w:sz w:val="24"/>
                <w:highlight w:val="none"/>
              </w:rPr>
            </w:pPr>
          </w:p>
        </w:tc>
        <w:tc>
          <w:tcPr>
            <w:tcW w:w="709" w:type="dxa"/>
            <w:vAlign w:val="center"/>
          </w:tcPr>
          <w:p w14:paraId="507AFED4">
            <w:pPr>
              <w:pStyle w:val="72"/>
              <w:snapToGrid w:val="0"/>
              <w:spacing w:line="460" w:lineRule="exact"/>
              <w:ind w:left="360" w:firstLine="0" w:firstLineChars="0"/>
              <w:rPr>
                <w:rFonts w:hint="eastAsia" w:ascii="宋体" w:hAnsi="宋体" w:cs="宋体"/>
                <w:color w:val="auto"/>
                <w:sz w:val="24"/>
                <w:highlight w:val="none"/>
              </w:rPr>
            </w:pPr>
          </w:p>
        </w:tc>
        <w:tc>
          <w:tcPr>
            <w:tcW w:w="830" w:type="dxa"/>
          </w:tcPr>
          <w:p w14:paraId="198EFE68">
            <w:pPr>
              <w:snapToGrid w:val="0"/>
              <w:spacing w:line="460" w:lineRule="exact"/>
              <w:jc w:val="center"/>
              <w:rPr>
                <w:rFonts w:hint="eastAsia" w:ascii="宋体" w:hAnsi="宋体" w:cs="宋体"/>
                <w:color w:val="auto"/>
                <w:sz w:val="24"/>
                <w:highlight w:val="none"/>
              </w:rPr>
            </w:pPr>
          </w:p>
        </w:tc>
        <w:tc>
          <w:tcPr>
            <w:tcW w:w="1722" w:type="dxa"/>
            <w:vAlign w:val="center"/>
          </w:tcPr>
          <w:p w14:paraId="1DC2AB22">
            <w:pPr>
              <w:pStyle w:val="72"/>
              <w:snapToGrid w:val="0"/>
              <w:spacing w:line="460" w:lineRule="exact"/>
              <w:ind w:left="360" w:firstLine="0" w:firstLineChars="0"/>
              <w:rPr>
                <w:rFonts w:hint="eastAsia" w:ascii="宋体" w:hAnsi="宋体" w:cs="宋体"/>
                <w:color w:val="auto"/>
                <w:sz w:val="24"/>
                <w:highlight w:val="none"/>
              </w:rPr>
            </w:pPr>
          </w:p>
        </w:tc>
        <w:tc>
          <w:tcPr>
            <w:tcW w:w="1276" w:type="dxa"/>
          </w:tcPr>
          <w:p w14:paraId="502BF88A">
            <w:pPr>
              <w:snapToGrid w:val="0"/>
              <w:spacing w:line="460" w:lineRule="exact"/>
              <w:jc w:val="center"/>
              <w:rPr>
                <w:rFonts w:hint="eastAsia" w:ascii="宋体" w:hAnsi="宋体" w:cs="宋体"/>
                <w:color w:val="auto"/>
                <w:sz w:val="24"/>
                <w:highlight w:val="none"/>
              </w:rPr>
            </w:pPr>
          </w:p>
        </w:tc>
      </w:tr>
      <w:tr w14:paraId="0EC7C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5" w:hRule="atLeast"/>
          <w:jc w:val="center"/>
        </w:trPr>
        <w:tc>
          <w:tcPr>
            <w:tcW w:w="10816" w:type="dxa"/>
            <w:gridSpan w:val="10"/>
          </w:tcPr>
          <w:p w14:paraId="61302351">
            <w:pPr>
              <w:snapToGrid w:val="0"/>
              <w:spacing w:line="460" w:lineRule="exact"/>
              <w:jc w:val="left"/>
              <w:rPr>
                <w:color w:val="auto"/>
                <w:highlight w:val="none"/>
              </w:rPr>
            </w:pPr>
            <w:r>
              <w:rPr>
                <w:rFonts w:hint="eastAsia" w:ascii="宋体" w:hAnsi="宋体" w:cs="宋体"/>
                <w:color w:val="auto"/>
                <w:sz w:val="24"/>
                <w:highlight w:val="none"/>
              </w:rPr>
              <w:t>合计金额（人民币大写</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b/>
                <w:bCs/>
                <w:color w:val="auto"/>
                <w:sz w:val="24"/>
                <w:highlight w:val="none"/>
                <w:u w:val="single"/>
              </w:rPr>
              <w:t xml:space="preserve"> </w:t>
            </w:r>
            <w:r>
              <w:rPr>
                <w:rFonts w:ascii="宋体" w:hAnsi="宋体" w:cs="宋体"/>
                <w:b/>
                <w:bCs/>
                <w:color w:val="auto"/>
                <w:sz w:val="24"/>
                <w:highlight w:val="none"/>
                <w:u w:val="single"/>
              </w:rPr>
              <w:t xml:space="preserve">              </w:t>
            </w:r>
            <w:r>
              <w:rPr>
                <w:rFonts w:hint="eastAsia" w:ascii="宋体" w:hAnsi="宋体" w:cs="宋体"/>
                <w:bCs/>
                <w:color w:val="auto"/>
                <w:sz w:val="24"/>
                <w:highlight w:val="none"/>
                <w:u w:val="single"/>
              </w:rPr>
              <w:t>元整</w:t>
            </w:r>
            <w:r>
              <w:rPr>
                <w:rFonts w:hint="eastAsia" w:ascii="宋体" w:hAnsi="宋体" w:cs="宋体"/>
                <w:bCs/>
                <w:color w:val="auto"/>
                <w:sz w:val="24"/>
                <w:highlight w:val="none"/>
              </w:rPr>
              <w:t>（小写）</w:t>
            </w:r>
            <w:r>
              <w:rPr>
                <w:rFonts w:hint="eastAsia" w:ascii="宋体" w:hAnsi="宋体" w:cs="宋体"/>
                <w:bCs/>
                <w:color w:val="auto"/>
                <w:sz w:val="24"/>
                <w:highlight w:val="none"/>
                <w:u w:val="single"/>
              </w:rPr>
              <w:t xml:space="preserve">¥ </w:t>
            </w:r>
            <w:r>
              <w:rPr>
                <w:rFonts w:ascii="宋体" w:hAnsi="宋体" w:cs="宋体"/>
                <w:bCs/>
                <w:color w:val="auto"/>
                <w:sz w:val="24"/>
                <w:highlight w:val="none"/>
                <w:u w:val="single"/>
              </w:rPr>
              <w:t xml:space="preserve">         </w:t>
            </w:r>
          </w:p>
        </w:tc>
      </w:tr>
      <w:tr w14:paraId="07A9D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2" w:hRule="atLeast"/>
          <w:jc w:val="center"/>
        </w:trPr>
        <w:tc>
          <w:tcPr>
            <w:tcW w:w="10816" w:type="dxa"/>
            <w:gridSpan w:val="10"/>
          </w:tcPr>
          <w:p w14:paraId="2124464E">
            <w:pPr>
              <w:snapToGrid w:val="0"/>
              <w:spacing w:line="460" w:lineRule="exact"/>
              <w:jc w:val="left"/>
              <w:rPr>
                <w:rFonts w:hint="eastAsia" w:ascii="宋体" w:hAnsi="宋体" w:cs="宋体"/>
                <w:color w:val="auto"/>
                <w:sz w:val="24"/>
                <w:highlight w:val="none"/>
              </w:rPr>
            </w:pPr>
            <w:r>
              <w:rPr>
                <w:rFonts w:hint="eastAsia" w:ascii="宋体" w:hAnsi="宋体" w:cs="宋体"/>
                <w:color w:val="auto"/>
                <w:sz w:val="24"/>
                <w:highlight w:val="none"/>
              </w:rPr>
              <w:t>交付时间：国产设备自签订合同之日起</w:t>
            </w:r>
            <w:r>
              <w:rPr>
                <w:rFonts w:ascii="宋体" w:hAnsi="宋体" w:cs="宋体"/>
                <w:color w:val="auto"/>
                <w:sz w:val="24"/>
                <w:highlight w:val="none"/>
                <w:u w:val="single"/>
              </w:rPr>
              <w:t xml:space="preserve">   </w:t>
            </w:r>
            <w:r>
              <w:rPr>
                <w:rFonts w:hint="eastAsia" w:ascii="宋体" w:hAnsi="宋体" w:cs="宋体"/>
                <w:color w:val="auto"/>
                <w:sz w:val="24"/>
                <w:highlight w:val="none"/>
              </w:rPr>
              <w:t>日历天内到货安装调试完成并通过验收。进口设备自签订合同之日起</w:t>
            </w:r>
            <w:r>
              <w:rPr>
                <w:rFonts w:ascii="宋体" w:hAnsi="宋体" w:cs="宋体"/>
                <w:color w:val="auto"/>
                <w:sz w:val="24"/>
                <w:highlight w:val="none"/>
                <w:u w:val="single"/>
              </w:rPr>
              <w:t xml:space="preserve">    </w:t>
            </w:r>
            <w:r>
              <w:rPr>
                <w:rFonts w:hint="eastAsia" w:ascii="宋体" w:hAnsi="宋体" w:cs="宋体"/>
                <w:color w:val="auto"/>
                <w:sz w:val="24"/>
                <w:highlight w:val="none"/>
              </w:rPr>
              <w:t>日历天内到货安装调试完成并通过验收。</w:t>
            </w:r>
          </w:p>
        </w:tc>
      </w:tr>
    </w:tbl>
    <w:p w14:paraId="1705C3F0">
      <w:pPr>
        <w:pStyle w:val="33"/>
        <w:rPr>
          <w:color w:val="auto"/>
          <w:highlight w:val="none"/>
        </w:rPr>
      </w:pPr>
    </w:p>
    <w:p w14:paraId="66995AE8">
      <w:pPr>
        <w:spacing w:line="360" w:lineRule="auto"/>
        <w:contextualSpacing/>
        <w:jc w:val="left"/>
        <w:rPr>
          <w:rFonts w:hint="eastAsia"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注</w:t>
      </w:r>
      <w:r>
        <w:rPr>
          <w:rFonts w:cs="宋体" w:asciiTheme="minorEastAsia" w:hAnsiTheme="minorEastAsia" w:eastAsiaTheme="minorEastAsia"/>
          <w:b/>
          <w:color w:val="auto"/>
          <w:sz w:val="24"/>
          <w:highlight w:val="none"/>
        </w:rPr>
        <w:t xml:space="preserve">: </w:t>
      </w:r>
    </w:p>
    <w:p w14:paraId="24416806">
      <w:pPr>
        <w:spacing w:line="360" w:lineRule="auto"/>
        <w:ind w:firstLine="480" w:firstLineChars="200"/>
        <w:contextualSpacing/>
        <w:jc w:val="left"/>
        <w:rPr>
          <w:rFonts w:hint="eastAsia" w:ascii="楷体" w:hAnsi="楷体" w:eastAsia="楷体" w:cs="宋体"/>
          <w:b/>
          <w:color w:val="auto"/>
          <w:sz w:val="24"/>
          <w:highlight w:val="none"/>
        </w:rPr>
      </w:pPr>
      <w:r>
        <w:rPr>
          <w:rFonts w:ascii="楷体" w:hAnsi="楷体" w:eastAsia="楷体" w:cs="宋体"/>
          <w:color w:val="auto"/>
          <w:sz w:val="24"/>
          <w:highlight w:val="none"/>
        </w:rPr>
        <w:t>1.</w:t>
      </w:r>
      <w:r>
        <w:rPr>
          <w:rFonts w:hint="eastAsia" w:ascii="楷体" w:hAnsi="楷体" w:eastAsia="楷体" w:cs="宋体"/>
          <w:color w:val="auto"/>
          <w:sz w:val="24"/>
          <w:highlight w:val="none"/>
        </w:rPr>
        <w:t>竞争性谈判报价表中“货物名称、数量、单位、品牌、型号、生产厂家、产地”必须如实填写完整，定制产品在型号栏中填写“定制”。</w:t>
      </w:r>
      <w:r>
        <w:rPr>
          <w:rFonts w:hint="eastAsia" w:ascii="楷体" w:hAnsi="楷体" w:eastAsia="楷体" w:cs="宋体"/>
          <w:b/>
          <w:color w:val="auto"/>
          <w:sz w:val="24"/>
          <w:highlight w:val="none"/>
        </w:rPr>
        <w:t>填写有缺漏</w:t>
      </w:r>
      <w:r>
        <w:rPr>
          <w:rFonts w:hint="eastAsia" w:ascii="楷体" w:hAnsi="楷体" w:eastAsia="楷体" w:cs="宋体"/>
          <w:b/>
          <w:bCs/>
          <w:color w:val="auto"/>
          <w:sz w:val="24"/>
          <w:highlight w:val="none"/>
        </w:rPr>
        <w:t>的，</w:t>
      </w:r>
      <w:r>
        <w:rPr>
          <w:rFonts w:hint="eastAsia" w:ascii="楷体" w:hAnsi="楷体" w:eastAsia="楷体" w:cs="宋体"/>
          <w:b/>
          <w:color w:val="auto"/>
          <w:sz w:val="24"/>
          <w:highlight w:val="none"/>
        </w:rPr>
        <w:t>其响应文件按无效响应处理。</w:t>
      </w:r>
    </w:p>
    <w:p w14:paraId="592D822D">
      <w:pPr>
        <w:snapToGrid w:val="0"/>
        <w:spacing w:before="50" w:after="50" w:line="360" w:lineRule="auto"/>
        <w:ind w:firstLine="482" w:firstLineChars="200"/>
        <w:jc w:val="left"/>
        <w:rPr>
          <w:rFonts w:hint="eastAsia" w:ascii="楷体" w:hAnsi="楷体" w:eastAsia="楷体"/>
          <w:color w:val="auto"/>
          <w:highlight w:val="none"/>
        </w:rPr>
      </w:pPr>
      <w:r>
        <w:rPr>
          <w:rFonts w:ascii="楷体" w:hAnsi="楷体" w:eastAsia="楷体" w:cs="宋体"/>
          <w:b/>
          <w:color w:val="auto"/>
          <w:sz w:val="24"/>
          <w:highlight w:val="none"/>
        </w:rPr>
        <w:t>2.所填写的型号与货物铭牌一致。</w:t>
      </w:r>
    </w:p>
    <w:p w14:paraId="7C407DAD">
      <w:pPr>
        <w:spacing w:line="360" w:lineRule="auto"/>
        <w:ind w:firstLine="480" w:firstLineChars="200"/>
        <w:contextualSpacing/>
        <w:jc w:val="left"/>
        <w:rPr>
          <w:rFonts w:hint="eastAsia" w:ascii="楷体" w:hAnsi="楷体" w:eastAsia="楷体" w:cs="宋体"/>
          <w:color w:val="auto"/>
          <w:sz w:val="24"/>
          <w:highlight w:val="none"/>
        </w:rPr>
      </w:pPr>
      <w:r>
        <w:rPr>
          <w:rFonts w:ascii="楷体" w:hAnsi="楷体" w:eastAsia="楷体" w:cs="宋体"/>
          <w:color w:val="auto"/>
          <w:sz w:val="24"/>
          <w:highlight w:val="none"/>
        </w:rPr>
        <w:t>3.供应商的报价表必须加盖供应商公章并由法定代表人或者委托代理人签字，</w:t>
      </w:r>
      <w:r>
        <w:rPr>
          <w:rFonts w:hint="eastAsia" w:ascii="楷体" w:hAnsi="楷体" w:eastAsia="楷体" w:cs="宋体"/>
          <w:b/>
          <w:color w:val="auto"/>
          <w:sz w:val="24"/>
          <w:highlight w:val="none"/>
        </w:rPr>
        <w:t>否则其响应文件按无效响应处理</w:t>
      </w:r>
      <w:r>
        <w:rPr>
          <w:rFonts w:hint="eastAsia" w:ascii="楷体" w:hAnsi="楷体" w:eastAsia="楷体" w:cs="宋体"/>
          <w:color w:val="auto"/>
          <w:sz w:val="24"/>
          <w:highlight w:val="none"/>
        </w:rPr>
        <w:t>。</w:t>
      </w:r>
    </w:p>
    <w:p w14:paraId="51224B56">
      <w:pPr>
        <w:spacing w:line="360" w:lineRule="auto"/>
        <w:ind w:firstLine="480" w:firstLineChars="200"/>
        <w:contextualSpacing/>
        <w:jc w:val="left"/>
        <w:rPr>
          <w:rFonts w:hint="eastAsia" w:ascii="楷体" w:hAnsi="楷体" w:eastAsia="楷体" w:cs="宋体"/>
          <w:b/>
          <w:color w:val="auto"/>
          <w:sz w:val="24"/>
          <w:highlight w:val="none"/>
        </w:rPr>
      </w:pPr>
      <w:r>
        <w:rPr>
          <w:rFonts w:ascii="楷体" w:hAnsi="楷体" w:eastAsia="楷体" w:cs="宋体"/>
          <w:bCs/>
          <w:color w:val="auto"/>
          <w:sz w:val="24"/>
          <w:highlight w:val="none"/>
        </w:rPr>
        <w:t>4.</w:t>
      </w:r>
      <w:r>
        <w:rPr>
          <w:rFonts w:hint="eastAsia" w:ascii="楷体" w:hAnsi="楷体" w:eastAsia="楷体" w:cs="宋体"/>
          <w:color w:val="auto"/>
          <w:sz w:val="24"/>
          <w:highlight w:val="none"/>
        </w:rPr>
        <w:t>报价一经涂改，应在涂改处加盖供应商公章或者由法定代表人或者授权委托人签字或者盖章</w:t>
      </w:r>
      <w:r>
        <w:rPr>
          <w:rFonts w:hint="eastAsia" w:ascii="楷体" w:hAnsi="楷体" w:eastAsia="楷体" w:cs="宋体"/>
          <w:b/>
          <w:color w:val="auto"/>
          <w:sz w:val="24"/>
          <w:highlight w:val="none"/>
        </w:rPr>
        <w:t>，否则其响应文件按无效响应处理。</w:t>
      </w:r>
    </w:p>
    <w:p w14:paraId="2BB0F4E4">
      <w:pPr>
        <w:spacing w:line="360" w:lineRule="auto"/>
        <w:ind w:firstLine="480" w:firstLineChars="200"/>
        <w:contextualSpacing/>
        <w:jc w:val="left"/>
        <w:rPr>
          <w:rFonts w:hint="eastAsia" w:ascii="楷体" w:hAnsi="楷体" w:eastAsia="楷体" w:cs="宋体"/>
          <w:color w:val="auto"/>
          <w:sz w:val="24"/>
          <w:highlight w:val="none"/>
        </w:rPr>
      </w:pPr>
      <w:r>
        <w:rPr>
          <w:rFonts w:ascii="楷体" w:hAnsi="楷体" w:eastAsia="楷体" w:cs="宋体"/>
          <w:color w:val="auto"/>
          <w:sz w:val="24"/>
          <w:highlight w:val="none"/>
        </w:rPr>
        <w:t>5.谈判文件中列明采购专用耗材的，应按谈判文件规定的耗材量或者按耗材的常规</w:t>
      </w:r>
      <w:r>
        <w:rPr>
          <w:rFonts w:hint="eastAsia" w:ascii="楷体" w:hAnsi="楷体" w:eastAsia="楷体" w:cs="宋体"/>
          <w:color w:val="auto"/>
          <w:sz w:val="24"/>
          <w:highlight w:val="none"/>
        </w:rPr>
        <w:t>使用量提供报价。</w:t>
      </w:r>
    </w:p>
    <w:p w14:paraId="3EAF8FB7">
      <w:pPr>
        <w:spacing w:line="360" w:lineRule="auto"/>
        <w:ind w:firstLine="480" w:firstLineChars="200"/>
        <w:contextualSpacing/>
        <w:jc w:val="left"/>
        <w:rPr>
          <w:rFonts w:hint="eastAsia" w:ascii="楷体" w:hAnsi="楷体" w:eastAsia="楷体" w:cs="宋体"/>
          <w:color w:val="auto"/>
          <w:sz w:val="24"/>
          <w:highlight w:val="none"/>
        </w:rPr>
      </w:pPr>
      <w:r>
        <w:rPr>
          <w:rFonts w:ascii="楷体" w:hAnsi="楷体" w:eastAsia="楷体" w:cs="宋体"/>
          <w:color w:val="auto"/>
          <w:sz w:val="24"/>
          <w:highlight w:val="none"/>
        </w:rPr>
        <w:t>6.如为联合体</w:t>
      </w:r>
      <w:r>
        <w:rPr>
          <w:rFonts w:hint="eastAsia" w:ascii="楷体" w:hAnsi="楷体" w:eastAsia="楷体" w:cs="宋体"/>
          <w:color w:val="auto"/>
          <w:sz w:val="24"/>
          <w:highlight w:val="none"/>
        </w:rPr>
        <w:t>参与竞争性谈判</w:t>
      </w:r>
      <w:r>
        <w:rPr>
          <w:rFonts w:ascii="楷体" w:hAnsi="楷体" w:eastAsia="楷体" w:cs="宋体"/>
          <w:color w:val="auto"/>
          <w:sz w:val="24"/>
          <w:highlight w:val="none"/>
        </w:rPr>
        <w:t>,“供应商名称”处必须列明联合体各方名称，标注联合体牵头人名称，</w:t>
      </w:r>
      <w:r>
        <w:rPr>
          <w:rFonts w:hint="eastAsia" w:ascii="楷体" w:hAnsi="楷体" w:eastAsia="楷体" w:cs="宋体"/>
          <w:b/>
          <w:color w:val="auto"/>
          <w:sz w:val="24"/>
          <w:highlight w:val="none"/>
        </w:rPr>
        <w:t>否则其响应文件按无效响应处理。（采购人可根据项目情况自行修改是否需要联合体各方签字盖章）</w:t>
      </w:r>
    </w:p>
    <w:p w14:paraId="702944DB">
      <w:pPr>
        <w:spacing w:line="360" w:lineRule="auto"/>
        <w:ind w:firstLine="480" w:firstLineChars="200"/>
        <w:contextualSpacing/>
        <w:jc w:val="left"/>
        <w:rPr>
          <w:rFonts w:hint="eastAsia" w:ascii="楷体" w:hAnsi="楷体" w:eastAsia="楷体" w:cs="宋体"/>
          <w:color w:val="auto"/>
          <w:sz w:val="24"/>
          <w:highlight w:val="none"/>
        </w:rPr>
      </w:pPr>
      <w:r>
        <w:rPr>
          <w:rFonts w:ascii="楷体" w:hAnsi="楷体" w:eastAsia="楷体" w:cs="宋体"/>
          <w:color w:val="auto"/>
          <w:sz w:val="24"/>
          <w:highlight w:val="none"/>
        </w:rPr>
        <w:t>7.如为联合体</w:t>
      </w:r>
      <w:r>
        <w:rPr>
          <w:rFonts w:hint="eastAsia" w:ascii="楷体" w:hAnsi="楷体" w:eastAsia="楷体" w:cs="宋体"/>
          <w:color w:val="auto"/>
          <w:sz w:val="24"/>
          <w:highlight w:val="none"/>
        </w:rPr>
        <w:t>参与竞争性谈判</w:t>
      </w:r>
      <w:r>
        <w:rPr>
          <w:rFonts w:ascii="楷体" w:hAnsi="楷体" w:eastAsia="楷体" w:cs="宋体"/>
          <w:color w:val="auto"/>
          <w:sz w:val="24"/>
          <w:highlight w:val="none"/>
        </w:rPr>
        <w:t>,盖章处须加盖联合体各方公章，</w:t>
      </w:r>
      <w:r>
        <w:rPr>
          <w:rFonts w:hint="eastAsia" w:ascii="楷体" w:hAnsi="楷体" w:eastAsia="楷体" w:cs="宋体"/>
          <w:b/>
          <w:color w:val="auto"/>
          <w:sz w:val="24"/>
          <w:highlight w:val="none"/>
        </w:rPr>
        <w:t>否则其响应文件按无效响应处理。</w:t>
      </w:r>
    </w:p>
    <w:p w14:paraId="7A437C8B">
      <w:pPr>
        <w:spacing w:line="360" w:lineRule="auto"/>
        <w:ind w:firstLine="480" w:firstLineChars="200"/>
        <w:contextualSpacing/>
        <w:rPr>
          <w:rFonts w:hint="eastAsia" w:ascii="楷体" w:hAnsi="楷体" w:eastAsia="楷体" w:cs="宋体"/>
          <w:b/>
          <w:color w:val="auto"/>
          <w:sz w:val="24"/>
          <w:highlight w:val="none"/>
        </w:rPr>
      </w:pPr>
      <w:r>
        <w:rPr>
          <w:rFonts w:ascii="楷体" w:hAnsi="楷体" w:eastAsia="楷体" w:cs="宋体"/>
          <w:color w:val="auto"/>
          <w:sz w:val="24"/>
          <w:highlight w:val="none"/>
        </w:rPr>
        <w:t>8.</w:t>
      </w:r>
      <w:r>
        <w:rPr>
          <w:rFonts w:hint="eastAsia" w:ascii="楷体" w:hAnsi="楷体" w:eastAsia="楷体" w:cs="宋体"/>
          <w:color w:val="auto"/>
          <w:spacing w:val="-6"/>
          <w:sz w:val="24"/>
          <w:highlight w:val="none"/>
        </w:rPr>
        <w:t>如有多分标，分别列明各分标的报价表，</w:t>
      </w:r>
      <w:r>
        <w:rPr>
          <w:rFonts w:hint="eastAsia" w:ascii="楷体" w:hAnsi="楷体" w:eastAsia="楷体" w:cs="宋体"/>
          <w:b/>
          <w:color w:val="auto"/>
          <w:spacing w:val="-6"/>
          <w:sz w:val="24"/>
          <w:highlight w:val="none"/>
        </w:rPr>
        <w:t>否则其响应文件按无效响应处理。</w:t>
      </w:r>
      <w:r>
        <w:rPr>
          <w:rFonts w:hint="eastAsia" w:ascii="楷体" w:hAnsi="楷体" w:eastAsia="楷体" w:cs="宋体"/>
          <w:b/>
          <w:color w:val="auto"/>
          <w:sz w:val="24"/>
          <w:highlight w:val="none"/>
        </w:rPr>
        <w:t>（采购人可根据项目情况自行修改是否需要联合体各方签字盖章）</w:t>
      </w:r>
    </w:p>
    <w:p w14:paraId="71E288AC">
      <w:pPr>
        <w:spacing w:line="360" w:lineRule="auto"/>
        <w:ind w:firstLine="2640" w:firstLineChars="1100"/>
        <w:contextualSpacing/>
        <w:rPr>
          <w:rFonts w:hint="eastAsia" w:ascii="宋体" w:hAnsi="宋体" w:cs="宋体"/>
          <w:color w:val="auto"/>
          <w:sz w:val="24"/>
          <w:highlight w:val="none"/>
        </w:rPr>
      </w:pPr>
    </w:p>
    <w:p w14:paraId="0ED1127F">
      <w:pPr>
        <w:pStyle w:val="33"/>
        <w:rPr>
          <w:color w:val="auto"/>
          <w:highlight w:val="none"/>
        </w:rPr>
      </w:pPr>
    </w:p>
    <w:p w14:paraId="031D22FD">
      <w:pPr>
        <w:pStyle w:val="33"/>
        <w:rPr>
          <w:color w:val="auto"/>
          <w:highlight w:val="none"/>
        </w:rPr>
      </w:pPr>
    </w:p>
    <w:p w14:paraId="0A0DCB6C">
      <w:pPr>
        <w:spacing w:line="360" w:lineRule="auto"/>
        <w:ind w:firstLine="2640" w:firstLineChars="1100"/>
        <w:contextualSpacing/>
        <w:rPr>
          <w:rFonts w:hint="eastAsia" w:ascii="宋体" w:hAnsi="宋体" w:cs="宋体"/>
          <w:color w:val="auto"/>
          <w:sz w:val="24"/>
          <w:highlight w:val="none"/>
        </w:rPr>
      </w:pPr>
      <w:r>
        <w:rPr>
          <w:rFonts w:hint="eastAsia" w:ascii="宋体" w:hAnsi="宋体" w:cs="宋体"/>
          <w:color w:val="auto"/>
          <w:sz w:val="24"/>
          <w:highlight w:val="none"/>
        </w:rPr>
        <w:t>法定代表人或者委托代理人（签字）：</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4E41A981">
      <w:pPr>
        <w:spacing w:line="360" w:lineRule="auto"/>
        <w:ind w:firstLine="2640" w:firstLineChars="1100"/>
        <w:contextualSpacing/>
        <w:rPr>
          <w:rFonts w:hint="eastAsia" w:ascii="宋体" w:hAnsi="宋体" w:cs="宋体"/>
          <w:color w:val="auto"/>
          <w:sz w:val="24"/>
          <w:highlight w:val="none"/>
        </w:rPr>
      </w:pPr>
      <w:r>
        <w:rPr>
          <w:rFonts w:hint="eastAsia" w:ascii="宋体" w:hAnsi="宋体" w:cs="宋体"/>
          <w:color w:val="auto"/>
          <w:sz w:val="24"/>
          <w:highlight w:val="none"/>
        </w:rPr>
        <w:t>供应商（公章）：</w:t>
      </w:r>
      <w:r>
        <w:rPr>
          <w:rFonts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48108757">
      <w:pPr>
        <w:spacing w:line="360" w:lineRule="auto"/>
        <w:ind w:firstLine="2640" w:firstLineChars="1100"/>
        <w:contextualSpacing/>
        <w:rPr>
          <w:rFonts w:hint="eastAsia" w:ascii="宋体" w:hAnsi="宋体" w:cs="宋体"/>
          <w:b/>
          <w:color w:val="auto"/>
          <w:sz w:val="24"/>
          <w:highlight w:val="none"/>
        </w:rPr>
      </w:pPr>
      <w:r>
        <w:rPr>
          <w:rFonts w:hint="eastAsia" w:ascii="宋体" w:hAnsi="宋体" w:cs="宋体"/>
          <w:color w:val="auto"/>
          <w:sz w:val="24"/>
          <w:highlight w:val="none"/>
        </w:rPr>
        <w:t>日期：</w:t>
      </w:r>
      <w:r>
        <w:rPr>
          <w:rFonts w:hint="eastAsia" w:cs="宋体" w:asciiTheme="minorEastAsia" w:hAnsiTheme="minorEastAsia" w:eastAsiaTheme="minorEastAsia"/>
          <w:color w:val="auto"/>
          <w:spacing w:val="20"/>
          <w:sz w:val="24"/>
          <w:highlight w:val="none"/>
          <w:u w:val="single"/>
        </w:rPr>
        <w:t xml:space="preserve"> </w:t>
      </w:r>
      <w:r>
        <w:rPr>
          <w:rFonts w:cs="宋体" w:asciiTheme="minorEastAsia" w:hAnsiTheme="minorEastAsia" w:eastAsiaTheme="minorEastAsia"/>
          <w:color w:val="auto"/>
          <w:spacing w:val="20"/>
          <w:sz w:val="24"/>
          <w:highlight w:val="none"/>
          <w:u w:val="single"/>
        </w:rPr>
        <w:t xml:space="preserve">  </w:t>
      </w:r>
      <w:r>
        <w:rPr>
          <w:rFonts w:hint="eastAsia" w:cs="宋体" w:asciiTheme="minorEastAsia" w:hAnsiTheme="minorEastAsia" w:eastAsiaTheme="minorEastAsia"/>
          <w:color w:val="auto"/>
          <w:spacing w:val="20"/>
          <w:sz w:val="24"/>
          <w:highlight w:val="none"/>
          <w:u w:val="single"/>
        </w:rPr>
        <w:t xml:space="preserve">  </w:t>
      </w:r>
      <w:r>
        <w:rPr>
          <w:rFonts w:hint="eastAsia" w:cs="宋体" w:asciiTheme="minorEastAsia" w:hAnsiTheme="minorEastAsia" w:eastAsiaTheme="minorEastAsia"/>
          <w:color w:val="auto"/>
          <w:spacing w:val="20"/>
          <w:sz w:val="24"/>
          <w:highlight w:val="none"/>
        </w:rPr>
        <w:t>年</w:t>
      </w:r>
      <w:r>
        <w:rPr>
          <w:rFonts w:hint="eastAsia" w:cs="宋体" w:asciiTheme="minorEastAsia" w:hAnsiTheme="minorEastAsia" w:eastAsiaTheme="minorEastAsia"/>
          <w:color w:val="auto"/>
          <w:spacing w:val="20"/>
          <w:sz w:val="24"/>
          <w:highlight w:val="none"/>
          <w:u w:val="single"/>
        </w:rPr>
        <w:t xml:space="preserve">  </w:t>
      </w:r>
      <w:r>
        <w:rPr>
          <w:rFonts w:hint="eastAsia" w:cs="宋体" w:asciiTheme="minorEastAsia" w:hAnsiTheme="minorEastAsia" w:eastAsiaTheme="minorEastAsia"/>
          <w:color w:val="auto"/>
          <w:spacing w:val="20"/>
          <w:sz w:val="24"/>
          <w:highlight w:val="none"/>
        </w:rPr>
        <w:t>月</w:t>
      </w:r>
      <w:r>
        <w:rPr>
          <w:rFonts w:hint="eastAsia" w:cs="宋体" w:asciiTheme="minorEastAsia" w:hAnsiTheme="minorEastAsia" w:eastAsiaTheme="minorEastAsia"/>
          <w:color w:val="auto"/>
          <w:spacing w:val="20"/>
          <w:sz w:val="24"/>
          <w:highlight w:val="none"/>
          <w:u w:val="single"/>
        </w:rPr>
        <w:t xml:space="preserve">  </w:t>
      </w:r>
      <w:r>
        <w:rPr>
          <w:rFonts w:hint="eastAsia" w:cs="宋体" w:asciiTheme="minorEastAsia" w:hAnsiTheme="minorEastAsia" w:eastAsiaTheme="minorEastAsia"/>
          <w:color w:val="auto"/>
          <w:spacing w:val="20"/>
          <w:sz w:val="24"/>
          <w:highlight w:val="none"/>
        </w:rPr>
        <w:t>日</w:t>
      </w:r>
    </w:p>
    <w:p w14:paraId="3D24E767">
      <w:pPr>
        <w:spacing w:line="360" w:lineRule="auto"/>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br w:type="page"/>
      </w:r>
      <w:r>
        <w:rPr>
          <w:rFonts w:hint="eastAsia" w:ascii="宋体" w:hAnsi="宋体" w:cs="宋体"/>
          <w:b/>
          <w:bCs/>
          <w:color w:val="auto"/>
          <w:sz w:val="44"/>
          <w:szCs w:val="44"/>
          <w:highlight w:val="none"/>
        </w:rPr>
        <w:t>法定代表人身份证明</w:t>
      </w:r>
    </w:p>
    <w:p w14:paraId="4BCE293E">
      <w:pPr>
        <w:spacing w:line="360" w:lineRule="auto"/>
        <w:contextualSpacing/>
        <w:rPr>
          <w:rFonts w:hint="eastAsia" w:ascii="宋体" w:hAnsi="宋体" w:cs="宋体"/>
          <w:color w:val="auto"/>
          <w:sz w:val="32"/>
          <w:szCs w:val="32"/>
          <w:highlight w:val="none"/>
        </w:rPr>
      </w:pPr>
    </w:p>
    <w:p w14:paraId="3F110CA9">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供应商名称：</w:t>
      </w:r>
      <w:r>
        <w:rPr>
          <w:rFonts w:hint="eastAsia" w:ascii="宋体" w:hAnsi="宋体" w:cs="宋体"/>
          <w:color w:val="auto"/>
          <w:sz w:val="24"/>
          <w:highlight w:val="none"/>
          <w:u w:val="single"/>
        </w:rPr>
        <w:t xml:space="preserve">                                                        </w:t>
      </w:r>
    </w:p>
    <w:p w14:paraId="0C1F80C5">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地    址：</w:t>
      </w:r>
      <w:r>
        <w:rPr>
          <w:rFonts w:hint="eastAsia" w:ascii="宋体" w:hAnsi="宋体" w:cs="宋体"/>
          <w:color w:val="auto"/>
          <w:sz w:val="24"/>
          <w:highlight w:val="none"/>
          <w:u w:val="single"/>
        </w:rPr>
        <w:t xml:space="preserve">                                                          </w:t>
      </w:r>
    </w:p>
    <w:p w14:paraId="2F9BC315">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姓    名：</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性      别：</w:t>
      </w:r>
      <w:r>
        <w:rPr>
          <w:rFonts w:hint="eastAsia" w:ascii="宋体" w:hAnsi="宋体" w:cs="宋体"/>
          <w:color w:val="auto"/>
          <w:sz w:val="24"/>
          <w:highlight w:val="none"/>
          <w:u w:val="single"/>
        </w:rPr>
        <w:t xml:space="preserve">                      </w:t>
      </w:r>
    </w:p>
    <w:p w14:paraId="0597DB58">
      <w:pPr>
        <w:spacing w:line="360" w:lineRule="auto"/>
        <w:contextualSpacing/>
        <w:rPr>
          <w:rFonts w:hint="eastAsia" w:ascii="宋体" w:hAnsi="宋体" w:cs="宋体"/>
          <w:color w:val="auto"/>
          <w:sz w:val="24"/>
          <w:highlight w:val="none"/>
          <w:u w:val="single"/>
        </w:rPr>
      </w:pPr>
      <w:r>
        <w:rPr>
          <w:rFonts w:hint="eastAsia" w:ascii="宋体" w:hAnsi="宋体" w:cs="宋体"/>
          <w:color w:val="auto"/>
          <w:sz w:val="24"/>
          <w:highlight w:val="none"/>
        </w:rPr>
        <w:t>年    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职      务：</w:t>
      </w:r>
      <w:r>
        <w:rPr>
          <w:rFonts w:hint="eastAsia" w:ascii="宋体" w:hAnsi="宋体" w:cs="宋体"/>
          <w:color w:val="auto"/>
          <w:sz w:val="24"/>
          <w:highlight w:val="none"/>
          <w:u w:val="single"/>
        </w:rPr>
        <w:t xml:space="preserve">                      </w:t>
      </w:r>
    </w:p>
    <w:p w14:paraId="2DC662DC">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身份证号码：</w:t>
      </w:r>
      <w:r>
        <w:rPr>
          <w:rFonts w:hint="eastAsia" w:ascii="宋体" w:hAnsi="宋体" w:cs="宋体"/>
          <w:color w:val="auto"/>
          <w:sz w:val="24"/>
          <w:highlight w:val="none"/>
          <w:u w:val="single"/>
        </w:rPr>
        <w:t xml:space="preserve">                                                        </w:t>
      </w:r>
    </w:p>
    <w:p w14:paraId="2ECB6BFD">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系</w:t>
      </w:r>
      <w:r>
        <w:rPr>
          <w:rFonts w:hint="eastAsia" w:ascii="宋体" w:hAnsi="宋体" w:cs="宋体"/>
          <w:color w:val="auto"/>
          <w:sz w:val="24"/>
          <w:highlight w:val="none"/>
          <w:u w:val="single"/>
        </w:rPr>
        <w:t xml:space="preserve">    （供应商名称）   </w:t>
      </w:r>
      <w:r>
        <w:rPr>
          <w:rFonts w:hint="eastAsia" w:ascii="宋体" w:hAnsi="宋体" w:cs="宋体"/>
          <w:color w:val="auto"/>
          <w:sz w:val="24"/>
          <w:highlight w:val="none"/>
        </w:rPr>
        <w:t>的法定代表人。</w:t>
      </w:r>
    </w:p>
    <w:p w14:paraId="4CFA8920">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特此证明。</w:t>
      </w:r>
    </w:p>
    <w:p w14:paraId="426B5DA7">
      <w:pPr>
        <w:spacing w:line="360" w:lineRule="auto"/>
        <w:contextualSpacing/>
        <w:rPr>
          <w:rFonts w:hint="eastAsia" w:ascii="宋体" w:hAnsi="宋体" w:cs="宋体"/>
          <w:color w:val="auto"/>
          <w:sz w:val="24"/>
          <w:highlight w:val="none"/>
        </w:rPr>
      </w:pPr>
    </w:p>
    <w:p w14:paraId="2BF49F05">
      <w:pPr>
        <w:spacing w:line="360" w:lineRule="auto"/>
        <w:contextualSpacing/>
        <w:rPr>
          <w:rFonts w:hint="eastAsia" w:ascii="宋体" w:hAnsi="宋体" w:cs="宋体"/>
          <w:color w:val="auto"/>
          <w:sz w:val="24"/>
          <w:highlight w:val="none"/>
        </w:rPr>
      </w:pPr>
    </w:p>
    <w:p w14:paraId="62854401">
      <w:pPr>
        <w:spacing w:line="360" w:lineRule="auto"/>
        <w:contextualSpacing/>
        <w:rPr>
          <w:rFonts w:hint="eastAsia" w:ascii="宋体" w:hAnsi="宋体" w:cs="宋体"/>
          <w:color w:val="auto"/>
          <w:sz w:val="24"/>
          <w:highlight w:val="none"/>
        </w:rPr>
      </w:pPr>
    </w:p>
    <w:p w14:paraId="2D8EB541">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附件：法定代表人有效身份证正反面复印件</w:t>
      </w:r>
    </w:p>
    <w:p w14:paraId="56CC3EC0">
      <w:pPr>
        <w:spacing w:line="360" w:lineRule="auto"/>
        <w:contextualSpacing/>
        <w:rPr>
          <w:rFonts w:hint="eastAsia" w:ascii="宋体" w:hAnsi="宋体" w:cs="宋体"/>
          <w:color w:val="auto"/>
          <w:sz w:val="24"/>
          <w:highlight w:val="none"/>
        </w:rPr>
      </w:pPr>
    </w:p>
    <w:p w14:paraId="7490382B">
      <w:pPr>
        <w:spacing w:line="360" w:lineRule="auto"/>
        <w:ind w:right="960" w:firstLine="5040" w:firstLineChars="2100"/>
        <w:contextualSpacing/>
        <w:rPr>
          <w:rFonts w:hint="eastAsia" w:ascii="宋体" w:hAnsi="宋体" w:cs="宋体"/>
          <w:color w:val="auto"/>
          <w:sz w:val="24"/>
          <w:highlight w:val="none"/>
        </w:rPr>
      </w:pPr>
      <w:r>
        <w:rPr>
          <w:rFonts w:hint="eastAsia" w:ascii="宋体" w:hAnsi="宋体" w:cs="宋体"/>
          <w:color w:val="auto"/>
          <w:sz w:val="24"/>
          <w:highlight w:val="none"/>
        </w:rPr>
        <w:t>供应商（公章）：</w:t>
      </w:r>
      <w:r>
        <w:rPr>
          <w:rFonts w:hint="eastAsia" w:ascii="宋体" w:hAnsi="宋体" w:cs="宋体"/>
          <w:color w:val="auto"/>
          <w:sz w:val="24"/>
          <w:highlight w:val="none"/>
          <w:u w:val="single"/>
        </w:rPr>
        <w:t xml:space="preserve">               </w:t>
      </w:r>
    </w:p>
    <w:p w14:paraId="5BC7C374">
      <w:pPr>
        <w:spacing w:line="360" w:lineRule="auto"/>
        <w:ind w:firstLine="5040" w:firstLineChars="2100"/>
        <w:contextualSpacing/>
        <w:rPr>
          <w:rFonts w:hint="eastAsia" w:ascii="宋体" w:hAnsi="宋体" w:cs="宋体"/>
          <w:color w:val="auto"/>
          <w:sz w:val="24"/>
          <w:highlight w:val="none"/>
        </w:rPr>
      </w:pPr>
      <w:r>
        <w:rPr>
          <w:rFonts w:hint="eastAsia" w:ascii="宋体" w:hAnsi="宋体" w:cs="宋体"/>
          <w:color w:val="auto"/>
          <w:sz w:val="24"/>
          <w:highlight w:val="none"/>
        </w:rPr>
        <w:t>日期：</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14:paraId="19A22078">
      <w:pPr>
        <w:spacing w:line="360" w:lineRule="auto"/>
        <w:contextualSpacing/>
        <w:jc w:val="center"/>
        <w:rPr>
          <w:rFonts w:hint="eastAsia" w:ascii="宋体" w:hAnsi="宋体" w:cs="宋体"/>
          <w:b/>
          <w:color w:val="auto"/>
          <w:sz w:val="24"/>
          <w:highlight w:val="none"/>
        </w:rPr>
      </w:pPr>
    </w:p>
    <w:p w14:paraId="54E5A926">
      <w:pPr>
        <w:spacing w:line="360" w:lineRule="auto"/>
        <w:contextualSpacing/>
        <w:jc w:val="left"/>
        <w:rPr>
          <w:rFonts w:hint="eastAsia" w:ascii="楷体" w:hAnsi="楷体" w:eastAsia="楷体" w:cs="宋体"/>
          <w:b/>
          <w:color w:val="auto"/>
          <w:sz w:val="24"/>
          <w:highlight w:val="none"/>
        </w:rPr>
      </w:pPr>
      <w:r>
        <w:rPr>
          <w:rFonts w:hint="eastAsia" w:ascii="楷体" w:hAnsi="楷体" w:eastAsia="楷体" w:cs="宋体"/>
          <w:b/>
          <w:color w:val="auto"/>
          <w:sz w:val="24"/>
          <w:highlight w:val="none"/>
        </w:rPr>
        <w:t>注：</w:t>
      </w:r>
    </w:p>
    <w:p w14:paraId="7BC46193">
      <w:pPr>
        <w:spacing w:line="360" w:lineRule="auto"/>
        <w:ind w:firstLine="480" w:firstLineChars="200"/>
        <w:contextualSpacing/>
        <w:jc w:val="left"/>
        <w:rPr>
          <w:rFonts w:hint="eastAsia" w:ascii="楷体" w:hAnsi="楷体" w:eastAsia="楷体" w:cs="宋体"/>
          <w:color w:val="auto"/>
          <w:sz w:val="24"/>
          <w:highlight w:val="none"/>
        </w:rPr>
      </w:pPr>
      <w:r>
        <w:rPr>
          <w:rFonts w:hint="eastAsia" w:ascii="楷体" w:hAnsi="楷体" w:eastAsia="楷体" w:cs="宋体"/>
          <w:color w:val="auto"/>
          <w:sz w:val="24"/>
          <w:highlight w:val="none"/>
        </w:rPr>
        <w:t>自然人参与</w:t>
      </w:r>
      <w:r>
        <w:rPr>
          <w:rFonts w:hint="eastAsia" w:ascii="楷体" w:hAnsi="楷体" w:eastAsia="楷体" w:cs="宋体"/>
          <w:color w:val="auto"/>
          <w:sz w:val="24"/>
          <w:highlight w:val="none"/>
          <w:lang w:bidi="ar"/>
        </w:rPr>
        <w:t>竞争性谈判</w:t>
      </w:r>
      <w:r>
        <w:rPr>
          <w:rFonts w:hint="eastAsia" w:ascii="楷体" w:hAnsi="楷体" w:eastAsia="楷体" w:cs="宋体"/>
          <w:color w:val="auto"/>
          <w:sz w:val="24"/>
          <w:highlight w:val="none"/>
        </w:rPr>
        <w:t>的无需提供，联合体参与</w:t>
      </w:r>
      <w:r>
        <w:rPr>
          <w:rFonts w:hint="eastAsia" w:ascii="楷体" w:hAnsi="楷体" w:eastAsia="楷体" w:cs="宋体"/>
          <w:color w:val="auto"/>
          <w:sz w:val="24"/>
          <w:highlight w:val="none"/>
          <w:lang w:bidi="ar"/>
        </w:rPr>
        <w:t>竞争性谈判</w:t>
      </w:r>
      <w:r>
        <w:rPr>
          <w:rFonts w:hint="eastAsia" w:ascii="楷体" w:hAnsi="楷体" w:eastAsia="楷体" w:cs="宋体"/>
          <w:color w:val="auto"/>
          <w:sz w:val="24"/>
          <w:highlight w:val="none"/>
        </w:rPr>
        <w:t>的只需牵头人出具。</w:t>
      </w:r>
    </w:p>
    <w:p w14:paraId="37E03745">
      <w:pPr>
        <w:adjustRightInd w:val="0"/>
        <w:snapToGrid w:val="0"/>
        <w:spacing w:line="360" w:lineRule="auto"/>
        <w:jc w:val="left"/>
        <w:rPr>
          <w:rFonts w:hint="eastAsia" w:ascii="楷体" w:hAnsi="楷体" w:eastAsia="楷体" w:cs="宋体"/>
          <w:b/>
          <w:color w:val="auto"/>
          <w:szCs w:val="21"/>
          <w:highlight w:val="none"/>
        </w:rPr>
      </w:pPr>
    </w:p>
    <w:p w14:paraId="2FB51714">
      <w:pPr>
        <w:spacing w:line="360" w:lineRule="auto"/>
        <w:jc w:val="center"/>
        <w:rPr>
          <w:rFonts w:hint="eastAsia" w:ascii="宋体" w:hAnsi="宋体" w:cs="宋体"/>
          <w:b/>
          <w:color w:val="auto"/>
          <w:sz w:val="44"/>
          <w:szCs w:val="44"/>
          <w:highlight w:val="none"/>
        </w:rPr>
      </w:pPr>
      <w:r>
        <w:rPr>
          <w:rFonts w:hint="eastAsia" w:ascii="宋体" w:hAnsi="宋体" w:cs="宋体"/>
          <w:color w:val="auto"/>
          <w:sz w:val="44"/>
          <w:szCs w:val="44"/>
          <w:highlight w:val="none"/>
        </w:rPr>
        <w:br w:type="page"/>
      </w:r>
      <w:r>
        <w:rPr>
          <w:rFonts w:hint="eastAsia" w:ascii="宋体" w:hAnsi="宋体" w:cs="宋体"/>
          <w:b/>
          <w:color w:val="auto"/>
          <w:sz w:val="44"/>
          <w:szCs w:val="44"/>
          <w:highlight w:val="none"/>
        </w:rPr>
        <w:t>授权委托书</w:t>
      </w:r>
    </w:p>
    <w:p w14:paraId="514318E8">
      <w:pPr>
        <w:spacing w:line="360" w:lineRule="auto"/>
        <w:jc w:val="center"/>
        <w:rPr>
          <w:rFonts w:hint="eastAsia" w:ascii="宋体" w:hAnsi="宋体" w:cs="宋体"/>
          <w:color w:val="auto"/>
          <w:sz w:val="28"/>
          <w:szCs w:val="28"/>
          <w:highlight w:val="none"/>
        </w:rPr>
      </w:pPr>
      <w:r>
        <w:rPr>
          <w:rFonts w:hint="eastAsia" w:ascii="宋体" w:hAnsi="宋体" w:cs="宋体"/>
          <w:color w:val="auto"/>
          <w:sz w:val="28"/>
          <w:szCs w:val="28"/>
          <w:highlight w:val="none"/>
        </w:rPr>
        <w:t>（非联合体参与竞争性谈判格式）</w:t>
      </w:r>
    </w:p>
    <w:p w14:paraId="161F506E">
      <w:pPr>
        <w:spacing w:line="360" w:lineRule="auto"/>
        <w:jc w:val="center"/>
        <w:rPr>
          <w:rFonts w:hint="eastAsia" w:ascii="宋体" w:hAnsi="宋体" w:cs="宋体"/>
          <w:color w:val="auto"/>
          <w:sz w:val="28"/>
          <w:szCs w:val="28"/>
          <w:highlight w:val="none"/>
        </w:rPr>
      </w:pPr>
      <w:r>
        <w:rPr>
          <w:rFonts w:hint="eastAsia" w:ascii="宋体" w:hAnsi="宋体" w:cs="宋体"/>
          <w:color w:val="auto"/>
          <w:sz w:val="28"/>
          <w:szCs w:val="28"/>
          <w:highlight w:val="none"/>
        </w:rPr>
        <w:t>（如有委托时）</w:t>
      </w:r>
    </w:p>
    <w:p w14:paraId="4A5D3EC3">
      <w:pPr>
        <w:spacing w:line="360" w:lineRule="auto"/>
        <w:contextualSpacing/>
        <w:rPr>
          <w:rFonts w:hint="eastAsia" w:ascii="宋体" w:hAnsi="宋体" w:cs="宋体"/>
          <w:color w:val="auto"/>
          <w:sz w:val="32"/>
          <w:szCs w:val="32"/>
          <w:highlight w:val="none"/>
        </w:rPr>
      </w:pPr>
    </w:p>
    <w:p w14:paraId="763D9E85">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34F752CC">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我</w:t>
      </w:r>
      <w:r>
        <w:rPr>
          <w:rFonts w:hint="eastAsia" w:ascii="宋体" w:hAnsi="宋体" w:cs="宋体"/>
          <w:color w:val="auto"/>
          <w:sz w:val="24"/>
          <w:highlight w:val="none"/>
          <w:u w:val="single"/>
        </w:rPr>
        <w:t xml:space="preserve">  （姓名）  </w:t>
      </w:r>
      <w:r>
        <w:rPr>
          <w:rFonts w:hint="eastAsia" w:ascii="宋体" w:hAnsi="宋体" w:cs="宋体"/>
          <w:color w:val="auto"/>
          <w:sz w:val="24"/>
          <w:highlight w:val="none"/>
        </w:rPr>
        <w:t>系</w:t>
      </w:r>
      <w:r>
        <w:rPr>
          <w:rFonts w:hint="eastAsia" w:ascii="宋体" w:hAnsi="宋体" w:cs="宋体"/>
          <w:color w:val="auto"/>
          <w:sz w:val="24"/>
          <w:highlight w:val="none"/>
          <w:u w:val="single"/>
        </w:rPr>
        <w:t xml:space="preserve">  （供应商名称）  </w:t>
      </w:r>
      <w:r>
        <w:rPr>
          <w:rFonts w:hint="eastAsia" w:ascii="宋体" w:hAnsi="宋体" w:cs="宋体"/>
          <w:color w:val="auto"/>
          <w:sz w:val="24"/>
          <w:highlight w:val="none"/>
        </w:rPr>
        <w:t>的（</w:t>
      </w:r>
      <w:r>
        <w:rPr>
          <w:rFonts w:hint="eastAsia" w:ascii="宋体" w:hAnsi="宋体" w:cs="宋体"/>
          <w:color w:val="auto"/>
          <w:sz w:val="24"/>
          <w:highlight w:val="none"/>
          <w:u w:val="single"/>
        </w:rPr>
        <w:t>□法定代表人/□负责人/□自然人本人</w:t>
      </w:r>
      <w:r>
        <w:rPr>
          <w:rFonts w:hint="eastAsia" w:ascii="宋体" w:hAnsi="宋体" w:cs="宋体"/>
          <w:color w:val="auto"/>
          <w:sz w:val="24"/>
          <w:highlight w:val="none"/>
        </w:rPr>
        <w:t>），现授权</w:t>
      </w:r>
      <w:r>
        <w:rPr>
          <w:rFonts w:hint="eastAsia" w:ascii="宋体" w:hAnsi="宋体" w:cs="宋体"/>
          <w:color w:val="auto"/>
          <w:sz w:val="24"/>
          <w:highlight w:val="none"/>
          <w:u w:val="single"/>
        </w:rPr>
        <w:t xml:space="preserve"> （姓名） </w:t>
      </w:r>
      <w:r>
        <w:rPr>
          <w:rFonts w:hint="eastAsia" w:ascii="宋体" w:hAnsi="宋体" w:cs="宋体"/>
          <w:color w:val="auto"/>
          <w:sz w:val="24"/>
          <w:highlight w:val="none"/>
        </w:rPr>
        <w:t>以我方的名义参加</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项目的</w:t>
      </w:r>
      <w:r>
        <w:rPr>
          <w:rFonts w:hint="eastAsia" w:ascii="宋体" w:hAnsi="宋体" w:cs="宋体"/>
          <w:color w:val="auto"/>
          <w:sz w:val="24"/>
          <w:highlight w:val="none"/>
          <w:lang w:bidi="ar"/>
        </w:rPr>
        <w:t>竞争性谈判</w:t>
      </w:r>
      <w:r>
        <w:rPr>
          <w:rFonts w:hint="eastAsia" w:ascii="宋体" w:hAnsi="宋体" w:cs="宋体"/>
          <w:color w:val="auto"/>
          <w:sz w:val="24"/>
          <w:highlight w:val="none"/>
        </w:rPr>
        <w:t>活动，并代表我方全权办理针对上述项目的所有采购程序和环节的具体事务和签署相关文件。</w:t>
      </w:r>
    </w:p>
    <w:p w14:paraId="0F3026F7">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 xml:space="preserve">    我方对委托代理人的签字事项负全部责任。</w:t>
      </w:r>
    </w:p>
    <w:p w14:paraId="455396D0">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本授权书自签署之日起生效，在撤销授权的书面通知以前，本授权书一直有效。委托代理人在授权书有效期内签署的所有文件不因授权的撤销而失效。</w:t>
      </w:r>
    </w:p>
    <w:p w14:paraId="32CD9589">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委托代理人无转委托权，特此委托。</w:t>
      </w:r>
    </w:p>
    <w:p w14:paraId="13EE78CC">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附：法定代表人身份证明及委托代理人有效身份证正反面复印件</w:t>
      </w:r>
    </w:p>
    <w:p w14:paraId="3E9CDD49">
      <w:pPr>
        <w:spacing w:line="360" w:lineRule="auto"/>
        <w:contextualSpacing/>
        <w:rPr>
          <w:rFonts w:hint="eastAsia" w:ascii="宋体" w:hAnsi="宋体" w:cs="宋体"/>
          <w:color w:val="auto"/>
          <w:sz w:val="24"/>
          <w:highlight w:val="none"/>
        </w:rPr>
      </w:pPr>
    </w:p>
    <w:p w14:paraId="22E215AF">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委托代理人（签字）：</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 xml:space="preserve">         法定代表人（签字）：</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56669E15">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委托代理人身份证号码：</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39CB7EB8">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 xml:space="preserve">                                </w:t>
      </w:r>
    </w:p>
    <w:p w14:paraId="4EC932AF">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 xml:space="preserve">                         供应商（公章）：</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17AA3540">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 xml:space="preserve">                         日期：</w:t>
      </w:r>
      <w:r>
        <w:rPr>
          <w:rFonts w:hint="eastAsia" w:cs="宋体" w:asciiTheme="minorEastAsia" w:hAnsiTheme="minorEastAsia" w:eastAsiaTheme="minorEastAsia"/>
          <w:color w:val="auto"/>
          <w:spacing w:val="20"/>
          <w:sz w:val="24"/>
          <w:highlight w:val="none"/>
          <w:u w:val="single"/>
        </w:rPr>
        <w:t xml:space="preserve"> </w:t>
      </w:r>
      <w:r>
        <w:rPr>
          <w:rFonts w:cs="宋体" w:asciiTheme="minorEastAsia" w:hAnsiTheme="minorEastAsia" w:eastAsiaTheme="minorEastAsia"/>
          <w:color w:val="auto"/>
          <w:spacing w:val="20"/>
          <w:sz w:val="24"/>
          <w:highlight w:val="none"/>
          <w:u w:val="single"/>
        </w:rPr>
        <w:t xml:space="preserve">  </w:t>
      </w:r>
      <w:r>
        <w:rPr>
          <w:rFonts w:hint="eastAsia" w:cs="宋体" w:asciiTheme="minorEastAsia" w:hAnsiTheme="minorEastAsia" w:eastAsiaTheme="minorEastAsia"/>
          <w:color w:val="auto"/>
          <w:spacing w:val="20"/>
          <w:sz w:val="24"/>
          <w:highlight w:val="none"/>
          <w:u w:val="single"/>
        </w:rPr>
        <w:t xml:space="preserve">  </w:t>
      </w:r>
      <w:r>
        <w:rPr>
          <w:rFonts w:hint="eastAsia" w:cs="宋体" w:asciiTheme="minorEastAsia" w:hAnsiTheme="minorEastAsia" w:eastAsiaTheme="minorEastAsia"/>
          <w:color w:val="auto"/>
          <w:spacing w:val="20"/>
          <w:sz w:val="24"/>
          <w:highlight w:val="none"/>
        </w:rPr>
        <w:t>年</w:t>
      </w:r>
      <w:r>
        <w:rPr>
          <w:rFonts w:hint="eastAsia" w:cs="宋体" w:asciiTheme="minorEastAsia" w:hAnsiTheme="minorEastAsia" w:eastAsiaTheme="minorEastAsia"/>
          <w:color w:val="auto"/>
          <w:spacing w:val="20"/>
          <w:sz w:val="24"/>
          <w:highlight w:val="none"/>
          <w:u w:val="single"/>
        </w:rPr>
        <w:t xml:space="preserve">  </w:t>
      </w:r>
      <w:r>
        <w:rPr>
          <w:rFonts w:hint="eastAsia" w:cs="宋体" w:asciiTheme="minorEastAsia" w:hAnsiTheme="minorEastAsia" w:eastAsiaTheme="minorEastAsia"/>
          <w:color w:val="auto"/>
          <w:spacing w:val="20"/>
          <w:sz w:val="24"/>
          <w:highlight w:val="none"/>
        </w:rPr>
        <w:t>月</w:t>
      </w:r>
      <w:r>
        <w:rPr>
          <w:rFonts w:hint="eastAsia" w:cs="宋体" w:asciiTheme="minorEastAsia" w:hAnsiTheme="minorEastAsia" w:eastAsiaTheme="minorEastAsia"/>
          <w:color w:val="auto"/>
          <w:spacing w:val="20"/>
          <w:sz w:val="24"/>
          <w:highlight w:val="none"/>
          <w:u w:val="single"/>
        </w:rPr>
        <w:t xml:space="preserve">  </w:t>
      </w:r>
      <w:r>
        <w:rPr>
          <w:rFonts w:hint="eastAsia" w:cs="宋体" w:asciiTheme="minorEastAsia" w:hAnsiTheme="minorEastAsia" w:eastAsiaTheme="minorEastAsia"/>
          <w:color w:val="auto"/>
          <w:spacing w:val="20"/>
          <w:sz w:val="24"/>
          <w:highlight w:val="none"/>
        </w:rPr>
        <w:t>日</w:t>
      </w:r>
    </w:p>
    <w:p w14:paraId="77C98B46">
      <w:pPr>
        <w:spacing w:line="360" w:lineRule="auto"/>
        <w:contextualSpacing/>
        <w:rPr>
          <w:rFonts w:hint="eastAsia" w:ascii="宋体" w:hAnsi="宋体" w:cs="宋体"/>
          <w:color w:val="auto"/>
          <w:sz w:val="24"/>
          <w:highlight w:val="none"/>
        </w:rPr>
      </w:pPr>
    </w:p>
    <w:p w14:paraId="2E2E5650">
      <w:pPr>
        <w:spacing w:line="360" w:lineRule="auto"/>
        <w:contextualSpacing/>
        <w:rPr>
          <w:rFonts w:hint="eastAsia" w:ascii="楷体" w:hAnsi="楷体" w:eastAsia="楷体" w:cs="宋体"/>
          <w:b/>
          <w:color w:val="auto"/>
          <w:sz w:val="24"/>
          <w:highlight w:val="none"/>
        </w:rPr>
      </w:pPr>
      <w:r>
        <w:rPr>
          <w:rFonts w:hint="eastAsia" w:ascii="楷体" w:hAnsi="楷体" w:eastAsia="楷体" w:cs="宋体"/>
          <w:b/>
          <w:color w:val="auto"/>
          <w:sz w:val="24"/>
          <w:highlight w:val="none"/>
        </w:rPr>
        <w:t>注：</w:t>
      </w:r>
    </w:p>
    <w:p w14:paraId="09F0F106">
      <w:pPr>
        <w:spacing w:line="360" w:lineRule="auto"/>
        <w:ind w:firstLine="480" w:firstLineChars="200"/>
        <w:contextualSpacing/>
        <w:rPr>
          <w:rFonts w:hint="eastAsia" w:ascii="楷体" w:hAnsi="楷体" w:eastAsia="楷体" w:cs="宋体"/>
          <w:color w:val="auto"/>
          <w:sz w:val="24"/>
          <w:highlight w:val="none"/>
        </w:rPr>
      </w:pPr>
      <w:r>
        <w:rPr>
          <w:rFonts w:ascii="楷体" w:hAnsi="楷体" w:eastAsia="楷体" w:cs="宋体"/>
          <w:color w:val="auto"/>
          <w:sz w:val="24"/>
          <w:highlight w:val="none"/>
        </w:rPr>
        <w:t>1.</w:t>
      </w:r>
      <w:r>
        <w:rPr>
          <w:rFonts w:hint="eastAsia" w:ascii="楷体" w:hAnsi="楷体" w:eastAsia="楷体" w:cs="宋体"/>
          <w:color w:val="auto"/>
          <w:sz w:val="24"/>
          <w:highlight w:val="none"/>
        </w:rPr>
        <w:t>法定代表人必须在授权委托书上亲笔签字或者盖章，委托代理人必须在授权委托书上亲笔签字，</w:t>
      </w:r>
      <w:r>
        <w:rPr>
          <w:rFonts w:hint="eastAsia" w:ascii="楷体" w:hAnsi="楷体" w:eastAsia="楷体" w:cs="宋体"/>
          <w:b/>
          <w:color w:val="auto"/>
          <w:sz w:val="24"/>
          <w:highlight w:val="none"/>
        </w:rPr>
        <w:t>否则其响应文件按无效响应处理。</w:t>
      </w:r>
    </w:p>
    <w:p w14:paraId="7B5B1891">
      <w:pPr>
        <w:spacing w:line="360" w:lineRule="auto"/>
        <w:ind w:firstLine="480" w:firstLineChars="200"/>
        <w:contextualSpacing/>
        <w:jc w:val="left"/>
        <w:rPr>
          <w:rFonts w:hint="eastAsia" w:ascii="楷体" w:hAnsi="楷体" w:eastAsia="楷体" w:cs="宋体"/>
          <w:color w:val="auto"/>
          <w:sz w:val="24"/>
          <w:highlight w:val="none"/>
        </w:rPr>
      </w:pPr>
      <w:r>
        <w:rPr>
          <w:rFonts w:ascii="楷体" w:hAnsi="楷体" w:eastAsia="楷体" w:cs="宋体"/>
          <w:color w:val="auto"/>
          <w:sz w:val="24"/>
          <w:highlight w:val="none"/>
        </w:rPr>
        <w:t>2.法人、其他组织</w:t>
      </w:r>
      <w:r>
        <w:rPr>
          <w:rFonts w:hint="eastAsia" w:ascii="楷体" w:hAnsi="楷体" w:eastAsia="楷体" w:cs="宋体"/>
          <w:color w:val="auto"/>
          <w:sz w:val="24"/>
          <w:highlight w:val="none"/>
        </w:rPr>
        <w:t>参与</w:t>
      </w:r>
      <w:r>
        <w:rPr>
          <w:rFonts w:hint="eastAsia" w:ascii="楷体" w:hAnsi="楷体" w:eastAsia="楷体" w:cs="宋体"/>
          <w:color w:val="auto"/>
          <w:sz w:val="24"/>
          <w:highlight w:val="none"/>
          <w:lang w:bidi="ar"/>
        </w:rPr>
        <w:t>竞争性谈判</w:t>
      </w:r>
      <w:r>
        <w:rPr>
          <w:rFonts w:hint="eastAsia" w:ascii="楷体" w:hAnsi="楷体" w:eastAsia="楷体" w:cs="宋体"/>
          <w:color w:val="auto"/>
          <w:sz w:val="24"/>
          <w:highlight w:val="none"/>
        </w:rPr>
        <w:t>时“我方”是指“我单位”，自然人参与</w:t>
      </w:r>
      <w:r>
        <w:rPr>
          <w:rFonts w:hint="eastAsia" w:ascii="楷体" w:hAnsi="楷体" w:eastAsia="楷体" w:cs="宋体"/>
          <w:color w:val="auto"/>
          <w:sz w:val="24"/>
          <w:highlight w:val="none"/>
          <w:lang w:bidi="ar"/>
        </w:rPr>
        <w:t>竞争性谈判</w:t>
      </w:r>
      <w:r>
        <w:rPr>
          <w:rFonts w:hint="eastAsia" w:ascii="楷体" w:hAnsi="楷体" w:eastAsia="楷体" w:cs="宋体"/>
          <w:color w:val="auto"/>
          <w:sz w:val="24"/>
          <w:highlight w:val="none"/>
        </w:rPr>
        <w:t>时“我方”是指“本人”。</w:t>
      </w:r>
    </w:p>
    <w:p w14:paraId="70CA6504">
      <w:pPr>
        <w:spacing w:line="360" w:lineRule="auto"/>
        <w:ind w:firstLine="420" w:firstLineChars="200"/>
        <w:contextualSpacing/>
        <w:jc w:val="left"/>
        <w:rPr>
          <w:rFonts w:hint="eastAsia" w:ascii="宋体" w:hAnsi="宋体" w:cs="宋体"/>
          <w:color w:val="auto"/>
          <w:szCs w:val="21"/>
          <w:highlight w:val="none"/>
        </w:rPr>
      </w:pPr>
    </w:p>
    <w:p w14:paraId="1F922B7D">
      <w:pPr>
        <w:spacing w:line="360" w:lineRule="auto"/>
        <w:contextualSpacing/>
        <w:jc w:val="center"/>
        <w:rPr>
          <w:rFonts w:hint="eastAsia" w:ascii="宋体" w:hAnsi="宋体" w:cs="宋体"/>
          <w:b/>
          <w:color w:val="auto"/>
          <w:sz w:val="44"/>
          <w:szCs w:val="44"/>
          <w:highlight w:val="none"/>
        </w:rPr>
      </w:pPr>
      <w:r>
        <w:rPr>
          <w:rFonts w:hint="eastAsia" w:ascii="宋体" w:hAnsi="宋体" w:cs="宋体"/>
          <w:color w:val="auto"/>
          <w:szCs w:val="21"/>
          <w:highlight w:val="none"/>
        </w:rPr>
        <w:br w:type="page"/>
      </w:r>
      <w:r>
        <w:rPr>
          <w:rFonts w:hint="eastAsia" w:ascii="宋体" w:hAnsi="宋体" w:cs="宋体"/>
          <w:b/>
          <w:color w:val="auto"/>
          <w:sz w:val="44"/>
          <w:szCs w:val="44"/>
          <w:highlight w:val="none"/>
        </w:rPr>
        <w:t>授权委托书</w:t>
      </w:r>
    </w:p>
    <w:p w14:paraId="459B1694">
      <w:pPr>
        <w:spacing w:line="360" w:lineRule="auto"/>
        <w:contextualSpacing/>
        <w:jc w:val="center"/>
        <w:rPr>
          <w:rFonts w:hint="eastAsia" w:ascii="宋体" w:hAnsi="宋体" w:cs="宋体"/>
          <w:color w:val="auto"/>
          <w:sz w:val="28"/>
          <w:szCs w:val="28"/>
          <w:highlight w:val="none"/>
        </w:rPr>
      </w:pPr>
      <w:r>
        <w:rPr>
          <w:rFonts w:hint="eastAsia" w:ascii="宋体" w:hAnsi="宋体" w:cs="宋体"/>
          <w:color w:val="auto"/>
          <w:sz w:val="28"/>
          <w:szCs w:val="28"/>
          <w:highlight w:val="none"/>
        </w:rPr>
        <w:t>（联合体参与竞争性谈判格式）</w:t>
      </w:r>
    </w:p>
    <w:p w14:paraId="69BE0022">
      <w:pPr>
        <w:spacing w:line="360" w:lineRule="auto"/>
        <w:contextualSpacing/>
        <w:jc w:val="center"/>
        <w:rPr>
          <w:rFonts w:hint="eastAsia" w:ascii="宋体" w:hAnsi="宋体" w:cs="宋体"/>
          <w:color w:val="auto"/>
          <w:sz w:val="28"/>
          <w:szCs w:val="28"/>
          <w:highlight w:val="none"/>
        </w:rPr>
      </w:pPr>
      <w:r>
        <w:rPr>
          <w:rFonts w:hint="eastAsia" w:ascii="宋体" w:hAnsi="宋体" w:cs="宋体"/>
          <w:color w:val="auto"/>
          <w:sz w:val="28"/>
          <w:szCs w:val="28"/>
          <w:highlight w:val="none"/>
        </w:rPr>
        <w:t>（如有委托时）</w:t>
      </w:r>
    </w:p>
    <w:p w14:paraId="3918066C">
      <w:pPr>
        <w:spacing w:line="360" w:lineRule="auto"/>
        <w:contextualSpacing/>
        <w:rPr>
          <w:rFonts w:hint="eastAsia" w:ascii="宋体" w:hAnsi="宋体" w:cs="宋体"/>
          <w:color w:val="auto"/>
          <w:sz w:val="32"/>
          <w:szCs w:val="32"/>
          <w:highlight w:val="none"/>
        </w:rPr>
      </w:pPr>
    </w:p>
    <w:p w14:paraId="69BB308D">
      <w:pPr>
        <w:spacing w:line="360" w:lineRule="auto"/>
        <w:ind w:firstLine="480" w:firstLineChars="200"/>
        <w:contextualSpacing/>
        <w:jc w:val="left"/>
        <w:rPr>
          <w:rFonts w:hint="eastAsia" w:ascii="宋体" w:hAnsi="宋体" w:cs="宋体"/>
          <w:color w:val="auto"/>
          <w:sz w:val="24"/>
          <w:highlight w:val="none"/>
        </w:rPr>
      </w:pPr>
      <w:r>
        <w:rPr>
          <w:rFonts w:hint="eastAsia" w:ascii="宋体" w:hAnsi="宋体" w:cs="宋体"/>
          <w:color w:val="auto"/>
          <w:sz w:val="24"/>
          <w:highlight w:val="none"/>
        </w:rPr>
        <w:t>本授权委托书声明：根据</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（牵头人名称）与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（联合体其他成员名称）签订的《联合体参与竞争性谈判协议书》的内容，</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（牵头人名称）的法定代表人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（姓名）现授权</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（姓名）为联合委托代理人，并代表我方全权办理针对上述项目的所有采购程序和环节的具体事务和签署相关文件。</w:t>
      </w:r>
    </w:p>
    <w:p w14:paraId="4D4290D3">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我方对委托代理人的签字事项负全部责任。</w:t>
      </w:r>
    </w:p>
    <w:p w14:paraId="0DBAD54F">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本授权书自签署之日起生效，在撤销授权的书面通知以前，本授权书一直有效。委托代理人在授权书有效期内签署的所有文件不因授权的撤销而失效。</w:t>
      </w:r>
    </w:p>
    <w:p w14:paraId="5395E554">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委托代理人无转委托权，特此委托。</w:t>
      </w:r>
    </w:p>
    <w:p w14:paraId="388BB91C">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 xml:space="preserve">    附：法定代表人身份证明及委托代理人有效身份证正反面复印件</w:t>
      </w:r>
    </w:p>
    <w:p w14:paraId="634928BB">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牵头人法定代表人（签字）：</w:t>
      </w:r>
    </w:p>
    <w:p w14:paraId="08AC8BAB">
      <w:pPr>
        <w:spacing w:line="360" w:lineRule="auto"/>
        <w:ind w:firstLine="3120" w:firstLineChars="1300"/>
        <w:contextualSpacing/>
        <w:rPr>
          <w:rFonts w:hint="eastAsia" w:ascii="宋体" w:hAnsi="宋体" w:cs="宋体"/>
          <w:color w:val="auto"/>
          <w:sz w:val="24"/>
          <w:highlight w:val="none"/>
          <w:u w:val="single"/>
        </w:rPr>
      </w:pPr>
      <w:r>
        <w:rPr>
          <w:rFonts w:hint="eastAsia" w:ascii="宋体" w:hAnsi="宋体" w:cs="宋体"/>
          <w:color w:val="auto"/>
          <w:sz w:val="24"/>
          <w:highlight w:val="none"/>
        </w:rPr>
        <w:t>牵头人（公章）：</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p>
    <w:p w14:paraId="5E76CAA7">
      <w:pPr>
        <w:spacing w:line="360" w:lineRule="auto"/>
        <w:ind w:firstLine="3840" w:firstLineChars="1600"/>
        <w:contextualSpacing/>
        <w:rPr>
          <w:rFonts w:hint="eastAsia" w:ascii="宋体" w:hAnsi="宋体" w:cs="宋体"/>
          <w:color w:val="auto"/>
          <w:sz w:val="24"/>
          <w:highlight w:val="none"/>
        </w:rPr>
      </w:pPr>
      <w:r>
        <w:rPr>
          <w:rFonts w:hint="eastAsia" w:ascii="宋体" w:hAnsi="宋体" w:cs="宋体"/>
          <w:color w:val="auto"/>
          <w:sz w:val="24"/>
          <w:highlight w:val="none"/>
        </w:rPr>
        <w:t>日期：</w:t>
      </w:r>
      <w:r>
        <w:rPr>
          <w:rFonts w:hint="eastAsia" w:cs="宋体" w:asciiTheme="minorEastAsia" w:hAnsiTheme="minorEastAsia" w:eastAsiaTheme="minorEastAsia"/>
          <w:color w:val="auto"/>
          <w:spacing w:val="20"/>
          <w:sz w:val="24"/>
          <w:highlight w:val="none"/>
          <w:u w:val="single"/>
        </w:rPr>
        <w:t xml:space="preserve"> </w:t>
      </w:r>
      <w:r>
        <w:rPr>
          <w:rFonts w:cs="宋体" w:asciiTheme="minorEastAsia" w:hAnsiTheme="minorEastAsia" w:eastAsiaTheme="minorEastAsia"/>
          <w:color w:val="auto"/>
          <w:spacing w:val="20"/>
          <w:sz w:val="24"/>
          <w:highlight w:val="none"/>
          <w:u w:val="single"/>
        </w:rPr>
        <w:t xml:space="preserve">  </w:t>
      </w:r>
      <w:r>
        <w:rPr>
          <w:rFonts w:hint="eastAsia" w:cs="宋体" w:asciiTheme="minorEastAsia" w:hAnsiTheme="minorEastAsia" w:eastAsiaTheme="minorEastAsia"/>
          <w:color w:val="auto"/>
          <w:spacing w:val="20"/>
          <w:sz w:val="24"/>
          <w:highlight w:val="none"/>
          <w:u w:val="single"/>
        </w:rPr>
        <w:t xml:space="preserve">  </w:t>
      </w:r>
      <w:r>
        <w:rPr>
          <w:rFonts w:hint="eastAsia" w:cs="宋体" w:asciiTheme="minorEastAsia" w:hAnsiTheme="minorEastAsia" w:eastAsiaTheme="minorEastAsia"/>
          <w:color w:val="auto"/>
          <w:spacing w:val="20"/>
          <w:sz w:val="24"/>
          <w:highlight w:val="none"/>
        </w:rPr>
        <w:t>年</w:t>
      </w:r>
      <w:r>
        <w:rPr>
          <w:rFonts w:hint="eastAsia" w:cs="宋体" w:asciiTheme="minorEastAsia" w:hAnsiTheme="minorEastAsia" w:eastAsiaTheme="minorEastAsia"/>
          <w:color w:val="auto"/>
          <w:spacing w:val="20"/>
          <w:sz w:val="24"/>
          <w:highlight w:val="none"/>
          <w:u w:val="single"/>
        </w:rPr>
        <w:t xml:space="preserve">  </w:t>
      </w:r>
      <w:r>
        <w:rPr>
          <w:rFonts w:hint="eastAsia" w:cs="宋体" w:asciiTheme="minorEastAsia" w:hAnsiTheme="minorEastAsia" w:eastAsiaTheme="minorEastAsia"/>
          <w:color w:val="auto"/>
          <w:spacing w:val="20"/>
          <w:sz w:val="24"/>
          <w:highlight w:val="none"/>
        </w:rPr>
        <w:t>月</w:t>
      </w:r>
      <w:r>
        <w:rPr>
          <w:rFonts w:hint="eastAsia" w:cs="宋体" w:asciiTheme="minorEastAsia" w:hAnsiTheme="minorEastAsia" w:eastAsiaTheme="minorEastAsia"/>
          <w:color w:val="auto"/>
          <w:spacing w:val="20"/>
          <w:sz w:val="24"/>
          <w:highlight w:val="none"/>
          <w:u w:val="single"/>
        </w:rPr>
        <w:t xml:space="preserve">  </w:t>
      </w:r>
      <w:r>
        <w:rPr>
          <w:rFonts w:hint="eastAsia" w:cs="宋体" w:asciiTheme="minorEastAsia" w:hAnsiTheme="minorEastAsia" w:eastAsiaTheme="minorEastAsia"/>
          <w:color w:val="auto"/>
          <w:spacing w:val="20"/>
          <w:sz w:val="24"/>
          <w:highlight w:val="none"/>
        </w:rPr>
        <w:t>日</w:t>
      </w:r>
    </w:p>
    <w:p w14:paraId="0E4956F7">
      <w:pPr>
        <w:spacing w:line="360" w:lineRule="auto"/>
        <w:contextualSpacing/>
        <w:rPr>
          <w:rFonts w:hint="eastAsia" w:ascii="宋体" w:hAnsi="宋体" w:cs="宋体"/>
          <w:color w:val="auto"/>
          <w:sz w:val="24"/>
          <w:highlight w:val="none"/>
        </w:rPr>
      </w:pPr>
    </w:p>
    <w:p w14:paraId="2E9A0398">
      <w:pPr>
        <w:spacing w:line="360" w:lineRule="auto"/>
        <w:ind w:firstLine="3120" w:firstLineChars="1300"/>
        <w:contextualSpacing/>
        <w:rPr>
          <w:rFonts w:hint="eastAsia" w:ascii="宋体" w:hAnsi="宋体" w:cs="宋体"/>
          <w:color w:val="auto"/>
          <w:sz w:val="24"/>
          <w:highlight w:val="none"/>
          <w:u w:val="single"/>
        </w:rPr>
      </w:pPr>
      <w:r>
        <w:rPr>
          <w:rFonts w:hint="eastAsia" w:ascii="宋体" w:hAnsi="宋体" w:cs="宋体"/>
          <w:color w:val="auto"/>
          <w:sz w:val="24"/>
          <w:highlight w:val="none"/>
        </w:rPr>
        <w:t>被授权人（签字）：</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p>
    <w:p w14:paraId="6588AB18">
      <w:pPr>
        <w:spacing w:line="360" w:lineRule="auto"/>
        <w:ind w:firstLine="3840" w:firstLineChars="1600"/>
        <w:contextualSpacing/>
        <w:rPr>
          <w:rFonts w:hint="eastAsia" w:ascii="宋体" w:hAnsi="宋体" w:cs="宋体"/>
          <w:color w:val="auto"/>
          <w:sz w:val="24"/>
          <w:highlight w:val="none"/>
        </w:rPr>
      </w:pPr>
      <w:r>
        <w:rPr>
          <w:rFonts w:hint="eastAsia" w:ascii="宋体" w:hAnsi="宋体" w:cs="宋体"/>
          <w:color w:val="auto"/>
          <w:sz w:val="24"/>
          <w:highlight w:val="none"/>
        </w:rPr>
        <w:t>日期：</w:t>
      </w:r>
      <w:r>
        <w:rPr>
          <w:rFonts w:hint="eastAsia" w:cs="宋体" w:asciiTheme="minorEastAsia" w:hAnsiTheme="minorEastAsia" w:eastAsiaTheme="minorEastAsia"/>
          <w:color w:val="auto"/>
          <w:spacing w:val="20"/>
          <w:sz w:val="24"/>
          <w:highlight w:val="none"/>
          <w:u w:val="single"/>
        </w:rPr>
        <w:t xml:space="preserve"> </w:t>
      </w:r>
      <w:r>
        <w:rPr>
          <w:rFonts w:cs="宋体" w:asciiTheme="minorEastAsia" w:hAnsiTheme="minorEastAsia" w:eastAsiaTheme="minorEastAsia"/>
          <w:color w:val="auto"/>
          <w:spacing w:val="20"/>
          <w:sz w:val="24"/>
          <w:highlight w:val="none"/>
          <w:u w:val="single"/>
        </w:rPr>
        <w:t xml:space="preserve">  </w:t>
      </w:r>
      <w:r>
        <w:rPr>
          <w:rFonts w:hint="eastAsia" w:cs="宋体" w:asciiTheme="minorEastAsia" w:hAnsiTheme="minorEastAsia" w:eastAsiaTheme="minorEastAsia"/>
          <w:color w:val="auto"/>
          <w:spacing w:val="20"/>
          <w:sz w:val="24"/>
          <w:highlight w:val="none"/>
          <w:u w:val="single"/>
        </w:rPr>
        <w:t xml:space="preserve">  </w:t>
      </w:r>
      <w:r>
        <w:rPr>
          <w:rFonts w:hint="eastAsia" w:cs="宋体" w:asciiTheme="minorEastAsia" w:hAnsiTheme="minorEastAsia" w:eastAsiaTheme="minorEastAsia"/>
          <w:color w:val="auto"/>
          <w:spacing w:val="20"/>
          <w:sz w:val="24"/>
          <w:highlight w:val="none"/>
        </w:rPr>
        <w:t>年</w:t>
      </w:r>
      <w:r>
        <w:rPr>
          <w:rFonts w:hint="eastAsia" w:cs="宋体" w:asciiTheme="minorEastAsia" w:hAnsiTheme="minorEastAsia" w:eastAsiaTheme="minorEastAsia"/>
          <w:color w:val="auto"/>
          <w:spacing w:val="20"/>
          <w:sz w:val="24"/>
          <w:highlight w:val="none"/>
          <w:u w:val="single"/>
        </w:rPr>
        <w:t xml:space="preserve">  </w:t>
      </w:r>
      <w:r>
        <w:rPr>
          <w:rFonts w:hint="eastAsia" w:cs="宋体" w:asciiTheme="minorEastAsia" w:hAnsiTheme="minorEastAsia" w:eastAsiaTheme="minorEastAsia"/>
          <w:color w:val="auto"/>
          <w:spacing w:val="20"/>
          <w:sz w:val="24"/>
          <w:highlight w:val="none"/>
        </w:rPr>
        <w:t>月</w:t>
      </w:r>
      <w:r>
        <w:rPr>
          <w:rFonts w:hint="eastAsia" w:cs="宋体" w:asciiTheme="minorEastAsia" w:hAnsiTheme="minorEastAsia" w:eastAsiaTheme="minorEastAsia"/>
          <w:color w:val="auto"/>
          <w:spacing w:val="20"/>
          <w:sz w:val="24"/>
          <w:highlight w:val="none"/>
          <w:u w:val="single"/>
        </w:rPr>
        <w:t xml:space="preserve">  </w:t>
      </w:r>
      <w:r>
        <w:rPr>
          <w:rFonts w:hint="eastAsia" w:cs="宋体" w:asciiTheme="minorEastAsia" w:hAnsiTheme="minorEastAsia" w:eastAsiaTheme="minorEastAsia"/>
          <w:color w:val="auto"/>
          <w:spacing w:val="20"/>
          <w:sz w:val="24"/>
          <w:highlight w:val="none"/>
        </w:rPr>
        <w:t>日</w:t>
      </w:r>
    </w:p>
    <w:p w14:paraId="47189F7F">
      <w:pPr>
        <w:spacing w:line="360" w:lineRule="auto"/>
        <w:contextualSpacing/>
        <w:rPr>
          <w:rFonts w:hint="eastAsia" w:ascii="宋体" w:hAnsi="宋体" w:cs="宋体"/>
          <w:color w:val="auto"/>
          <w:sz w:val="24"/>
          <w:highlight w:val="none"/>
        </w:rPr>
      </w:pPr>
    </w:p>
    <w:p w14:paraId="60A41173">
      <w:pPr>
        <w:spacing w:line="360" w:lineRule="auto"/>
        <w:contextualSpacing/>
        <w:rPr>
          <w:rFonts w:hint="eastAsia" w:ascii="楷体" w:hAnsi="楷体" w:eastAsia="楷体" w:cs="宋体"/>
          <w:b/>
          <w:color w:val="auto"/>
          <w:sz w:val="24"/>
          <w:highlight w:val="none"/>
        </w:rPr>
      </w:pPr>
      <w:r>
        <w:rPr>
          <w:rFonts w:hint="eastAsia" w:ascii="楷体" w:hAnsi="楷体" w:eastAsia="楷体" w:cs="宋体"/>
          <w:b/>
          <w:color w:val="auto"/>
          <w:sz w:val="24"/>
          <w:highlight w:val="none"/>
        </w:rPr>
        <w:t>注：</w:t>
      </w:r>
    </w:p>
    <w:p w14:paraId="16AB9492">
      <w:pPr>
        <w:spacing w:line="360" w:lineRule="auto"/>
        <w:ind w:firstLine="480" w:firstLineChars="200"/>
        <w:contextualSpacing/>
        <w:rPr>
          <w:rFonts w:hint="eastAsia" w:ascii="楷体" w:hAnsi="楷体" w:eastAsia="楷体" w:cs="宋体"/>
          <w:color w:val="auto"/>
          <w:sz w:val="24"/>
          <w:highlight w:val="none"/>
        </w:rPr>
      </w:pPr>
      <w:r>
        <w:rPr>
          <w:rFonts w:ascii="楷体" w:hAnsi="楷体" w:eastAsia="楷体" w:cs="宋体"/>
          <w:color w:val="auto"/>
          <w:sz w:val="24"/>
          <w:highlight w:val="none"/>
        </w:rPr>
        <w:t>1.</w:t>
      </w:r>
      <w:r>
        <w:rPr>
          <w:rFonts w:hint="eastAsia" w:ascii="楷体" w:hAnsi="楷体" w:eastAsia="楷体" w:cs="宋体"/>
          <w:color w:val="auto"/>
          <w:sz w:val="24"/>
          <w:highlight w:val="none"/>
        </w:rPr>
        <w:t>法定代表人必须在授权委托书上亲笔签字或者盖章，委托代理人必须在授权委托书上亲笔签字，</w:t>
      </w:r>
      <w:r>
        <w:rPr>
          <w:rFonts w:hint="eastAsia" w:ascii="楷体" w:hAnsi="楷体" w:eastAsia="楷体" w:cs="宋体"/>
          <w:b/>
          <w:bCs/>
          <w:color w:val="auto"/>
          <w:sz w:val="24"/>
          <w:highlight w:val="none"/>
        </w:rPr>
        <w:t>否</w:t>
      </w:r>
      <w:r>
        <w:rPr>
          <w:rFonts w:hint="eastAsia" w:ascii="楷体" w:hAnsi="楷体" w:eastAsia="楷体" w:cs="宋体"/>
          <w:b/>
          <w:color w:val="auto"/>
          <w:sz w:val="24"/>
          <w:highlight w:val="none"/>
        </w:rPr>
        <w:t>则其响应文件按无效响应处理。</w:t>
      </w:r>
    </w:p>
    <w:p w14:paraId="4F6F58D0">
      <w:pPr>
        <w:spacing w:line="360" w:lineRule="auto"/>
        <w:ind w:firstLine="480" w:firstLineChars="200"/>
        <w:contextualSpacing/>
        <w:jc w:val="left"/>
        <w:rPr>
          <w:rFonts w:hint="eastAsia" w:ascii="楷体" w:hAnsi="楷体" w:eastAsia="楷体" w:cs="宋体"/>
          <w:color w:val="auto"/>
          <w:sz w:val="24"/>
          <w:highlight w:val="none"/>
        </w:rPr>
      </w:pPr>
      <w:r>
        <w:rPr>
          <w:rFonts w:ascii="楷体" w:hAnsi="楷体" w:eastAsia="楷体" w:cs="宋体"/>
          <w:color w:val="auto"/>
          <w:sz w:val="24"/>
          <w:highlight w:val="none"/>
        </w:rPr>
        <w:t>2.本授权委托书应由联合体牵头人的法定代表人按上述规定签署。</w:t>
      </w:r>
    </w:p>
    <w:p w14:paraId="7DAF111B">
      <w:pPr>
        <w:spacing w:line="360" w:lineRule="auto"/>
        <w:ind w:firstLine="480" w:firstLineChars="200"/>
        <w:contextualSpacing/>
        <w:jc w:val="left"/>
        <w:rPr>
          <w:rFonts w:hint="eastAsia" w:ascii="楷体" w:hAnsi="楷体" w:eastAsia="楷体" w:cs="宋体"/>
          <w:color w:val="auto"/>
          <w:szCs w:val="21"/>
          <w:highlight w:val="none"/>
        </w:rPr>
      </w:pPr>
      <w:r>
        <w:rPr>
          <w:rFonts w:ascii="楷体" w:hAnsi="楷体" w:eastAsia="楷体" w:cs="宋体"/>
          <w:color w:val="auto"/>
          <w:sz w:val="24"/>
          <w:highlight w:val="none"/>
        </w:rPr>
        <w:t>3.法人、其他组织</w:t>
      </w:r>
      <w:r>
        <w:rPr>
          <w:rFonts w:hint="eastAsia" w:ascii="楷体" w:hAnsi="楷体" w:eastAsia="楷体" w:cs="宋体"/>
          <w:color w:val="auto"/>
          <w:sz w:val="24"/>
          <w:highlight w:val="none"/>
        </w:rPr>
        <w:t>参与竞争性谈判时“我方”是指“我单位”，自然人参与竞争性谈判时“我方”是指“本人”。</w:t>
      </w:r>
    </w:p>
    <w:p w14:paraId="40302814">
      <w:pPr>
        <w:spacing w:line="360" w:lineRule="auto"/>
        <w:jc w:val="center"/>
        <w:rPr>
          <w:rFonts w:hint="eastAsia" w:ascii="宋体" w:hAnsi="宋体" w:cs="宋体"/>
          <w:b/>
          <w:bCs/>
          <w:color w:val="auto"/>
          <w:sz w:val="44"/>
          <w:szCs w:val="44"/>
          <w:highlight w:val="none"/>
        </w:rPr>
      </w:pPr>
      <w:r>
        <w:rPr>
          <w:rFonts w:hint="eastAsia" w:ascii="宋体" w:hAnsi="宋体" w:cs="宋体"/>
          <w:color w:val="auto"/>
          <w:sz w:val="32"/>
          <w:szCs w:val="32"/>
          <w:highlight w:val="none"/>
        </w:rPr>
        <w:br w:type="page"/>
      </w:r>
      <w:r>
        <w:rPr>
          <w:rFonts w:hint="eastAsia" w:ascii="宋体" w:hAnsi="宋体" w:cs="宋体"/>
          <w:b/>
          <w:bCs/>
          <w:color w:val="auto"/>
          <w:sz w:val="44"/>
          <w:szCs w:val="44"/>
          <w:highlight w:val="none"/>
        </w:rPr>
        <w:t>商务要求偏离表格式</w:t>
      </w:r>
    </w:p>
    <w:p w14:paraId="127E5711">
      <w:pPr>
        <w:spacing w:line="360" w:lineRule="auto"/>
        <w:jc w:val="center"/>
        <w:rPr>
          <w:rFonts w:hint="eastAsia" w:ascii="宋体" w:hAnsi="宋体" w:cs="宋体"/>
          <w:b/>
          <w:color w:val="auto"/>
          <w:sz w:val="28"/>
          <w:szCs w:val="28"/>
          <w:highlight w:val="none"/>
        </w:rPr>
      </w:pPr>
      <w:r>
        <w:rPr>
          <w:rFonts w:hint="eastAsia" w:ascii="宋体" w:hAnsi="宋体" w:cs="宋体"/>
          <w:bCs/>
          <w:color w:val="auto"/>
          <w:sz w:val="28"/>
          <w:szCs w:val="28"/>
          <w:highlight w:val="none"/>
        </w:rPr>
        <w:t>（注：按采购需求具体条款修改）</w:t>
      </w:r>
    </w:p>
    <w:p w14:paraId="13DEEBD0">
      <w:pPr>
        <w:snapToGrid w:val="0"/>
        <w:spacing w:line="360" w:lineRule="auto"/>
        <w:jc w:val="left"/>
        <w:rPr>
          <w:rFonts w:hint="eastAsia" w:ascii="宋体" w:hAnsi="宋体" w:cs="宋体"/>
          <w:color w:val="auto"/>
          <w:sz w:val="24"/>
          <w:highlight w:val="none"/>
        </w:rPr>
      </w:pPr>
    </w:p>
    <w:p w14:paraId="6A094CB9">
      <w:pPr>
        <w:spacing w:line="360" w:lineRule="auto"/>
        <w:rPr>
          <w:rFonts w:hint="eastAsia" w:ascii="宋体" w:hAnsi="宋体" w:cs="宋体"/>
          <w:color w:val="auto"/>
          <w:sz w:val="24"/>
          <w:highlight w:val="none"/>
          <w:u w:val="single"/>
        </w:rPr>
      </w:pPr>
      <w:r>
        <w:rPr>
          <w:rFonts w:hint="eastAsia" w:ascii="宋体" w:hAnsi="宋体" w:cs="宋体"/>
          <w:color w:val="auto"/>
          <w:sz w:val="24"/>
          <w:highlight w:val="none"/>
        </w:rPr>
        <w:t>采购项目编号：</w:t>
      </w:r>
      <w:r>
        <w:rPr>
          <w:rFonts w:hint="eastAsia" w:ascii="宋体" w:hAnsi="宋体" w:cs="宋体"/>
          <w:color w:val="auto"/>
          <w:sz w:val="24"/>
          <w:highlight w:val="none"/>
          <w:u w:val="single"/>
        </w:rPr>
        <w:t xml:space="preserve">                 </w:t>
      </w:r>
    </w:p>
    <w:p w14:paraId="01D13DF6">
      <w:pPr>
        <w:spacing w:line="360" w:lineRule="auto"/>
        <w:rPr>
          <w:rFonts w:hint="eastAsia" w:ascii="宋体" w:hAnsi="宋体" w:cs="宋体"/>
          <w:color w:val="auto"/>
          <w:sz w:val="24"/>
          <w:highlight w:val="none"/>
        </w:rPr>
      </w:pPr>
      <w:r>
        <w:rPr>
          <w:rFonts w:hint="eastAsia" w:ascii="宋体" w:hAnsi="宋体" w:cs="宋体"/>
          <w:color w:val="auto"/>
          <w:sz w:val="24"/>
          <w:highlight w:val="none"/>
        </w:rPr>
        <w:t>采购项目名称：</w:t>
      </w:r>
      <w:r>
        <w:rPr>
          <w:rFonts w:hint="eastAsia" w:ascii="宋体" w:hAnsi="宋体" w:cs="宋体"/>
          <w:color w:val="auto"/>
          <w:sz w:val="24"/>
          <w:highlight w:val="none"/>
          <w:u w:val="single"/>
        </w:rPr>
        <w:t xml:space="preserve">                 </w:t>
      </w:r>
    </w:p>
    <w:p w14:paraId="5342B74B">
      <w:pPr>
        <w:spacing w:line="360" w:lineRule="auto"/>
        <w:rPr>
          <w:rFonts w:hint="eastAsia" w:ascii="宋体" w:hAnsi="宋体" w:cs="宋体"/>
          <w:color w:val="auto"/>
          <w:sz w:val="24"/>
          <w:highlight w:val="none"/>
          <w:u w:val="single"/>
        </w:rPr>
      </w:pPr>
      <w:r>
        <w:rPr>
          <w:rFonts w:hint="eastAsia" w:ascii="宋体" w:hAnsi="宋体" w:cs="宋体"/>
          <w:color w:val="auto"/>
          <w:sz w:val="24"/>
          <w:highlight w:val="none"/>
        </w:rPr>
        <w:t>分标号：</w:t>
      </w:r>
      <w:r>
        <w:rPr>
          <w:rFonts w:hint="eastAsia" w:ascii="宋体" w:hAnsi="宋体" w:cs="宋体"/>
          <w:color w:val="auto"/>
          <w:sz w:val="24"/>
          <w:highlight w:val="none"/>
          <w:u w:val="single"/>
        </w:rPr>
        <w:t xml:space="preserve">                       </w:t>
      </w:r>
    </w:p>
    <w:tbl>
      <w:tblPr>
        <w:tblStyle w:val="26"/>
        <w:tblpPr w:leftFromText="180" w:rightFromText="180" w:vertAnchor="text" w:horzAnchor="margin" w:tblpY="311"/>
        <w:tblOverlap w:val="never"/>
        <w:tblW w:w="930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2633"/>
        <w:gridCol w:w="1829"/>
      </w:tblGrid>
      <w:tr w14:paraId="725BED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14:paraId="417EA98A">
            <w:pPr>
              <w:snapToGrid w:val="0"/>
              <w:spacing w:line="500" w:lineRule="exact"/>
              <w:jc w:val="center"/>
              <w:rPr>
                <w:rFonts w:hint="eastAsia" w:ascii="宋体" w:hAnsi="宋体" w:cs="宋体"/>
                <w:color w:val="auto"/>
                <w:sz w:val="24"/>
                <w:highlight w:val="none"/>
              </w:rPr>
            </w:pPr>
            <w:r>
              <w:rPr>
                <w:rFonts w:hint="eastAsia" w:ascii="宋体" w:hAnsi="宋体" w:cs="宋体"/>
                <w:color w:val="auto"/>
                <w:sz w:val="24"/>
                <w:highlight w:val="none"/>
              </w:rPr>
              <w:t>项目</w:t>
            </w:r>
          </w:p>
        </w:tc>
        <w:tc>
          <w:tcPr>
            <w:tcW w:w="2668" w:type="dxa"/>
            <w:tcBorders>
              <w:top w:val="single" w:color="auto" w:sz="4" w:space="0"/>
              <w:left w:val="single" w:color="auto" w:sz="4" w:space="0"/>
              <w:bottom w:val="single" w:color="auto" w:sz="4" w:space="0"/>
              <w:right w:val="single" w:color="auto" w:sz="4" w:space="0"/>
            </w:tcBorders>
            <w:vAlign w:val="center"/>
          </w:tcPr>
          <w:p w14:paraId="333AF630">
            <w:pPr>
              <w:snapToGrid w:val="0"/>
              <w:spacing w:line="500" w:lineRule="exact"/>
              <w:jc w:val="center"/>
              <w:rPr>
                <w:rFonts w:hint="eastAsia" w:ascii="宋体" w:hAnsi="宋体" w:cs="宋体"/>
                <w:color w:val="auto"/>
                <w:sz w:val="24"/>
                <w:highlight w:val="none"/>
              </w:rPr>
            </w:pPr>
            <w:r>
              <w:rPr>
                <w:rFonts w:hint="eastAsia" w:ascii="宋体" w:hAnsi="宋体" w:cs="宋体"/>
                <w:color w:val="auto"/>
                <w:sz w:val="24"/>
                <w:highlight w:val="none"/>
              </w:rPr>
              <w:t>谈判文件商务要求</w:t>
            </w:r>
          </w:p>
        </w:tc>
        <w:tc>
          <w:tcPr>
            <w:tcW w:w="2633" w:type="dxa"/>
            <w:tcBorders>
              <w:top w:val="single" w:color="auto" w:sz="4" w:space="0"/>
              <w:left w:val="single" w:color="auto" w:sz="4" w:space="0"/>
              <w:bottom w:val="single" w:color="auto" w:sz="4" w:space="0"/>
              <w:right w:val="single" w:color="auto" w:sz="4" w:space="0"/>
            </w:tcBorders>
            <w:vAlign w:val="center"/>
          </w:tcPr>
          <w:p w14:paraId="78036E38">
            <w:pPr>
              <w:snapToGrid w:val="0"/>
              <w:spacing w:line="500" w:lineRule="exact"/>
              <w:jc w:val="center"/>
              <w:rPr>
                <w:rFonts w:hint="eastAsia" w:ascii="宋体" w:hAnsi="宋体" w:cs="宋体"/>
                <w:color w:val="auto"/>
                <w:sz w:val="24"/>
                <w:highlight w:val="none"/>
              </w:rPr>
            </w:pPr>
            <w:r>
              <w:rPr>
                <w:rFonts w:hint="eastAsia" w:ascii="宋体" w:hAnsi="宋体" w:cs="宋体"/>
                <w:color w:val="auto"/>
                <w:sz w:val="24"/>
                <w:highlight w:val="none"/>
              </w:rPr>
              <w:t>供应商的响应</w:t>
            </w:r>
          </w:p>
        </w:tc>
        <w:tc>
          <w:tcPr>
            <w:tcW w:w="1829" w:type="dxa"/>
            <w:tcBorders>
              <w:top w:val="single" w:color="auto" w:sz="4" w:space="0"/>
              <w:left w:val="single" w:color="auto" w:sz="4" w:space="0"/>
              <w:bottom w:val="single" w:color="auto" w:sz="4" w:space="0"/>
              <w:right w:val="single" w:color="auto" w:sz="4" w:space="0"/>
            </w:tcBorders>
            <w:vAlign w:val="center"/>
          </w:tcPr>
          <w:p w14:paraId="36A851EE">
            <w:pPr>
              <w:snapToGrid w:val="0"/>
              <w:spacing w:line="500" w:lineRule="exact"/>
              <w:jc w:val="center"/>
              <w:rPr>
                <w:rFonts w:hint="eastAsia" w:ascii="宋体" w:hAnsi="宋体" w:cs="宋体"/>
                <w:color w:val="auto"/>
                <w:sz w:val="24"/>
                <w:highlight w:val="none"/>
              </w:rPr>
            </w:pPr>
            <w:r>
              <w:rPr>
                <w:rFonts w:hint="eastAsia" w:ascii="宋体" w:hAnsi="宋体" w:cs="宋体"/>
                <w:color w:val="auto"/>
                <w:sz w:val="24"/>
                <w:highlight w:val="none"/>
              </w:rPr>
              <w:t>偏离说明</w:t>
            </w:r>
          </w:p>
        </w:tc>
      </w:tr>
      <w:tr w14:paraId="22D7EE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2178" w:type="dxa"/>
            <w:tcBorders>
              <w:top w:val="single" w:color="auto" w:sz="4" w:space="0"/>
              <w:left w:val="single" w:color="auto" w:sz="4" w:space="0"/>
              <w:bottom w:val="single" w:color="auto" w:sz="4" w:space="0"/>
              <w:right w:val="single" w:color="auto" w:sz="4" w:space="0"/>
            </w:tcBorders>
            <w:vAlign w:val="center"/>
          </w:tcPr>
          <w:p w14:paraId="4BAF6F5E">
            <w:pPr>
              <w:spacing w:line="500" w:lineRule="exact"/>
              <w:jc w:val="center"/>
              <w:rPr>
                <w:rFonts w:hint="eastAsia" w:ascii="宋体" w:hAnsi="宋体" w:cs="宋体"/>
                <w:color w:val="auto"/>
                <w:sz w:val="24"/>
                <w:highlight w:val="none"/>
              </w:rPr>
            </w:pPr>
          </w:p>
        </w:tc>
        <w:tc>
          <w:tcPr>
            <w:tcW w:w="2668" w:type="dxa"/>
            <w:tcBorders>
              <w:top w:val="single" w:color="auto" w:sz="4" w:space="0"/>
              <w:left w:val="single" w:color="auto" w:sz="4" w:space="0"/>
              <w:bottom w:val="single" w:color="auto" w:sz="4" w:space="0"/>
              <w:right w:val="single" w:color="auto" w:sz="4" w:space="0"/>
            </w:tcBorders>
            <w:vAlign w:val="center"/>
          </w:tcPr>
          <w:p w14:paraId="2450592B">
            <w:pPr>
              <w:spacing w:line="500" w:lineRule="exact"/>
              <w:jc w:val="center"/>
              <w:rPr>
                <w:rFonts w:hint="eastAsia" w:ascii="宋体" w:hAnsi="宋体" w:cs="宋体"/>
                <w:color w:val="auto"/>
                <w:sz w:val="24"/>
                <w:highlight w:val="none"/>
              </w:rPr>
            </w:pPr>
          </w:p>
        </w:tc>
        <w:tc>
          <w:tcPr>
            <w:tcW w:w="2633" w:type="dxa"/>
            <w:tcBorders>
              <w:top w:val="single" w:color="auto" w:sz="4" w:space="0"/>
              <w:left w:val="single" w:color="auto" w:sz="4" w:space="0"/>
              <w:bottom w:val="single" w:color="auto" w:sz="4" w:space="0"/>
              <w:right w:val="single" w:color="auto" w:sz="4" w:space="0"/>
            </w:tcBorders>
            <w:vAlign w:val="center"/>
          </w:tcPr>
          <w:p w14:paraId="39798F4D">
            <w:pPr>
              <w:snapToGrid w:val="0"/>
              <w:spacing w:line="500" w:lineRule="exact"/>
              <w:jc w:val="center"/>
              <w:rPr>
                <w:rFonts w:hint="eastAsia" w:ascii="宋体" w:hAnsi="宋体" w:cs="宋体"/>
                <w:color w:val="auto"/>
                <w:sz w:val="24"/>
                <w:highlight w:val="none"/>
              </w:rPr>
            </w:pPr>
          </w:p>
        </w:tc>
        <w:tc>
          <w:tcPr>
            <w:tcW w:w="1829" w:type="dxa"/>
            <w:tcBorders>
              <w:top w:val="single" w:color="auto" w:sz="4" w:space="0"/>
              <w:left w:val="single" w:color="auto" w:sz="4" w:space="0"/>
              <w:bottom w:val="single" w:color="auto" w:sz="4" w:space="0"/>
              <w:right w:val="single" w:color="auto" w:sz="4" w:space="0"/>
            </w:tcBorders>
            <w:vAlign w:val="center"/>
          </w:tcPr>
          <w:p w14:paraId="077B5E29">
            <w:pPr>
              <w:snapToGrid w:val="0"/>
              <w:spacing w:line="500" w:lineRule="exact"/>
              <w:jc w:val="center"/>
              <w:rPr>
                <w:rFonts w:hint="eastAsia" w:ascii="宋体" w:hAnsi="宋体" w:cs="宋体"/>
                <w:color w:val="auto"/>
                <w:sz w:val="24"/>
                <w:highlight w:val="none"/>
              </w:rPr>
            </w:pPr>
          </w:p>
        </w:tc>
      </w:tr>
      <w:tr w14:paraId="156911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vAlign w:val="center"/>
          </w:tcPr>
          <w:p w14:paraId="50E7CF78">
            <w:pPr>
              <w:spacing w:line="500" w:lineRule="exact"/>
              <w:jc w:val="center"/>
              <w:rPr>
                <w:rFonts w:hint="eastAsia" w:ascii="宋体" w:hAnsi="宋体" w:cs="宋体"/>
                <w:color w:val="auto"/>
                <w:sz w:val="24"/>
                <w:highlight w:val="none"/>
              </w:rPr>
            </w:pPr>
          </w:p>
        </w:tc>
        <w:tc>
          <w:tcPr>
            <w:tcW w:w="2668" w:type="dxa"/>
            <w:tcBorders>
              <w:top w:val="single" w:color="auto" w:sz="4" w:space="0"/>
              <w:left w:val="single" w:color="auto" w:sz="4" w:space="0"/>
              <w:bottom w:val="single" w:color="auto" w:sz="4" w:space="0"/>
              <w:right w:val="single" w:color="auto" w:sz="4" w:space="0"/>
            </w:tcBorders>
            <w:vAlign w:val="center"/>
          </w:tcPr>
          <w:p w14:paraId="680F2188">
            <w:pPr>
              <w:spacing w:line="500" w:lineRule="exact"/>
              <w:jc w:val="center"/>
              <w:rPr>
                <w:rFonts w:hint="eastAsia" w:ascii="宋体" w:hAnsi="宋体" w:cs="宋体"/>
                <w:color w:val="auto"/>
                <w:sz w:val="24"/>
                <w:highlight w:val="none"/>
              </w:rPr>
            </w:pPr>
          </w:p>
        </w:tc>
        <w:tc>
          <w:tcPr>
            <w:tcW w:w="2633" w:type="dxa"/>
            <w:tcBorders>
              <w:top w:val="single" w:color="auto" w:sz="4" w:space="0"/>
              <w:left w:val="single" w:color="auto" w:sz="4" w:space="0"/>
              <w:bottom w:val="single" w:color="auto" w:sz="4" w:space="0"/>
              <w:right w:val="single" w:color="auto" w:sz="4" w:space="0"/>
            </w:tcBorders>
            <w:vAlign w:val="center"/>
          </w:tcPr>
          <w:p w14:paraId="278650AC">
            <w:pPr>
              <w:snapToGrid w:val="0"/>
              <w:spacing w:line="500" w:lineRule="exact"/>
              <w:jc w:val="center"/>
              <w:rPr>
                <w:rFonts w:hint="eastAsia" w:ascii="宋体" w:hAnsi="宋体" w:cs="宋体"/>
                <w:color w:val="auto"/>
                <w:sz w:val="24"/>
                <w:highlight w:val="none"/>
              </w:rPr>
            </w:pPr>
          </w:p>
        </w:tc>
        <w:tc>
          <w:tcPr>
            <w:tcW w:w="1829" w:type="dxa"/>
            <w:tcBorders>
              <w:top w:val="single" w:color="auto" w:sz="4" w:space="0"/>
              <w:left w:val="single" w:color="auto" w:sz="4" w:space="0"/>
              <w:bottom w:val="single" w:color="auto" w:sz="4" w:space="0"/>
              <w:right w:val="single" w:color="auto" w:sz="4" w:space="0"/>
            </w:tcBorders>
            <w:vAlign w:val="center"/>
          </w:tcPr>
          <w:p w14:paraId="66D1B065">
            <w:pPr>
              <w:snapToGrid w:val="0"/>
              <w:spacing w:line="500" w:lineRule="exact"/>
              <w:jc w:val="center"/>
              <w:rPr>
                <w:rFonts w:hint="eastAsia" w:ascii="宋体" w:hAnsi="宋体" w:cs="宋体"/>
                <w:color w:val="auto"/>
                <w:sz w:val="24"/>
                <w:highlight w:val="none"/>
              </w:rPr>
            </w:pPr>
          </w:p>
        </w:tc>
      </w:tr>
      <w:tr w14:paraId="3E0ADA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14:paraId="7AD8AEEE">
            <w:pPr>
              <w:snapToGrid w:val="0"/>
              <w:spacing w:line="500" w:lineRule="exact"/>
              <w:jc w:val="center"/>
              <w:rPr>
                <w:rFonts w:hint="eastAsia" w:ascii="宋体" w:hAnsi="宋体" w:cs="宋体"/>
                <w:color w:val="auto"/>
                <w:sz w:val="24"/>
                <w:highlight w:val="none"/>
              </w:rPr>
            </w:pPr>
            <w:r>
              <w:rPr>
                <w:rFonts w:hint="eastAsia" w:ascii="宋体" w:hAnsi="宋体" w:cs="宋体"/>
                <w:color w:val="auto"/>
                <w:sz w:val="24"/>
                <w:highlight w:val="none"/>
              </w:rPr>
              <w:t>…</w:t>
            </w:r>
          </w:p>
        </w:tc>
        <w:tc>
          <w:tcPr>
            <w:tcW w:w="2668" w:type="dxa"/>
            <w:tcBorders>
              <w:top w:val="single" w:color="auto" w:sz="4" w:space="0"/>
              <w:left w:val="single" w:color="auto" w:sz="4" w:space="0"/>
              <w:bottom w:val="single" w:color="auto" w:sz="4" w:space="0"/>
              <w:right w:val="single" w:color="auto" w:sz="4" w:space="0"/>
            </w:tcBorders>
            <w:vAlign w:val="center"/>
          </w:tcPr>
          <w:p w14:paraId="65BBD56C">
            <w:pPr>
              <w:snapToGrid w:val="0"/>
              <w:spacing w:line="500" w:lineRule="exact"/>
              <w:jc w:val="center"/>
              <w:rPr>
                <w:rFonts w:hint="eastAsia" w:ascii="宋体" w:hAnsi="宋体" w:cs="宋体"/>
                <w:color w:val="auto"/>
                <w:sz w:val="24"/>
                <w:highlight w:val="none"/>
              </w:rPr>
            </w:pPr>
          </w:p>
        </w:tc>
        <w:tc>
          <w:tcPr>
            <w:tcW w:w="2633" w:type="dxa"/>
            <w:tcBorders>
              <w:top w:val="single" w:color="auto" w:sz="4" w:space="0"/>
              <w:left w:val="single" w:color="auto" w:sz="4" w:space="0"/>
              <w:bottom w:val="single" w:color="auto" w:sz="4" w:space="0"/>
              <w:right w:val="single" w:color="auto" w:sz="4" w:space="0"/>
            </w:tcBorders>
            <w:vAlign w:val="center"/>
          </w:tcPr>
          <w:p w14:paraId="71F77EE7">
            <w:pPr>
              <w:snapToGrid w:val="0"/>
              <w:spacing w:line="500" w:lineRule="exact"/>
              <w:jc w:val="center"/>
              <w:rPr>
                <w:rFonts w:hint="eastAsia" w:ascii="宋体" w:hAnsi="宋体" w:cs="宋体"/>
                <w:color w:val="auto"/>
                <w:sz w:val="24"/>
                <w:highlight w:val="none"/>
              </w:rPr>
            </w:pPr>
          </w:p>
        </w:tc>
        <w:tc>
          <w:tcPr>
            <w:tcW w:w="1829" w:type="dxa"/>
            <w:tcBorders>
              <w:top w:val="single" w:color="auto" w:sz="4" w:space="0"/>
              <w:left w:val="single" w:color="auto" w:sz="4" w:space="0"/>
              <w:bottom w:val="single" w:color="auto" w:sz="4" w:space="0"/>
              <w:right w:val="single" w:color="auto" w:sz="4" w:space="0"/>
            </w:tcBorders>
            <w:vAlign w:val="center"/>
          </w:tcPr>
          <w:p w14:paraId="3ECC489F">
            <w:pPr>
              <w:snapToGrid w:val="0"/>
              <w:spacing w:line="500" w:lineRule="exact"/>
              <w:jc w:val="center"/>
              <w:rPr>
                <w:rFonts w:hint="eastAsia" w:ascii="宋体" w:hAnsi="宋体" w:cs="宋体"/>
                <w:color w:val="auto"/>
                <w:sz w:val="24"/>
                <w:highlight w:val="none"/>
              </w:rPr>
            </w:pPr>
          </w:p>
        </w:tc>
      </w:tr>
    </w:tbl>
    <w:p w14:paraId="41693E57">
      <w:pPr>
        <w:pStyle w:val="9"/>
        <w:spacing w:after="0" w:line="360" w:lineRule="auto"/>
        <w:contextualSpacing/>
        <w:rPr>
          <w:rFonts w:hint="eastAsia" w:ascii="楷体" w:hAnsi="楷体" w:eastAsia="楷体" w:cs="宋体"/>
          <w:b/>
          <w:color w:val="auto"/>
          <w:kern w:val="0"/>
          <w:sz w:val="24"/>
          <w:szCs w:val="24"/>
          <w:highlight w:val="none"/>
        </w:rPr>
      </w:pPr>
      <w:r>
        <w:rPr>
          <w:rFonts w:hint="eastAsia" w:ascii="楷体" w:hAnsi="楷体" w:eastAsia="楷体" w:cs="宋体"/>
          <w:b/>
          <w:color w:val="auto"/>
          <w:kern w:val="0"/>
          <w:sz w:val="24"/>
          <w:szCs w:val="24"/>
          <w:highlight w:val="none"/>
        </w:rPr>
        <w:t>注：</w:t>
      </w:r>
    </w:p>
    <w:p w14:paraId="7D896DC9">
      <w:pPr>
        <w:pStyle w:val="9"/>
        <w:spacing w:after="0" w:line="360" w:lineRule="auto"/>
        <w:ind w:firstLine="480" w:firstLineChars="200"/>
        <w:contextualSpacing/>
        <w:rPr>
          <w:rFonts w:hint="eastAsia" w:ascii="楷体" w:hAnsi="楷体" w:eastAsia="楷体" w:cs="宋体"/>
          <w:color w:val="auto"/>
          <w:kern w:val="0"/>
          <w:sz w:val="24"/>
          <w:szCs w:val="24"/>
          <w:highlight w:val="none"/>
        </w:rPr>
      </w:pPr>
      <w:r>
        <w:rPr>
          <w:rFonts w:ascii="楷体" w:hAnsi="楷体" w:eastAsia="楷体" w:cs="宋体"/>
          <w:color w:val="auto"/>
          <w:kern w:val="0"/>
          <w:sz w:val="24"/>
          <w:szCs w:val="24"/>
          <w:highlight w:val="none"/>
        </w:rPr>
        <w:t xml:space="preserve">1.说明：应对照谈判文件“第三章 </w:t>
      </w:r>
      <w:r>
        <w:rPr>
          <w:rFonts w:hint="eastAsia" w:ascii="楷体" w:hAnsi="楷体" w:eastAsia="楷体" w:cs="宋体"/>
          <w:color w:val="auto"/>
          <w:kern w:val="0"/>
          <w:sz w:val="24"/>
          <w:szCs w:val="24"/>
          <w:highlight w:val="none"/>
        </w:rPr>
        <w:t>采购需求”中的商务要求逐条明确响应，并作出偏离说明。</w:t>
      </w:r>
    </w:p>
    <w:p w14:paraId="1C45C496">
      <w:pPr>
        <w:pStyle w:val="9"/>
        <w:spacing w:after="0" w:line="360" w:lineRule="auto"/>
        <w:ind w:firstLine="480" w:firstLineChars="200"/>
        <w:contextualSpacing/>
        <w:rPr>
          <w:rFonts w:hint="eastAsia" w:ascii="楷体" w:hAnsi="楷体" w:eastAsia="楷体" w:cs="宋体"/>
          <w:color w:val="auto"/>
          <w:kern w:val="0"/>
          <w:sz w:val="24"/>
          <w:szCs w:val="24"/>
          <w:highlight w:val="none"/>
        </w:rPr>
      </w:pPr>
      <w:r>
        <w:rPr>
          <w:rFonts w:ascii="楷体" w:hAnsi="楷体" w:eastAsia="楷体" w:cs="宋体"/>
          <w:color w:val="auto"/>
          <w:kern w:val="0"/>
          <w:sz w:val="24"/>
          <w:szCs w:val="24"/>
          <w:highlight w:val="none"/>
        </w:rPr>
        <w:t>2.供应商应根据自身的承诺，对照谈判文件要求在“偏离说明”中注明“正偏离”、“负偏离”或者“无偏离”。既不属于“正偏离”也不属于“负偏离”即为“无偏离”。</w:t>
      </w:r>
    </w:p>
    <w:p w14:paraId="3B937F0A">
      <w:pPr>
        <w:spacing w:line="360" w:lineRule="auto"/>
        <w:contextualSpacing/>
        <w:jc w:val="left"/>
        <w:rPr>
          <w:rFonts w:hint="eastAsia" w:ascii="宋体" w:hAnsi="宋体" w:cs="宋体"/>
          <w:color w:val="auto"/>
          <w:sz w:val="24"/>
          <w:highlight w:val="none"/>
          <w:u w:val="single"/>
        </w:rPr>
      </w:pPr>
    </w:p>
    <w:p w14:paraId="247D8697">
      <w:pPr>
        <w:spacing w:line="360" w:lineRule="auto"/>
        <w:contextualSpacing/>
        <w:jc w:val="left"/>
        <w:rPr>
          <w:rFonts w:hint="eastAsia" w:ascii="宋体" w:hAnsi="宋体" w:cs="宋体"/>
          <w:color w:val="auto"/>
          <w:sz w:val="24"/>
          <w:highlight w:val="none"/>
          <w:u w:val="single"/>
        </w:rPr>
      </w:pPr>
    </w:p>
    <w:p w14:paraId="7EA10E2B">
      <w:pPr>
        <w:spacing w:line="360" w:lineRule="auto"/>
        <w:contextualSpacing/>
        <w:rPr>
          <w:rFonts w:hint="eastAsia" w:ascii="宋体" w:hAnsi="宋体" w:cs="宋体"/>
          <w:color w:val="auto"/>
          <w:sz w:val="24"/>
          <w:highlight w:val="none"/>
        </w:rPr>
      </w:pPr>
    </w:p>
    <w:p w14:paraId="03A9741F">
      <w:pPr>
        <w:spacing w:line="360" w:lineRule="auto"/>
        <w:contextualSpacing/>
        <w:jc w:val="center"/>
        <w:rPr>
          <w:rFonts w:hint="eastAsia" w:ascii="宋体" w:hAnsi="宋体" w:cs="宋体"/>
          <w:color w:val="auto"/>
          <w:sz w:val="24"/>
          <w:highlight w:val="none"/>
          <w:u w:val="single"/>
        </w:rPr>
      </w:pPr>
      <w:r>
        <w:rPr>
          <w:rFonts w:hint="eastAsia" w:ascii="宋体" w:hAnsi="宋体" w:cs="宋体"/>
          <w:color w:val="auto"/>
          <w:sz w:val="24"/>
          <w:highlight w:val="none"/>
        </w:rPr>
        <w:t>法定代表人或者委托代理人（签字）：</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p>
    <w:p w14:paraId="16D87D57">
      <w:pPr>
        <w:spacing w:line="360" w:lineRule="auto"/>
        <w:ind w:firstLine="3240" w:firstLineChars="1350"/>
        <w:contextualSpacing/>
        <w:rPr>
          <w:rFonts w:hint="eastAsia" w:ascii="宋体" w:hAnsi="宋体" w:cs="宋体"/>
          <w:color w:val="auto"/>
          <w:sz w:val="24"/>
          <w:highlight w:val="none"/>
        </w:rPr>
      </w:pPr>
      <w:r>
        <w:rPr>
          <w:rFonts w:hint="eastAsia" w:ascii="宋体" w:hAnsi="宋体" w:cs="宋体"/>
          <w:color w:val="auto"/>
          <w:sz w:val="24"/>
          <w:highlight w:val="none"/>
        </w:rPr>
        <w:t>供应商（公章）：</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0A4D2F4D">
      <w:pPr>
        <w:spacing w:line="360" w:lineRule="auto"/>
        <w:ind w:firstLine="3240" w:firstLineChars="1350"/>
        <w:contextualSpacing/>
        <w:rPr>
          <w:rFonts w:hint="eastAsia" w:ascii="宋体" w:hAnsi="宋体" w:cs="宋体"/>
          <w:color w:val="auto"/>
          <w:sz w:val="24"/>
          <w:highlight w:val="none"/>
        </w:rPr>
      </w:pPr>
      <w:r>
        <w:rPr>
          <w:rFonts w:hint="eastAsia" w:ascii="宋体" w:hAnsi="宋体" w:cs="宋体"/>
          <w:color w:val="auto"/>
          <w:sz w:val="24"/>
          <w:highlight w:val="none"/>
        </w:rPr>
        <w:t>日期：</w:t>
      </w:r>
      <w:r>
        <w:rPr>
          <w:rFonts w:hint="eastAsia" w:cs="宋体" w:asciiTheme="minorEastAsia" w:hAnsiTheme="minorEastAsia" w:eastAsiaTheme="minorEastAsia"/>
          <w:color w:val="auto"/>
          <w:spacing w:val="20"/>
          <w:sz w:val="24"/>
          <w:highlight w:val="none"/>
          <w:u w:val="single"/>
        </w:rPr>
        <w:t xml:space="preserve"> </w:t>
      </w:r>
      <w:r>
        <w:rPr>
          <w:rFonts w:cs="宋体" w:asciiTheme="minorEastAsia" w:hAnsiTheme="minorEastAsia" w:eastAsiaTheme="minorEastAsia"/>
          <w:color w:val="auto"/>
          <w:spacing w:val="20"/>
          <w:sz w:val="24"/>
          <w:highlight w:val="none"/>
          <w:u w:val="single"/>
        </w:rPr>
        <w:t xml:space="preserve">  </w:t>
      </w:r>
      <w:r>
        <w:rPr>
          <w:rFonts w:hint="eastAsia" w:cs="宋体" w:asciiTheme="minorEastAsia" w:hAnsiTheme="minorEastAsia" w:eastAsiaTheme="minorEastAsia"/>
          <w:color w:val="auto"/>
          <w:spacing w:val="20"/>
          <w:sz w:val="24"/>
          <w:highlight w:val="none"/>
          <w:u w:val="single"/>
        </w:rPr>
        <w:t xml:space="preserve">  </w:t>
      </w:r>
      <w:r>
        <w:rPr>
          <w:rFonts w:hint="eastAsia" w:cs="宋体" w:asciiTheme="minorEastAsia" w:hAnsiTheme="minorEastAsia" w:eastAsiaTheme="minorEastAsia"/>
          <w:color w:val="auto"/>
          <w:spacing w:val="20"/>
          <w:sz w:val="24"/>
          <w:highlight w:val="none"/>
        </w:rPr>
        <w:t>年</w:t>
      </w:r>
      <w:r>
        <w:rPr>
          <w:rFonts w:hint="eastAsia" w:cs="宋体" w:asciiTheme="minorEastAsia" w:hAnsiTheme="minorEastAsia" w:eastAsiaTheme="minorEastAsia"/>
          <w:color w:val="auto"/>
          <w:spacing w:val="20"/>
          <w:sz w:val="24"/>
          <w:highlight w:val="none"/>
          <w:u w:val="single"/>
        </w:rPr>
        <w:t xml:space="preserve">  </w:t>
      </w:r>
      <w:r>
        <w:rPr>
          <w:rFonts w:hint="eastAsia" w:cs="宋体" w:asciiTheme="minorEastAsia" w:hAnsiTheme="minorEastAsia" w:eastAsiaTheme="minorEastAsia"/>
          <w:color w:val="auto"/>
          <w:spacing w:val="20"/>
          <w:sz w:val="24"/>
          <w:highlight w:val="none"/>
        </w:rPr>
        <w:t>月</w:t>
      </w:r>
      <w:r>
        <w:rPr>
          <w:rFonts w:hint="eastAsia" w:cs="宋体" w:asciiTheme="minorEastAsia" w:hAnsiTheme="minorEastAsia" w:eastAsiaTheme="minorEastAsia"/>
          <w:color w:val="auto"/>
          <w:spacing w:val="20"/>
          <w:sz w:val="24"/>
          <w:highlight w:val="none"/>
          <w:u w:val="single"/>
        </w:rPr>
        <w:t xml:space="preserve">  </w:t>
      </w:r>
      <w:r>
        <w:rPr>
          <w:rFonts w:hint="eastAsia" w:cs="宋体" w:asciiTheme="minorEastAsia" w:hAnsiTheme="minorEastAsia" w:eastAsiaTheme="minorEastAsia"/>
          <w:color w:val="auto"/>
          <w:spacing w:val="20"/>
          <w:sz w:val="24"/>
          <w:highlight w:val="none"/>
        </w:rPr>
        <w:t>日</w:t>
      </w:r>
    </w:p>
    <w:p w14:paraId="4E1C5565">
      <w:pPr>
        <w:adjustRightInd w:val="0"/>
        <w:snapToGrid w:val="0"/>
        <w:spacing w:line="360" w:lineRule="auto"/>
        <w:ind w:firstLine="7040" w:firstLineChars="1600"/>
        <w:jc w:val="center"/>
        <w:rPr>
          <w:rFonts w:hint="eastAsia" w:ascii="宋体" w:hAnsi="宋体" w:cs="宋体"/>
          <w:bCs/>
          <w:color w:val="auto"/>
          <w:sz w:val="44"/>
          <w:szCs w:val="44"/>
          <w:highlight w:val="none"/>
        </w:rPr>
      </w:pPr>
    </w:p>
    <w:p w14:paraId="3004D4EA">
      <w:pPr>
        <w:adjustRightInd w:val="0"/>
        <w:snapToGrid w:val="0"/>
        <w:spacing w:line="360" w:lineRule="auto"/>
        <w:jc w:val="center"/>
        <w:rPr>
          <w:rFonts w:hint="eastAsia" w:ascii="宋体" w:hAnsi="宋体" w:cs="宋体"/>
          <w:b/>
          <w:color w:val="auto"/>
          <w:sz w:val="32"/>
          <w:szCs w:val="32"/>
          <w:highlight w:val="none"/>
        </w:rPr>
      </w:pPr>
      <w:r>
        <w:rPr>
          <w:rFonts w:hint="eastAsia" w:ascii="宋体" w:hAnsi="宋体" w:cs="宋体"/>
          <w:bCs/>
          <w:color w:val="auto"/>
          <w:sz w:val="44"/>
          <w:szCs w:val="44"/>
          <w:highlight w:val="none"/>
        </w:rPr>
        <w:br w:type="page"/>
      </w:r>
      <w:r>
        <w:rPr>
          <w:rFonts w:hint="eastAsia" w:ascii="宋体" w:hAnsi="宋体" w:cs="宋体"/>
          <w:b/>
          <w:bCs/>
          <w:color w:val="auto"/>
          <w:sz w:val="44"/>
          <w:szCs w:val="44"/>
          <w:highlight w:val="none"/>
        </w:rPr>
        <w:t>货物配置清单</w:t>
      </w:r>
    </w:p>
    <w:p w14:paraId="534F879A">
      <w:pPr>
        <w:spacing w:line="360" w:lineRule="auto"/>
        <w:rPr>
          <w:rFonts w:hint="eastAsia" w:ascii="宋体" w:hAnsi="宋体" w:cs="宋体"/>
          <w:color w:val="auto"/>
          <w:sz w:val="24"/>
          <w:highlight w:val="none"/>
        </w:rPr>
      </w:pPr>
      <w:r>
        <w:rPr>
          <w:rFonts w:hint="eastAsia" w:ascii="宋体" w:hAnsi="宋体" w:cs="宋体"/>
          <w:color w:val="auto"/>
          <w:sz w:val="24"/>
          <w:highlight w:val="none"/>
        </w:rPr>
        <w:t>项目名称：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080A533C">
      <w:pPr>
        <w:spacing w:line="360" w:lineRule="auto"/>
        <w:rPr>
          <w:rFonts w:hint="eastAsia" w:ascii="宋体" w:hAnsi="宋体" w:cs="宋体"/>
          <w:color w:val="auto"/>
          <w:sz w:val="24"/>
          <w:highlight w:val="none"/>
        </w:rPr>
      </w:pPr>
      <w:r>
        <w:rPr>
          <w:rFonts w:hint="eastAsia" w:ascii="宋体" w:hAnsi="宋体" w:cs="宋体"/>
          <w:color w:val="auto"/>
          <w:sz w:val="24"/>
          <w:highlight w:val="none"/>
        </w:rPr>
        <w:t>项目编号：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042E234C">
      <w:pPr>
        <w:spacing w:line="360" w:lineRule="auto"/>
        <w:rPr>
          <w:rFonts w:hint="eastAsia" w:ascii="宋体" w:hAnsi="宋体" w:cs="宋体"/>
          <w:color w:val="auto"/>
          <w:sz w:val="24"/>
          <w:highlight w:val="none"/>
          <w:u w:val="single"/>
        </w:rPr>
      </w:pPr>
      <w:r>
        <w:rPr>
          <w:rFonts w:hint="eastAsia" w:ascii="宋体" w:hAnsi="宋体" w:cs="宋体"/>
          <w:color w:val="auto"/>
          <w:sz w:val="24"/>
          <w:highlight w:val="none"/>
        </w:rPr>
        <w:t>所竞分标（如有）：</w:t>
      </w:r>
      <w:r>
        <w:rPr>
          <w:rFonts w:hint="eastAsia" w:ascii="宋体" w:hAnsi="宋体" w:cs="宋体"/>
          <w:color w:val="auto"/>
          <w:sz w:val="24"/>
          <w:highlight w:val="none"/>
          <w:u w:val="single"/>
        </w:rPr>
        <w:t xml:space="preserve">                 </w:t>
      </w:r>
    </w:p>
    <w:tbl>
      <w:tblPr>
        <w:tblStyle w:val="26"/>
        <w:tblW w:w="1081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67"/>
        <w:gridCol w:w="1293"/>
        <w:gridCol w:w="929"/>
        <w:gridCol w:w="1854"/>
        <w:gridCol w:w="1293"/>
        <w:gridCol w:w="765"/>
        <w:gridCol w:w="797"/>
        <w:gridCol w:w="971"/>
        <w:gridCol w:w="2147"/>
      </w:tblGrid>
      <w:tr w14:paraId="5088B6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767" w:type="dxa"/>
            <w:tcBorders>
              <w:top w:val="single" w:color="auto" w:sz="4" w:space="0"/>
              <w:left w:val="single" w:color="auto" w:sz="4" w:space="0"/>
              <w:bottom w:val="single" w:color="auto" w:sz="4" w:space="0"/>
              <w:right w:val="single" w:color="auto" w:sz="4" w:space="0"/>
            </w:tcBorders>
            <w:vAlign w:val="center"/>
          </w:tcPr>
          <w:p w14:paraId="390BBFF1">
            <w:pPr>
              <w:snapToGrid w:val="0"/>
              <w:spacing w:before="50" w:after="50"/>
              <w:jc w:val="center"/>
              <w:rPr>
                <w:rFonts w:hint="eastAsia" w:ascii="宋体" w:hAnsi="宋体" w:cs="宋体"/>
                <w:color w:val="auto"/>
                <w:sz w:val="24"/>
                <w:highlight w:val="none"/>
              </w:rPr>
            </w:pPr>
            <w:r>
              <w:rPr>
                <w:rFonts w:hint="eastAsia" w:ascii="宋体" w:hAnsi="宋体" w:cs="宋体"/>
                <w:color w:val="auto"/>
                <w:sz w:val="24"/>
                <w:highlight w:val="none"/>
              </w:rPr>
              <w:t>序号</w:t>
            </w:r>
          </w:p>
        </w:tc>
        <w:tc>
          <w:tcPr>
            <w:tcW w:w="1293" w:type="dxa"/>
            <w:tcBorders>
              <w:top w:val="single" w:color="auto" w:sz="4" w:space="0"/>
              <w:left w:val="single" w:color="auto" w:sz="4" w:space="0"/>
              <w:bottom w:val="single" w:color="auto" w:sz="4" w:space="0"/>
              <w:right w:val="single" w:color="auto" w:sz="4" w:space="0"/>
            </w:tcBorders>
            <w:vAlign w:val="center"/>
          </w:tcPr>
          <w:p w14:paraId="12CF4929">
            <w:pPr>
              <w:snapToGrid w:val="0"/>
              <w:spacing w:before="50" w:after="50"/>
              <w:jc w:val="center"/>
              <w:rPr>
                <w:rFonts w:hint="eastAsia" w:ascii="宋体" w:hAnsi="宋体" w:cs="宋体"/>
                <w:color w:val="auto"/>
                <w:sz w:val="24"/>
                <w:highlight w:val="none"/>
              </w:rPr>
            </w:pPr>
            <w:r>
              <w:rPr>
                <w:rFonts w:hint="eastAsia" w:ascii="宋体" w:hAnsi="宋体" w:cs="宋体"/>
                <w:color w:val="auto"/>
                <w:sz w:val="24"/>
                <w:highlight w:val="none"/>
              </w:rPr>
              <w:t>货物名称</w:t>
            </w:r>
          </w:p>
        </w:tc>
        <w:tc>
          <w:tcPr>
            <w:tcW w:w="929" w:type="dxa"/>
            <w:tcBorders>
              <w:top w:val="single" w:color="auto" w:sz="4" w:space="0"/>
              <w:left w:val="single" w:color="auto" w:sz="4" w:space="0"/>
              <w:bottom w:val="single" w:color="auto" w:sz="4" w:space="0"/>
              <w:right w:val="single" w:color="auto" w:sz="4" w:space="0"/>
            </w:tcBorders>
            <w:vAlign w:val="center"/>
          </w:tcPr>
          <w:p w14:paraId="35365DBF">
            <w:pPr>
              <w:snapToGrid w:val="0"/>
              <w:spacing w:before="50" w:after="50"/>
              <w:jc w:val="center"/>
              <w:rPr>
                <w:rFonts w:hint="eastAsia" w:ascii="宋体" w:hAnsi="宋体" w:cs="宋体"/>
                <w:color w:val="auto"/>
                <w:sz w:val="24"/>
                <w:highlight w:val="none"/>
              </w:rPr>
            </w:pPr>
            <w:r>
              <w:rPr>
                <w:rFonts w:hint="eastAsia" w:ascii="宋体" w:hAnsi="宋体" w:cs="宋体"/>
                <w:color w:val="auto"/>
                <w:sz w:val="24"/>
                <w:highlight w:val="none"/>
              </w:rPr>
              <w:t>品牌</w:t>
            </w:r>
          </w:p>
        </w:tc>
        <w:tc>
          <w:tcPr>
            <w:tcW w:w="1854" w:type="dxa"/>
            <w:tcBorders>
              <w:top w:val="single" w:color="auto" w:sz="4" w:space="0"/>
              <w:left w:val="single" w:color="auto" w:sz="4" w:space="0"/>
              <w:bottom w:val="single" w:color="auto" w:sz="4" w:space="0"/>
              <w:right w:val="single" w:color="auto" w:sz="4" w:space="0"/>
            </w:tcBorders>
            <w:vAlign w:val="center"/>
          </w:tcPr>
          <w:p w14:paraId="01B7368B">
            <w:pPr>
              <w:snapToGrid w:val="0"/>
              <w:spacing w:before="50" w:after="50"/>
              <w:jc w:val="center"/>
              <w:rPr>
                <w:rFonts w:hint="eastAsia" w:ascii="宋体" w:hAnsi="宋体" w:cs="宋体"/>
                <w:color w:val="auto"/>
                <w:sz w:val="24"/>
                <w:highlight w:val="none"/>
              </w:rPr>
            </w:pPr>
            <w:r>
              <w:rPr>
                <w:rFonts w:hint="eastAsia" w:ascii="宋体" w:hAnsi="宋体" w:cs="宋体"/>
                <w:color w:val="auto"/>
                <w:sz w:val="24"/>
                <w:highlight w:val="none"/>
              </w:rPr>
              <w:t>型号</w:t>
            </w:r>
          </w:p>
        </w:tc>
        <w:tc>
          <w:tcPr>
            <w:tcW w:w="1293" w:type="dxa"/>
            <w:tcBorders>
              <w:top w:val="single" w:color="auto" w:sz="4" w:space="0"/>
              <w:left w:val="single" w:color="auto" w:sz="4" w:space="0"/>
              <w:bottom w:val="single" w:color="auto" w:sz="4" w:space="0"/>
              <w:right w:val="single" w:color="auto" w:sz="4" w:space="0"/>
            </w:tcBorders>
            <w:vAlign w:val="center"/>
          </w:tcPr>
          <w:p w14:paraId="6CB410EA">
            <w:pPr>
              <w:snapToGrid w:val="0"/>
              <w:spacing w:before="50" w:after="50"/>
              <w:jc w:val="center"/>
              <w:rPr>
                <w:rFonts w:hint="eastAsia" w:ascii="宋体" w:hAnsi="宋体" w:cs="宋体"/>
                <w:color w:val="auto"/>
                <w:sz w:val="24"/>
                <w:highlight w:val="none"/>
              </w:rPr>
            </w:pPr>
            <w:r>
              <w:rPr>
                <w:rFonts w:hint="eastAsia" w:ascii="宋体" w:hAnsi="宋体" w:cs="宋体"/>
                <w:color w:val="auto"/>
                <w:sz w:val="24"/>
                <w:highlight w:val="none"/>
              </w:rPr>
              <w:t>生产厂家</w:t>
            </w:r>
          </w:p>
        </w:tc>
        <w:tc>
          <w:tcPr>
            <w:tcW w:w="765" w:type="dxa"/>
            <w:tcBorders>
              <w:top w:val="single" w:color="auto" w:sz="4" w:space="0"/>
              <w:left w:val="single" w:color="auto" w:sz="4" w:space="0"/>
              <w:bottom w:val="single" w:color="auto" w:sz="4" w:space="0"/>
              <w:right w:val="single" w:color="auto" w:sz="4" w:space="0"/>
            </w:tcBorders>
            <w:vAlign w:val="center"/>
          </w:tcPr>
          <w:p w14:paraId="52F9D779">
            <w:pPr>
              <w:snapToGrid w:val="0"/>
              <w:spacing w:before="50" w:after="50"/>
              <w:jc w:val="center"/>
              <w:rPr>
                <w:rFonts w:hint="eastAsia" w:ascii="宋体" w:hAnsi="宋体" w:cs="宋体"/>
                <w:color w:val="auto"/>
                <w:sz w:val="24"/>
                <w:highlight w:val="none"/>
              </w:rPr>
            </w:pPr>
            <w:r>
              <w:rPr>
                <w:rFonts w:hint="eastAsia" w:ascii="宋体" w:hAnsi="宋体" w:cs="宋体"/>
                <w:color w:val="auto"/>
                <w:sz w:val="24"/>
                <w:highlight w:val="none"/>
              </w:rPr>
              <w:t>产地</w:t>
            </w:r>
          </w:p>
        </w:tc>
        <w:tc>
          <w:tcPr>
            <w:tcW w:w="797" w:type="dxa"/>
            <w:tcBorders>
              <w:top w:val="single" w:color="auto" w:sz="4" w:space="0"/>
              <w:left w:val="single" w:color="auto" w:sz="4" w:space="0"/>
              <w:bottom w:val="single" w:color="auto" w:sz="4" w:space="0"/>
              <w:right w:val="single" w:color="auto" w:sz="4" w:space="0"/>
            </w:tcBorders>
            <w:vAlign w:val="center"/>
          </w:tcPr>
          <w:p w14:paraId="55CC0E1A">
            <w:pPr>
              <w:snapToGrid w:val="0"/>
              <w:spacing w:before="50" w:after="50"/>
              <w:jc w:val="center"/>
              <w:rPr>
                <w:rFonts w:hint="eastAsia" w:ascii="宋体" w:hAnsi="宋体" w:cs="宋体"/>
                <w:color w:val="auto"/>
                <w:sz w:val="24"/>
                <w:highlight w:val="none"/>
              </w:rPr>
            </w:pPr>
            <w:r>
              <w:rPr>
                <w:rFonts w:hint="eastAsia" w:ascii="宋体" w:hAnsi="宋体" w:cs="宋体"/>
                <w:color w:val="auto"/>
                <w:sz w:val="24"/>
                <w:highlight w:val="none"/>
              </w:rPr>
              <w:t>数量</w:t>
            </w:r>
          </w:p>
        </w:tc>
        <w:tc>
          <w:tcPr>
            <w:tcW w:w="971" w:type="dxa"/>
            <w:tcBorders>
              <w:top w:val="single" w:color="auto" w:sz="4" w:space="0"/>
              <w:left w:val="single" w:color="auto" w:sz="4" w:space="0"/>
              <w:bottom w:val="single" w:color="auto" w:sz="4" w:space="0"/>
              <w:right w:val="single" w:color="auto" w:sz="4" w:space="0"/>
            </w:tcBorders>
            <w:vAlign w:val="center"/>
          </w:tcPr>
          <w:p w14:paraId="1045F0C9">
            <w:pPr>
              <w:snapToGrid w:val="0"/>
              <w:spacing w:before="50" w:after="50"/>
              <w:jc w:val="center"/>
              <w:rPr>
                <w:rFonts w:hint="eastAsia" w:ascii="宋体" w:hAnsi="宋体" w:cs="宋体"/>
                <w:color w:val="auto"/>
                <w:sz w:val="24"/>
                <w:highlight w:val="none"/>
              </w:rPr>
            </w:pPr>
            <w:r>
              <w:rPr>
                <w:rFonts w:hint="eastAsia" w:ascii="宋体" w:hAnsi="宋体" w:cs="宋体"/>
                <w:color w:val="auto"/>
                <w:sz w:val="24"/>
                <w:highlight w:val="none"/>
              </w:rPr>
              <w:t>单位</w:t>
            </w:r>
          </w:p>
        </w:tc>
        <w:tc>
          <w:tcPr>
            <w:tcW w:w="2147" w:type="dxa"/>
            <w:tcBorders>
              <w:top w:val="single" w:color="auto" w:sz="4" w:space="0"/>
              <w:left w:val="single" w:color="auto" w:sz="4" w:space="0"/>
              <w:bottom w:val="single" w:color="auto" w:sz="4" w:space="0"/>
              <w:right w:val="single" w:color="auto" w:sz="4" w:space="0"/>
            </w:tcBorders>
            <w:vAlign w:val="center"/>
          </w:tcPr>
          <w:p w14:paraId="663313BA">
            <w:pPr>
              <w:snapToGrid w:val="0"/>
              <w:spacing w:before="50" w:after="50"/>
              <w:jc w:val="center"/>
              <w:rPr>
                <w:rFonts w:hint="eastAsia" w:ascii="宋体" w:hAnsi="宋体" w:cs="宋体"/>
                <w:color w:val="auto"/>
                <w:sz w:val="24"/>
                <w:highlight w:val="none"/>
              </w:rPr>
            </w:pPr>
            <w:r>
              <w:rPr>
                <w:rFonts w:hint="eastAsia" w:ascii="宋体" w:hAnsi="宋体" w:cs="宋体"/>
                <w:color w:val="auto"/>
                <w:sz w:val="24"/>
                <w:highlight w:val="none"/>
              </w:rPr>
              <w:t>参数性能、指标及配置</w:t>
            </w:r>
          </w:p>
        </w:tc>
      </w:tr>
      <w:tr w14:paraId="17DA4E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9" w:hRule="atLeast"/>
          <w:jc w:val="center"/>
        </w:trPr>
        <w:tc>
          <w:tcPr>
            <w:tcW w:w="767" w:type="dxa"/>
            <w:tcBorders>
              <w:top w:val="single" w:color="auto" w:sz="4" w:space="0"/>
              <w:left w:val="single" w:color="auto" w:sz="4" w:space="0"/>
              <w:bottom w:val="single" w:color="auto" w:sz="4" w:space="0"/>
              <w:right w:val="single" w:color="auto" w:sz="4" w:space="0"/>
            </w:tcBorders>
            <w:vAlign w:val="center"/>
          </w:tcPr>
          <w:p w14:paraId="27BD6871">
            <w:pPr>
              <w:snapToGrid w:val="0"/>
              <w:spacing w:before="50" w:after="50"/>
              <w:jc w:val="center"/>
              <w:rPr>
                <w:rFonts w:hint="eastAsia" w:ascii="宋体" w:hAnsi="宋体" w:cs="宋体"/>
                <w:color w:val="auto"/>
                <w:sz w:val="24"/>
                <w:highlight w:val="none"/>
              </w:rPr>
            </w:pPr>
          </w:p>
        </w:tc>
        <w:tc>
          <w:tcPr>
            <w:tcW w:w="1293" w:type="dxa"/>
            <w:tcBorders>
              <w:top w:val="single" w:color="auto" w:sz="4" w:space="0"/>
              <w:left w:val="single" w:color="auto" w:sz="4" w:space="0"/>
              <w:bottom w:val="single" w:color="auto" w:sz="4" w:space="0"/>
              <w:right w:val="single" w:color="auto" w:sz="4" w:space="0"/>
            </w:tcBorders>
            <w:vAlign w:val="center"/>
          </w:tcPr>
          <w:p w14:paraId="285C8EB8">
            <w:pPr>
              <w:snapToGrid w:val="0"/>
              <w:spacing w:before="50" w:after="50"/>
              <w:jc w:val="center"/>
              <w:rPr>
                <w:rFonts w:hint="eastAsia" w:ascii="宋体" w:hAnsi="宋体" w:cs="宋体"/>
                <w:color w:val="auto"/>
                <w:sz w:val="24"/>
                <w:highlight w:val="none"/>
              </w:rPr>
            </w:pPr>
          </w:p>
        </w:tc>
        <w:tc>
          <w:tcPr>
            <w:tcW w:w="929" w:type="dxa"/>
            <w:tcBorders>
              <w:top w:val="single" w:color="auto" w:sz="4" w:space="0"/>
              <w:left w:val="single" w:color="auto" w:sz="4" w:space="0"/>
              <w:bottom w:val="single" w:color="auto" w:sz="4" w:space="0"/>
              <w:right w:val="single" w:color="auto" w:sz="4" w:space="0"/>
            </w:tcBorders>
            <w:vAlign w:val="center"/>
          </w:tcPr>
          <w:p w14:paraId="01DBF041">
            <w:pPr>
              <w:snapToGrid w:val="0"/>
              <w:spacing w:before="50" w:after="50"/>
              <w:jc w:val="center"/>
              <w:rPr>
                <w:rFonts w:hint="eastAsia" w:ascii="宋体" w:hAnsi="宋体" w:cs="宋体"/>
                <w:color w:val="auto"/>
                <w:sz w:val="24"/>
                <w:highlight w:val="none"/>
              </w:rPr>
            </w:pPr>
          </w:p>
        </w:tc>
        <w:tc>
          <w:tcPr>
            <w:tcW w:w="1854" w:type="dxa"/>
            <w:tcBorders>
              <w:top w:val="single" w:color="auto" w:sz="4" w:space="0"/>
              <w:left w:val="single" w:color="auto" w:sz="4" w:space="0"/>
              <w:bottom w:val="single" w:color="auto" w:sz="4" w:space="0"/>
              <w:right w:val="single" w:color="auto" w:sz="4" w:space="0"/>
            </w:tcBorders>
          </w:tcPr>
          <w:p w14:paraId="6D9CA50F">
            <w:pPr>
              <w:snapToGrid w:val="0"/>
              <w:spacing w:before="50" w:after="50"/>
              <w:jc w:val="center"/>
              <w:rPr>
                <w:rFonts w:hint="eastAsia" w:ascii="宋体" w:hAnsi="宋体" w:cs="宋体"/>
                <w:color w:val="auto"/>
                <w:sz w:val="24"/>
                <w:highlight w:val="none"/>
              </w:rPr>
            </w:pPr>
          </w:p>
        </w:tc>
        <w:tc>
          <w:tcPr>
            <w:tcW w:w="1293" w:type="dxa"/>
            <w:tcBorders>
              <w:top w:val="single" w:color="auto" w:sz="4" w:space="0"/>
              <w:left w:val="single" w:color="auto" w:sz="4" w:space="0"/>
              <w:bottom w:val="single" w:color="auto" w:sz="4" w:space="0"/>
              <w:right w:val="single" w:color="auto" w:sz="4" w:space="0"/>
            </w:tcBorders>
            <w:vAlign w:val="center"/>
          </w:tcPr>
          <w:p w14:paraId="2D751A2D">
            <w:pPr>
              <w:snapToGrid w:val="0"/>
              <w:spacing w:before="50" w:after="50"/>
              <w:jc w:val="center"/>
              <w:rPr>
                <w:rFonts w:hint="eastAsia" w:ascii="宋体" w:hAnsi="宋体" w:cs="宋体"/>
                <w:color w:val="auto"/>
                <w:sz w:val="24"/>
                <w:highlight w:val="none"/>
              </w:rPr>
            </w:pPr>
          </w:p>
        </w:tc>
        <w:tc>
          <w:tcPr>
            <w:tcW w:w="765" w:type="dxa"/>
            <w:tcBorders>
              <w:top w:val="single" w:color="auto" w:sz="4" w:space="0"/>
              <w:left w:val="single" w:color="auto" w:sz="4" w:space="0"/>
              <w:bottom w:val="single" w:color="auto" w:sz="4" w:space="0"/>
              <w:right w:val="single" w:color="auto" w:sz="4" w:space="0"/>
            </w:tcBorders>
            <w:vAlign w:val="center"/>
          </w:tcPr>
          <w:p w14:paraId="007A0625">
            <w:pPr>
              <w:snapToGrid w:val="0"/>
              <w:spacing w:before="50" w:after="50"/>
              <w:jc w:val="center"/>
              <w:rPr>
                <w:rFonts w:hint="eastAsia" w:ascii="宋体" w:hAnsi="宋体" w:cs="宋体"/>
                <w:color w:val="auto"/>
                <w:sz w:val="24"/>
                <w:highlight w:val="none"/>
              </w:rPr>
            </w:pPr>
          </w:p>
        </w:tc>
        <w:tc>
          <w:tcPr>
            <w:tcW w:w="797" w:type="dxa"/>
            <w:tcBorders>
              <w:top w:val="single" w:color="auto" w:sz="4" w:space="0"/>
              <w:left w:val="single" w:color="auto" w:sz="4" w:space="0"/>
              <w:bottom w:val="single" w:color="auto" w:sz="4" w:space="0"/>
              <w:right w:val="single" w:color="auto" w:sz="4" w:space="0"/>
            </w:tcBorders>
          </w:tcPr>
          <w:p w14:paraId="644A6C17">
            <w:pPr>
              <w:snapToGrid w:val="0"/>
              <w:spacing w:before="50" w:after="50"/>
              <w:jc w:val="center"/>
              <w:rPr>
                <w:rFonts w:hint="eastAsia" w:ascii="宋体" w:hAnsi="宋体" w:cs="宋体"/>
                <w:color w:val="auto"/>
                <w:sz w:val="24"/>
                <w:highlight w:val="none"/>
              </w:rPr>
            </w:pPr>
          </w:p>
        </w:tc>
        <w:tc>
          <w:tcPr>
            <w:tcW w:w="971" w:type="dxa"/>
            <w:tcBorders>
              <w:top w:val="single" w:color="auto" w:sz="4" w:space="0"/>
              <w:left w:val="single" w:color="auto" w:sz="4" w:space="0"/>
              <w:bottom w:val="single" w:color="auto" w:sz="4" w:space="0"/>
              <w:right w:val="single" w:color="auto" w:sz="4" w:space="0"/>
            </w:tcBorders>
          </w:tcPr>
          <w:p w14:paraId="1621A678">
            <w:pPr>
              <w:snapToGrid w:val="0"/>
              <w:spacing w:before="50" w:after="50"/>
              <w:jc w:val="center"/>
              <w:rPr>
                <w:rFonts w:hint="eastAsia" w:ascii="宋体" w:hAnsi="宋体" w:cs="宋体"/>
                <w:color w:val="auto"/>
                <w:sz w:val="24"/>
                <w:highlight w:val="none"/>
              </w:rPr>
            </w:pPr>
          </w:p>
        </w:tc>
        <w:tc>
          <w:tcPr>
            <w:tcW w:w="2147" w:type="dxa"/>
            <w:tcBorders>
              <w:top w:val="single" w:color="auto" w:sz="4" w:space="0"/>
              <w:left w:val="single" w:color="auto" w:sz="4" w:space="0"/>
              <w:bottom w:val="single" w:color="auto" w:sz="4" w:space="0"/>
              <w:right w:val="single" w:color="auto" w:sz="4" w:space="0"/>
            </w:tcBorders>
            <w:vAlign w:val="center"/>
          </w:tcPr>
          <w:p w14:paraId="23FC0F0E">
            <w:pPr>
              <w:snapToGrid w:val="0"/>
              <w:spacing w:before="50" w:after="50"/>
              <w:jc w:val="center"/>
              <w:rPr>
                <w:rFonts w:hint="eastAsia" w:ascii="宋体" w:hAnsi="宋体" w:cs="宋体"/>
                <w:color w:val="auto"/>
                <w:sz w:val="24"/>
                <w:highlight w:val="none"/>
              </w:rPr>
            </w:pPr>
          </w:p>
        </w:tc>
      </w:tr>
      <w:tr w14:paraId="1C94DC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767" w:type="dxa"/>
            <w:tcBorders>
              <w:top w:val="single" w:color="auto" w:sz="4" w:space="0"/>
              <w:left w:val="single" w:color="auto" w:sz="4" w:space="0"/>
              <w:bottom w:val="single" w:color="auto" w:sz="4" w:space="0"/>
              <w:right w:val="single" w:color="auto" w:sz="4" w:space="0"/>
            </w:tcBorders>
            <w:vAlign w:val="center"/>
          </w:tcPr>
          <w:p w14:paraId="2CF5CFC4">
            <w:pPr>
              <w:snapToGrid w:val="0"/>
              <w:spacing w:before="50" w:after="50"/>
              <w:jc w:val="center"/>
              <w:rPr>
                <w:rFonts w:hint="eastAsia" w:ascii="宋体" w:hAnsi="宋体" w:cs="宋体"/>
                <w:color w:val="auto"/>
                <w:sz w:val="24"/>
                <w:highlight w:val="none"/>
              </w:rPr>
            </w:pPr>
          </w:p>
        </w:tc>
        <w:tc>
          <w:tcPr>
            <w:tcW w:w="1293" w:type="dxa"/>
            <w:tcBorders>
              <w:top w:val="single" w:color="auto" w:sz="4" w:space="0"/>
              <w:left w:val="single" w:color="auto" w:sz="4" w:space="0"/>
              <w:bottom w:val="single" w:color="auto" w:sz="4" w:space="0"/>
              <w:right w:val="single" w:color="auto" w:sz="4" w:space="0"/>
            </w:tcBorders>
            <w:vAlign w:val="center"/>
          </w:tcPr>
          <w:p w14:paraId="6D306D9D">
            <w:pPr>
              <w:snapToGrid w:val="0"/>
              <w:spacing w:before="50" w:after="50"/>
              <w:jc w:val="center"/>
              <w:rPr>
                <w:rFonts w:hint="eastAsia" w:ascii="宋体" w:hAnsi="宋体" w:cs="宋体"/>
                <w:color w:val="auto"/>
                <w:sz w:val="24"/>
                <w:highlight w:val="none"/>
              </w:rPr>
            </w:pPr>
          </w:p>
        </w:tc>
        <w:tc>
          <w:tcPr>
            <w:tcW w:w="929" w:type="dxa"/>
            <w:tcBorders>
              <w:top w:val="single" w:color="auto" w:sz="4" w:space="0"/>
              <w:left w:val="single" w:color="auto" w:sz="4" w:space="0"/>
              <w:bottom w:val="single" w:color="auto" w:sz="4" w:space="0"/>
              <w:right w:val="single" w:color="auto" w:sz="4" w:space="0"/>
            </w:tcBorders>
            <w:vAlign w:val="center"/>
          </w:tcPr>
          <w:p w14:paraId="75EA10F3">
            <w:pPr>
              <w:snapToGrid w:val="0"/>
              <w:spacing w:before="50" w:after="50"/>
              <w:jc w:val="center"/>
              <w:rPr>
                <w:rFonts w:hint="eastAsia" w:ascii="宋体" w:hAnsi="宋体" w:cs="宋体"/>
                <w:color w:val="auto"/>
                <w:sz w:val="24"/>
                <w:highlight w:val="none"/>
              </w:rPr>
            </w:pPr>
          </w:p>
        </w:tc>
        <w:tc>
          <w:tcPr>
            <w:tcW w:w="1854" w:type="dxa"/>
            <w:tcBorders>
              <w:top w:val="single" w:color="auto" w:sz="4" w:space="0"/>
              <w:left w:val="single" w:color="auto" w:sz="4" w:space="0"/>
              <w:bottom w:val="single" w:color="auto" w:sz="4" w:space="0"/>
              <w:right w:val="single" w:color="auto" w:sz="4" w:space="0"/>
            </w:tcBorders>
          </w:tcPr>
          <w:p w14:paraId="2F99304A">
            <w:pPr>
              <w:snapToGrid w:val="0"/>
              <w:spacing w:before="50" w:after="50"/>
              <w:jc w:val="center"/>
              <w:rPr>
                <w:rFonts w:hint="eastAsia" w:ascii="宋体" w:hAnsi="宋体" w:cs="宋体"/>
                <w:color w:val="auto"/>
                <w:sz w:val="24"/>
                <w:highlight w:val="none"/>
              </w:rPr>
            </w:pPr>
          </w:p>
        </w:tc>
        <w:tc>
          <w:tcPr>
            <w:tcW w:w="1293" w:type="dxa"/>
            <w:tcBorders>
              <w:top w:val="single" w:color="auto" w:sz="4" w:space="0"/>
              <w:left w:val="single" w:color="auto" w:sz="4" w:space="0"/>
              <w:bottom w:val="single" w:color="auto" w:sz="4" w:space="0"/>
              <w:right w:val="single" w:color="auto" w:sz="4" w:space="0"/>
            </w:tcBorders>
            <w:vAlign w:val="center"/>
          </w:tcPr>
          <w:p w14:paraId="22DE6405">
            <w:pPr>
              <w:snapToGrid w:val="0"/>
              <w:spacing w:before="50" w:after="50"/>
              <w:jc w:val="center"/>
              <w:rPr>
                <w:rFonts w:hint="eastAsia" w:ascii="宋体" w:hAnsi="宋体" w:cs="宋体"/>
                <w:color w:val="auto"/>
                <w:sz w:val="24"/>
                <w:highlight w:val="none"/>
              </w:rPr>
            </w:pPr>
          </w:p>
        </w:tc>
        <w:tc>
          <w:tcPr>
            <w:tcW w:w="765" w:type="dxa"/>
            <w:tcBorders>
              <w:top w:val="single" w:color="auto" w:sz="4" w:space="0"/>
              <w:left w:val="single" w:color="auto" w:sz="4" w:space="0"/>
              <w:bottom w:val="single" w:color="auto" w:sz="4" w:space="0"/>
              <w:right w:val="single" w:color="auto" w:sz="4" w:space="0"/>
            </w:tcBorders>
            <w:vAlign w:val="center"/>
          </w:tcPr>
          <w:p w14:paraId="48AFE530">
            <w:pPr>
              <w:snapToGrid w:val="0"/>
              <w:spacing w:before="50" w:after="50"/>
              <w:jc w:val="center"/>
              <w:rPr>
                <w:rFonts w:hint="eastAsia" w:ascii="宋体" w:hAnsi="宋体" w:cs="宋体"/>
                <w:color w:val="auto"/>
                <w:sz w:val="24"/>
                <w:highlight w:val="none"/>
              </w:rPr>
            </w:pPr>
          </w:p>
        </w:tc>
        <w:tc>
          <w:tcPr>
            <w:tcW w:w="797" w:type="dxa"/>
            <w:tcBorders>
              <w:top w:val="single" w:color="auto" w:sz="4" w:space="0"/>
              <w:left w:val="single" w:color="auto" w:sz="4" w:space="0"/>
              <w:bottom w:val="single" w:color="auto" w:sz="4" w:space="0"/>
              <w:right w:val="single" w:color="auto" w:sz="4" w:space="0"/>
            </w:tcBorders>
          </w:tcPr>
          <w:p w14:paraId="1EF84652">
            <w:pPr>
              <w:snapToGrid w:val="0"/>
              <w:spacing w:before="50" w:after="50"/>
              <w:jc w:val="center"/>
              <w:rPr>
                <w:rFonts w:hint="eastAsia" w:ascii="宋体" w:hAnsi="宋体" w:cs="宋体"/>
                <w:color w:val="auto"/>
                <w:sz w:val="24"/>
                <w:highlight w:val="none"/>
              </w:rPr>
            </w:pPr>
          </w:p>
        </w:tc>
        <w:tc>
          <w:tcPr>
            <w:tcW w:w="971" w:type="dxa"/>
            <w:tcBorders>
              <w:top w:val="single" w:color="auto" w:sz="4" w:space="0"/>
              <w:left w:val="single" w:color="auto" w:sz="4" w:space="0"/>
              <w:bottom w:val="single" w:color="auto" w:sz="4" w:space="0"/>
              <w:right w:val="single" w:color="auto" w:sz="4" w:space="0"/>
            </w:tcBorders>
          </w:tcPr>
          <w:p w14:paraId="35AE7023">
            <w:pPr>
              <w:snapToGrid w:val="0"/>
              <w:spacing w:before="50" w:after="50"/>
              <w:jc w:val="center"/>
              <w:rPr>
                <w:rFonts w:hint="eastAsia" w:ascii="宋体" w:hAnsi="宋体" w:cs="宋体"/>
                <w:color w:val="auto"/>
                <w:sz w:val="24"/>
                <w:highlight w:val="none"/>
              </w:rPr>
            </w:pPr>
          </w:p>
        </w:tc>
        <w:tc>
          <w:tcPr>
            <w:tcW w:w="2147" w:type="dxa"/>
            <w:tcBorders>
              <w:top w:val="single" w:color="auto" w:sz="4" w:space="0"/>
              <w:left w:val="single" w:color="auto" w:sz="4" w:space="0"/>
              <w:bottom w:val="single" w:color="auto" w:sz="4" w:space="0"/>
              <w:right w:val="single" w:color="auto" w:sz="4" w:space="0"/>
            </w:tcBorders>
            <w:vAlign w:val="center"/>
          </w:tcPr>
          <w:p w14:paraId="0010B8F9">
            <w:pPr>
              <w:snapToGrid w:val="0"/>
              <w:spacing w:before="50" w:after="50"/>
              <w:jc w:val="center"/>
              <w:rPr>
                <w:rFonts w:hint="eastAsia" w:ascii="宋体" w:hAnsi="宋体" w:cs="宋体"/>
                <w:color w:val="auto"/>
                <w:sz w:val="24"/>
                <w:highlight w:val="none"/>
              </w:rPr>
            </w:pPr>
          </w:p>
        </w:tc>
      </w:tr>
      <w:tr w14:paraId="011810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767" w:type="dxa"/>
            <w:tcBorders>
              <w:top w:val="single" w:color="auto" w:sz="4" w:space="0"/>
              <w:left w:val="single" w:color="auto" w:sz="4" w:space="0"/>
              <w:bottom w:val="single" w:color="auto" w:sz="4" w:space="0"/>
              <w:right w:val="single" w:color="auto" w:sz="4" w:space="0"/>
            </w:tcBorders>
            <w:vAlign w:val="center"/>
          </w:tcPr>
          <w:p w14:paraId="15CED11D">
            <w:pPr>
              <w:snapToGrid w:val="0"/>
              <w:spacing w:before="50" w:after="50"/>
              <w:jc w:val="center"/>
              <w:rPr>
                <w:rFonts w:hint="eastAsia" w:ascii="宋体" w:hAnsi="宋体" w:cs="宋体"/>
                <w:color w:val="auto"/>
                <w:sz w:val="24"/>
                <w:highlight w:val="none"/>
              </w:rPr>
            </w:pPr>
          </w:p>
        </w:tc>
        <w:tc>
          <w:tcPr>
            <w:tcW w:w="1293" w:type="dxa"/>
            <w:tcBorders>
              <w:top w:val="single" w:color="auto" w:sz="4" w:space="0"/>
              <w:left w:val="single" w:color="auto" w:sz="4" w:space="0"/>
              <w:bottom w:val="single" w:color="auto" w:sz="4" w:space="0"/>
              <w:right w:val="single" w:color="auto" w:sz="4" w:space="0"/>
            </w:tcBorders>
            <w:vAlign w:val="center"/>
          </w:tcPr>
          <w:p w14:paraId="3A38F9D6">
            <w:pPr>
              <w:snapToGrid w:val="0"/>
              <w:spacing w:before="50" w:after="50"/>
              <w:jc w:val="center"/>
              <w:rPr>
                <w:rFonts w:hint="eastAsia" w:ascii="宋体" w:hAnsi="宋体" w:cs="宋体"/>
                <w:color w:val="auto"/>
                <w:sz w:val="24"/>
                <w:highlight w:val="none"/>
              </w:rPr>
            </w:pPr>
          </w:p>
        </w:tc>
        <w:tc>
          <w:tcPr>
            <w:tcW w:w="929" w:type="dxa"/>
            <w:tcBorders>
              <w:top w:val="single" w:color="auto" w:sz="4" w:space="0"/>
              <w:left w:val="single" w:color="auto" w:sz="4" w:space="0"/>
              <w:bottom w:val="single" w:color="auto" w:sz="4" w:space="0"/>
              <w:right w:val="single" w:color="auto" w:sz="4" w:space="0"/>
            </w:tcBorders>
            <w:vAlign w:val="center"/>
          </w:tcPr>
          <w:p w14:paraId="36D55857">
            <w:pPr>
              <w:snapToGrid w:val="0"/>
              <w:spacing w:before="50" w:after="50"/>
              <w:jc w:val="center"/>
              <w:rPr>
                <w:rFonts w:hint="eastAsia" w:ascii="宋体" w:hAnsi="宋体" w:cs="宋体"/>
                <w:color w:val="auto"/>
                <w:sz w:val="24"/>
                <w:highlight w:val="none"/>
              </w:rPr>
            </w:pPr>
          </w:p>
        </w:tc>
        <w:tc>
          <w:tcPr>
            <w:tcW w:w="1854" w:type="dxa"/>
            <w:tcBorders>
              <w:top w:val="single" w:color="auto" w:sz="4" w:space="0"/>
              <w:left w:val="single" w:color="auto" w:sz="4" w:space="0"/>
              <w:bottom w:val="single" w:color="auto" w:sz="4" w:space="0"/>
              <w:right w:val="single" w:color="auto" w:sz="4" w:space="0"/>
            </w:tcBorders>
          </w:tcPr>
          <w:p w14:paraId="31AAD407">
            <w:pPr>
              <w:snapToGrid w:val="0"/>
              <w:spacing w:before="50" w:after="50"/>
              <w:jc w:val="center"/>
              <w:rPr>
                <w:rFonts w:hint="eastAsia" w:ascii="宋体" w:hAnsi="宋体" w:cs="宋体"/>
                <w:color w:val="auto"/>
                <w:sz w:val="24"/>
                <w:highlight w:val="none"/>
              </w:rPr>
            </w:pPr>
          </w:p>
        </w:tc>
        <w:tc>
          <w:tcPr>
            <w:tcW w:w="1293" w:type="dxa"/>
            <w:tcBorders>
              <w:top w:val="single" w:color="auto" w:sz="4" w:space="0"/>
              <w:left w:val="single" w:color="auto" w:sz="4" w:space="0"/>
              <w:bottom w:val="single" w:color="auto" w:sz="4" w:space="0"/>
              <w:right w:val="single" w:color="auto" w:sz="4" w:space="0"/>
            </w:tcBorders>
            <w:vAlign w:val="center"/>
          </w:tcPr>
          <w:p w14:paraId="0194E2E5">
            <w:pPr>
              <w:snapToGrid w:val="0"/>
              <w:spacing w:before="50" w:after="50"/>
              <w:jc w:val="center"/>
              <w:rPr>
                <w:rFonts w:hint="eastAsia" w:ascii="宋体" w:hAnsi="宋体" w:cs="宋体"/>
                <w:color w:val="auto"/>
                <w:sz w:val="24"/>
                <w:highlight w:val="none"/>
              </w:rPr>
            </w:pPr>
          </w:p>
        </w:tc>
        <w:tc>
          <w:tcPr>
            <w:tcW w:w="765" w:type="dxa"/>
            <w:tcBorders>
              <w:top w:val="single" w:color="auto" w:sz="4" w:space="0"/>
              <w:left w:val="single" w:color="auto" w:sz="4" w:space="0"/>
              <w:bottom w:val="single" w:color="auto" w:sz="4" w:space="0"/>
              <w:right w:val="single" w:color="auto" w:sz="4" w:space="0"/>
            </w:tcBorders>
            <w:vAlign w:val="center"/>
          </w:tcPr>
          <w:p w14:paraId="47D11035">
            <w:pPr>
              <w:snapToGrid w:val="0"/>
              <w:spacing w:before="50" w:after="50"/>
              <w:jc w:val="center"/>
              <w:rPr>
                <w:rFonts w:hint="eastAsia" w:ascii="宋体" w:hAnsi="宋体" w:cs="宋体"/>
                <w:color w:val="auto"/>
                <w:sz w:val="24"/>
                <w:highlight w:val="none"/>
              </w:rPr>
            </w:pPr>
          </w:p>
        </w:tc>
        <w:tc>
          <w:tcPr>
            <w:tcW w:w="797" w:type="dxa"/>
            <w:tcBorders>
              <w:top w:val="single" w:color="auto" w:sz="4" w:space="0"/>
              <w:left w:val="single" w:color="auto" w:sz="4" w:space="0"/>
              <w:bottom w:val="single" w:color="auto" w:sz="4" w:space="0"/>
              <w:right w:val="single" w:color="auto" w:sz="4" w:space="0"/>
            </w:tcBorders>
          </w:tcPr>
          <w:p w14:paraId="3A6790C1">
            <w:pPr>
              <w:snapToGrid w:val="0"/>
              <w:spacing w:before="50" w:after="50"/>
              <w:jc w:val="center"/>
              <w:rPr>
                <w:rFonts w:hint="eastAsia" w:ascii="宋体" w:hAnsi="宋体" w:cs="宋体"/>
                <w:color w:val="auto"/>
                <w:sz w:val="24"/>
                <w:highlight w:val="none"/>
              </w:rPr>
            </w:pPr>
          </w:p>
        </w:tc>
        <w:tc>
          <w:tcPr>
            <w:tcW w:w="971" w:type="dxa"/>
            <w:tcBorders>
              <w:top w:val="single" w:color="auto" w:sz="4" w:space="0"/>
              <w:left w:val="single" w:color="auto" w:sz="4" w:space="0"/>
              <w:bottom w:val="single" w:color="auto" w:sz="4" w:space="0"/>
              <w:right w:val="single" w:color="auto" w:sz="4" w:space="0"/>
            </w:tcBorders>
          </w:tcPr>
          <w:p w14:paraId="322916B4">
            <w:pPr>
              <w:snapToGrid w:val="0"/>
              <w:spacing w:before="50" w:after="50"/>
              <w:jc w:val="center"/>
              <w:rPr>
                <w:rFonts w:hint="eastAsia" w:ascii="宋体" w:hAnsi="宋体" w:cs="宋体"/>
                <w:color w:val="auto"/>
                <w:sz w:val="24"/>
                <w:highlight w:val="none"/>
              </w:rPr>
            </w:pPr>
          </w:p>
        </w:tc>
        <w:tc>
          <w:tcPr>
            <w:tcW w:w="2147" w:type="dxa"/>
            <w:tcBorders>
              <w:top w:val="single" w:color="auto" w:sz="4" w:space="0"/>
              <w:left w:val="single" w:color="auto" w:sz="4" w:space="0"/>
              <w:bottom w:val="single" w:color="auto" w:sz="4" w:space="0"/>
              <w:right w:val="single" w:color="auto" w:sz="4" w:space="0"/>
            </w:tcBorders>
            <w:vAlign w:val="center"/>
          </w:tcPr>
          <w:p w14:paraId="6D58C204">
            <w:pPr>
              <w:snapToGrid w:val="0"/>
              <w:spacing w:before="50" w:after="50"/>
              <w:jc w:val="center"/>
              <w:rPr>
                <w:rFonts w:hint="eastAsia" w:ascii="宋体" w:hAnsi="宋体" w:cs="宋体"/>
                <w:color w:val="auto"/>
                <w:sz w:val="24"/>
                <w:highlight w:val="none"/>
              </w:rPr>
            </w:pPr>
          </w:p>
        </w:tc>
      </w:tr>
    </w:tbl>
    <w:p w14:paraId="4DD121F9">
      <w:pPr>
        <w:spacing w:line="360" w:lineRule="auto"/>
        <w:contextualSpacing/>
        <w:rPr>
          <w:rFonts w:hint="eastAsia" w:ascii="楷体" w:hAnsi="楷体" w:eastAsia="楷体" w:cs="宋体"/>
          <w:b/>
          <w:color w:val="auto"/>
          <w:sz w:val="24"/>
          <w:highlight w:val="none"/>
        </w:rPr>
      </w:pPr>
      <w:r>
        <w:rPr>
          <w:rFonts w:hint="eastAsia" w:ascii="楷体" w:hAnsi="楷体" w:eastAsia="楷体" w:cs="宋体"/>
          <w:b/>
          <w:color w:val="auto"/>
          <w:sz w:val="24"/>
          <w:highlight w:val="none"/>
        </w:rPr>
        <w:t>备注：</w:t>
      </w:r>
    </w:p>
    <w:p w14:paraId="6B112EA3">
      <w:pPr>
        <w:tabs>
          <w:tab w:val="left" w:pos="1065"/>
        </w:tabs>
        <w:adjustRightInd w:val="0"/>
        <w:spacing w:line="360" w:lineRule="auto"/>
        <w:ind w:firstLine="482" w:firstLineChars="200"/>
        <w:contextualSpacing/>
        <w:rPr>
          <w:rFonts w:hint="eastAsia" w:ascii="楷体" w:hAnsi="楷体" w:eastAsia="楷体" w:cs="宋体"/>
          <w:color w:val="auto"/>
          <w:sz w:val="24"/>
          <w:highlight w:val="none"/>
        </w:rPr>
      </w:pPr>
      <w:r>
        <w:rPr>
          <w:rFonts w:hint="eastAsia" w:ascii="楷体" w:hAnsi="楷体" w:eastAsia="楷体" w:cs="宋体"/>
          <w:b/>
          <w:bCs/>
          <w:color w:val="auto"/>
          <w:sz w:val="24"/>
          <w:highlight w:val="none"/>
        </w:rPr>
        <w:t>以上货物配置清单中“货物名称、数量、单位、品牌、型号、生产厂家、产地、参数性能、指标及配置”必须如实填写完整，定制产品在型号栏中填写“定制”。填写有缺漏的，响应文件按无效响应处理</w:t>
      </w:r>
      <w:r>
        <w:rPr>
          <w:rFonts w:hint="eastAsia" w:ascii="楷体" w:hAnsi="楷体" w:eastAsia="楷体" w:cs="宋体"/>
          <w:b/>
          <w:color w:val="auto"/>
          <w:sz w:val="24"/>
          <w:highlight w:val="none"/>
        </w:rPr>
        <w:t>。</w:t>
      </w:r>
      <w:r>
        <w:rPr>
          <w:rFonts w:hint="eastAsia" w:ascii="楷体" w:hAnsi="楷体" w:eastAsia="楷体" w:cs="宋体"/>
          <w:color w:val="auto"/>
          <w:sz w:val="24"/>
          <w:highlight w:val="none"/>
        </w:rPr>
        <w:t>货物名称、数量、单位、品牌等必须与“</w:t>
      </w:r>
      <w:r>
        <w:rPr>
          <w:rFonts w:hint="eastAsia" w:ascii="楷体" w:hAnsi="楷体" w:eastAsia="楷体" w:cs="宋体"/>
          <w:color w:val="auto"/>
          <w:sz w:val="24"/>
          <w:highlight w:val="none"/>
          <w:lang w:bidi="ar"/>
        </w:rPr>
        <w:t>竞争性谈判</w:t>
      </w:r>
      <w:r>
        <w:rPr>
          <w:rFonts w:hint="eastAsia" w:ascii="楷体" w:hAnsi="楷体" w:eastAsia="楷体" w:cs="宋体"/>
          <w:color w:val="auto"/>
          <w:sz w:val="24"/>
          <w:highlight w:val="none"/>
        </w:rPr>
        <w:t>报价表”一致，</w:t>
      </w:r>
      <w:r>
        <w:rPr>
          <w:rFonts w:hint="eastAsia" w:ascii="楷体" w:hAnsi="楷体" w:eastAsia="楷体" w:cs="宋体"/>
          <w:bCs/>
          <w:color w:val="auto"/>
          <w:sz w:val="24"/>
          <w:highlight w:val="none"/>
        </w:rPr>
        <w:t>否则响应文件按无效响应处理</w:t>
      </w:r>
      <w:r>
        <w:rPr>
          <w:rFonts w:hint="eastAsia" w:ascii="楷体" w:hAnsi="楷体" w:eastAsia="楷体" w:cs="宋体"/>
          <w:b/>
          <w:color w:val="auto"/>
          <w:sz w:val="24"/>
          <w:highlight w:val="none"/>
        </w:rPr>
        <w:t>。</w:t>
      </w:r>
      <w:r>
        <w:rPr>
          <w:rFonts w:ascii="楷体" w:hAnsi="楷体" w:eastAsia="楷体" w:cs="宋体"/>
          <w:color w:val="auto"/>
          <w:sz w:val="24"/>
          <w:highlight w:val="none"/>
        </w:rPr>
        <w:tab/>
      </w:r>
    </w:p>
    <w:p w14:paraId="0D37139C">
      <w:pPr>
        <w:adjustRightInd w:val="0"/>
        <w:spacing w:line="360" w:lineRule="auto"/>
        <w:contextualSpacing/>
        <w:jc w:val="left"/>
        <w:rPr>
          <w:rFonts w:hint="eastAsia" w:ascii="宋体" w:hAnsi="宋体" w:cs="宋体"/>
          <w:color w:val="auto"/>
          <w:sz w:val="24"/>
          <w:highlight w:val="none"/>
        </w:rPr>
      </w:pPr>
    </w:p>
    <w:p w14:paraId="14F80CD5">
      <w:pPr>
        <w:adjustRightInd w:val="0"/>
        <w:spacing w:line="360" w:lineRule="auto"/>
        <w:contextualSpacing/>
        <w:jc w:val="left"/>
        <w:rPr>
          <w:rFonts w:hint="eastAsia" w:ascii="宋体" w:hAnsi="宋体" w:cs="宋体"/>
          <w:color w:val="auto"/>
          <w:sz w:val="24"/>
          <w:highlight w:val="none"/>
        </w:rPr>
      </w:pPr>
    </w:p>
    <w:p w14:paraId="0B1113F6">
      <w:pPr>
        <w:adjustRightInd w:val="0"/>
        <w:spacing w:line="360" w:lineRule="auto"/>
        <w:contextualSpacing/>
        <w:jc w:val="left"/>
        <w:rPr>
          <w:rFonts w:hint="eastAsia" w:ascii="宋体" w:hAnsi="宋体" w:cs="宋体"/>
          <w:color w:val="auto"/>
          <w:sz w:val="24"/>
          <w:highlight w:val="none"/>
        </w:rPr>
      </w:pPr>
    </w:p>
    <w:p w14:paraId="293769E8">
      <w:pPr>
        <w:spacing w:line="360" w:lineRule="auto"/>
        <w:contextualSpacing/>
        <w:jc w:val="center"/>
        <w:rPr>
          <w:rFonts w:hint="eastAsia" w:ascii="宋体" w:hAnsi="宋体" w:cs="宋体"/>
          <w:color w:val="auto"/>
          <w:sz w:val="24"/>
          <w:highlight w:val="none"/>
          <w:u w:val="single"/>
        </w:rPr>
      </w:pPr>
      <w:r>
        <w:rPr>
          <w:rFonts w:hint="eastAsia" w:ascii="宋体" w:hAnsi="宋体" w:cs="宋体"/>
          <w:color w:val="auto"/>
          <w:sz w:val="24"/>
          <w:highlight w:val="none"/>
        </w:rPr>
        <w:t xml:space="preserve"> </w:t>
      </w:r>
      <w:r>
        <w:rPr>
          <w:rFonts w:ascii="宋体" w:hAnsi="宋体" w:cs="宋体"/>
          <w:color w:val="auto"/>
          <w:sz w:val="24"/>
          <w:highlight w:val="none"/>
        </w:rPr>
        <w:t xml:space="preserve">            </w:t>
      </w:r>
      <w:r>
        <w:rPr>
          <w:rFonts w:hint="eastAsia" w:ascii="宋体" w:hAnsi="宋体" w:cs="宋体"/>
          <w:color w:val="auto"/>
          <w:sz w:val="24"/>
          <w:highlight w:val="none"/>
        </w:rPr>
        <w:t>法定代表人或者委托代理人（签字）：</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p>
    <w:p w14:paraId="4DE6C332">
      <w:pPr>
        <w:spacing w:line="360" w:lineRule="auto"/>
        <w:ind w:firstLine="3240" w:firstLineChars="1350"/>
        <w:contextualSpacing/>
        <w:rPr>
          <w:rFonts w:hint="eastAsia" w:ascii="宋体" w:hAnsi="宋体" w:cs="宋体"/>
          <w:color w:val="auto"/>
          <w:sz w:val="24"/>
          <w:highlight w:val="none"/>
        </w:rPr>
      </w:pPr>
      <w:r>
        <w:rPr>
          <w:rFonts w:hint="eastAsia" w:ascii="宋体" w:hAnsi="宋体" w:cs="宋体"/>
          <w:color w:val="auto"/>
          <w:sz w:val="24"/>
          <w:highlight w:val="none"/>
        </w:rPr>
        <w:t>供应商（公章）：</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7B790D1A">
      <w:pPr>
        <w:spacing w:line="360" w:lineRule="auto"/>
        <w:ind w:firstLine="3240" w:firstLineChars="1350"/>
        <w:contextualSpacing/>
        <w:rPr>
          <w:rFonts w:hint="eastAsia" w:ascii="宋体" w:hAnsi="宋体" w:cs="宋体"/>
          <w:color w:val="auto"/>
          <w:szCs w:val="21"/>
          <w:highlight w:val="none"/>
          <w:u w:val="single"/>
        </w:rPr>
      </w:pPr>
      <w:r>
        <w:rPr>
          <w:rFonts w:hint="eastAsia" w:ascii="宋体" w:hAnsi="宋体" w:cs="宋体"/>
          <w:color w:val="auto"/>
          <w:sz w:val="24"/>
          <w:highlight w:val="none"/>
        </w:rPr>
        <w:t>日期：</w:t>
      </w:r>
      <w:r>
        <w:rPr>
          <w:rFonts w:hint="eastAsia" w:cs="宋体" w:asciiTheme="minorEastAsia" w:hAnsiTheme="minorEastAsia" w:eastAsiaTheme="minorEastAsia"/>
          <w:color w:val="auto"/>
          <w:spacing w:val="20"/>
          <w:sz w:val="24"/>
          <w:highlight w:val="none"/>
          <w:u w:val="single"/>
        </w:rPr>
        <w:t xml:space="preserve"> </w:t>
      </w:r>
      <w:r>
        <w:rPr>
          <w:rFonts w:cs="宋体" w:asciiTheme="minorEastAsia" w:hAnsiTheme="minorEastAsia" w:eastAsiaTheme="minorEastAsia"/>
          <w:color w:val="auto"/>
          <w:spacing w:val="20"/>
          <w:sz w:val="24"/>
          <w:highlight w:val="none"/>
          <w:u w:val="single"/>
        </w:rPr>
        <w:t xml:space="preserve">  </w:t>
      </w:r>
      <w:r>
        <w:rPr>
          <w:rFonts w:hint="eastAsia" w:cs="宋体" w:asciiTheme="minorEastAsia" w:hAnsiTheme="minorEastAsia" w:eastAsiaTheme="minorEastAsia"/>
          <w:color w:val="auto"/>
          <w:spacing w:val="20"/>
          <w:sz w:val="24"/>
          <w:highlight w:val="none"/>
          <w:u w:val="single"/>
        </w:rPr>
        <w:t xml:space="preserve">  </w:t>
      </w:r>
      <w:r>
        <w:rPr>
          <w:rFonts w:hint="eastAsia" w:cs="宋体" w:asciiTheme="minorEastAsia" w:hAnsiTheme="minorEastAsia" w:eastAsiaTheme="minorEastAsia"/>
          <w:color w:val="auto"/>
          <w:spacing w:val="20"/>
          <w:sz w:val="24"/>
          <w:highlight w:val="none"/>
        </w:rPr>
        <w:t>年</w:t>
      </w:r>
      <w:r>
        <w:rPr>
          <w:rFonts w:hint="eastAsia" w:cs="宋体" w:asciiTheme="minorEastAsia" w:hAnsiTheme="minorEastAsia" w:eastAsiaTheme="minorEastAsia"/>
          <w:color w:val="auto"/>
          <w:spacing w:val="20"/>
          <w:sz w:val="24"/>
          <w:highlight w:val="none"/>
          <w:u w:val="single"/>
        </w:rPr>
        <w:t xml:space="preserve">  </w:t>
      </w:r>
      <w:r>
        <w:rPr>
          <w:rFonts w:hint="eastAsia" w:cs="宋体" w:asciiTheme="minorEastAsia" w:hAnsiTheme="minorEastAsia" w:eastAsiaTheme="minorEastAsia"/>
          <w:color w:val="auto"/>
          <w:spacing w:val="20"/>
          <w:sz w:val="24"/>
          <w:highlight w:val="none"/>
        </w:rPr>
        <w:t>月</w:t>
      </w:r>
      <w:r>
        <w:rPr>
          <w:rFonts w:hint="eastAsia" w:cs="宋体" w:asciiTheme="minorEastAsia" w:hAnsiTheme="minorEastAsia" w:eastAsiaTheme="minorEastAsia"/>
          <w:color w:val="auto"/>
          <w:spacing w:val="20"/>
          <w:sz w:val="24"/>
          <w:highlight w:val="none"/>
          <w:u w:val="single"/>
        </w:rPr>
        <w:t xml:space="preserve">  </w:t>
      </w:r>
      <w:r>
        <w:rPr>
          <w:rFonts w:hint="eastAsia" w:cs="宋体" w:asciiTheme="minorEastAsia" w:hAnsiTheme="minorEastAsia" w:eastAsiaTheme="minorEastAsia"/>
          <w:color w:val="auto"/>
          <w:spacing w:val="20"/>
          <w:sz w:val="24"/>
          <w:highlight w:val="none"/>
        </w:rPr>
        <w:t>日</w:t>
      </w:r>
    </w:p>
    <w:p w14:paraId="6DF89368">
      <w:pPr>
        <w:adjustRightInd w:val="0"/>
        <w:snapToGrid w:val="0"/>
        <w:spacing w:line="360" w:lineRule="auto"/>
        <w:rPr>
          <w:rFonts w:hint="eastAsia" w:ascii="宋体" w:hAnsi="宋体" w:cs="宋体"/>
          <w:color w:val="auto"/>
          <w:szCs w:val="21"/>
          <w:highlight w:val="none"/>
          <w:u w:val="single"/>
        </w:rPr>
      </w:pPr>
    </w:p>
    <w:p w14:paraId="743BEB73">
      <w:pPr>
        <w:adjustRightInd w:val="0"/>
        <w:snapToGrid w:val="0"/>
        <w:spacing w:line="360" w:lineRule="auto"/>
        <w:rPr>
          <w:rFonts w:hint="eastAsia" w:ascii="宋体" w:hAnsi="宋体" w:cs="宋体"/>
          <w:color w:val="auto"/>
          <w:szCs w:val="21"/>
          <w:highlight w:val="none"/>
          <w:u w:val="single"/>
        </w:rPr>
      </w:pPr>
    </w:p>
    <w:p w14:paraId="39C47F8E">
      <w:pPr>
        <w:adjustRightInd w:val="0"/>
        <w:snapToGrid w:val="0"/>
        <w:spacing w:line="360" w:lineRule="auto"/>
        <w:rPr>
          <w:rFonts w:hint="eastAsia" w:ascii="宋体" w:hAnsi="宋体" w:cs="宋体"/>
          <w:color w:val="auto"/>
          <w:szCs w:val="21"/>
          <w:highlight w:val="none"/>
          <w:u w:val="single"/>
        </w:rPr>
      </w:pPr>
    </w:p>
    <w:p w14:paraId="425E5044">
      <w:pPr>
        <w:adjustRightInd w:val="0"/>
        <w:snapToGrid w:val="0"/>
        <w:spacing w:line="360" w:lineRule="auto"/>
        <w:rPr>
          <w:rFonts w:hint="eastAsia" w:ascii="宋体" w:hAnsi="宋体" w:cs="宋体"/>
          <w:color w:val="auto"/>
          <w:szCs w:val="21"/>
          <w:highlight w:val="none"/>
          <w:u w:val="single"/>
        </w:rPr>
      </w:pPr>
    </w:p>
    <w:p w14:paraId="373A06D6">
      <w:pPr>
        <w:adjustRightInd w:val="0"/>
        <w:snapToGrid w:val="0"/>
        <w:spacing w:line="360" w:lineRule="auto"/>
        <w:rPr>
          <w:rFonts w:hint="eastAsia" w:ascii="宋体" w:hAnsi="宋体" w:cs="宋体"/>
          <w:color w:val="auto"/>
          <w:szCs w:val="21"/>
          <w:highlight w:val="none"/>
          <w:u w:val="single"/>
        </w:rPr>
      </w:pPr>
    </w:p>
    <w:p w14:paraId="48251A2E">
      <w:pPr>
        <w:adjustRightInd w:val="0"/>
        <w:snapToGrid w:val="0"/>
        <w:spacing w:line="360" w:lineRule="auto"/>
        <w:jc w:val="center"/>
        <w:rPr>
          <w:rFonts w:hint="eastAsia" w:ascii="宋体" w:hAnsi="宋体" w:cs="宋体"/>
          <w:b/>
          <w:bCs/>
          <w:color w:val="auto"/>
          <w:sz w:val="44"/>
          <w:szCs w:val="44"/>
          <w:highlight w:val="none"/>
        </w:rPr>
      </w:pPr>
      <w:r>
        <w:rPr>
          <w:rFonts w:hint="eastAsia" w:ascii="宋体" w:hAnsi="宋体" w:cs="宋体"/>
          <w:bCs/>
          <w:color w:val="auto"/>
          <w:sz w:val="44"/>
          <w:szCs w:val="44"/>
          <w:highlight w:val="none"/>
        </w:rPr>
        <w:br w:type="page"/>
      </w:r>
      <w:r>
        <w:rPr>
          <w:rFonts w:hint="eastAsia" w:ascii="宋体" w:hAnsi="宋体" w:cs="宋体"/>
          <w:b/>
          <w:bCs/>
          <w:color w:val="auto"/>
          <w:sz w:val="44"/>
          <w:szCs w:val="44"/>
          <w:highlight w:val="none"/>
        </w:rPr>
        <w:t>技术要求偏离表</w:t>
      </w:r>
    </w:p>
    <w:p w14:paraId="526A39C4">
      <w:pPr>
        <w:spacing w:line="360" w:lineRule="auto"/>
        <w:rPr>
          <w:rFonts w:hint="eastAsia" w:ascii="宋体" w:hAnsi="宋体" w:cs="宋体"/>
          <w:color w:val="auto"/>
          <w:sz w:val="32"/>
          <w:szCs w:val="32"/>
          <w:highlight w:val="none"/>
        </w:rPr>
      </w:pPr>
      <w:r>
        <w:rPr>
          <w:rFonts w:hint="eastAsia" w:ascii="宋体" w:hAnsi="宋体" w:cs="宋体"/>
          <w:color w:val="auto"/>
          <w:sz w:val="24"/>
          <w:highlight w:val="none"/>
        </w:rPr>
        <w:t>采购项目名称：</w:t>
      </w:r>
      <w:r>
        <w:rPr>
          <w:rFonts w:hint="eastAsia" w:ascii="宋体" w:hAnsi="宋体" w:cs="宋体"/>
          <w:color w:val="auto"/>
          <w:sz w:val="24"/>
          <w:highlight w:val="none"/>
          <w:u w:val="single"/>
        </w:rPr>
        <w:t xml:space="preserve">                 </w:t>
      </w:r>
    </w:p>
    <w:p w14:paraId="6714A521">
      <w:pPr>
        <w:spacing w:line="360" w:lineRule="auto"/>
        <w:rPr>
          <w:rFonts w:hint="eastAsia" w:ascii="宋体" w:hAnsi="宋体" w:cs="宋体"/>
          <w:color w:val="auto"/>
          <w:sz w:val="24"/>
          <w:highlight w:val="none"/>
        </w:rPr>
      </w:pPr>
      <w:r>
        <w:rPr>
          <w:rFonts w:hint="eastAsia" w:ascii="宋体" w:hAnsi="宋体" w:cs="宋体"/>
          <w:color w:val="auto"/>
          <w:sz w:val="24"/>
          <w:highlight w:val="none"/>
        </w:rPr>
        <w:t>采购项目编号：</w:t>
      </w:r>
      <w:r>
        <w:rPr>
          <w:rFonts w:hint="eastAsia" w:ascii="宋体" w:hAnsi="宋体" w:cs="宋体"/>
          <w:color w:val="auto"/>
          <w:sz w:val="24"/>
          <w:highlight w:val="none"/>
          <w:u w:val="single"/>
        </w:rPr>
        <w:t xml:space="preserve">                 </w:t>
      </w:r>
    </w:p>
    <w:p w14:paraId="1E0FDF4C">
      <w:pPr>
        <w:spacing w:line="360" w:lineRule="auto"/>
        <w:rPr>
          <w:rFonts w:hint="eastAsia" w:ascii="宋体" w:hAnsi="宋体" w:cs="宋体"/>
          <w:color w:val="auto"/>
          <w:sz w:val="24"/>
          <w:highlight w:val="none"/>
          <w:u w:val="single"/>
        </w:rPr>
      </w:pPr>
      <w:r>
        <w:rPr>
          <w:rFonts w:hint="eastAsia" w:ascii="宋体" w:hAnsi="宋体" w:cs="宋体"/>
          <w:color w:val="auto"/>
          <w:sz w:val="24"/>
          <w:highlight w:val="none"/>
        </w:rPr>
        <w:t>分标号：</w:t>
      </w:r>
      <w:r>
        <w:rPr>
          <w:rFonts w:hint="eastAsia" w:ascii="宋体" w:hAnsi="宋体" w:cs="宋体"/>
          <w:color w:val="auto"/>
          <w:sz w:val="24"/>
          <w:highlight w:val="none"/>
          <w:u w:val="single"/>
        </w:rPr>
        <w:t xml:space="preserve">                       </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910"/>
        <w:gridCol w:w="910"/>
        <w:gridCol w:w="3028"/>
        <w:gridCol w:w="2725"/>
        <w:gridCol w:w="1488"/>
      </w:tblGrid>
      <w:tr w14:paraId="1836000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2" w:type="pct"/>
            <w:vAlign w:val="center"/>
          </w:tcPr>
          <w:p w14:paraId="61F62732">
            <w:pPr>
              <w:pStyle w:val="11"/>
              <w:spacing w:line="500" w:lineRule="exact"/>
              <w:ind w:firstLine="0" w:firstLineChars="0"/>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序号</w:t>
            </w:r>
          </w:p>
        </w:tc>
        <w:tc>
          <w:tcPr>
            <w:tcW w:w="502" w:type="pct"/>
            <w:tcBorders>
              <w:right w:val="single" w:color="auto" w:sz="4" w:space="0"/>
            </w:tcBorders>
            <w:vAlign w:val="center"/>
          </w:tcPr>
          <w:p w14:paraId="3B4A9908">
            <w:pPr>
              <w:pStyle w:val="11"/>
              <w:spacing w:line="500" w:lineRule="exact"/>
              <w:ind w:firstLine="0" w:firstLineChars="0"/>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货物名称</w:t>
            </w:r>
          </w:p>
        </w:tc>
        <w:tc>
          <w:tcPr>
            <w:tcW w:w="1670" w:type="pct"/>
            <w:tcBorders>
              <w:left w:val="single" w:color="auto" w:sz="4" w:space="0"/>
            </w:tcBorders>
            <w:vAlign w:val="center"/>
          </w:tcPr>
          <w:p w14:paraId="37DDA904">
            <w:pPr>
              <w:pStyle w:val="11"/>
              <w:spacing w:line="500" w:lineRule="exact"/>
              <w:ind w:firstLine="0" w:firstLineChars="0"/>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技术要求</w:t>
            </w:r>
          </w:p>
        </w:tc>
        <w:tc>
          <w:tcPr>
            <w:tcW w:w="1503" w:type="pct"/>
            <w:vAlign w:val="center"/>
          </w:tcPr>
          <w:p w14:paraId="4DA9C183">
            <w:pPr>
              <w:pStyle w:val="11"/>
              <w:spacing w:line="500" w:lineRule="exact"/>
              <w:ind w:firstLine="0" w:firstLineChars="0"/>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竞争性谈判响应</w:t>
            </w:r>
          </w:p>
        </w:tc>
        <w:tc>
          <w:tcPr>
            <w:tcW w:w="820" w:type="pct"/>
            <w:vAlign w:val="center"/>
          </w:tcPr>
          <w:p w14:paraId="0471AE3D">
            <w:pPr>
              <w:pStyle w:val="11"/>
              <w:spacing w:line="500" w:lineRule="exact"/>
              <w:ind w:firstLine="0" w:firstLineChars="0"/>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偏离说明</w:t>
            </w:r>
          </w:p>
        </w:tc>
      </w:tr>
      <w:tr w14:paraId="6D1D310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2" w:type="pct"/>
            <w:vAlign w:val="center"/>
          </w:tcPr>
          <w:p w14:paraId="6AAACF6C">
            <w:pPr>
              <w:pStyle w:val="11"/>
              <w:spacing w:line="500" w:lineRule="exact"/>
              <w:ind w:firstLine="0" w:firstLineChars="0"/>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1</w:t>
            </w:r>
          </w:p>
        </w:tc>
        <w:tc>
          <w:tcPr>
            <w:tcW w:w="502" w:type="pct"/>
            <w:tcBorders>
              <w:right w:val="single" w:color="auto" w:sz="4" w:space="0"/>
            </w:tcBorders>
            <w:vAlign w:val="center"/>
          </w:tcPr>
          <w:p w14:paraId="35E450C1">
            <w:pPr>
              <w:pStyle w:val="11"/>
              <w:spacing w:line="500" w:lineRule="exact"/>
              <w:ind w:firstLine="0" w:firstLineChars="0"/>
              <w:jc w:val="center"/>
              <w:rPr>
                <w:rFonts w:hint="eastAsia" w:ascii="宋体" w:hAnsi="宋体" w:eastAsia="宋体" w:cs="宋体"/>
                <w:color w:val="auto"/>
                <w:kern w:val="2"/>
                <w:sz w:val="24"/>
                <w:szCs w:val="24"/>
                <w:highlight w:val="none"/>
              </w:rPr>
            </w:pPr>
          </w:p>
        </w:tc>
        <w:tc>
          <w:tcPr>
            <w:tcW w:w="1670" w:type="pct"/>
            <w:tcBorders>
              <w:left w:val="single" w:color="auto" w:sz="4" w:space="0"/>
            </w:tcBorders>
            <w:vAlign w:val="center"/>
          </w:tcPr>
          <w:p w14:paraId="12FAD2E2">
            <w:pPr>
              <w:pStyle w:val="11"/>
              <w:spacing w:line="500" w:lineRule="exact"/>
              <w:ind w:firstLine="0" w:firstLineChars="0"/>
              <w:jc w:val="center"/>
              <w:rPr>
                <w:rFonts w:hint="eastAsia" w:ascii="宋体" w:hAnsi="宋体" w:eastAsia="宋体" w:cs="宋体"/>
                <w:color w:val="auto"/>
                <w:kern w:val="2"/>
                <w:sz w:val="24"/>
                <w:szCs w:val="24"/>
                <w:highlight w:val="none"/>
              </w:rPr>
            </w:pPr>
          </w:p>
        </w:tc>
        <w:tc>
          <w:tcPr>
            <w:tcW w:w="1503" w:type="pct"/>
            <w:vAlign w:val="center"/>
          </w:tcPr>
          <w:p w14:paraId="3B78E89E">
            <w:pPr>
              <w:pStyle w:val="11"/>
              <w:spacing w:line="500" w:lineRule="exact"/>
              <w:ind w:firstLine="0" w:firstLineChars="0"/>
              <w:jc w:val="center"/>
              <w:rPr>
                <w:rFonts w:hint="eastAsia" w:ascii="宋体" w:hAnsi="宋体" w:eastAsia="宋体" w:cs="宋体"/>
                <w:color w:val="auto"/>
                <w:kern w:val="2"/>
                <w:sz w:val="24"/>
                <w:szCs w:val="24"/>
                <w:highlight w:val="none"/>
              </w:rPr>
            </w:pPr>
          </w:p>
        </w:tc>
        <w:tc>
          <w:tcPr>
            <w:tcW w:w="820" w:type="pct"/>
            <w:vAlign w:val="center"/>
          </w:tcPr>
          <w:p w14:paraId="2880B7F0">
            <w:pPr>
              <w:pStyle w:val="11"/>
              <w:spacing w:line="500" w:lineRule="exact"/>
              <w:ind w:firstLine="0" w:firstLineChars="0"/>
              <w:jc w:val="center"/>
              <w:rPr>
                <w:rFonts w:hint="eastAsia" w:ascii="宋体" w:hAnsi="宋体" w:eastAsia="宋体" w:cs="宋体"/>
                <w:color w:val="auto"/>
                <w:kern w:val="2"/>
                <w:sz w:val="24"/>
                <w:szCs w:val="24"/>
                <w:highlight w:val="none"/>
              </w:rPr>
            </w:pPr>
          </w:p>
        </w:tc>
      </w:tr>
      <w:tr w14:paraId="09B86FD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2" w:type="pct"/>
            <w:vAlign w:val="center"/>
          </w:tcPr>
          <w:p w14:paraId="13EFA8C6">
            <w:pPr>
              <w:pStyle w:val="11"/>
              <w:spacing w:line="500" w:lineRule="exact"/>
              <w:ind w:firstLine="0" w:firstLineChars="0"/>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2</w:t>
            </w:r>
          </w:p>
        </w:tc>
        <w:tc>
          <w:tcPr>
            <w:tcW w:w="502" w:type="pct"/>
            <w:tcBorders>
              <w:right w:val="single" w:color="auto" w:sz="4" w:space="0"/>
            </w:tcBorders>
            <w:vAlign w:val="center"/>
          </w:tcPr>
          <w:p w14:paraId="6C2A80E1">
            <w:pPr>
              <w:pStyle w:val="11"/>
              <w:spacing w:line="500" w:lineRule="exact"/>
              <w:ind w:firstLine="0" w:firstLineChars="0"/>
              <w:jc w:val="center"/>
              <w:rPr>
                <w:rFonts w:hint="eastAsia" w:ascii="宋体" w:hAnsi="宋体" w:eastAsia="宋体" w:cs="宋体"/>
                <w:color w:val="auto"/>
                <w:kern w:val="2"/>
                <w:sz w:val="24"/>
                <w:szCs w:val="24"/>
                <w:highlight w:val="none"/>
              </w:rPr>
            </w:pPr>
          </w:p>
        </w:tc>
        <w:tc>
          <w:tcPr>
            <w:tcW w:w="1670" w:type="pct"/>
            <w:tcBorders>
              <w:left w:val="single" w:color="auto" w:sz="4" w:space="0"/>
            </w:tcBorders>
            <w:vAlign w:val="center"/>
          </w:tcPr>
          <w:p w14:paraId="359F267C">
            <w:pPr>
              <w:pStyle w:val="11"/>
              <w:spacing w:line="500" w:lineRule="exact"/>
              <w:ind w:firstLine="0" w:firstLineChars="0"/>
              <w:jc w:val="center"/>
              <w:rPr>
                <w:rFonts w:hint="eastAsia" w:ascii="宋体" w:hAnsi="宋体" w:eastAsia="宋体" w:cs="宋体"/>
                <w:color w:val="auto"/>
                <w:kern w:val="2"/>
                <w:sz w:val="24"/>
                <w:szCs w:val="24"/>
                <w:highlight w:val="none"/>
              </w:rPr>
            </w:pPr>
          </w:p>
        </w:tc>
        <w:tc>
          <w:tcPr>
            <w:tcW w:w="1503" w:type="pct"/>
            <w:vAlign w:val="center"/>
          </w:tcPr>
          <w:p w14:paraId="35942882">
            <w:pPr>
              <w:pStyle w:val="11"/>
              <w:spacing w:line="500" w:lineRule="exact"/>
              <w:ind w:firstLine="0" w:firstLineChars="0"/>
              <w:jc w:val="center"/>
              <w:rPr>
                <w:rFonts w:hint="eastAsia" w:ascii="宋体" w:hAnsi="宋体" w:eastAsia="宋体" w:cs="宋体"/>
                <w:color w:val="auto"/>
                <w:kern w:val="2"/>
                <w:sz w:val="24"/>
                <w:szCs w:val="24"/>
                <w:highlight w:val="none"/>
              </w:rPr>
            </w:pPr>
          </w:p>
        </w:tc>
        <w:tc>
          <w:tcPr>
            <w:tcW w:w="820" w:type="pct"/>
            <w:vAlign w:val="center"/>
          </w:tcPr>
          <w:p w14:paraId="0FE2C551">
            <w:pPr>
              <w:pStyle w:val="11"/>
              <w:spacing w:line="500" w:lineRule="exact"/>
              <w:ind w:firstLine="0" w:firstLineChars="0"/>
              <w:jc w:val="center"/>
              <w:rPr>
                <w:rFonts w:hint="eastAsia" w:ascii="宋体" w:hAnsi="宋体" w:eastAsia="宋体" w:cs="宋体"/>
                <w:color w:val="auto"/>
                <w:kern w:val="2"/>
                <w:sz w:val="24"/>
                <w:szCs w:val="24"/>
                <w:highlight w:val="none"/>
              </w:rPr>
            </w:pPr>
          </w:p>
        </w:tc>
      </w:tr>
      <w:tr w14:paraId="78DE4E0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2" w:type="pct"/>
            <w:vAlign w:val="center"/>
          </w:tcPr>
          <w:p w14:paraId="03A78CE3">
            <w:pPr>
              <w:pStyle w:val="11"/>
              <w:spacing w:line="500" w:lineRule="exact"/>
              <w:ind w:firstLine="0" w:firstLineChars="0"/>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3</w:t>
            </w:r>
          </w:p>
        </w:tc>
        <w:tc>
          <w:tcPr>
            <w:tcW w:w="502" w:type="pct"/>
            <w:tcBorders>
              <w:right w:val="single" w:color="auto" w:sz="4" w:space="0"/>
            </w:tcBorders>
            <w:vAlign w:val="center"/>
          </w:tcPr>
          <w:p w14:paraId="4DD484A8">
            <w:pPr>
              <w:pStyle w:val="11"/>
              <w:spacing w:line="500" w:lineRule="exact"/>
              <w:ind w:firstLine="0" w:firstLineChars="0"/>
              <w:jc w:val="center"/>
              <w:rPr>
                <w:rFonts w:hint="eastAsia" w:ascii="宋体" w:hAnsi="宋体" w:eastAsia="宋体" w:cs="宋体"/>
                <w:color w:val="auto"/>
                <w:kern w:val="2"/>
                <w:sz w:val="24"/>
                <w:szCs w:val="24"/>
                <w:highlight w:val="none"/>
              </w:rPr>
            </w:pPr>
          </w:p>
        </w:tc>
        <w:tc>
          <w:tcPr>
            <w:tcW w:w="1670" w:type="pct"/>
            <w:tcBorders>
              <w:left w:val="single" w:color="auto" w:sz="4" w:space="0"/>
            </w:tcBorders>
            <w:vAlign w:val="center"/>
          </w:tcPr>
          <w:p w14:paraId="6CF1F09A">
            <w:pPr>
              <w:pStyle w:val="11"/>
              <w:spacing w:line="500" w:lineRule="exact"/>
              <w:ind w:firstLine="0" w:firstLineChars="0"/>
              <w:jc w:val="center"/>
              <w:rPr>
                <w:rFonts w:hint="eastAsia" w:ascii="宋体" w:hAnsi="宋体" w:eastAsia="宋体" w:cs="宋体"/>
                <w:color w:val="auto"/>
                <w:kern w:val="2"/>
                <w:sz w:val="24"/>
                <w:szCs w:val="24"/>
                <w:highlight w:val="none"/>
              </w:rPr>
            </w:pPr>
          </w:p>
        </w:tc>
        <w:tc>
          <w:tcPr>
            <w:tcW w:w="1503" w:type="pct"/>
            <w:vAlign w:val="center"/>
          </w:tcPr>
          <w:p w14:paraId="18A84067">
            <w:pPr>
              <w:pStyle w:val="11"/>
              <w:spacing w:line="500" w:lineRule="exact"/>
              <w:ind w:firstLine="0" w:firstLineChars="0"/>
              <w:jc w:val="center"/>
              <w:rPr>
                <w:rFonts w:hint="eastAsia" w:ascii="宋体" w:hAnsi="宋体" w:eastAsia="宋体" w:cs="宋体"/>
                <w:color w:val="auto"/>
                <w:kern w:val="2"/>
                <w:sz w:val="24"/>
                <w:szCs w:val="24"/>
                <w:highlight w:val="none"/>
              </w:rPr>
            </w:pPr>
          </w:p>
        </w:tc>
        <w:tc>
          <w:tcPr>
            <w:tcW w:w="820" w:type="pct"/>
            <w:vAlign w:val="center"/>
          </w:tcPr>
          <w:p w14:paraId="09BB7E05">
            <w:pPr>
              <w:pStyle w:val="11"/>
              <w:spacing w:line="500" w:lineRule="exact"/>
              <w:ind w:firstLine="0" w:firstLineChars="0"/>
              <w:jc w:val="center"/>
              <w:rPr>
                <w:rFonts w:hint="eastAsia" w:ascii="宋体" w:hAnsi="宋体" w:eastAsia="宋体" w:cs="宋体"/>
                <w:color w:val="auto"/>
                <w:kern w:val="2"/>
                <w:sz w:val="24"/>
                <w:szCs w:val="24"/>
                <w:highlight w:val="none"/>
              </w:rPr>
            </w:pPr>
          </w:p>
        </w:tc>
      </w:tr>
      <w:tr w14:paraId="441F52B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502" w:type="pct"/>
            <w:vAlign w:val="center"/>
          </w:tcPr>
          <w:p w14:paraId="03650019">
            <w:pPr>
              <w:pStyle w:val="11"/>
              <w:spacing w:line="500" w:lineRule="exact"/>
              <w:ind w:firstLine="0" w:firstLineChars="0"/>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w:t>
            </w:r>
          </w:p>
        </w:tc>
        <w:tc>
          <w:tcPr>
            <w:tcW w:w="502" w:type="pct"/>
            <w:tcBorders>
              <w:right w:val="single" w:color="auto" w:sz="4" w:space="0"/>
            </w:tcBorders>
            <w:vAlign w:val="center"/>
          </w:tcPr>
          <w:p w14:paraId="54C17B8C">
            <w:pPr>
              <w:pStyle w:val="11"/>
              <w:spacing w:line="500" w:lineRule="exact"/>
              <w:ind w:firstLine="0" w:firstLineChars="0"/>
              <w:jc w:val="center"/>
              <w:rPr>
                <w:rFonts w:hint="eastAsia" w:ascii="宋体" w:hAnsi="宋体" w:eastAsia="宋体" w:cs="宋体"/>
                <w:color w:val="auto"/>
                <w:kern w:val="2"/>
                <w:sz w:val="24"/>
                <w:szCs w:val="24"/>
                <w:highlight w:val="none"/>
              </w:rPr>
            </w:pPr>
          </w:p>
        </w:tc>
        <w:tc>
          <w:tcPr>
            <w:tcW w:w="1670" w:type="pct"/>
            <w:tcBorders>
              <w:left w:val="single" w:color="auto" w:sz="4" w:space="0"/>
            </w:tcBorders>
            <w:vAlign w:val="center"/>
          </w:tcPr>
          <w:p w14:paraId="1DAD9A1B">
            <w:pPr>
              <w:pStyle w:val="11"/>
              <w:spacing w:line="500" w:lineRule="exact"/>
              <w:ind w:firstLine="0" w:firstLineChars="0"/>
              <w:jc w:val="center"/>
              <w:rPr>
                <w:rFonts w:hint="eastAsia" w:ascii="宋体" w:hAnsi="宋体" w:eastAsia="宋体" w:cs="宋体"/>
                <w:color w:val="auto"/>
                <w:kern w:val="2"/>
                <w:sz w:val="24"/>
                <w:szCs w:val="24"/>
                <w:highlight w:val="none"/>
              </w:rPr>
            </w:pPr>
          </w:p>
        </w:tc>
        <w:tc>
          <w:tcPr>
            <w:tcW w:w="1503" w:type="pct"/>
            <w:vAlign w:val="center"/>
          </w:tcPr>
          <w:p w14:paraId="27FDB508">
            <w:pPr>
              <w:pStyle w:val="11"/>
              <w:spacing w:line="500" w:lineRule="exact"/>
              <w:ind w:firstLine="0" w:firstLineChars="0"/>
              <w:jc w:val="center"/>
              <w:rPr>
                <w:rFonts w:hint="eastAsia" w:ascii="宋体" w:hAnsi="宋体" w:eastAsia="宋体" w:cs="宋体"/>
                <w:color w:val="auto"/>
                <w:kern w:val="2"/>
                <w:sz w:val="24"/>
                <w:szCs w:val="24"/>
                <w:highlight w:val="none"/>
              </w:rPr>
            </w:pPr>
          </w:p>
        </w:tc>
        <w:tc>
          <w:tcPr>
            <w:tcW w:w="820" w:type="pct"/>
            <w:tcBorders>
              <w:right w:val="single" w:color="auto" w:sz="4" w:space="0"/>
            </w:tcBorders>
            <w:vAlign w:val="center"/>
          </w:tcPr>
          <w:p w14:paraId="4B16C8BA">
            <w:pPr>
              <w:pStyle w:val="11"/>
              <w:spacing w:line="500" w:lineRule="exact"/>
              <w:ind w:firstLine="0" w:firstLineChars="0"/>
              <w:jc w:val="center"/>
              <w:rPr>
                <w:rFonts w:hint="eastAsia" w:ascii="宋体" w:hAnsi="宋体" w:eastAsia="宋体" w:cs="宋体"/>
                <w:color w:val="auto"/>
                <w:kern w:val="2"/>
                <w:sz w:val="24"/>
                <w:szCs w:val="24"/>
                <w:highlight w:val="none"/>
              </w:rPr>
            </w:pPr>
          </w:p>
        </w:tc>
      </w:tr>
    </w:tbl>
    <w:p w14:paraId="00B5642B">
      <w:pPr>
        <w:pStyle w:val="11"/>
        <w:spacing w:line="360" w:lineRule="auto"/>
        <w:ind w:firstLine="0" w:firstLineChars="0"/>
        <w:contextualSpacing/>
        <w:rPr>
          <w:rFonts w:hint="eastAsia" w:ascii="楷体" w:hAnsi="楷体" w:eastAsia="楷体" w:cs="宋体"/>
          <w:b/>
          <w:color w:val="auto"/>
          <w:sz w:val="24"/>
          <w:szCs w:val="24"/>
          <w:highlight w:val="none"/>
        </w:rPr>
      </w:pPr>
      <w:r>
        <w:rPr>
          <w:rFonts w:hint="eastAsia" w:ascii="楷体" w:hAnsi="楷体" w:eastAsia="楷体" w:cs="宋体"/>
          <w:b/>
          <w:color w:val="auto"/>
          <w:sz w:val="24"/>
          <w:szCs w:val="24"/>
          <w:highlight w:val="none"/>
        </w:rPr>
        <w:t>注：</w:t>
      </w:r>
    </w:p>
    <w:p w14:paraId="49D07ABF">
      <w:pPr>
        <w:pStyle w:val="11"/>
        <w:spacing w:line="360" w:lineRule="auto"/>
        <w:ind w:firstLine="480" w:firstLineChars="200"/>
        <w:contextualSpacing/>
        <w:rPr>
          <w:rFonts w:hint="eastAsia" w:ascii="楷体" w:hAnsi="楷体" w:eastAsia="楷体" w:cs="宋体"/>
          <w:color w:val="auto"/>
          <w:sz w:val="24"/>
          <w:szCs w:val="24"/>
          <w:highlight w:val="none"/>
        </w:rPr>
      </w:pPr>
      <w:r>
        <w:rPr>
          <w:rFonts w:ascii="楷体" w:hAnsi="楷体" w:eastAsia="楷体" w:cs="宋体"/>
          <w:color w:val="auto"/>
          <w:sz w:val="24"/>
          <w:szCs w:val="24"/>
          <w:highlight w:val="none"/>
        </w:rPr>
        <w:t>1.</w:t>
      </w:r>
      <w:r>
        <w:rPr>
          <w:rFonts w:hint="eastAsia" w:ascii="楷体" w:hAnsi="楷体" w:eastAsia="楷体" w:cs="宋体"/>
          <w:color w:val="auto"/>
          <w:sz w:val="24"/>
          <w:szCs w:val="24"/>
          <w:highlight w:val="none"/>
        </w:rPr>
        <w:t>说明：应对照谈判文件“第三章</w:t>
      </w:r>
      <w:r>
        <w:rPr>
          <w:rFonts w:ascii="楷体" w:hAnsi="楷体" w:eastAsia="楷体" w:cs="宋体"/>
          <w:color w:val="auto"/>
          <w:sz w:val="24"/>
          <w:szCs w:val="24"/>
          <w:highlight w:val="none"/>
        </w:rPr>
        <w:t xml:space="preserve"> </w:t>
      </w:r>
      <w:r>
        <w:rPr>
          <w:rFonts w:hint="eastAsia" w:ascii="楷体" w:hAnsi="楷体" w:eastAsia="楷体" w:cs="宋体"/>
          <w:color w:val="auto"/>
          <w:sz w:val="24"/>
          <w:szCs w:val="24"/>
          <w:highlight w:val="none"/>
        </w:rPr>
        <w:t>采购需求”中的技术要求逐条实质性响应，并作出偏离说明。</w:t>
      </w:r>
    </w:p>
    <w:p w14:paraId="5E01C2E9">
      <w:pPr>
        <w:pStyle w:val="11"/>
        <w:spacing w:line="360" w:lineRule="auto"/>
        <w:ind w:firstLine="480" w:firstLineChars="200"/>
        <w:contextualSpacing/>
        <w:rPr>
          <w:rFonts w:hint="eastAsia" w:ascii="楷体" w:hAnsi="楷体" w:eastAsia="楷体" w:cs="宋体"/>
          <w:color w:val="auto"/>
          <w:sz w:val="24"/>
          <w:szCs w:val="24"/>
          <w:highlight w:val="none"/>
        </w:rPr>
      </w:pPr>
      <w:r>
        <w:rPr>
          <w:rFonts w:ascii="楷体" w:hAnsi="楷体" w:eastAsia="楷体" w:cs="宋体"/>
          <w:color w:val="auto"/>
          <w:sz w:val="24"/>
          <w:szCs w:val="24"/>
          <w:highlight w:val="none"/>
        </w:rPr>
        <w:t>2.供应商应根据</w:t>
      </w:r>
      <w:r>
        <w:rPr>
          <w:rFonts w:hint="eastAsia" w:ascii="楷体" w:hAnsi="楷体" w:eastAsia="楷体" w:cs="宋体"/>
          <w:color w:val="auto"/>
          <w:sz w:val="24"/>
          <w:szCs w:val="24"/>
          <w:highlight w:val="none"/>
        </w:rPr>
        <w:t>其参与</w:t>
      </w:r>
      <w:r>
        <w:rPr>
          <w:rFonts w:hint="eastAsia" w:ascii="楷体" w:hAnsi="楷体" w:eastAsia="楷体" w:cs="宋体"/>
          <w:color w:val="auto"/>
          <w:sz w:val="24"/>
          <w:highlight w:val="none"/>
          <w:lang w:bidi="ar"/>
        </w:rPr>
        <w:t>竞争性谈判</w:t>
      </w:r>
      <w:r>
        <w:rPr>
          <w:rFonts w:hint="eastAsia" w:ascii="楷体" w:hAnsi="楷体" w:eastAsia="楷体" w:cs="宋体"/>
          <w:color w:val="auto"/>
          <w:sz w:val="24"/>
          <w:szCs w:val="24"/>
          <w:highlight w:val="none"/>
        </w:rPr>
        <w:t>设备的性能指标，对照谈判文件要求，在“偏离说明”中注明“正偏离”、“负偏离”或者“无偏离”。既不属于“正偏离”也不属于“负偏离”即为“无偏离”。</w:t>
      </w:r>
    </w:p>
    <w:p w14:paraId="049F3B91">
      <w:pPr>
        <w:pStyle w:val="11"/>
        <w:spacing w:line="360" w:lineRule="auto"/>
        <w:ind w:firstLine="480" w:firstLineChars="200"/>
        <w:contextualSpacing/>
        <w:rPr>
          <w:rFonts w:hint="eastAsia" w:ascii="楷体" w:hAnsi="楷体" w:eastAsia="楷体" w:cs="宋体"/>
          <w:color w:val="auto"/>
          <w:sz w:val="24"/>
          <w:szCs w:val="24"/>
          <w:highlight w:val="none"/>
        </w:rPr>
      </w:pPr>
      <w:r>
        <w:rPr>
          <w:rFonts w:ascii="楷体" w:hAnsi="楷体" w:eastAsia="楷体" w:cs="宋体"/>
          <w:color w:val="auto"/>
          <w:sz w:val="24"/>
          <w:szCs w:val="24"/>
          <w:highlight w:val="none"/>
        </w:rPr>
        <w:t>3.供应商认为其</w:t>
      </w:r>
      <w:r>
        <w:rPr>
          <w:rFonts w:hint="eastAsia" w:ascii="楷体" w:hAnsi="楷体" w:eastAsia="楷体" w:cs="宋体"/>
          <w:color w:val="auto"/>
          <w:sz w:val="24"/>
          <w:highlight w:val="none"/>
          <w:lang w:bidi="ar"/>
        </w:rPr>
        <w:t>竞争性谈判</w:t>
      </w:r>
      <w:r>
        <w:rPr>
          <w:rFonts w:hint="eastAsia" w:ascii="楷体" w:hAnsi="楷体" w:eastAsia="楷体" w:cs="宋体"/>
          <w:color w:val="auto"/>
          <w:sz w:val="24"/>
          <w:szCs w:val="24"/>
          <w:highlight w:val="none"/>
        </w:rPr>
        <w:t>响应有正偏离的，请在技术偏离表中列明，且在响应文件中提供参与</w:t>
      </w:r>
      <w:r>
        <w:rPr>
          <w:rFonts w:hint="eastAsia" w:ascii="楷体" w:hAnsi="楷体" w:eastAsia="楷体" w:cs="宋体"/>
          <w:color w:val="auto"/>
          <w:sz w:val="24"/>
          <w:highlight w:val="none"/>
          <w:lang w:bidi="ar"/>
        </w:rPr>
        <w:t>竞争性谈判</w:t>
      </w:r>
      <w:r>
        <w:rPr>
          <w:rFonts w:hint="eastAsia" w:ascii="楷体" w:hAnsi="楷体" w:eastAsia="楷体" w:cs="宋体"/>
          <w:color w:val="auto"/>
          <w:sz w:val="24"/>
          <w:szCs w:val="24"/>
          <w:highlight w:val="none"/>
        </w:rPr>
        <w:t>产品的彩页或国家认可有资质的第三方检测机构出具的检测报告复印件或产品生产厂家出具的技术参数说明证明作为佐证，以上佐证材料均需加盖生产厂家或代理商（附生产厂家授权资料）公章。</w:t>
      </w:r>
    </w:p>
    <w:p w14:paraId="6BBCD1C3">
      <w:pPr>
        <w:pStyle w:val="11"/>
        <w:spacing w:line="360" w:lineRule="auto"/>
        <w:ind w:firstLine="480" w:firstLineChars="200"/>
        <w:contextualSpacing/>
        <w:rPr>
          <w:rFonts w:hint="eastAsia" w:ascii="楷体" w:hAnsi="楷体" w:eastAsia="楷体" w:cs="宋体"/>
          <w:color w:val="auto"/>
          <w:sz w:val="24"/>
          <w:szCs w:val="24"/>
          <w:highlight w:val="none"/>
        </w:rPr>
      </w:pPr>
      <w:r>
        <w:rPr>
          <w:rFonts w:ascii="楷体" w:hAnsi="楷体" w:eastAsia="楷体" w:cs="宋体"/>
          <w:color w:val="auto"/>
          <w:sz w:val="24"/>
          <w:szCs w:val="24"/>
          <w:highlight w:val="none"/>
        </w:rPr>
        <w:t>4.</w:t>
      </w:r>
      <w:r>
        <w:rPr>
          <w:rFonts w:hint="eastAsia" w:ascii="楷体" w:hAnsi="楷体" w:eastAsia="楷体" w:cs="宋体"/>
          <w:color w:val="auto"/>
          <w:sz w:val="24"/>
          <w:szCs w:val="24"/>
          <w:highlight w:val="none"/>
        </w:rPr>
        <w:t>如技术偏离表中的</w:t>
      </w:r>
      <w:r>
        <w:rPr>
          <w:rFonts w:hint="eastAsia" w:ascii="楷体" w:hAnsi="楷体" w:eastAsia="楷体" w:cs="宋体"/>
          <w:color w:val="auto"/>
          <w:sz w:val="24"/>
          <w:highlight w:val="none"/>
          <w:lang w:bidi="ar"/>
        </w:rPr>
        <w:t>竞争性谈判</w:t>
      </w:r>
      <w:r>
        <w:rPr>
          <w:rFonts w:hint="eastAsia" w:ascii="楷体" w:hAnsi="楷体" w:eastAsia="楷体" w:cs="宋体"/>
          <w:color w:val="auto"/>
          <w:sz w:val="24"/>
          <w:szCs w:val="24"/>
          <w:highlight w:val="none"/>
        </w:rPr>
        <w:t>响应与佐证材料不一致的，以佐证材料为准。</w:t>
      </w:r>
    </w:p>
    <w:p w14:paraId="45C8067F">
      <w:pPr>
        <w:pStyle w:val="11"/>
        <w:spacing w:line="360" w:lineRule="auto"/>
        <w:ind w:firstLine="0" w:firstLineChars="0"/>
        <w:contextualSpacing/>
        <w:rPr>
          <w:rFonts w:hint="eastAsia" w:ascii="宋体" w:hAnsi="宋体" w:eastAsia="宋体" w:cs="宋体"/>
          <w:color w:val="auto"/>
          <w:sz w:val="24"/>
          <w:szCs w:val="24"/>
          <w:highlight w:val="none"/>
        </w:rPr>
      </w:pPr>
    </w:p>
    <w:p w14:paraId="25AE1C44">
      <w:pPr>
        <w:spacing w:line="360" w:lineRule="auto"/>
        <w:contextualSpacing/>
        <w:rPr>
          <w:rFonts w:hint="eastAsia" w:ascii="宋体" w:hAnsi="宋体" w:cs="宋体"/>
          <w:color w:val="auto"/>
          <w:sz w:val="24"/>
          <w:highlight w:val="none"/>
        </w:rPr>
      </w:pPr>
    </w:p>
    <w:p w14:paraId="237F2649">
      <w:pPr>
        <w:spacing w:line="360" w:lineRule="auto"/>
        <w:contextualSpacing/>
        <w:jc w:val="center"/>
        <w:rPr>
          <w:rFonts w:hint="eastAsia" w:ascii="宋体" w:hAnsi="宋体" w:cs="宋体"/>
          <w:color w:val="auto"/>
          <w:sz w:val="24"/>
          <w:highlight w:val="none"/>
          <w:u w:val="single"/>
        </w:rPr>
      </w:pPr>
      <w:r>
        <w:rPr>
          <w:rFonts w:hint="eastAsia" w:ascii="宋体" w:hAnsi="宋体" w:cs="宋体"/>
          <w:color w:val="auto"/>
          <w:sz w:val="24"/>
          <w:highlight w:val="none"/>
        </w:rPr>
        <w:t xml:space="preserve"> </w:t>
      </w:r>
      <w:r>
        <w:rPr>
          <w:rFonts w:ascii="宋体" w:hAnsi="宋体" w:cs="宋体"/>
          <w:color w:val="auto"/>
          <w:sz w:val="24"/>
          <w:highlight w:val="none"/>
        </w:rPr>
        <w:t xml:space="preserve">     </w:t>
      </w:r>
      <w:r>
        <w:rPr>
          <w:rFonts w:hint="eastAsia" w:ascii="宋体" w:hAnsi="宋体" w:cs="宋体"/>
          <w:color w:val="auto"/>
          <w:sz w:val="24"/>
          <w:highlight w:val="none"/>
        </w:rPr>
        <w:t>法定代表人或者委托代理人（签字）：</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p>
    <w:p w14:paraId="5FEC803B">
      <w:pPr>
        <w:spacing w:line="360" w:lineRule="auto"/>
        <w:ind w:firstLine="2880" w:firstLineChars="1200"/>
        <w:contextualSpacing/>
        <w:rPr>
          <w:rFonts w:hint="eastAsia" w:ascii="宋体" w:hAnsi="宋体" w:cs="宋体"/>
          <w:color w:val="auto"/>
          <w:sz w:val="24"/>
          <w:highlight w:val="none"/>
        </w:rPr>
      </w:pPr>
      <w:r>
        <w:rPr>
          <w:rFonts w:hint="eastAsia" w:ascii="宋体" w:hAnsi="宋体" w:cs="宋体"/>
          <w:color w:val="auto"/>
          <w:sz w:val="24"/>
          <w:highlight w:val="none"/>
        </w:rPr>
        <w:t>供应商（公章）：</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0F003CBD">
      <w:pPr>
        <w:spacing w:line="360" w:lineRule="auto"/>
        <w:ind w:firstLine="2880" w:firstLineChars="1200"/>
        <w:contextualSpacing/>
        <w:rPr>
          <w:rFonts w:hint="eastAsia" w:ascii="宋体" w:hAnsi="宋体" w:cs="宋体"/>
          <w:color w:val="auto"/>
          <w:sz w:val="32"/>
          <w:szCs w:val="32"/>
          <w:highlight w:val="none"/>
        </w:rPr>
      </w:pPr>
      <w:r>
        <w:rPr>
          <w:rFonts w:hint="eastAsia" w:ascii="宋体" w:hAnsi="宋体" w:cs="宋体"/>
          <w:color w:val="auto"/>
          <w:sz w:val="24"/>
          <w:highlight w:val="none"/>
        </w:rPr>
        <w:t>日期：</w:t>
      </w:r>
      <w:r>
        <w:rPr>
          <w:rFonts w:hint="eastAsia" w:cs="宋体" w:asciiTheme="minorEastAsia" w:hAnsiTheme="minorEastAsia" w:eastAsiaTheme="minorEastAsia"/>
          <w:color w:val="auto"/>
          <w:spacing w:val="20"/>
          <w:sz w:val="24"/>
          <w:highlight w:val="none"/>
          <w:u w:val="single"/>
        </w:rPr>
        <w:t xml:space="preserve"> </w:t>
      </w:r>
      <w:r>
        <w:rPr>
          <w:rFonts w:cs="宋体" w:asciiTheme="minorEastAsia" w:hAnsiTheme="minorEastAsia" w:eastAsiaTheme="minorEastAsia"/>
          <w:color w:val="auto"/>
          <w:spacing w:val="20"/>
          <w:sz w:val="24"/>
          <w:highlight w:val="none"/>
          <w:u w:val="single"/>
        </w:rPr>
        <w:t xml:space="preserve">  </w:t>
      </w:r>
      <w:r>
        <w:rPr>
          <w:rFonts w:hint="eastAsia" w:cs="宋体" w:asciiTheme="minorEastAsia" w:hAnsiTheme="minorEastAsia" w:eastAsiaTheme="minorEastAsia"/>
          <w:color w:val="auto"/>
          <w:spacing w:val="20"/>
          <w:sz w:val="24"/>
          <w:highlight w:val="none"/>
          <w:u w:val="single"/>
        </w:rPr>
        <w:t xml:space="preserve">  </w:t>
      </w:r>
      <w:r>
        <w:rPr>
          <w:rFonts w:hint="eastAsia" w:cs="宋体" w:asciiTheme="minorEastAsia" w:hAnsiTheme="minorEastAsia" w:eastAsiaTheme="minorEastAsia"/>
          <w:color w:val="auto"/>
          <w:spacing w:val="20"/>
          <w:sz w:val="24"/>
          <w:highlight w:val="none"/>
        </w:rPr>
        <w:t>年</w:t>
      </w:r>
      <w:r>
        <w:rPr>
          <w:rFonts w:hint="eastAsia" w:cs="宋体" w:asciiTheme="minorEastAsia" w:hAnsiTheme="minorEastAsia" w:eastAsiaTheme="minorEastAsia"/>
          <w:color w:val="auto"/>
          <w:spacing w:val="20"/>
          <w:sz w:val="24"/>
          <w:highlight w:val="none"/>
          <w:u w:val="single"/>
        </w:rPr>
        <w:t xml:space="preserve">  </w:t>
      </w:r>
      <w:r>
        <w:rPr>
          <w:rFonts w:hint="eastAsia" w:cs="宋体" w:asciiTheme="minorEastAsia" w:hAnsiTheme="minorEastAsia" w:eastAsiaTheme="minorEastAsia"/>
          <w:color w:val="auto"/>
          <w:spacing w:val="20"/>
          <w:sz w:val="24"/>
          <w:highlight w:val="none"/>
        </w:rPr>
        <w:t>月</w:t>
      </w:r>
      <w:r>
        <w:rPr>
          <w:rFonts w:hint="eastAsia" w:cs="宋体" w:asciiTheme="minorEastAsia" w:hAnsiTheme="minorEastAsia" w:eastAsiaTheme="minorEastAsia"/>
          <w:color w:val="auto"/>
          <w:spacing w:val="20"/>
          <w:sz w:val="24"/>
          <w:highlight w:val="none"/>
          <w:u w:val="single"/>
        </w:rPr>
        <w:t xml:space="preserve">  </w:t>
      </w:r>
      <w:r>
        <w:rPr>
          <w:rFonts w:hint="eastAsia" w:cs="宋体" w:asciiTheme="minorEastAsia" w:hAnsiTheme="minorEastAsia" w:eastAsiaTheme="minorEastAsia"/>
          <w:color w:val="auto"/>
          <w:spacing w:val="20"/>
          <w:sz w:val="24"/>
          <w:highlight w:val="none"/>
        </w:rPr>
        <w:t>日</w:t>
      </w:r>
    </w:p>
    <w:p w14:paraId="1726E851">
      <w:pPr>
        <w:spacing w:line="360" w:lineRule="auto"/>
        <w:rPr>
          <w:rFonts w:hint="eastAsia" w:ascii="宋体" w:hAnsi="宋体" w:cs="宋体"/>
          <w:color w:val="auto"/>
          <w:szCs w:val="21"/>
          <w:highlight w:val="none"/>
        </w:rPr>
      </w:pPr>
      <w:r>
        <w:rPr>
          <w:rFonts w:hint="eastAsia" w:ascii="宋体" w:hAnsi="宋体" w:cs="宋体"/>
          <w:b/>
          <w:bCs/>
          <w:color w:val="auto"/>
          <w:sz w:val="24"/>
          <w:highlight w:val="none"/>
        </w:rPr>
        <w:br w:type="page"/>
      </w:r>
      <w:r>
        <w:rPr>
          <w:rFonts w:hint="eastAsia" w:ascii="宋体" w:hAnsi="宋体" w:cs="宋体"/>
          <w:b/>
          <w:bCs/>
          <w:color w:val="auto"/>
          <w:sz w:val="24"/>
          <w:highlight w:val="none"/>
        </w:rPr>
        <w:t>其他文书、文件格式</w:t>
      </w:r>
    </w:p>
    <w:p w14:paraId="4AAB341B">
      <w:pPr>
        <w:adjustRightInd w:val="0"/>
        <w:snapToGrid w:val="0"/>
        <w:spacing w:line="360" w:lineRule="auto"/>
        <w:jc w:val="center"/>
        <w:rPr>
          <w:rFonts w:hint="eastAsia" w:ascii="宋体" w:hAnsi="宋体" w:cs="宋体"/>
          <w:b/>
          <w:bCs/>
          <w:color w:val="auto"/>
          <w:sz w:val="44"/>
          <w:szCs w:val="44"/>
          <w:highlight w:val="none"/>
        </w:rPr>
      </w:pPr>
      <w:bookmarkStart w:id="55" w:name="_Toc71366061"/>
      <w:bookmarkStart w:id="56" w:name="_Toc71365383"/>
      <w:r>
        <w:rPr>
          <w:rFonts w:hint="eastAsia" w:ascii="宋体" w:hAnsi="宋体" w:cs="宋体"/>
          <w:b/>
          <w:bCs/>
          <w:color w:val="auto"/>
          <w:sz w:val="44"/>
          <w:szCs w:val="44"/>
          <w:highlight w:val="none"/>
        </w:rPr>
        <w:t>中小企业声明函（货物）</w:t>
      </w:r>
      <w:bookmarkEnd w:id="55"/>
      <w:bookmarkEnd w:id="56"/>
    </w:p>
    <w:p w14:paraId="24FAD0FE">
      <w:pPr>
        <w:spacing w:line="360" w:lineRule="auto"/>
        <w:rPr>
          <w:rFonts w:hint="eastAsia" w:ascii="宋体" w:hAnsi="宋体" w:cs="宋体"/>
          <w:color w:val="auto"/>
          <w:highlight w:val="none"/>
        </w:rPr>
      </w:pPr>
    </w:p>
    <w:p w14:paraId="45306A4D">
      <w:pPr>
        <w:pStyle w:val="10"/>
        <w:spacing w:after="0" w:line="360" w:lineRule="auto"/>
        <w:ind w:firstLine="640"/>
        <w:contextualSpacing/>
        <w:rPr>
          <w:rFonts w:hint="eastAsia" w:ascii="宋体" w:hAnsi="宋体" w:cs="宋体"/>
          <w:color w:val="auto"/>
          <w:sz w:val="24"/>
          <w:highlight w:val="none"/>
        </w:rPr>
      </w:pPr>
      <w:r>
        <w:rPr>
          <w:rFonts w:hint="eastAsia" w:ascii="宋体" w:hAnsi="宋体" w:cs="宋体"/>
          <w:color w:val="auto"/>
          <w:sz w:val="24"/>
          <w:highlight w:val="none"/>
        </w:rPr>
        <w:t>本公司（联合体）郑重声明，根据《政府采购促进中小企业发展管理办法》（财库﹝2020﹞46号）的规定，本公司（联合体）参加</w:t>
      </w:r>
      <w:r>
        <w:rPr>
          <w:rFonts w:hint="eastAsia" w:ascii="宋体" w:hAnsi="宋体" w:cs="宋体"/>
          <w:color w:val="auto"/>
          <w:sz w:val="24"/>
          <w:highlight w:val="none"/>
          <w:u w:val="single"/>
        </w:rPr>
        <w:t>（单位名称）</w:t>
      </w:r>
      <w:r>
        <w:rPr>
          <w:rFonts w:hint="eastAsia" w:ascii="宋体" w:hAnsi="宋体" w:cs="宋体"/>
          <w:color w:val="auto"/>
          <w:sz w:val="24"/>
          <w:highlight w:val="none"/>
        </w:rPr>
        <w:t>的</w:t>
      </w:r>
      <w:r>
        <w:rPr>
          <w:rFonts w:hint="eastAsia" w:ascii="宋体" w:hAnsi="宋体" w:cs="宋体"/>
          <w:color w:val="auto"/>
          <w:sz w:val="24"/>
          <w:highlight w:val="none"/>
          <w:u w:val="single"/>
        </w:rPr>
        <w:t>（项目名称）</w:t>
      </w:r>
      <w:r>
        <w:rPr>
          <w:rFonts w:hint="eastAsia" w:ascii="宋体" w:hAnsi="宋体" w:cs="宋体"/>
          <w:color w:val="auto"/>
          <w:sz w:val="24"/>
          <w:highlight w:val="none"/>
        </w:rPr>
        <w:t>采购活动，提供的货物全部由符合政策要求的中小企业制造。相关企业（含联合体中的中小企业、签订分包意向协议的中小企业）的具体情况如下：</w:t>
      </w:r>
    </w:p>
    <w:p w14:paraId="6D6AF77E">
      <w:pPr>
        <w:tabs>
          <w:tab w:val="left" w:pos="1384"/>
          <w:tab w:val="left" w:pos="4562"/>
          <w:tab w:val="left" w:pos="6803"/>
        </w:tabs>
        <w:spacing w:line="360" w:lineRule="auto"/>
        <w:ind w:firstLine="655"/>
        <w:contextualSpacing/>
        <w:rPr>
          <w:rFonts w:hint="eastAsia"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color w:val="auto"/>
          <w:sz w:val="24"/>
          <w:highlight w:val="none"/>
          <w:u w:val="single"/>
        </w:rPr>
        <w:t>（标的名称）</w:t>
      </w:r>
      <w:r>
        <w:rPr>
          <w:rFonts w:hint="eastAsia" w:ascii="宋体" w:hAnsi="宋体" w:cs="宋体"/>
          <w:color w:val="auto"/>
          <w:sz w:val="24"/>
          <w:highlight w:val="none"/>
        </w:rPr>
        <w:t>，属于</w:t>
      </w:r>
      <w:r>
        <w:rPr>
          <w:rFonts w:hint="eastAsia" w:ascii="宋体" w:hAnsi="宋体" w:cs="宋体"/>
          <w:color w:val="auto"/>
          <w:sz w:val="24"/>
          <w:highlight w:val="none"/>
          <w:u w:val="single"/>
        </w:rPr>
        <w:t>（采购文件中明确的所属行业）</w:t>
      </w:r>
      <w:r>
        <w:rPr>
          <w:rFonts w:hint="eastAsia" w:ascii="宋体" w:hAnsi="宋体" w:cs="宋体"/>
          <w:color w:val="auto"/>
          <w:sz w:val="24"/>
          <w:highlight w:val="none"/>
        </w:rPr>
        <w:t>行业；制造商为</w:t>
      </w:r>
      <w:r>
        <w:rPr>
          <w:rFonts w:hint="eastAsia" w:ascii="宋体" w:hAnsi="宋体" w:cs="宋体"/>
          <w:color w:val="auto"/>
          <w:sz w:val="24"/>
          <w:highlight w:val="none"/>
          <w:u w:val="single"/>
        </w:rPr>
        <w:t>（企业名称）</w:t>
      </w:r>
      <w:r>
        <w:rPr>
          <w:rFonts w:hint="eastAsia" w:ascii="宋体" w:hAnsi="宋体" w:cs="宋体"/>
          <w:color w:val="auto"/>
          <w:sz w:val="24"/>
          <w:highlight w:val="none"/>
        </w:rPr>
        <w:t>，从业人员</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人，营业收入为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万元，资产总额为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万元，属于</w:t>
      </w:r>
      <w:r>
        <w:rPr>
          <w:rFonts w:hint="eastAsia" w:ascii="宋体" w:hAnsi="宋体" w:cs="宋体"/>
          <w:color w:val="auto"/>
          <w:sz w:val="24"/>
          <w:highlight w:val="none"/>
          <w:u w:val="single"/>
        </w:rPr>
        <w:t>（中型企业、小型企业、微型企业）</w:t>
      </w:r>
      <w:r>
        <w:rPr>
          <w:rFonts w:hint="eastAsia" w:ascii="宋体" w:hAnsi="宋体" w:cs="宋体"/>
          <w:color w:val="auto"/>
          <w:sz w:val="24"/>
          <w:highlight w:val="none"/>
        </w:rPr>
        <w:t>；</w:t>
      </w:r>
    </w:p>
    <w:p w14:paraId="3BA58FB7">
      <w:pPr>
        <w:tabs>
          <w:tab w:val="left" w:pos="1065"/>
          <w:tab w:val="left" w:pos="6477"/>
        </w:tabs>
        <w:spacing w:line="360" w:lineRule="auto"/>
        <w:ind w:firstLine="655"/>
        <w:contextualSpacing/>
        <w:rPr>
          <w:rFonts w:hint="eastAsia"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color w:val="auto"/>
          <w:sz w:val="24"/>
          <w:highlight w:val="none"/>
          <w:u w:val="single"/>
        </w:rPr>
        <w:t>（标的名称）</w:t>
      </w:r>
      <w:r>
        <w:rPr>
          <w:rFonts w:hint="eastAsia" w:ascii="宋体" w:hAnsi="宋体" w:cs="宋体"/>
          <w:color w:val="auto"/>
          <w:sz w:val="24"/>
          <w:highlight w:val="none"/>
        </w:rPr>
        <w:t>，属于</w:t>
      </w:r>
      <w:r>
        <w:rPr>
          <w:rFonts w:hint="eastAsia" w:ascii="宋体" w:hAnsi="宋体" w:cs="宋体"/>
          <w:color w:val="auto"/>
          <w:sz w:val="24"/>
          <w:highlight w:val="none"/>
          <w:u w:val="single"/>
        </w:rPr>
        <w:t>（采购文件中明确的所属行业）</w:t>
      </w:r>
      <w:r>
        <w:rPr>
          <w:rFonts w:hint="eastAsia" w:ascii="宋体" w:hAnsi="宋体" w:cs="宋体"/>
          <w:color w:val="auto"/>
          <w:sz w:val="24"/>
          <w:highlight w:val="none"/>
        </w:rPr>
        <w:t>行业；制造商为</w:t>
      </w:r>
      <w:r>
        <w:rPr>
          <w:rFonts w:hint="eastAsia" w:ascii="宋体" w:hAnsi="宋体" w:cs="宋体"/>
          <w:color w:val="auto"/>
          <w:sz w:val="24"/>
          <w:highlight w:val="none"/>
          <w:u w:val="single"/>
        </w:rPr>
        <w:t>（企业名称）</w:t>
      </w:r>
      <w:r>
        <w:rPr>
          <w:rFonts w:hint="eastAsia" w:ascii="宋体" w:hAnsi="宋体" w:cs="宋体"/>
          <w:color w:val="auto"/>
          <w:sz w:val="24"/>
          <w:highlight w:val="none"/>
        </w:rPr>
        <w:t>，从业人员</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人，营业收入为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万元，资产总额为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万元，属于</w:t>
      </w:r>
      <w:r>
        <w:rPr>
          <w:rFonts w:hint="eastAsia" w:ascii="宋体" w:hAnsi="宋体" w:cs="宋体"/>
          <w:color w:val="auto"/>
          <w:sz w:val="24"/>
          <w:highlight w:val="none"/>
          <w:u w:val="single"/>
        </w:rPr>
        <w:t>（中型企业、小型企业、微型企业）</w:t>
      </w:r>
      <w:r>
        <w:rPr>
          <w:rFonts w:hint="eastAsia" w:ascii="宋体" w:hAnsi="宋体" w:cs="宋体"/>
          <w:color w:val="auto"/>
          <w:sz w:val="24"/>
          <w:highlight w:val="none"/>
        </w:rPr>
        <w:t>；</w:t>
      </w:r>
    </w:p>
    <w:p w14:paraId="59872B88">
      <w:pPr>
        <w:pStyle w:val="10"/>
        <w:spacing w:after="0"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 xml:space="preserve">…… </w:t>
      </w:r>
    </w:p>
    <w:p w14:paraId="319DE842">
      <w:pPr>
        <w:pStyle w:val="10"/>
        <w:spacing w:after="0" w:line="360" w:lineRule="auto"/>
        <w:ind w:firstLine="453" w:firstLineChars="189"/>
        <w:contextualSpacing/>
        <w:rPr>
          <w:rFonts w:hint="eastAsia" w:ascii="宋体" w:hAnsi="宋体" w:cs="宋体"/>
          <w:color w:val="auto"/>
          <w:sz w:val="24"/>
          <w:highlight w:val="none"/>
        </w:rPr>
      </w:pPr>
      <w:r>
        <w:rPr>
          <w:rFonts w:hint="eastAsia" w:ascii="宋体" w:hAnsi="宋体" w:cs="宋体"/>
          <w:color w:val="auto"/>
          <w:sz w:val="24"/>
          <w:highlight w:val="none"/>
        </w:rPr>
        <w:t>以上企业，不属于大企业的分支机构，不存在控股股东为大企业的情形，也不存在与大企业的负责人为同一人的情形。</w:t>
      </w:r>
    </w:p>
    <w:p w14:paraId="11E3FC61">
      <w:pPr>
        <w:pStyle w:val="10"/>
        <w:spacing w:after="0" w:line="360" w:lineRule="auto"/>
        <w:ind w:firstLine="567"/>
        <w:contextualSpacing/>
        <w:rPr>
          <w:rFonts w:hint="eastAsia" w:ascii="宋体" w:hAnsi="宋体" w:cs="宋体"/>
          <w:color w:val="auto"/>
          <w:sz w:val="24"/>
          <w:highlight w:val="none"/>
        </w:rPr>
      </w:pPr>
      <w:r>
        <w:rPr>
          <w:rFonts w:hint="eastAsia" w:ascii="宋体" w:hAnsi="宋体" w:cs="宋体"/>
          <w:color w:val="auto"/>
          <w:sz w:val="24"/>
          <w:highlight w:val="none"/>
        </w:rPr>
        <w:t>本企业对上述声明内容的真实性负责。如有虚假，将依法承担相应责任。</w:t>
      </w:r>
    </w:p>
    <w:p w14:paraId="7255C4E4">
      <w:pPr>
        <w:pStyle w:val="10"/>
        <w:spacing w:after="0" w:line="360" w:lineRule="auto"/>
        <w:contextualSpacing/>
        <w:rPr>
          <w:rFonts w:hint="eastAsia" w:ascii="宋体" w:hAnsi="宋体" w:cs="宋体"/>
          <w:color w:val="auto"/>
          <w:sz w:val="24"/>
          <w:highlight w:val="none"/>
        </w:rPr>
      </w:pPr>
    </w:p>
    <w:p w14:paraId="5F6F4CBF">
      <w:pPr>
        <w:pStyle w:val="10"/>
        <w:spacing w:after="0" w:line="360" w:lineRule="auto"/>
        <w:ind w:firstLine="3360" w:firstLineChars="1400"/>
        <w:contextualSpacing/>
        <w:rPr>
          <w:rFonts w:hint="eastAsia" w:ascii="宋体" w:hAnsi="宋体" w:cs="宋体"/>
          <w:color w:val="auto"/>
          <w:sz w:val="24"/>
          <w:highlight w:val="none"/>
          <w:u w:val="single"/>
        </w:rPr>
      </w:pPr>
      <w:r>
        <w:rPr>
          <w:rFonts w:hint="eastAsia" w:ascii="宋体" w:hAnsi="宋体" w:cs="宋体"/>
          <w:color w:val="auto"/>
          <w:sz w:val="24"/>
          <w:highlight w:val="none"/>
        </w:rPr>
        <w:t xml:space="preserve">企业名称（公章）： </w:t>
      </w:r>
      <w:r>
        <w:rPr>
          <w:rFonts w:ascii="宋体" w:hAnsi="宋体" w:cs="宋体"/>
          <w:color w:val="auto"/>
          <w:sz w:val="24"/>
          <w:highlight w:val="none"/>
          <w:u w:val="single"/>
        </w:rPr>
        <w:t xml:space="preserve">                   </w:t>
      </w:r>
    </w:p>
    <w:p w14:paraId="4BE02735">
      <w:pPr>
        <w:pStyle w:val="10"/>
        <w:spacing w:after="0" w:line="360" w:lineRule="auto"/>
        <w:ind w:firstLine="3360" w:firstLineChars="1400"/>
        <w:contextualSpacing/>
        <w:rPr>
          <w:rFonts w:hint="eastAsia" w:ascii="宋体" w:hAnsi="宋体" w:cs="宋体"/>
          <w:color w:val="auto"/>
          <w:sz w:val="24"/>
          <w:highlight w:val="none"/>
        </w:rPr>
      </w:pPr>
      <w:r>
        <w:rPr>
          <w:rFonts w:hint="eastAsia" w:ascii="宋体" w:hAnsi="宋体" w:cs="宋体"/>
          <w:color w:val="auto"/>
          <w:sz w:val="24"/>
          <w:highlight w:val="none"/>
        </w:rPr>
        <w:t>日 期：</w:t>
      </w:r>
      <w:r>
        <w:rPr>
          <w:rFonts w:hint="eastAsia" w:cs="宋体" w:asciiTheme="minorEastAsia" w:hAnsiTheme="minorEastAsia" w:eastAsiaTheme="minorEastAsia"/>
          <w:color w:val="auto"/>
          <w:spacing w:val="20"/>
          <w:sz w:val="24"/>
          <w:highlight w:val="none"/>
          <w:u w:val="single"/>
        </w:rPr>
        <w:t xml:space="preserve"> </w:t>
      </w:r>
      <w:r>
        <w:rPr>
          <w:rFonts w:cs="宋体" w:asciiTheme="minorEastAsia" w:hAnsiTheme="minorEastAsia" w:eastAsiaTheme="minorEastAsia"/>
          <w:color w:val="auto"/>
          <w:spacing w:val="20"/>
          <w:sz w:val="24"/>
          <w:highlight w:val="none"/>
          <w:u w:val="single"/>
        </w:rPr>
        <w:t xml:space="preserve">  </w:t>
      </w:r>
      <w:r>
        <w:rPr>
          <w:rFonts w:hint="eastAsia" w:cs="宋体" w:asciiTheme="minorEastAsia" w:hAnsiTheme="minorEastAsia" w:eastAsiaTheme="minorEastAsia"/>
          <w:color w:val="auto"/>
          <w:spacing w:val="20"/>
          <w:sz w:val="24"/>
          <w:highlight w:val="none"/>
          <w:u w:val="single"/>
        </w:rPr>
        <w:t xml:space="preserve">  </w:t>
      </w:r>
      <w:r>
        <w:rPr>
          <w:rFonts w:hint="eastAsia" w:cs="宋体" w:asciiTheme="minorEastAsia" w:hAnsiTheme="minorEastAsia" w:eastAsiaTheme="minorEastAsia"/>
          <w:color w:val="auto"/>
          <w:spacing w:val="20"/>
          <w:sz w:val="24"/>
          <w:highlight w:val="none"/>
        </w:rPr>
        <w:t>年</w:t>
      </w:r>
      <w:r>
        <w:rPr>
          <w:rFonts w:hint="eastAsia" w:cs="宋体" w:asciiTheme="minorEastAsia" w:hAnsiTheme="minorEastAsia" w:eastAsiaTheme="minorEastAsia"/>
          <w:color w:val="auto"/>
          <w:spacing w:val="20"/>
          <w:sz w:val="24"/>
          <w:highlight w:val="none"/>
          <w:u w:val="single"/>
        </w:rPr>
        <w:t xml:space="preserve">  </w:t>
      </w:r>
      <w:r>
        <w:rPr>
          <w:rFonts w:hint="eastAsia" w:cs="宋体" w:asciiTheme="minorEastAsia" w:hAnsiTheme="minorEastAsia" w:eastAsiaTheme="minorEastAsia"/>
          <w:color w:val="auto"/>
          <w:spacing w:val="20"/>
          <w:sz w:val="24"/>
          <w:highlight w:val="none"/>
        </w:rPr>
        <w:t>月</w:t>
      </w:r>
      <w:r>
        <w:rPr>
          <w:rFonts w:hint="eastAsia" w:cs="宋体" w:asciiTheme="minorEastAsia" w:hAnsiTheme="minorEastAsia" w:eastAsiaTheme="minorEastAsia"/>
          <w:color w:val="auto"/>
          <w:spacing w:val="20"/>
          <w:sz w:val="24"/>
          <w:highlight w:val="none"/>
          <w:u w:val="single"/>
        </w:rPr>
        <w:t xml:space="preserve">  </w:t>
      </w:r>
      <w:r>
        <w:rPr>
          <w:rFonts w:hint="eastAsia" w:cs="宋体" w:asciiTheme="minorEastAsia" w:hAnsiTheme="minorEastAsia" w:eastAsiaTheme="minorEastAsia"/>
          <w:color w:val="auto"/>
          <w:spacing w:val="20"/>
          <w:sz w:val="24"/>
          <w:highlight w:val="none"/>
        </w:rPr>
        <w:t>日</w:t>
      </w:r>
    </w:p>
    <w:p w14:paraId="714D04B4">
      <w:pPr>
        <w:pStyle w:val="10"/>
        <w:spacing w:after="0" w:line="360" w:lineRule="auto"/>
        <w:contextualSpacing/>
        <w:rPr>
          <w:rFonts w:hint="eastAsia" w:ascii="宋体" w:hAnsi="宋体" w:cs="宋体"/>
          <w:color w:val="auto"/>
          <w:highlight w:val="none"/>
        </w:rPr>
      </w:pPr>
    </w:p>
    <w:p w14:paraId="3D3C4C23">
      <w:pPr>
        <w:spacing w:line="360" w:lineRule="auto"/>
        <w:contextualSpacing/>
        <w:jc w:val="left"/>
        <w:rPr>
          <w:rFonts w:hint="eastAsia" w:ascii="楷体" w:hAnsi="楷体" w:eastAsia="楷体" w:cs="宋体"/>
          <w:b/>
          <w:color w:val="auto"/>
          <w:sz w:val="24"/>
          <w:highlight w:val="none"/>
        </w:rPr>
      </w:pPr>
      <w:r>
        <w:rPr>
          <w:rFonts w:hint="eastAsia" w:ascii="楷体" w:hAnsi="楷体" w:eastAsia="楷体" w:cs="宋体"/>
          <w:b/>
          <w:color w:val="auto"/>
          <w:sz w:val="24"/>
          <w:highlight w:val="none"/>
        </w:rPr>
        <w:t>注：</w:t>
      </w:r>
    </w:p>
    <w:p w14:paraId="32BA4F2C">
      <w:pPr>
        <w:spacing w:line="360" w:lineRule="auto"/>
        <w:ind w:firstLine="480" w:firstLineChars="200"/>
        <w:contextualSpacing/>
        <w:jc w:val="left"/>
        <w:rPr>
          <w:rFonts w:hint="eastAsia" w:ascii="楷体" w:hAnsi="楷体" w:eastAsia="楷体" w:cs="宋体"/>
          <w:color w:val="auto"/>
          <w:sz w:val="24"/>
          <w:highlight w:val="none"/>
        </w:rPr>
      </w:pPr>
      <w:r>
        <w:rPr>
          <w:rFonts w:hint="eastAsia" w:ascii="楷体" w:hAnsi="楷体" w:eastAsia="楷体" w:cs="宋体"/>
          <w:color w:val="auto"/>
          <w:sz w:val="24"/>
          <w:highlight w:val="none"/>
        </w:rPr>
        <w:t>享受《政府采购促进中小企业发展管理办法》（财库〔</w:t>
      </w:r>
      <w:r>
        <w:rPr>
          <w:rFonts w:ascii="楷体" w:hAnsi="楷体" w:eastAsia="楷体" w:cs="宋体"/>
          <w:color w:val="auto"/>
          <w:sz w:val="24"/>
          <w:highlight w:val="none"/>
        </w:rPr>
        <w:t>2020〕46号）规定的中小企业扶持政策的，采购人、采购代理机构应当随成交结果公开成交供应商的《中小企业声明函》。从业人员、营业收入、资产总额填报上一年度数据，无上一年度数据的新成立企业可不填报。</w:t>
      </w:r>
    </w:p>
    <w:p w14:paraId="307C2679">
      <w:pPr>
        <w:spacing w:line="360" w:lineRule="auto"/>
        <w:contextualSpacing/>
        <w:jc w:val="center"/>
        <w:rPr>
          <w:rFonts w:hint="eastAsia" w:ascii="宋体" w:hAnsi="宋体" w:cs="宋体"/>
          <w:color w:val="auto"/>
          <w:sz w:val="24"/>
          <w:highlight w:val="none"/>
        </w:rPr>
      </w:pPr>
    </w:p>
    <w:p w14:paraId="25DCC17B">
      <w:pPr>
        <w:spacing w:line="360" w:lineRule="auto"/>
        <w:contextualSpacing/>
        <w:jc w:val="center"/>
        <w:rPr>
          <w:rFonts w:hint="eastAsia" w:ascii="宋体" w:hAnsi="宋体" w:cs="宋体"/>
          <w:color w:val="auto"/>
          <w:sz w:val="24"/>
          <w:highlight w:val="none"/>
        </w:rPr>
      </w:pPr>
    </w:p>
    <w:p w14:paraId="20F75723">
      <w:pPr>
        <w:spacing w:line="360" w:lineRule="auto"/>
        <w:ind w:firstLine="800" w:firstLineChars="250"/>
        <w:jc w:val="center"/>
        <w:rPr>
          <w:rFonts w:hint="eastAsia" w:ascii="宋体" w:hAnsi="宋体" w:cs="宋体"/>
          <w:b/>
          <w:color w:val="auto"/>
          <w:sz w:val="32"/>
          <w:szCs w:val="32"/>
          <w:highlight w:val="none"/>
        </w:rPr>
      </w:pPr>
      <w:r>
        <w:rPr>
          <w:rFonts w:hint="eastAsia" w:hAnsi="宋体" w:cs="宋体"/>
          <w:color w:val="auto"/>
          <w:sz w:val="32"/>
          <w:szCs w:val="32"/>
          <w:highlight w:val="none"/>
        </w:rPr>
        <w:br w:type="page"/>
      </w:r>
      <w:r>
        <w:rPr>
          <w:rFonts w:hint="eastAsia" w:ascii="宋体" w:hAnsi="宋体" w:cs="宋体"/>
          <w:b/>
          <w:color w:val="auto"/>
          <w:sz w:val="44"/>
          <w:szCs w:val="44"/>
          <w:highlight w:val="none"/>
        </w:rPr>
        <w:t>残疾人福利性单位声明函</w:t>
      </w:r>
    </w:p>
    <w:p w14:paraId="4BD6B02F">
      <w:pPr>
        <w:spacing w:line="360" w:lineRule="auto"/>
        <w:rPr>
          <w:rFonts w:hint="eastAsia" w:ascii="宋体" w:hAnsi="宋体" w:cs="宋体"/>
          <w:color w:val="auto"/>
          <w:sz w:val="32"/>
          <w:szCs w:val="32"/>
          <w:highlight w:val="none"/>
        </w:rPr>
      </w:pPr>
    </w:p>
    <w:p w14:paraId="0631C615">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单位的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项目采购活动提供本单位制造的货物（由本单位承担工程/提供服务），或者提供其他残疾人福利性单位制造的货物（不包括使用非残疾人福利性单位注册商标的货物）。</w:t>
      </w:r>
    </w:p>
    <w:p w14:paraId="3E88C049">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本单位对上述声明的真实性负责。如有虚假，将依法承担相应责任。</w:t>
      </w:r>
    </w:p>
    <w:p w14:paraId="1F459440">
      <w:pPr>
        <w:spacing w:line="360" w:lineRule="auto"/>
        <w:contextualSpacing/>
        <w:rPr>
          <w:rFonts w:hint="eastAsia" w:ascii="宋体" w:hAnsi="宋体" w:cs="宋体"/>
          <w:color w:val="auto"/>
          <w:sz w:val="24"/>
          <w:highlight w:val="none"/>
        </w:rPr>
      </w:pPr>
    </w:p>
    <w:p w14:paraId="4B552C06">
      <w:pPr>
        <w:spacing w:line="360" w:lineRule="auto"/>
        <w:contextualSpacing/>
        <w:rPr>
          <w:rFonts w:hint="eastAsia" w:ascii="宋体" w:hAnsi="宋体" w:cs="宋体"/>
          <w:color w:val="auto"/>
          <w:sz w:val="24"/>
          <w:highlight w:val="none"/>
        </w:rPr>
      </w:pPr>
    </w:p>
    <w:p w14:paraId="1D86B4AE">
      <w:pPr>
        <w:spacing w:line="360" w:lineRule="auto"/>
        <w:contextualSpacing/>
        <w:rPr>
          <w:rFonts w:hint="eastAsia" w:ascii="宋体" w:hAnsi="宋体" w:cs="宋体"/>
          <w:color w:val="auto"/>
          <w:sz w:val="24"/>
          <w:highlight w:val="none"/>
        </w:rPr>
      </w:pPr>
    </w:p>
    <w:p w14:paraId="53CE2A29">
      <w:pPr>
        <w:spacing w:line="360" w:lineRule="auto"/>
        <w:ind w:firstLine="3600" w:firstLineChars="1500"/>
        <w:contextualSpacing/>
        <w:rPr>
          <w:rFonts w:hint="eastAsia" w:ascii="宋体" w:hAnsi="宋体" w:cs="宋体"/>
          <w:color w:val="auto"/>
          <w:sz w:val="24"/>
          <w:highlight w:val="none"/>
          <w:u w:val="single"/>
        </w:rPr>
      </w:pPr>
      <w:r>
        <w:rPr>
          <w:rFonts w:hint="eastAsia" w:ascii="宋体" w:hAnsi="宋体" w:cs="宋体"/>
          <w:color w:val="auto"/>
          <w:sz w:val="24"/>
          <w:highlight w:val="none"/>
        </w:rPr>
        <w:t>单位名称（公章）：</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p>
    <w:p w14:paraId="27345484">
      <w:pPr>
        <w:spacing w:line="360" w:lineRule="auto"/>
        <w:ind w:firstLine="3600" w:firstLineChars="1500"/>
        <w:contextualSpacing/>
        <w:rPr>
          <w:rFonts w:hint="eastAsia" w:ascii="宋体" w:hAnsi="宋体" w:cs="宋体"/>
          <w:color w:val="auto"/>
          <w:sz w:val="24"/>
          <w:highlight w:val="none"/>
        </w:rPr>
      </w:pPr>
      <w:r>
        <w:rPr>
          <w:rFonts w:hint="eastAsia" w:ascii="宋体" w:hAnsi="宋体" w:cs="宋体"/>
          <w:color w:val="auto"/>
          <w:sz w:val="24"/>
          <w:highlight w:val="none"/>
        </w:rPr>
        <w:t>日  期：</w:t>
      </w:r>
      <w:r>
        <w:rPr>
          <w:rFonts w:hint="eastAsia" w:cs="宋体" w:asciiTheme="minorEastAsia" w:hAnsiTheme="minorEastAsia" w:eastAsiaTheme="minorEastAsia"/>
          <w:color w:val="auto"/>
          <w:spacing w:val="20"/>
          <w:sz w:val="24"/>
          <w:highlight w:val="none"/>
          <w:u w:val="single"/>
        </w:rPr>
        <w:t xml:space="preserve"> </w:t>
      </w:r>
      <w:r>
        <w:rPr>
          <w:rFonts w:cs="宋体" w:asciiTheme="minorEastAsia" w:hAnsiTheme="minorEastAsia" w:eastAsiaTheme="minorEastAsia"/>
          <w:color w:val="auto"/>
          <w:spacing w:val="20"/>
          <w:sz w:val="24"/>
          <w:highlight w:val="none"/>
          <w:u w:val="single"/>
        </w:rPr>
        <w:t xml:space="preserve">  </w:t>
      </w:r>
      <w:r>
        <w:rPr>
          <w:rFonts w:hint="eastAsia" w:cs="宋体" w:asciiTheme="minorEastAsia" w:hAnsiTheme="minorEastAsia" w:eastAsiaTheme="minorEastAsia"/>
          <w:color w:val="auto"/>
          <w:spacing w:val="20"/>
          <w:sz w:val="24"/>
          <w:highlight w:val="none"/>
          <w:u w:val="single"/>
        </w:rPr>
        <w:t xml:space="preserve">  </w:t>
      </w:r>
      <w:r>
        <w:rPr>
          <w:rFonts w:hint="eastAsia" w:cs="宋体" w:asciiTheme="minorEastAsia" w:hAnsiTheme="minorEastAsia" w:eastAsiaTheme="minorEastAsia"/>
          <w:color w:val="auto"/>
          <w:spacing w:val="20"/>
          <w:sz w:val="24"/>
          <w:highlight w:val="none"/>
        </w:rPr>
        <w:t>年</w:t>
      </w:r>
      <w:r>
        <w:rPr>
          <w:rFonts w:hint="eastAsia" w:cs="宋体" w:asciiTheme="minorEastAsia" w:hAnsiTheme="minorEastAsia" w:eastAsiaTheme="minorEastAsia"/>
          <w:color w:val="auto"/>
          <w:spacing w:val="20"/>
          <w:sz w:val="24"/>
          <w:highlight w:val="none"/>
          <w:u w:val="single"/>
        </w:rPr>
        <w:t xml:space="preserve">  </w:t>
      </w:r>
      <w:r>
        <w:rPr>
          <w:rFonts w:hint="eastAsia" w:cs="宋体" w:asciiTheme="minorEastAsia" w:hAnsiTheme="minorEastAsia" w:eastAsiaTheme="minorEastAsia"/>
          <w:color w:val="auto"/>
          <w:spacing w:val="20"/>
          <w:sz w:val="24"/>
          <w:highlight w:val="none"/>
        </w:rPr>
        <w:t>月</w:t>
      </w:r>
      <w:r>
        <w:rPr>
          <w:rFonts w:hint="eastAsia" w:cs="宋体" w:asciiTheme="minorEastAsia" w:hAnsiTheme="minorEastAsia" w:eastAsiaTheme="minorEastAsia"/>
          <w:color w:val="auto"/>
          <w:spacing w:val="20"/>
          <w:sz w:val="24"/>
          <w:highlight w:val="none"/>
          <w:u w:val="single"/>
        </w:rPr>
        <w:t xml:space="preserve">  </w:t>
      </w:r>
      <w:r>
        <w:rPr>
          <w:rFonts w:hint="eastAsia" w:cs="宋体" w:asciiTheme="minorEastAsia" w:hAnsiTheme="minorEastAsia" w:eastAsiaTheme="minorEastAsia"/>
          <w:color w:val="auto"/>
          <w:spacing w:val="20"/>
          <w:sz w:val="24"/>
          <w:highlight w:val="none"/>
        </w:rPr>
        <w:t>日</w:t>
      </w:r>
    </w:p>
    <w:p w14:paraId="1D9B1BD4">
      <w:pPr>
        <w:spacing w:line="360" w:lineRule="auto"/>
        <w:contextualSpacing/>
        <w:rPr>
          <w:rFonts w:hint="eastAsia" w:ascii="宋体" w:hAnsi="宋体" w:cs="宋体"/>
          <w:color w:val="auto"/>
          <w:sz w:val="24"/>
          <w:highlight w:val="none"/>
        </w:rPr>
      </w:pPr>
    </w:p>
    <w:p w14:paraId="62875F9E">
      <w:pPr>
        <w:spacing w:line="360" w:lineRule="auto"/>
        <w:contextualSpacing/>
        <w:rPr>
          <w:rFonts w:hint="eastAsia" w:ascii="宋体" w:hAnsi="宋体" w:cs="宋体"/>
          <w:color w:val="auto"/>
          <w:sz w:val="24"/>
          <w:highlight w:val="none"/>
        </w:rPr>
      </w:pPr>
    </w:p>
    <w:p w14:paraId="7E6C14CD">
      <w:pPr>
        <w:spacing w:line="360" w:lineRule="auto"/>
        <w:contextualSpacing/>
        <w:rPr>
          <w:rFonts w:hint="eastAsia" w:ascii="宋体" w:hAnsi="宋体" w:cs="宋体"/>
          <w:color w:val="auto"/>
          <w:sz w:val="24"/>
          <w:highlight w:val="none"/>
        </w:rPr>
      </w:pPr>
    </w:p>
    <w:p w14:paraId="30799301">
      <w:pPr>
        <w:spacing w:line="360" w:lineRule="auto"/>
        <w:contextualSpacing/>
        <w:rPr>
          <w:rFonts w:hint="eastAsia" w:ascii="楷体" w:hAnsi="楷体" w:eastAsia="楷体" w:cs="宋体"/>
          <w:b/>
          <w:color w:val="auto"/>
          <w:sz w:val="24"/>
          <w:highlight w:val="none"/>
        </w:rPr>
      </w:pPr>
      <w:r>
        <w:rPr>
          <w:rFonts w:hint="eastAsia" w:ascii="楷体" w:hAnsi="楷体" w:eastAsia="楷体" w:cs="宋体"/>
          <w:b/>
          <w:color w:val="auto"/>
          <w:sz w:val="24"/>
          <w:highlight w:val="none"/>
        </w:rPr>
        <w:t>注：</w:t>
      </w:r>
    </w:p>
    <w:p w14:paraId="1366E59A">
      <w:pPr>
        <w:spacing w:line="360" w:lineRule="auto"/>
        <w:ind w:firstLine="480" w:firstLineChars="200"/>
        <w:contextualSpacing/>
        <w:rPr>
          <w:rFonts w:hint="eastAsia" w:ascii="楷体" w:hAnsi="楷体" w:eastAsia="楷体" w:cs="宋体"/>
          <w:color w:val="auto"/>
          <w:sz w:val="24"/>
          <w:highlight w:val="none"/>
        </w:rPr>
      </w:pPr>
      <w:r>
        <w:rPr>
          <w:rFonts w:hint="eastAsia" w:ascii="楷体" w:hAnsi="楷体" w:eastAsia="楷体" w:cs="宋体"/>
          <w:color w:val="auto"/>
          <w:sz w:val="24"/>
          <w:highlight w:val="none"/>
        </w:rPr>
        <w:t>请根据自己的真实情况出具《残疾人福利性单位声明函》。依法享受中小企业优惠政策的，采购人或者采购代理机构在公告中标结果时，同时公告其《残疾人福利性单位声明函》，接受社会监督。</w:t>
      </w:r>
    </w:p>
    <w:p w14:paraId="2081DC4F">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br w:type="page"/>
      </w:r>
    </w:p>
    <w:p w14:paraId="6DDEB348">
      <w:pPr>
        <w:jc w:val="center"/>
        <w:rPr>
          <w:rFonts w:hint="eastAsia" w:ascii="宋体" w:hAnsi="宋体" w:cs="宋体"/>
          <w:color w:val="auto"/>
          <w:sz w:val="24"/>
          <w:highlight w:val="none"/>
        </w:rPr>
      </w:pPr>
      <w:r>
        <w:rPr>
          <w:rFonts w:hint="eastAsia" w:ascii="宋体" w:hAnsi="宋体" w:cs="宋体"/>
          <w:b/>
          <w:bCs/>
          <w:color w:val="auto"/>
          <w:sz w:val="44"/>
          <w:szCs w:val="44"/>
          <w:highlight w:val="none"/>
        </w:rPr>
        <w:t>关于符合本国产品标准的声明函</w:t>
      </w:r>
    </w:p>
    <w:p w14:paraId="1390BEA1">
      <w:pPr>
        <w:spacing w:line="360" w:lineRule="auto"/>
        <w:ind w:firstLine="480" w:firstLineChars="200"/>
        <w:rPr>
          <w:rFonts w:hint="eastAsia" w:ascii="宋体" w:hAnsi="宋体" w:cs="宋体"/>
          <w:color w:val="auto"/>
          <w:sz w:val="24"/>
          <w:highlight w:val="none"/>
        </w:rPr>
      </w:pPr>
    </w:p>
    <w:p w14:paraId="32EDE880">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本公司(单位)郑重声明，根据《国务院办公厅关于在政府采购中实施本国产品标准及相关政策的通知》(国办发〔2025〕34号)的规定，本公司(单位)提供的以下产品属于本国产品。具体情况如下：</w:t>
      </w:r>
    </w:p>
    <w:p w14:paraId="6BFD5150">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1.(产品名称1)1，生产厂为(厂名)2，厂址为(生产厂址)。(产品名称1)的中国境内生产的组件成本占比≥(规定比例)3。(产品名称1)的(关键组件)4在中国境内生产。(产品名称1)的(关键工序)5在中国境内完成。</w:t>
      </w:r>
    </w:p>
    <w:p w14:paraId="70254998">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2.(产品名称2)，生产厂为(厂名)，厂址为(生产厂址)。(产品名称2)的中国境内生产的组件成本占比≥(规定比例)。(产品名称2)的(关键组件)在中国境内生产。(产品名称2)的(关键工序)在中国境内完成。</w:t>
      </w:r>
    </w:p>
    <w:p w14:paraId="61853CD6">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w:t>
      </w:r>
    </w:p>
    <w:p w14:paraId="4F7BB7E1">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本公司(单位)对上述声明内容的真实性负责。如有虚假，愿承担相应法律责任。</w:t>
      </w:r>
    </w:p>
    <w:p w14:paraId="584A2048">
      <w:pPr>
        <w:spacing w:line="360" w:lineRule="auto"/>
        <w:rPr>
          <w:rFonts w:hint="eastAsia" w:ascii="宋体" w:hAnsi="宋体" w:cs="宋体"/>
          <w:color w:val="auto"/>
          <w:sz w:val="24"/>
          <w:highlight w:val="none"/>
        </w:rPr>
      </w:pPr>
    </w:p>
    <w:p w14:paraId="2EC5596D">
      <w:pPr>
        <w:spacing w:line="360" w:lineRule="auto"/>
        <w:jc w:val="right"/>
        <w:rPr>
          <w:rFonts w:hint="eastAsia" w:ascii="宋体" w:hAnsi="宋体" w:cs="宋体"/>
          <w:color w:val="auto"/>
          <w:sz w:val="24"/>
          <w:highlight w:val="none"/>
        </w:rPr>
      </w:pPr>
      <w:r>
        <w:rPr>
          <w:rFonts w:hint="eastAsia" w:ascii="宋体" w:hAnsi="宋体" w:cs="宋体"/>
          <w:color w:val="auto"/>
          <w:sz w:val="24"/>
          <w:highlight w:val="none"/>
        </w:rPr>
        <w:t>公司(单位)名称(盖章)：　        </w:t>
      </w:r>
    </w:p>
    <w:p w14:paraId="64047A52">
      <w:pPr>
        <w:spacing w:line="360" w:lineRule="auto"/>
        <w:jc w:val="right"/>
        <w:rPr>
          <w:rFonts w:hint="eastAsia" w:ascii="宋体" w:hAnsi="宋体" w:cs="宋体"/>
          <w:color w:val="auto"/>
          <w:sz w:val="24"/>
          <w:highlight w:val="none"/>
        </w:rPr>
      </w:pPr>
      <w:r>
        <w:rPr>
          <w:rFonts w:hint="eastAsia" w:ascii="宋体" w:hAnsi="宋体" w:cs="宋体"/>
          <w:color w:val="auto"/>
          <w:sz w:val="24"/>
          <w:highlight w:val="none"/>
        </w:rPr>
        <w:t>日期：　     年　  月　  日         </w:t>
      </w:r>
    </w:p>
    <w:p w14:paraId="1AD57FD2">
      <w:pPr>
        <w:spacing w:line="360" w:lineRule="auto"/>
        <w:ind w:firstLine="480" w:firstLineChars="200"/>
        <w:rPr>
          <w:rFonts w:hint="eastAsia" w:ascii="宋体" w:hAnsi="宋体" w:cs="宋体"/>
          <w:color w:val="auto"/>
          <w:sz w:val="24"/>
          <w:highlight w:val="none"/>
        </w:rPr>
      </w:pPr>
    </w:p>
    <w:p w14:paraId="0B956193">
      <w:pPr>
        <w:spacing w:line="360" w:lineRule="auto"/>
        <w:ind w:firstLine="480" w:firstLineChars="200"/>
        <w:rPr>
          <w:rFonts w:hint="eastAsia" w:ascii="楷体" w:hAnsi="楷体" w:eastAsia="楷体" w:cs="宋体"/>
          <w:color w:val="auto"/>
          <w:sz w:val="24"/>
          <w:highlight w:val="none"/>
        </w:rPr>
      </w:pPr>
      <w:r>
        <w:rPr>
          <w:rFonts w:hint="eastAsia" w:ascii="楷体" w:hAnsi="楷体" w:eastAsia="楷体" w:cs="宋体"/>
          <w:color w:val="auto"/>
          <w:sz w:val="24"/>
          <w:highlight w:val="none"/>
        </w:rPr>
        <w:t>1.产品如有型号，请在“产品名称”栏一并填写。</w:t>
      </w:r>
    </w:p>
    <w:p w14:paraId="7CCD0669">
      <w:pPr>
        <w:spacing w:line="360" w:lineRule="auto"/>
        <w:ind w:firstLine="480" w:firstLineChars="200"/>
        <w:rPr>
          <w:rFonts w:hint="eastAsia" w:ascii="楷体" w:hAnsi="楷体" w:eastAsia="楷体" w:cs="宋体"/>
          <w:color w:val="auto"/>
          <w:sz w:val="24"/>
          <w:highlight w:val="none"/>
        </w:rPr>
      </w:pPr>
      <w:r>
        <w:rPr>
          <w:rFonts w:hint="eastAsia" w:ascii="楷体" w:hAnsi="楷体" w:eastAsia="楷体" w:cs="宋体"/>
          <w:color w:val="auto"/>
          <w:sz w:val="24"/>
          <w:highlight w:val="none"/>
        </w:rPr>
        <w:t>2.生产厂名与厂址应与生产厂营业执照载明的相关信息保持一致。</w:t>
      </w:r>
    </w:p>
    <w:p w14:paraId="607BEB52">
      <w:pPr>
        <w:spacing w:line="360" w:lineRule="auto"/>
        <w:ind w:firstLine="480" w:firstLineChars="200"/>
        <w:rPr>
          <w:rFonts w:hint="eastAsia" w:ascii="楷体" w:hAnsi="楷体" w:eastAsia="楷体" w:cs="宋体"/>
          <w:color w:val="auto"/>
          <w:sz w:val="24"/>
          <w:highlight w:val="none"/>
        </w:rPr>
      </w:pPr>
      <w:r>
        <w:rPr>
          <w:rFonts w:hint="eastAsia" w:ascii="楷体" w:hAnsi="楷体" w:eastAsia="楷体" w:cs="宋体"/>
          <w:color w:val="auto"/>
          <w:sz w:val="24"/>
          <w:highlight w:val="none"/>
        </w:rPr>
        <w:t>3.该产品的中国境内生产的组件成本占比相关要求实施前，“规定比例”栏可不填，下同。</w:t>
      </w:r>
    </w:p>
    <w:p w14:paraId="0CFF8853">
      <w:pPr>
        <w:spacing w:line="360" w:lineRule="auto"/>
        <w:ind w:firstLine="480" w:firstLineChars="200"/>
        <w:rPr>
          <w:rFonts w:hint="eastAsia" w:ascii="楷体" w:hAnsi="楷体" w:eastAsia="楷体" w:cs="宋体"/>
          <w:color w:val="auto"/>
          <w:sz w:val="24"/>
          <w:highlight w:val="none"/>
        </w:rPr>
      </w:pPr>
      <w:r>
        <w:rPr>
          <w:rFonts w:hint="eastAsia" w:ascii="楷体" w:hAnsi="楷体" w:eastAsia="楷体" w:cs="宋体"/>
          <w:color w:val="auto"/>
          <w:sz w:val="24"/>
          <w:highlight w:val="none"/>
        </w:rPr>
        <w:t>4.该产品的关键组件要求实施前，“关键组件”栏可不填，下同。</w:t>
      </w:r>
    </w:p>
    <w:p w14:paraId="421DA255">
      <w:pPr>
        <w:spacing w:line="360" w:lineRule="auto"/>
        <w:ind w:firstLine="480" w:firstLineChars="200"/>
        <w:rPr>
          <w:rFonts w:hint="eastAsia" w:ascii="楷体" w:hAnsi="楷体" w:eastAsia="楷体" w:cs="宋体"/>
          <w:color w:val="auto"/>
          <w:sz w:val="24"/>
          <w:highlight w:val="none"/>
        </w:rPr>
      </w:pPr>
      <w:r>
        <w:rPr>
          <w:rFonts w:hint="eastAsia" w:ascii="楷体" w:hAnsi="楷体" w:eastAsia="楷体" w:cs="宋体"/>
          <w:color w:val="auto"/>
          <w:sz w:val="24"/>
          <w:highlight w:val="none"/>
        </w:rPr>
        <w:t>5.该产品的关键工序要求实施前，“关键工序”栏可不填，下同。</w:t>
      </w:r>
    </w:p>
    <w:p w14:paraId="20A4D07B">
      <w:pPr>
        <w:spacing w:line="360" w:lineRule="auto"/>
        <w:jc w:val="center"/>
        <w:rPr>
          <w:rFonts w:hint="eastAsia" w:ascii="宋体" w:hAnsi="宋体" w:cs="宋体"/>
          <w:b/>
          <w:color w:val="auto"/>
          <w:sz w:val="44"/>
          <w:szCs w:val="44"/>
          <w:highlight w:val="none"/>
        </w:rPr>
      </w:pPr>
    </w:p>
    <w:p w14:paraId="329FFCF2">
      <w:pPr>
        <w:pStyle w:val="33"/>
        <w:rPr>
          <w:color w:val="auto"/>
          <w:highlight w:val="none"/>
        </w:rPr>
      </w:pPr>
    </w:p>
    <w:p w14:paraId="265CE9C5">
      <w:pPr>
        <w:pStyle w:val="33"/>
        <w:rPr>
          <w:color w:val="auto"/>
          <w:highlight w:val="none"/>
        </w:rPr>
      </w:pPr>
    </w:p>
    <w:p w14:paraId="505C696B">
      <w:pPr>
        <w:pStyle w:val="33"/>
        <w:rPr>
          <w:color w:val="auto"/>
          <w:highlight w:val="none"/>
        </w:rPr>
      </w:pPr>
    </w:p>
    <w:p w14:paraId="6AA9BBBB">
      <w:pPr>
        <w:pStyle w:val="33"/>
        <w:rPr>
          <w:color w:val="auto"/>
          <w:highlight w:val="none"/>
        </w:rPr>
      </w:pPr>
    </w:p>
    <w:p w14:paraId="20952F64">
      <w:pPr>
        <w:pStyle w:val="33"/>
        <w:rPr>
          <w:color w:val="auto"/>
          <w:highlight w:val="none"/>
        </w:rPr>
      </w:pPr>
    </w:p>
    <w:p w14:paraId="5F44AE3E">
      <w:pPr>
        <w:pStyle w:val="33"/>
        <w:rPr>
          <w:color w:val="auto"/>
          <w:highlight w:val="none"/>
        </w:rPr>
      </w:pPr>
    </w:p>
    <w:p w14:paraId="6D82F26D">
      <w:pPr>
        <w:spacing w:line="360" w:lineRule="auto"/>
        <w:jc w:val="center"/>
        <w:rPr>
          <w:rFonts w:hint="eastAsia" w:ascii="宋体" w:hAnsi="宋体" w:cs="宋体"/>
          <w:b/>
          <w:bCs/>
          <w:color w:val="auto"/>
          <w:sz w:val="32"/>
          <w:szCs w:val="32"/>
          <w:highlight w:val="none"/>
        </w:rPr>
      </w:pPr>
      <w:r>
        <w:rPr>
          <w:rFonts w:hint="eastAsia" w:ascii="宋体" w:hAnsi="宋体" w:cs="宋体"/>
          <w:b/>
          <w:color w:val="auto"/>
          <w:sz w:val="44"/>
          <w:szCs w:val="44"/>
          <w:highlight w:val="none"/>
        </w:rPr>
        <w:t>质疑函</w:t>
      </w:r>
      <w:r>
        <w:rPr>
          <w:rFonts w:hint="eastAsia" w:ascii="宋体" w:hAnsi="宋体" w:cs="宋体"/>
          <w:color w:val="auto"/>
          <w:sz w:val="28"/>
          <w:szCs w:val="28"/>
          <w:highlight w:val="none"/>
        </w:rPr>
        <w:t>（格式）</w:t>
      </w:r>
    </w:p>
    <w:p w14:paraId="539B2340">
      <w:pPr>
        <w:spacing w:line="360" w:lineRule="auto"/>
        <w:jc w:val="center"/>
        <w:rPr>
          <w:rFonts w:hint="eastAsia" w:ascii="宋体" w:hAnsi="宋体" w:cs="宋体"/>
          <w:b/>
          <w:bCs/>
          <w:color w:val="auto"/>
          <w:sz w:val="32"/>
          <w:szCs w:val="32"/>
          <w:highlight w:val="none"/>
        </w:rPr>
      </w:pPr>
    </w:p>
    <w:p w14:paraId="01A43E92">
      <w:pPr>
        <w:pStyle w:val="14"/>
        <w:spacing w:line="360" w:lineRule="auto"/>
        <w:ind w:firstLine="482" w:firstLineChars="200"/>
        <w:contextualSpacing/>
        <w:rPr>
          <w:rFonts w:hint="eastAsia" w:hAnsi="宋体" w:cs="宋体"/>
          <w:b/>
          <w:bCs/>
          <w:color w:val="auto"/>
          <w:sz w:val="24"/>
          <w:szCs w:val="24"/>
          <w:highlight w:val="none"/>
        </w:rPr>
      </w:pPr>
      <w:r>
        <w:rPr>
          <w:rFonts w:hint="eastAsia" w:hAnsi="宋体" w:cs="宋体"/>
          <w:b/>
          <w:bCs/>
          <w:color w:val="auto"/>
          <w:sz w:val="24"/>
          <w:szCs w:val="24"/>
          <w:highlight w:val="none"/>
        </w:rPr>
        <w:t>一、质疑供应商基本信息：</w:t>
      </w:r>
    </w:p>
    <w:p w14:paraId="1501253C">
      <w:pPr>
        <w:pStyle w:val="14"/>
        <w:spacing w:line="360" w:lineRule="auto"/>
        <w:ind w:firstLine="480" w:firstLineChars="200"/>
        <w:contextualSpacing/>
        <w:rPr>
          <w:rFonts w:hint="eastAsia" w:hAnsi="宋体" w:cs="宋体"/>
          <w:bCs/>
          <w:color w:val="auto"/>
          <w:sz w:val="24"/>
          <w:szCs w:val="24"/>
          <w:highlight w:val="none"/>
          <w:u w:val="single"/>
        </w:rPr>
      </w:pPr>
      <w:r>
        <w:rPr>
          <w:rFonts w:hint="eastAsia" w:hAnsi="宋体" w:cs="宋体"/>
          <w:bCs/>
          <w:color w:val="auto"/>
          <w:sz w:val="24"/>
          <w:szCs w:val="24"/>
          <w:highlight w:val="none"/>
        </w:rPr>
        <w:t>质疑供应商：</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67FE1921">
      <w:pPr>
        <w:pStyle w:val="14"/>
        <w:spacing w:line="360" w:lineRule="auto"/>
        <w:ind w:firstLine="480" w:firstLineChars="200"/>
        <w:contextualSpacing/>
        <w:rPr>
          <w:rFonts w:hint="eastAsia" w:hAnsi="宋体" w:cs="宋体"/>
          <w:bCs/>
          <w:color w:val="auto"/>
          <w:sz w:val="24"/>
          <w:szCs w:val="24"/>
          <w:highlight w:val="non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1A170462">
      <w:pPr>
        <w:pStyle w:val="14"/>
        <w:spacing w:line="360" w:lineRule="auto"/>
        <w:ind w:firstLine="480" w:firstLineChars="200"/>
        <w:contextualSpacing/>
        <w:rPr>
          <w:rFonts w:hint="eastAsia" w:hAnsi="宋体" w:cs="宋体"/>
          <w:bCs/>
          <w:color w:val="auto"/>
          <w:sz w:val="24"/>
          <w:szCs w:val="24"/>
          <w:highlight w:val="none"/>
        </w:rPr>
      </w:pPr>
      <w:r>
        <w:rPr>
          <w:rFonts w:hint="eastAsia" w:hAnsi="宋体" w:cs="宋体"/>
          <w:bCs/>
          <w:color w:val="auto"/>
          <w:sz w:val="24"/>
          <w:szCs w:val="24"/>
          <w:highlight w:val="none"/>
        </w:rPr>
        <w:t>联系人：</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000FE94A">
      <w:pPr>
        <w:pStyle w:val="14"/>
        <w:spacing w:line="360" w:lineRule="auto"/>
        <w:ind w:firstLine="480" w:firstLineChars="200"/>
        <w:contextualSpacing/>
        <w:rPr>
          <w:rFonts w:hint="eastAsia" w:hAnsi="宋体" w:cs="宋体"/>
          <w:bCs/>
          <w:color w:val="auto"/>
          <w:sz w:val="24"/>
          <w:szCs w:val="24"/>
          <w:highlight w:val="none"/>
        </w:rPr>
      </w:pPr>
      <w:r>
        <w:rPr>
          <w:rFonts w:hint="eastAsia" w:hAnsi="宋体" w:cs="宋体"/>
          <w:bCs/>
          <w:color w:val="auto"/>
          <w:sz w:val="24"/>
          <w:szCs w:val="24"/>
          <w:highlight w:val="none"/>
        </w:rPr>
        <w:t>授权代表：</w:t>
      </w:r>
      <w:r>
        <w:rPr>
          <w:rFonts w:hint="eastAsia" w:hAnsi="宋体" w:cs="宋体"/>
          <w:bCs/>
          <w:color w:val="auto"/>
          <w:sz w:val="24"/>
          <w:szCs w:val="24"/>
          <w:highlight w:val="none"/>
          <w:u w:val="single"/>
        </w:rPr>
        <w:t xml:space="preserve">                      </w:t>
      </w:r>
    </w:p>
    <w:p w14:paraId="7D756C82">
      <w:pPr>
        <w:pStyle w:val="14"/>
        <w:spacing w:line="360" w:lineRule="auto"/>
        <w:ind w:firstLine="480" w:firstLineChars="200"/>
        <w:contextualSpacing/>
        <w:rPr>
          <w:rFonts w:hint="eastAsia" w:hAnsi="宋体" w:cs="宋体"/>
          <w:bCs/>
          <w:color w:val="auto"/>
          <w:sz w:val="24"/>
          <w:szCs w:val="24"/>
          <w:highlight w:val="none"/>
          <w:u w:val="single"/>
        </w:rPr>
      </w:pP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1CD0B303">
      <w:pPr>
        <w:pStyle w:val="14"/>
        <w:spacing w:line="360" w:lineRule="auto"/>
        <w:ind w:firstLine="480" w:firstLineChars="200"/>
        <w:contextualSpacing/>
        <w:rPr>
          <w:rFonts w:hint="eastAsia" w:hAnsi="宋体" w:cs="宋体"/>
          <w:bCs/>
          <w:color w:val="auto"/>
          <w:sz w:val="24"/>
          <w:szCs w:val="24"/>
          <w:highlight w:val="non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0D703E0E">
      <w:pPr>
        <w:pStyle w:val="14"/>
        <w:spacing w:line="360" w:lineRule="auto"/>
        <w:ind w:firstLine="482" w:firstLineChars="200"/>
        <w:contextualSpacing/>
        <w:rPr>
          <w:rFonts w:hint="eastAsia" w:hAnsi="宋体" w:cs="宋体"/>
          <w:b/>
          <w:bCs/>
          <w:color w:val="auto"/>
          <w:sz w:val="24"/>
          <w:szCs w:val="24"/>
          <w:highlight w:val="none"/>
        </w:rPr>
      </w:pPr>
      <w:r>
        <w:rPr>
          <w:rFonts w:hint="eastAsia" w:hAnsi="宋体" w:cs="宋体"/>
          <w:b/>
          <w:bCs/>
          <w:color w:val="auto"/>
          <w:sz w:val="24"/>
          <w:szCs w:val="24"/>
          <w:highlight w:val="none"/>
        </w:rPr>
        <w:t>二、质疑项目基本情况：</w:t>
      </w:r>
    </w:p>
    <w:p w14:paraId="260948E6">
      <w:pPr>
        <w:pStyle w:val="14"/>
        <w:spacing w:line="360" w:lineRule="auto"/>
        <w:ind w:firstLine="472" w:firstLineChars="197"/>
        <w:contextualSpacing/>
        <w:rPr>
          <w:rFonts w:hint="eastAsia" w:hAnsi="宋体" w:cs="宋体"/>
          <w:color w:val="auto"/>
          <w:sz w:val="24"/>
          <w:szCs w:val="24"/>
          <w:highlight w:val="none"/>
        </w:rPr>
      </w:pPr>
      <w:r>
        <w:rPr>
          <w:rFonts w:hint="eastAsia" w:hAnsi="宋体" w:cs="宋体"/>
          <w:bCs/>
          <w:color w:val="auto"/>
          <w:sz w:val="24"/>
          <w:szCs w:val="24"/>
          <w:highlight w:val="none"/>
        </w:rPr>
        <w:t>质疑</w:t>
      </w:r>
      <w:r>
        <w:rPr>
          <w:rFonts w:hint="eastAsia" w:hAnsi="宋体" w:cs="宋体"/>
          <w:color w:val="auto"/>
          <w:sz w:val="24"/>
          <w:szCs w:val="24"/>
          <w:highlight w:val="none"/>
        </w:rPr>
        <w:t>项目的名称：</w:t>
      </w:r>
      <w:r>
        <w:rPr>
          <w:rFonts w:hint="eastAsia" w:hAnsi="宋体" w:cs="宋体"/>
          <w:bCs/>
          <w:color w:val="auto"/>
          <w:sz w:val="24"/>
          <w:szCs w:val="24"/>
          <w:highlight w:val="none"/>
          <w:u w:val="single"/>
        </w:rPr>
        <w:t xml:space="preserve">                                     </w:t>
      </w:r>
    </w:p>
    <w:p w14:paraId="4D3E60AB">
      <w:pPr>
        <w:pStyle w:val="14"/>
        <w:spacing w:line="360" w:lineRule="auto"/>
        <w:ind w:firstLine="472" w:firstLineChars="197"/>
        <w:contextualSpacing/>
        <w:rPr>
          <w:rFonts w:hint="eastAsia" w:hAnsi="宋体" w:cs="宋体"/>
          <w:color w:val="auto"/>
          <w:sz w:val="24"/>
          <w:szCs w:val="24"/>
          <w:highlight w:val="none"/>
        </w:rPr>
      </w:pPr>
      <w:r>
        <w:rPr>
          <w:rFonts w:hint="eastAsia" w:hAnsi="宋体" w:cs="宋体"/>
          <w:bCs/>
          <w:color w:val="auto"/>
          <w:sz w:val="24"/>
          <w:szCs w:val="24"/>
          <w:highlight w:val="none"/>
        </w:rPr>
        <w:t>质疑</w:t>
      </w:r>
      <w:r>
        <w:rPr>
          <w:rFonts w:hint="eastAsia" w:hAnsi="宋体" w:cs="宋体"/>
          <w:color w:val="auto"/>
          <w:sz w:val="24"/>
          <w:szCs w:val="24"/>
          <w:highlight w:val="none"/>
        </w:rPr>
        <w:t>项目的编号：</w:t>
      </w:r>
      <w:r>
        <w:rPr>
          <w:rFonts w:hint="eastAsia" w:hAnsi="宋体" w:cs="宋体"/>
          <w:bCs/>
          <w:color w:val="auto"/>
          <w:sz w:val="24"/>
          <w:szCs w:val="24"/>
          <w:highlight w:val="none"/>
          <w:u w:val="single"/>
        </w:rPr>
        <w:t xml:space="preserve">                                     </w:t>
      </w:r>
    </w:p>
    <w:p w14:paraId="6D0F540A">
      <w:pPr>
        <w:pStyle w:val="14"/>
        <w:spacing w:line="360" w:lineRule="auto"/>
        <w:ind w:firstLine="472" w:firstLineChars="197"/>
        <w:contextualSpacing/>
        <w:rPr>
          <w:rFonts w:hint="eastAsia" w:hAnsi="宋体" w:cs="宋体"/>
          <w:color w:val="auto"/>
          <w:sz w:val="24"/>
          <w:szCs w:val="24"/>
          <w:highlight w:val="none"/>
        </w:rPr>
      </w:pPr>
      <w:r>
        <w:rPr>
          <w:rFonts w:hint="eastAsia" w:hAnsi="宋体" w:cs="宋体"/>
          <w:color w:val="auto"/>
          <w:sz w:val="24"/>
          <w:szCs w:val="24"/>
          <w:highlight w:val="none"/>
        </w:rPr>
        <w:t>采购人名称：</w:t>
      </w:r>
      <w:r>
        <w:rPr>
          <w:rFonts w:hint="eastAsia" w:hAnsi="宋体" w:cs="宋体"/>
          <w:bCs/>
          <w:color w:val="auto"/>
          <w:sz w:val="24"/>
          <w:szCs w:val="24"/>
          <w:highlight w:val="none"/>
          <w:u w:val="single"/>
        </w:rPr>
        <w:t xml:space="preserve">                                         </w:t>
      </w:r>
    </w:p>
    <w:p w14:paraId="0017EE43">
      <w:pPr>
        <w:pStyle w:val="14"/>
        <w:spacing w:line="360" w:lineRule="auto"/>
        <w:ind w:firstLine="472" w:firstLineChars="197"/>
        <w:contextualSpacing/>
        <w:rPr>
          <w:rFonts w:hint="eastAsia" w:hAnsi="宋体" w:cs="宋体"/>
          <w:color w:val="auto"/>
          <w:sz w:val="24"/>
          <w:szCs w:val="24"/>
          <w:highlight w:val="none"/>
        </w:rPr>
      </w:pPr>
      <w:r>
        <w:rPr>
          <w:rFonts w:hint="eastAsia" w:hAnsi="宋体" w:cs="宋体"/>
          <w:color w:val="auto"/>
          <w:sz w:val="24"/>
          <w:szCs w:val="24"/>
          <w:highlight w:val="none"/>
        </w:rPr>
        <w:t>质疑事项：</w:t>
      </w:r>
    </w:p>
    <w:p w14:paraId="311C1FBC">
      <w:pPr>
        <w:pStyle w:val="14"/>
        <w:spacing w:line="360" w:lineRule="auto"/>
        <w:ind w:firstLine="352" w:firstLineChars="147"/>
        <w:contextualSpacing/>
        <w:rPr>
          <w:rFonts w:hint="eastAsia" w:hAnsi="宋体" w:cs="宋体"/>
          <w:color w:val="auto"/>
          <w:sz w:val="24"/>
          <w:szCs w:val="24"/>
          <w:highlight w:val="none"/>
        </w:rPr>
      </w:pPr>
      <w:r>
        <w:rPr>
          <w:rFonts w:hint="eastAsia" w:hAnsi="宋体" w:cs="宋体"/>
          <w:color w:val="auto"/>
          <w:sz w:val="24"/>
          <w:szCs w:val="24"/>
          <w:highlight w:val="none"/>
        </w:rPr>
        <w:t>□采购文件   采购文件获取日期：</w:t>
      </w:r>
      <w:r>
        <w:rPr>
          <w:rFonts w:hint="eastAsia" w:hAnsi="宋体" w:cs="宋体"/>
          <w:bCs/>
          <w:color w:val="auto"/>
          <w:sz w:val="24"/>
          <w:szCs w:val="24"/>
          <w:highlight w:val="none"/>
          <w:u w:val="single"/>
        </w:rPr>
        <w:t xml:space="preserve">                                   </w:t>
      </w:r>
    </w:p>
    <w:p w14:paraId="1EFA4D43">
      <w:pPr>
        <w:pStyle w:val="14"/>
        <w:spacing w:line="360" w:lineRule="auto"/>
        <w:ind w:firstLine="352" w:firstLineChars="147"/>
        <w:contextualSpacing/>
        <w:rPr>
          <w:rFonts w:hint="eastAsia" w:hAnsi="宋体" w:cs="宋体"/>
          <w:color w:val="auto"/>
          <w:sz w:val="24"/>
          <w:szCs w:val="24"/>
          <w:highlight w:val="none"/>
        </w:rPr>
      </w:pPr>
      <w:r>
        <w:rPr>
          <w:rFonts w:hint="eastAsia" w:hAnsi="宋体" w:cs="宋体"/>
          <w:color w:val="auto"/>
          <w:sz w:val="24"/>
          <w:szCs w:val="24"/>
          <w:highlight w:val="none"/>
        </w:rPr>
        <w:t xml:space="preserve">□采购过程   </w:t>
      </w:r>
    </w:p>
    <w:p w14:paraId="0372BBEA">
      <w:pPr>
        <w:pStyle w:val="14"/>
        <w:spacing w:line="360" w:lineRule="auto"/>
        <w:ind w:firstLine="352" w:firstLineChars="147"/>
        <w:contextualSpacing/>
        <w:rPr>
          <w:rFonts w:hint="eastAsia" w:hAnsi="宋体" w:cs="宋体"/>
          <w:bCs/>
          <w:color w:val="auto"/>
          <w:sz w:val="24"/>
          <w:szCs w:val="24"/>
          <w:highlight w:val="none"/>
          <w:u w:val="single"/>
        </w:rPr>
      </w:pPr>
      <w:r>
        <w:rPr>
          <w:rFonts w:hint="eastAsia" w:hAnsi="宋体" w:cs="宋体"/>
          <w:color w:val="auto"/>
          <w:sz w:val="24"/>
          <w:szCs w:val="24"/>
          <w:highlight w:val="none"/>
        </w:rPr>
        <w:t xml:space="preserve">□成交结果   </w:t>
      </w:r>
    </w:p>
    <w:p w14:paraId="639FB8CD">
      <w:pPr>
        <w:pStyle w:val="14"/>
        <w:spacing w:line="360" w:lineRule="auto"/>
        <w:ind w:firstLine="472" w:firstLineChars="196"/>
        <w:contextualSpacing/>
        <w:rPr>
          <w:rFonts w:hint="eastAsia" w:hAnsi="宋体" w:cs="宋体"/>
          <w:b/>
          <w:color w:val="auto"/>
          <w:sz w:val="24"/>
          <w:szCs w:val="24"/>
          <w:highlight w:val="none"/>
        </w:rPr>
      </w:pPr>
      <w:r>
        <w:rPr>
          <w:rFonts w:hint="eastAsia" w:hAnsi="宋体" w:cs="宋体"/>
          <w:b/>
          <w:color w:val="auto"/>
          <w:sz w:val="24"/>
          <w:szCs w:val="24"/>
          <w:highlight w:val="none"/>
        </w:rPr>
        <w:t>三、质疑事项具体内容</w:t>
      </w:r>
    </w:p>
    <w:p w14:paraId="0181848A">
      <w:pPr>
        <w:pStyle w:val="14"/>
        <w:spacing w:line="360" w:lineRule="auto"/>
        <w:ind w:firstLine="472" w:firstLineChars="197"/>
        <w:contextualSpacing/>
        <w:rPr>
          <w:rFonts w:hint="eastAsia" w:hAnsi="宋体" w:cs="宋体"/>
          <w:color w:val="auto"/>
          <w:sz w:val="24"/>
          <w:szCs w:val="24"/>
          <w:highlight w:val="none"/>
        </w:rPr>
      </w:pPr>
      <w:r>
        <w:rPr>
          <w:rFonts w:hint="eastAsia" w:hAnsi="宋体" w:cs="宋体"/>
          <w:color w:val="auto"/>
          <w:sz w:val="24"/>
          <w:szCs w:val="24"/>
          <w:highlight w:val="none"/>
        </w:rPr>
        <w:t>质疑事项1：</w:t>
      </w:r>
      <w:r>
        <w:rPr>
          <w:rFonts w:hint="eastAsia" w:hAnsi="宋体" w:cs="宋体"/>
          <w:bCs/>
          <w:color w:val="auto"/>
          <w:sz w:val="24"/>
          <w:szCs w:val="24"/>
          <w:highlight w:val="none"/>
          <w:u w:val="single"/>
        </w:rPr>
        <w:t xml:space="preserve">                                                                    </w:t>
      </w:r>
    </w:p>
    <w:p w14:paraId="60C66378">
      <w:pPr>
        <w:pStyle w:val="14"/>
        <w:spacing w:line="360" w:lineRule="auto"/>
        <w:ind w:firstLine="472" w:firstLineChars="197"/>
        <w:contextualSpacing/>
        <w:rPr>
          <w:rFonts w:hint="eastAsia" w:hAnsi="宋体" w:cs="宋体"/>
          <w:color w:val="auto"/>
          <w:sz w:val="24"/>
          <w:szCs w:val="24"/>
          <w:highlight w:val="none"/>
        </w:rPr>
      </w:pPr>
      <w:r>
        <w:rPr>
          <w:rFonts w:hint="eastAsia" w:hAnsi="宋体" w:cs="宋体"/>
          <w:color w:val="auto"/>
          <w:sz w:val="24"/>
          <w:szCs w:val="24"/>
          <w:highlight w:val="none"/>
        </w:rPr>
        <w:t>事实依据：</w:t>
      </w:r>
      <w:r>
        <w:rPr>
          <w:rFonts w:hint="eastAsia" w:hAnsi="宋体" w:cs="宋体"/>
          <w:bCs/>
          <w:color w:val="auto"/>
          <w:sz w:val="24"/>
          <w:szCs w:val="24"/>
          <w:highlight w:val="none"/>
          <w:u w:val="single"/>
        </w:rPr>
        <w:t xml:space="preserve">                                                                      </w:t>
      </w:r>
    </w:p>
    <w:p w14:paraId="35E2DB6C">
      <w:pPr>
        <w:pStyle w:val="14"/>
        <w:spacing w:line="360" w:lineRule="auto"/>
        <w:ind w:firstLine="472" w:firstLineChars="197"/>
        <w:contextualSpacing/>
        <w:rPr>
          <w:rFonts w:hint="eastAsia" w:hAnsi="宋体" w:cs="宋体"/>
          <w:color w:val="auto"/>
          <w:sz w:val="24"/>
          <w:szCs w:val="24"/>
          <w:highlight w:val="none"/>
        </w:rPr>
      </w:pPr>
      <w:r>
        <w:rPr>
          <w:rFonts w:hint="eastAsia" w:hAnsi="宋体" w:cs="宋体"/>
          <w:color w:val="auto"/>
          <w:sz w:val="24"/>
          <w:szCs w:val="24"/>
          <w:highlight w:val="none"/>
        </w:rPr>
        <w:t>法律依据：</w:t>
      </w:r>
      <w:r>
        <w:rPr>
          <w:rFonts w:hint="eastAsia" w:hAnsi="宋体" w:cs="宋体"/>
          <w:color w:val="auto"/>
          <w:sz w:val="24"/>
          <w:szCs w:val="24"/>
          <w:highlight w:val="none"/>
          <w:u w:val="single"/>
        </w:rPr>
        <w:t xml:space="preserve">                                                        </w:t>
      </w:r>
      <w:r>
        <w:rPr>
          <w:rFonts w:hint="eastAsia" w:hAnsi="宋体" w:cs="宋体"/>
          <w:bCs/>
          <w:color w:val="auto"/>
          <w:sz w:val="24"/>
          <w:szCs w:val="24"/>
          <w:highlight w:val="none"/>
          <w:u w:val="single"/>
        </w:rPr>
        <w:t xml:space="preserve">               </w:t>
      </w:r>
    </w:p>
    <w:p w14:paraId="5B088198">
      <w:pPr>
        <w:pStyle w:val="14"/>
        <w:spacing w:line="360" w:lineRule="auto"/>
        <w:ind w:firstLine="472" w:firstLineChars="197"/>
        <w:contextualSpacing/>
        <w:rPr>
          <w:rFonts w:hint="eastAsia" w:hAnsi="宋体" w:cs="宋体"/>
          <w:color w:val="auto"/>
          <w:sz w:val="24"/>
          <w:szCs w:val="24"/>
          <w:highlight w:val="none"/>
        </w:rPr>
      </w:pPr>
      <w:r>
        <w:rPr>
          <w:rFonts w:hint="eastAsia" w:hAnsi="宋体" w:cs="宋体"/>
          <w:color w:val="auto"/>
          <w:sz w:val="24"/>
          <w:szCs w:val="24"/>
          <w:highlight w:val="none"/>
        </w:rPr>
        <w:t>质疑事项2</w:t>
      </w:r>
    </w:p>
    <w:p w14:paraId="7060895F">
      <w:pPr>
        <w:pStyle w:val="14"/>
        <w:spacing w:line="360" w:lineRule="auto"/>
        <w:ind w:firstLine="472" w:firstLineChars="197"/>
        <w:contextualSpacing/>
        <w:rPr>
          <w:rFonts w:hint="eastAsia" w:hAnsi="宋体" w:cs="宋体"/>
          <w:color w:val="auto"/>
          <w:sz w:val="24"/>
          <w:szCs w:val="24"/>
          <w:highlight w:val="none"/>
        </w:rPr>
      </w:pPr>
      <w:r>
        <w:rPr>
          <w:rFonts w:hint="eastAsia" w:hAnsi="宋体" w:cs="宋体"/>
          <w:color w:val="auto"/>
          <w:sz w:val="24"/>
          <w:szCs w:val="24"/>
          <w:highlight w:val="none"/>
        </w:rPr>
        <w:t>……</w:t>
      </w:r>
    </w:p>
    <w:p w14:paraId="4282E398">
      <w:pPr>
        <w:pStyle w:val="14"/>
        <w:spacing w:line="360" w:lineRule="auto"/>
        <w:ind w:firstLine="472" w:firstLineChars="197"/>
        <w:contextualSpacing/>
        <w:rPr>
          <w:rFonts w:hint="eastAsia" w:hAnsi="宋体" w:cs="宋体"/>
          <w:color w:val="auto"/>
          <w:sz w:val="24"/>
          <w:szCs w:val="24"/>
          <w:highlight w:val="none"/>
        </w:rPr>
      </w:pPr>
      <w:r>
        <w:rPr>
          <w:rFonts w:hint="eastAsia" w:hAnsi="宋体" w:cs="宋体"/>
          <w:color w:val="auto"/>
          <w:sz w:val="24"/>
          <w:szCs w:val="24"/>
          <w:highlight w:val="none"/>
        </w:rPr>
        <w:t>四、与质疑事项相关的质疑请求：</w:t>
      </w:r>
    </w:p>
    <w:p w14:paraId="32620F38">
      <w:pPr>
        <w:pStyle w:val="14"/>
        <w:spacing w:line="360" w:lineRule="auto"/>
        <w:ind w:firstLine="472" w:firstLineChars="197"/>
        <w:contextualSpacing/>
        <w:rPr>
          <w:rFonts w:hint="eastAsia" w:hAnsi="宋体" w:cs="宋体"/>
          <w:color w:val="auto"/>
          <w:sz w:val="24"/>
          <w:szCs w:val="24"/>
          <w:highlight w:val="none"/>
        </w:rPr>
      </w:pPr>
      <w:r>
        <w:rPr>
          <w:rFonts w:hint="eastAsia" w:hAnsi="宋体" w:cs="宋体"/>
          <w:color w:val="auto"/>
          <w:sz w:val="24"/>
          <w:szCs w:val="24"/>
          <w:highlight w:val="none"/>
        </w:rPr>
        <w:t>请求：</w:t>
      </w:r>
      <w:r>
        <w:rPr>
          <w:rFonts w:hint="eastAsia" w:hAnsi="宋体" w:cs="宋体"/>
          <w:bCs/>
          <w:color w:val="auto"/>
          <w:sz w:val="24"/>
          <w:szCs w:val="24"/>
          <w:highlight w:val="none"/>
          <w:u w:val="single"/>
        </w:rPr>
        <w:t xml:space="preserve">                                                                </w:t>
      </w:r>
    </w:p>
    <w:p w14:paraId="76EE9861">
      <w:pPr>
        <w:pStyle w:val="14"/>
        <w:spacing w:line="360" w:lineRule="auto"/>
        <w:ind w:firstLine="352" w:firstLineChars="147"/>
        <w:contextualSpacing/>
        <w:rPr>
          <w:rFonts w:hint="eastAsia" w:hAnsi="宋体" w:cs="宋体"/>
          <w:color w:val="auto"/>
          <w:sz w:val="24"/>
          <w:szCs w:val="24"/>
          <w:highlight w:val="none"/>
        </w:rPr>
      </w:pPr>
    </w:p>
    <w:p w14:paraId="7813740A">
      <w:pPr>
        <w:pStyle w:val="14"/>
        <w:spacing w:line="360" w:lineRule="auto"/>
        <w:ind w:firstLine="472" w:firstLineChars="197"/>
        <w:contextualSpacing/>
        <w:rPr>
          <w:rFonts w:hint="eastAsia" w:hAnsi="宋体" w:cs="宋体"/>
          <w:color w:val="auto"/>
          <w:sz w:val="24"/>
          <w:szCs w:val="24"/>
          <w:highlight w:val="none"/>
          <w:u w:val="single"/>
        </w:rPr>
      </w:pPr>
      <w:r>
        <w:rPr>
          <w:rFonts w:hint="eastAsia" w:hAnsi="宋体" w:cs="宋体"/>
          <w:color w:val="auto"/>
          <w:sz w:val="24"/>
          <w:szCs w:val="24"/>
          <w:highlight w:val="none"/>
        </w:rPr>
        <w:t>签字（签章）：</w:t>
      </w:r>
      <w:r>
        <w:rPr>
          <w:rFonts w:hint="eastAsia" w:hAnsi="宋体" w:cs="宋体"/>
          <w:color w:val="auto"/>
          <w:sz w:val="24"/>
          <w:szCs w:val="24"/>
          <w:highlight w:val="none"/>
          <w:u w:val="single"/>
        </w:rPr>
        <w:t xml:space="preserve"> </w:t>
      </w:r>
      <w:r>
        <w:rPr>
          <w:rFonts w:hAnsi="宋体" w:cs="宋体"/>
          <w:color w:val="auto"/>
          <w:sz w:val="24"/>
          <w:szCs w:val="24"/>
          <w:highlight w:val="none"/>
          <w:u w:val="single"/>
        </w:rPr>
        <w:t xml:space="preserve">              </w:t>
      </w:r>
      <w:r>
        <w:rPr>
          <w:rFonts w:hint="eastAsia" w:hAnsi="宋体" w:cs="宋体"/>
          <w:color w:val="auto"/>
          <w:sz w:val="24"/>
          <w:szCs w:val="24"/>
          <w:highlight w:val="none"/>
        </w:rPr>
        <w:t xml:space="preserve">                     公章：</w:t>
      </w:r>
      <w:r>
        <w:rPr>
          <w:rFonts w:hint="eastAsia" w:hAnsi="宋体" w:cs="宋体"/>
          <w:color w:val="auto"/>
          <w:sz w:val="24"/>
          <w:szCs w:val="24"/>
          <w:highlight w:val="none"/>
          <w:u w:val="single"/>
        </w:rPr>
        <w:t xml:space="preserve"> </w:t>
      </w:r>
      <w:r>
        <w:rPr>
          <w:rFonts w:hAnsi="宋体" w:cs="宋体"/>
          <w:color w:val="auto"/>
          <w:sz w:val="24"/>
          <w:szCs w:val="24"/>
          <w:highlight w:val="none"/>
          <w:u w:val="single"/>
        </w:rPr>
        <w:t xml:space="preserve">                 </w:t>
      </w:r>
    </w:p>
    <w:p w14:paraId="1D579647">
      <w:pPr>
        <w:pStyle w:val="14"/>
        <w:spacing w:line="360" w:lineRule="auto"/>
        <w:ind w:firstLine="472" w:firstLineChars="197"/>
        <w:contextualSpacing/>
        <w:rPr>
          <w:rFonts w:hint="eastAsia" w:hAnsi="宋体" w:cs="宋体"/>
          <w:color w:val="auto"/>
          <w:sz w:val="24"/>
          <w:szCs w:val="24"/>
          <w:highlight w:val="none"/>
        </w:rPr>
      </w:pPr>
      <w:r>
        <w:rPr>
          <w:rFonts w:hint="eastAsia" w:hAnsi="宋体" w:cs="宋体"/>
          <w:color w:val="auto"/>
          <w:sz w:val="24"/>
          <w:szCs w:val="24"/>
          <w:highlight w:val="none"/>
        </w:rPr>
        <w:t>日期：</w:t>
      </w:r>
      <w:r>
        <w:rPr>
          <w:rFonts w:hint="eastAsia" w:cs="宋体" w:asciiTheme="minorEastAsia" w:hAnsiTheme="minorEastAsia" w:eastAsiaTheme="minorEastAsia"/>
          <w:color w:val="auto"/>
          <w:spacing w:val="20"/>
          <w:sz w:val="24"/>
          <w:highlight w:val="none"/>
          <w:u w:val="single"/>
        </w:rPr>
        <w:t xml:space="preserve"> </w:t>
      </w:r>
      <w:r>
        <w:rPr>
          <w:rFonts w:cs="宋体" w:asciiTheme="minorEastAsia" w:hAnsiTheme="minorEastAsia" w:eastAsiaTheme="minorEastAsia"/>
          <w:color w:val="auto"/>
          <w:spacing w:val="20"/>
          <w:sz w:val="24"/>
          <w:highlight w:val="none"/>
          <w:u w:val="single"/>
        </w:rPr>
        <w:t xml:space="preserve">  </w:t>
      </w:r>
      <w:r>
        <w:rPr>
          <w:rFonts w:hint="eastAsia" w:cs="宋体" w:asciiTheme="minorEastAsia" w:hAnsiTheme="minorEastAsia" w:eastAsiaTheme="minorEastAsia"/>
          <w:color w:val="auto"/>
          <w:spacing w:val="20"/>
          <w:sz w:val="24"/>
          <w:highlight w:val="none"/>
          <w:u w:val="single"/>
        </w:rPr>
        <w:t xml:space="preserve">  </w:t>
      </w:r>
      <w:r>
        <w:rPr>
          <w:rFonts w:hint="eastAsia" w:cs="宋体" w:asciiTheme="minorEastAsia" w:hAnsiTheme="minorEastAsia" w:eastAsiaTheme="minorEastAsia"/>
          <w:color w:val="auto"/>
          <w:spacing w:val="20"/>
          <w:sz w:val="24"/>
          <w:highlight w:val="none"/>
        </w:rPr>
        <w:t>年</w:t>
      </w:r>
      <w:r>
        <w:rPr>
          <w:rFonts w:hint="eastAsia" w:cs="宋体" w:asciiTheme="minorEastAsia" w:hAnsiTheme="minorEastAsia" w:eastAsiaTheme="minorEastAsia"/>
          <w:color w:val="auto"/>
          <w:spacing w:val="20"/>
          <w:sz w:val="24"/>
          <w:highlight w:val="none"/>
          <w:u w:val="single"/>
        </w:rPr>
        <w:t xml:space="preserve">  </w:t>
      </w:r>
      <w:r>
        <w:rPr>
          <w:rFonts w:hint="eastAsia" w:cs="宋体" w:asciiTheme="minorEastAsia" w:hAnsiTheme="minorEastAsia" w:eastAsiaTheme="minorEastAsia"/>
          <w:color w:val="auto"/>
          <w:spacing w:val="20"/>
          <w:sz w:val="24"/>
          <w:highlight w:val="none"/>
        </w:rPr>
        <w:t>月</w:t>
      </w:r>
      <w:r>
        <w:rPr>
          <w:rFonts w:hint="eastAsia" w:cs="宋体" w:asciiTheme="minorEastAsia" w:hAnsiTheme="minorEastAsia" w:eastAsiaTheme="minorEastAsia"/>
          <w:color w:val="auto"/>
          <w:spacing w:val="20"/>
          <w:sz w:val="24"/>
          <w:highlight w:val="none"/>
          <w:u w:val="single"/>
        </w:rPr>
        <w:t xml:space="preserve">  </w:t>
      </w:r>
      <w:r>
        <w:rPr>
          <w:rFonts w:hint="eastAsia" w:cs="宋体" w:asciiTheme="minorEastAsia" w:hAnsiTheme="minorEastAsia" w:eastAsiaTheme="minorEastAsia"/>
          <w:color w:val="auto"/>
          <w:spacing w:val="20"/>
          <w:sz w:val="24"/>
          <w:highlight w:val="none"/>
        </w:rPr>
        <w:t>日</w:t>
      </w:r>
    </w:p>
    <w:p w14:paraId="442CD1F9">
      <w:pPr>
        <w:pStyle w:val="14"/>
        <w:spacing w:line="360" w:lineRule="auto"/>
        <w:contextualSpacing/>
        <w:rPr>
          <w:rFonts w:hint="eastAsia" w:hAnsi="宋体" w:cs="宋体"/>
          <w:b/>
          <w:color w:val="auto"/>
          <w:sz w:val="24"/>
          <w:szCs w:val="24"/>
          <w:highlight w:val="none"/>
        </w:rPr>
      </w:pPr>
    </w:p>
    <w:p w14:paraId="06800F6F">
      <w:pPr>
        <w:pStyle w:val="14"/>
        <w:spacing w:line="360" w:lineRule="auto"/>
        <w:contextualSpacing/>
        <w:rPr>
          <w:rFonts w:hint="eastAsia" w:ascii="楷体" w:hAnsi="楷体" w:eastAsia="楷体" w:cs="宋体"/>
          <w:b/>
          <w:color w:val="auto"/>
          <w:sz w:val="24"/>
          <w:szCs w:val="24"/>
          <w:highlight w:val="none"/>
        </w:rPr>
      </w:pPr>
      <w:r>
        <w:rPr>
          <w:rFonts w:hint="eastAsia" w:ascii="楷体" w:hAnsi="楷体" w:eastAsia="楷体" w:cs="宋体"/>
          <w:b/>
          <w:color w:val="auto"/>
          <w:sz w:val="24"/>
          <w:szCs w:val="24"/>
          <w:highlight w:val="none"/>
        </w:rPr>
        <w:t>说明：</w:t>
      </w:r>
    </w:p>
    <w:p w14:paraId="79DCBDDB">
      <w:pPr>
        <w:pStyle w:val="14"/>
        <w:spacing w:line="360" w:lineRule="auto"/>
        <w:ind w:firstLine="354" w:firstLineChars="147"/>
        <w:contextualSpacing/>
        <w:rPr>
          <w:rFonts w:hint="eastAsia" w:ascii="楷体" w:hAnsi="楷体" w:eastAsia="楷体" w:cs="宋体"/>
          <w:b/>
          <w:bCs/>
          <w:color w:val="auto"/>
          <w:sz w:val="24"/>
          <w:szCs w:val="24"/>
          <w:highlight w:val="none"/>
        </w:rPr>
      </w:pPr>
      <w:r>
        <w:rPr>
          <w:rFonts w:ascii="楷体" w:hAnsi="楷体" w:eastAsia="楷体" w:cs="宋体"/>
          <w:b/>
          <w:color w:val="auto"/>
          <w:sz w:val="24"/>
          <w:szCs w:val="24"/>
          <w:highlight w:val="none"/>
        </w:rPr>
        <w:t>1.供应商提出质疑时，应提交质疑函和必要的证明材料</w:t>
      </w:r>
      <w:r>
        <w:rPr>
          <w:rFonts w:hint="eastAsia" w:ascii="楷体" w:hAnsi="楷体" w:eastAsia="楷体" w:cs="宋体"/>
          <w:b/>
          <w:bCs/>
          <w:color w:val="auto"/>
          <w:sz w:val="24"/>
          <w:szCs w:val="24"/>
          <w:highlight w:val="none"/>
        </w:rPr>
        <w:t>。</w:t>
      </w:r>
    </w:p>
    <w:p w14:paraId="246C8507">
      <w:pPr>
        <w:pStyle w:val="14"/>
        <w:spacing w:line="360" w:lineRule="auto"/>
        <w:ind w:firstLine="354" w:firstLineChars="147"/>
        <w:contextualSpacing/>
        <w:rPr>
          <w:rFonts w:hint="eastAsia" w:ascii="楷体" w:hAnsi="楷体" w:eastAsia="楷体" w:cs="宋体"/>
          <w:b/>
          <w:color w:val="auto"/>
          <w:sz w:val="24"/>
          <w:szCs w:val="24"/>
          <w:highlight w:val="none"/>
        </w:rPr>
      </w:pPr>
      <w:r>
        <w:rPr>
          <w:rFonts w:ascii="楷体" w:hAnsi="楷体" w:eastAsia="楷体" w:cs="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72382ACB">
      <w:pPr>
        <w:pStyle w:val="14"/>
        <w:spacing w:line="360" w:lineRule="auto"/>
        <w:ind w:firstLine="354" w:firstLineChars="147"/>
        <w:contextualSpacing/>
        <w:rPr>
          <w:rFonts w:hint="eastAsia" w:ascii="楷体" w:hAnsi="楷体" w:eastAsia="楷体" w:cs="宋体"/>
          <w:b/>
          <w:color w:val="auto"/>
          <w:sz w:val="24"/>
          <w:szCs w:val="24"/>
          <w:highlight w:val="none"/>
        </w:rPr>
      </w:pPr>
      <w:r>
        <w:rPr>
          <w:rFonts w:ascii="楷体" w:hAnsi="楷体" w:eastAsia="楷体" w:cs="宋体"/>
          <w:b/>
          <w:color w:val="auto"/>
          <w:sz w:val="24"/>
          <w:szCs w:val="24"/>
          <w:highlight w:val="none"/>
        </w:rPr>
        <w:t>3.质疑函的质疑事项应具体、明确，并有必要的事实依据和法律依据。</w:t>
      </w:r>
    </w:p>
    <w:p w14:paraId="6FCE91FF">
      <w:pPr>
        <w:pStyle w:val="14"/>
        <w:spacing w:line="360" w:lineRule="auto"/>
        <w:ind w:firstLine="354" w:firstLineChars="147"/>
        <w:contextualSpacing/>
        <w:rPr>
          <w:rFonts w:hint="eastAsia" w:ascii="楷体" w:hAnsi="楷体" w:eastAsia="楷体" w:cs="宋体"/>
          <w:b/>
          <w:color w:val="auto"/>
          <w:sz w:val="24"/>
          <w:szCs w:val="24"/>
          <w:highlight w:val="none"/>
        </w:rPr>
      </w:pPr>
      <w:r>
        <w:rPr>
          <w:rFonts w:ascii="楷体" w:hAnsi="楷体" w:eastAsia="楷体" w:cs="宋体"/>
          <w:b/>
          <w:color w:val="auto"/>
          <w:sz w:val="24"/>
          <w:szCs w:val="24"/>
          <w:highlight w:val="none"/>
        </w:rPr>
        <w:t>4.质疑函的质疑请求应与质疑事项相关。</w:t>
      </w:r>
    </w:p>
    <w:p w14:paraId="62C3E556">
      <w:pPr>
        <w:pStyle w:val="14"/>
        <w:spacing w:line="360" w:lineRule="auto"/>
        <w:ind w:firstLine="354" w:firstLineChars="147"/>
        <w:contextualSpacing/>
        <w:rPr>
          <w:rFonts w:hint="eastAsia" w:ascii="楷体" w:hAnsi="楷体" w:eastAsia="楷体" w:cs="宋体"/>
          <w:b/>
          <w:color w:val="auto"/>
          <w:highlight w:val="none"/>
        </w:rPr>
      </w:pPr>
      <w:r>
        <w:rPr>
          <w:rFonts w:ascii="楷体" w:hAnsi="楷体" w:eastAsia="楷体" w:cs="宋体"/>
          <w:b/>
          <w:color w:val="auto"/>
          <w:sz w:val="24"/>
          <w:szCs w:val="24"/>
          <w:highlight w:val="none"/>
        </w:rPr>
        <w:t>5.质疑供应商为法人或者其他组织的，质疑函应由法定代表人、主要负责人，或者其授权代表签字或者盖章，并加盖公章。</w:t>
      </w:r>
    </w:p>
    <w:p w14:paraId="1041FE45">
      <w:pPr>
        <w:pStyle w:val="14"/>
        <w:snapToGrid w:val="0"/>
        <w:spacing w:line="360" w:lineRule="auto"/>
        <w:rPr>
          <w:rFonts w:hint="eastAsia" w:hAnsi="宋体" w:cs="宋体"/>
          <w:b/>
          <w:color w:val="auto"/>
          <w:sz w:val="24"/>
          <w:szCs w:val="24"/>
          <w:highlight w:val="none"/>
        </w:rPr>
      </w:pPr>
    </w:p>
    <w:p w14:paraId="4EC4515E">
      <w:pPr>
        <w:spacing w:line="360" w:lineRule="auto"/>
        <w:rPr>
          <w:rFonts w:hint="eastAsia" w:ascii="宋体" w:hAnsi="宋体" w:cs="宋体"/>
          <w:color w:val="auto"/>
          <w:highlight w:val="none"/>
        </w:rPr>
      </w:pPr>
      <w:r>
        <w:rPr>
          <w:rFonts w:hint="eastAsia" w:ascii="宋体" w:hAnsi="宋体" w:cs="宋体"/>
          <w:color w:val="auto"/>
          <w:highlight w:val="none"/>
        </w:rPr>
        <w:br w:type="page"/>
      </w:r>
    </w:p>
    <w:p w14:paraId="5C7254BE">
      <w:pPr>
        <w:spacing w:line="360" w:lineRule="auto"/>
        <w:jc w:val="center"/>
        <w:rPr>
          <w:rFonts w:hint="eastAsia" w:ascii="宋体" w:hAnsi="宋体" w:cs="宋体"/>
          <w:color w:val="auto"/>
          <w:sz w:val="44"/>
          <w:szCs w:val="44"/>
          <w:highlight w:val="none"/>
        </w:rPr>
      </w:pPr>
      <w:r>
        <w:rPr>
          <w:rFonts w:hint="eastAsia" w:ascii="宋体" w:hAnsi="宋体" w:cs="宋体"/>
          <w:b/>
          <w:color w:val="auto"/>
          <w:sz w:val="44"/>
          <w:szCs w:val="44"/>
          <w:highlight w:val="none"/>
        </w:rPr>
        <w:t>投诉书</w:t>
      </w:r>
      <w:r>
        <w:rPr>
          <w:rFonts w:hint="eastAsia" w:ascii="宋体" w:hAnsi="宋体" w:cs="宋体"/>
          <w:color w:val="auto"/>
          <w:sz w:val="28"/>
          <w:szCs w:val="28"/>
          <w:highlight w:val="none"/>
        </w:rPr>
        <w:t>（格式）</w:t>
      </w:r>
    </w:p>
    <w:p w14:paraId="2929F5CF">
      <w:pPr>
        <w:pStyle w:val="14"/>
        <w:snapToGrid w:val="0"/>
        <w:spacing w:line="360" w:lineRule="auto"/>
        <w:ind w:firstLine="482" w:firstLineChars="200"/>
        <w:rPr>
          <w:rFonts w:hint="eastAsia" w:hAnsi="宋体" w:cs="宋体"/>
          <w:b/>
          <w:bCs/>
          <w:color w:val="auto"/>
          <w:sz w:val="24"/>
          <w:szCs w:val="24"/>
          <w:highlight w:val="none"/>
        </w:rPr>
      </w:pPr>
      <w:r>
        <w:rPr>
          <w:rFonts w:hint="eastAsia" w:hAnsi="宋体" w:cs="宋体"/>
          <w:b/>
          <w:bCs/>
          <w:color w:val="auto"/>
          <w:sz w:val="24"/>
          <w:szCs w:val="24"/>
          <w:highlight w:val="none"/>
        </w:rPr>
        <w:t>一、投诉相关主体基本情况：</w:t>
      </w:r>
    </w:p>
    <w:p w14:paraId="49C7D88C">
      <w:pPr>
        <w:pStyle w:val="14"/>
        <w:snapToGrid w:val="0"/>
        <w:spacing w:line="360" w:lineRule="auto"/>
        <w:ind w:firstLine="480" w:firstLineChars="200"/>
        <w:rPr>
          <w:rFonts w:hint="eastAsia" w:hAnsi="宋体" w:cs="宋体"/>
          <w:bCs/>
          <w:color w:val="auto"/>
          <w:sz w:val="24"/>
          <w:szCs w:val="24"/>
          <w:highlight w:val="none"/>
          <w:u w:val="single"/>
        </w:rPr>
      </w:pPr>
      <w:r>
        <w:rPr>
          <w:rFonts w:hint="eastAsia" w:hAnsi="宋体" w:cs="宋体"/>
          <w:bCs/>
          <w:color w:val="auto"/>
          <w:sz w:val="24"/>
          <w:szCs w:val="24"/>
          <w:highlight w:val="none"/>
        </w:rPr>
        <w:t>供应商：</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12CB3E3E">
      <w:pPr>
        <w:pStyle w:val="14"/>
        <w:snapToGrid w:val="0"/>
        <w:spacing w:line="360" w:lineRule="auto"/>
        <w:ind w:firstLine="480" w:firstLineChars="200"/>
        <w:rPr>
          <w:rFonts w:hint="eastAsia" w:hAnsi="宋体" w:cs="宋体"/>
          <w:bCs/>
          <w:color w:val="auto"/>
          <w:sz w:val="24"/>
          <w:szCs w:val="24"/>
          <w:highlight w:val="non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1A1F79A9">
      <w:pPr>
        <w:pStyle w:val="14"/>
        <w:snapToGrid w:val="0"/>
        <w:spacing w:line="360" w:lineRule="auto"/>
        <w:ind w:firstLine="480" w:firstLineChars="200"/>
        <w:rPr>
          <w:rFonts w:hint="eastAsia" w:hAnsi="宋体" w:cs="宋体"/>
          <w:bCs/>
          <w:color w:val="auto"/>
          <w:sz w:val="24"/>
          <w:szCs w:val="24"/>
          <w:highlight w:val="none"/>
          <w:u w:val="single"/>
        </w:rPr>
      </w:pPr>
      <w:r>
        <w:rPr>
          <w:rFonts w:hint="eastAsia" w:hAnsi="宋体" w:cs="宋体"/>
          <w:bCs/>
          <w:color w:val="auto"/>
          <w:sz w:val="24"/>
          <w:szCs w:val="24"/>
          <w:highlight w:val="none"/>
        </w:rPr>
        <w:t>法定代表人/主要负责人：</w:t>
      </w:r>
      <w:r>
        <w:rPr>
          <w:rFonts w:hint="eastAsia" w:hAnsi="宋体" w:cs="宋体"/>
          <w:bCs/>
          <w:color w:val="auto"/>
          <w:sz w:val="24"/>
          <w:szCs w:val="24"/>
          <w:highlight w:val="none"/>
          <w:u w:val="single"/>
        </w:rPr>
        <w:t xml:space="preserve">                                                         </w:t>
      </w:r>
    </w:p>
    <w:p w14:paraId="448B1785">
      <w:pPr>
        <w:pStyle w:val="14"/>
        <w:snapToGrid w:val="0"/>
        <w:spacing w:line="360" w:lineRule="auto"/>
        <w:ind w:firstLine="480" w:firstLineChars="200"/>
        <w:rPr>
          <w:rFonts w:hint="eastAsia" w:hAnsi="宋体" w:cs="宋体"/>
          <w:bCs/>
          <w:color w:val="auto"/>
          <w:sz w:val="24"/>
          <w:szCs w:val="24"/>
          <w:highlight w:val="none"/>
        </w:rPr>
      </w:pP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27121BF7">
      <w:pPr>
        <w:pStyle w:val="14"/>
        <w:snapToGrid w:val="0"/>
        <w:spacing w:line="360" w:lineRule="auto"/>
        <w:ind w:firstLine="480" w:firstLineChars="200"/>
        <w:rPr>
          <w:rFonts w:hint="eastAsia" w:hAnsi="宋体" w:cs="宋体"/>
          <w:bCs/>
          <w:color w:val="auto"/>
          <w:sz w:val="24"/>
          <w:szCs w:val="24"/>
          <w:highlight w:val="none"/>
          <w:u w:val="single"/>
        </w:rPr>
      </w:pPr>
      <w:r>
        <w:rPr>
          <w:rFonts w:hint="eastAsia" w:hAnsi="宋体" w:cs="宋体"/>
          <w:bCs/>
          <w:color w:val="auto"/>
          <w:sz w:val="24"/>
          <w:szCs w:val="24"/>
          <w:highlight w:val="none"/>
        </w:rPr>
        <w:t>授权代表：</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7CC7939D">
      <w:pPr>
        <w:pStyle w:val="14"/>
        <w:snapToGrid w:val="0"/>
        <w:spacing w:line="360" w:lineRule="auto"/>
        <w:ind w:firstLine="480" w:firstLineChars="200"/>
        <w:rPr>
          <w:rFonts w:hint="eastAsia" w:hAnsi="宋体" w:cs="宋体"/>
          <w:bCs/>
          <w:color w:val="auto"/>
          <w:sz w:val="24"/>
          <w:szCs w:val="24"/>
          <w:highlight w:val="none"/>
          <w:u w:val="singl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p>
    <w:p w14:paraId="0F76F9C8">
      <w:pPr>
        <w:pStyle w:val="14"/>
        <w:snapToGrid w:val="0"/>
        <w:spacing w:line="360" w:lineRule="auto"/>
        <w:ind w:firstLine="480" w:firstLineChars="200"/>
        <w:rPr>
          <w:rFonts w:hint="eastAsia" w:hAnsi="宋体" w:cs="宋体"/>
          <w:bCs/>
          <w:color w:val="auto"/>
          <w:sz w:val="24"/>
          <w:szCs w:val="24"/>
          <w:highlight w:val="none"/>
        </w:rPr>
      </w:pP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625917FD">
      <w:pPr>
        <w:pStyle w:val="14"/>
        <w:snapToGrid w:val="0"/>
        <w:spacing w:line="360" w:lineRule="auto"/>
        <w:ind w:firstLine="480" w:firstLineChars="200"/>
        <w:rPr>
          <w:rFonts w:hint="eastAsia" w:hAnsi="宋体" w:cs="宋体"/>
          <w:bCs/>
          <w:color w:val="auto"/>
          <w:sz w:val="24"/>
          <w:szCs w:val="24"/>
          <w:highlight w:val="none"/>
        </w:rPr>
      </w:pPr>
      <w:r>
        <w:rPr>
          <w:rFonts w:hint="eastAsia" w:hAnsi="宋体" w:cs="宋体"/>
          <w:bCs/>
          <w:color w:val="auto"/>
          <w:sz w:val="24"/>
          <w:szCs w:val="24"/>
          <w:highlight w:val="none"/>
        </w:rPr>
        <w:t>被投诉人1：</w:t>
      </w:r>
    </w:p>
    <w:p w14:paraId="0EFA36CE">
      <w:pPr>
        <w:pStyle w:val="14"/>
        <w:snapToGrid w:val="0"/>
        <w:spacing w:line="360" w:lineRule="auto"/>
        <w:ind w:firstLine="480" w:firstLineChars="200"/>
        <w:rPr>
          <w:rFonts w:hint="eastAsia" w:hAnsi="宋体" w:cs="宋体"/>
          <w:bCs/>
          <w:color w:val="auto"/>
          <w:sz w:val="24"/>
          <w:szCs w:val="24"/>
          <w:highlight w:val="none"/>
          <w:u w:val="singl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p>
    <w:p w14:paraId="301533E9">
      <w:pPr>
        <w:pStyle w:val="14"/>
        <w:snapToGrid w:val="0"/>
        <w:spacing w:line="360" w:lineRule="auto"/>
        <w:ind w:firstLine="480" w:firstLineChars="200"/>
        <w:rPr>
          <w:rFonts w:hint="eastAsia" w:hAnsi="宋体" w:cs="宋体"/>
          <w:bCs/>
          <w:color w:val="auto"/>
          <w:sz w:val="24"/>
          <w:szCs w:val="24"/>
          <w:highlight w:val="none"/>
        </w:rPr>
      </w:pP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38753887">
      <w:pPr>
        <w:pStyle w:val="14"/>
        <w:snapToGrid w:val="0"/>
        <w:spacing w:line="360" w:lineRule="auto"/>
        <w:ind w:firstLine="480" w:firstLineChars="200"/>
        <w:rPr>
          <w:rFonts w:hint="eastAsia" w:hAnsi="宋体" w:cs="宋体"/>
          <w:bCs/>
          <w:color w:val="auto"/>
          <w:sz w:val="24"/>
          <w:szCs w:val="24"/>
          <w:highlight w:val="none"/>
          <w:u w:val="single"/>
        </w:rPr>
      </w:pPr>
      <w:r>
        <w:rPr>
          <w:rFonts w:hint="eastAsia" w:hAnsi="宋体" w:cs="宋体"/>
          <w:bCs/>
          <w:color w:val="auto"/>
          <w:sz w:val="24"/>
          <w:szCs w:val="24"/>
          <w:highlight w:val="none"/>
        </w:rPr>
        <w:t>联系人：</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04066671">
      <w:pPr>
        <w:pStyle w:val="14"/>
        <w:snapToGrid w:val="0"/>
        <w:spacing w:line="360" w:lineRule="auto"/>
        <w:ind w:firstLine="480" w:firstLineChars="200"/>
        <w:rPr>
          <w:rFonts w:hint="eastAsia" w:hAnsi="宋体" w:cs="宋体"/>
          <w:bCs/>
          <w:color w:val="auto"/>
          <w:sz w:val="24"/>
          <w:szCs w:val="24"/>
          <w:highlight w:val="none"/>
        </w:rPr>
      </w:pPr>
      <w:r>
        <w:rPr>
          <w:rFonts w:hint="eastAsia" w:hAnsi="宋体" w:cs="宋体"/>
          <w:bCs/>
          <w:color w:val="auto"/>
          <w:sz w:val="24"/>
          <w:szCs w:val="24"/>
          <w:highlight w:val="none"/>
        </w:rPr>
        <w:t>被投诉人2：</w:t>
      </w:r>
    </w:p>
    <w:p w14:paraId="0494B6E6">
      <w:pPr>
        <w:pStyle w:val="14"/>
        <w:snapToGrid w:val="0"/>
        <w:spacing w:line="360" w:lineRule="auto"/>
        <w:ind w:firstLine="480" w:firstLineChars="200"/>
        <w:rPr>
          <w:rFonts w:hint="eastAsia" w:hAnsi="宋体" w:cs="宋体"/>
          <w:bCs/>
          <w:color w:val="auto"/>
          <w:sz w:val="24"/>
          <w:szCs w:val="24"/>
          <w:highlight w:val="none"/>
        </w:rPr>
      </w:pPr>
      <w:r>
        <w:rPr>
          <w:rFonts w:hint="eastAsia" w:hAnsi="宋体" w:cs="宋体"/>
          <w:bCs/>
          <w:color w:val="auto"/>
          <w:sz w:val="24"/>
          <w:szCs w:val="24"/>
          <w:highlight w:val="none"/>
        </w:rPr>
        <w:t>……</w:t>
      </w:r>
    </w:p>
    <w:p w14:paraId="583951B9">
      <w:pPr>
        <w:pStyle w:val="14"/>
        <w:snapToGrid w:val="0"/>
        <w:spacing w:line="360" w:lineRule="auto"/>
        <w:ind w:firstLine="480" w:firstLineChars="200"/>
        <w:rPr>
          <w:rFonts w:hint="eastAsia" w:hAnsi="宋体" w:cs="宋体"/>
          <w:bCs/>
          <w:color w:val="auto"/>
          <w:sz w:val="24"/>
          <w:szCs w:val="24"/>
          <w:highlight w:val="none"/>
          <w:u w:val="single"/>
        </w:rPr>
      </w:pPr>
      <w:r>
        <w:rPr>
          <w:rFonts w:hint="eastAsia" w:hAnsi="宋体" w:cs="宋体"/>
          <w:bCs/>
          <w:color w:val="auto"/>
          <w:sz w:val="24"/>
          <w:szCs w:val="24"/>
          <w:highlight w:val="none"/>
        </w:rPr>
        <w:t>相关供应商：</w:t>
      </w:r>
      <w:r>
        <w:rPr>
          <w:rFonts w:hint="eastAsia" w:hAnsi="宋体" w:cs="宋体"/>
          <w:bCs/>
          <w:color w:val="auto"/>
          <w:sz w:val="24"/>
          <w:szCs w:val="24"/>
          <w:highlight w:val="none"/>
          <w:u w:val="single"/>
        </w:rPr>
        <w:t xml:space="preserve">                                                                       </w:t>
      </w:r>
    </w:p>
    <w:p w14:paraId="2A00FA94">
      <w:pPr>
        <w:pStyle w:val="14"/>
        <w:snapToGrid w:val="0"/>
        <w:spacing w:line="360" w:lineRule="auto"/>
        <w:ind w:firstLine="480" w:firstLineChars="200"/>
        <w:rPr>
          <w:rFonts w:hint="eastAsia" w:hAnsi="宋体" w:cs="宋体"/>
          <w:bCs/>
          <w:color w:val="auto"/>
          <w:sz w:val="24"/>
          <w:szCs w:val="24"/>
          <w:highlight w:val="none"/>
          <w:u w:val="singl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p>
    <w:p w14:paraId="0299C77A">
      <w:pPr>
        <w:pStyle w:val="14"/>
        <w:snapToGrid w:val="0"/>
        <w:spacing w:line="360" w:lineRule="auto"/>
        <w:ind w:firstLine="480" w:firstLineChars="200"/>
        <w:rPr>
          <w:rFonts w:hint="eastAsia" w:hAnsi="宋体" w:cs="宋体"/>
          <w:bCs/>
          <w:color w:val="auto"/>
          <w:sz w:val="24"/>
          <w:szCs w:val="24"/>
          <w:highlight w:val="none"/>
        </w:rPr>
      </w:pPr>
      <w:r>
        <w:rPr>
          <w:rFonts w:hint="eastAsia" w:hAnsi="宋体" w:cs="宋体"/>
          <w:bCs/>
          <w:color w:val="auto"/>
          <w:sz w:val="24"/>
          <w:szCs w:val="24"/>
          <w:highlight w:val="none"/>
        </w:rPr>
        <w:t>联系人：</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60864047">
      <w:pPr>
        <w:pStyle w:val="14"/>
        <w:snapToGrid w:val="0"/>
        <w:spacing w:line="360" w:lineRule="auto"/>
        <w:ind w:firstLine="482" w:firstLineChars="200"/>
        <w:rPr>
          <w:rFonts w:hint="eastAsia" w:hAnsi="宋体" w:cs="宋体"/>
          <w:b/>
          <w:bCs/>
          <w:color w:val="auto"/>
          <w:sz w:val="24"/>
          <w:szCs w:val="24"/>
          <w:highlight w:val="none"/>
        </w:rPr>
      </w:pPr>
      <w:r>
        <w:rPr>
          <w:rFonts w:hint="eastAsia" w:hAnsi="宋体" w:cs="宋体"/>
          <w:b/>
          <w:bCs/>
          <w:color w:val="auto"/>
          <w:sz w:val="24"/>
          <w:szCs w:val="24"/>
          <w:highlight w:val="none"/>
        </w:rPr>
        <w:t>二、投诉项目基本情况：</w:t>
      </w:r>
    </w:p>
    <w:p w14:paraId="195CBD0A">
      <w:pPr>
        <w:pStyle w:val="14"/>
        <w:spacing w:line="360" w:lineRule="auto"/>
        <w:ind w:firstLine="472" w:firstLineChars="197"/>
        <w:rPr>
          <w:rFonts w:hint="eastAsia" w:hAnsi="宋体" w:cs="宋体"/>
          <w:color w:val="auto"/>
          <w:sz w:val="24"/>
          <w:szCs w:val="24"/>
          <w:highlight w:val="none"/>
        </w:rPr>
      </w:pPr>
      <w:r>
        <w:rPr>
          <w:rFonts w:hint="eastAsia" w:hAnsi="宋体" w:cs="宋体"/>
          <w:bCs/>
          <w:color w:val="auto"/>
          <w:sz w:val="24"/>
          <w:szCs w:val="24"/>
          <w:highlight w:val="none"/>
        </w:rPr>
        <w:t>采购</w:t>
      </w:r>
      <w:r>
        <w:rPr>
          <w:rFonts w:hint="eastAsia" w:hAnsi="宋体" w:cs="宋体"/>
          <w:color w:val="auto"/>
          <w:sz w:val="24"/>
          <w:szCs w:val="24"/>
          <w:highlight w:val="none"/>
        </w:rPr>
        <w:t>项目的名称：</w:t>
      </w:r>
      <w:r>
        <w:rPr>
          <w:rFonts w:hint="eastAsia" w:hAnsi="宋体" w:cs="宋体"/>
          <w:bCs/>
          <w:color w:val="auto"/>
          <w:sz w:val="24"/>
          <w:szCs w:val="24"/>
          <w:highlight w:val="none"/>
          <w:u w:val="single"/>
        </w:rPr>
        <w:t xml:space="preserve">                                                                   </w:t>
      </w:r>
    </w:p>
    <w:p w14:paraId="15CCD990">
      <w:pPr>
        <w:pStyle w:val="14"/>
        <w:spacing w:line="360" w:lineRule="auto"/>
        <w:ind w:firstLine="472" w:firstLineChars="197"/>
        <w:rPr>
          <w:rFonts w:hint="eastAsia" w:hAnsi="宋体" w:cs="宋体"/>
          <w:color w:val="auto"/>
          <w:sz w:val="24"/>
          <w:szCs w:val="24"/>
          <w:highlight w:val="none"/>
        </w:rPr>
      </w:pPr>
      <w:r>
        <w:rPr>
          <w:rFonts w:hint="eastAsia" w:hAnsi="宋体" w:cs="宋体"/>
          <w:bCs/>
          <w:color w:val="auto"/>
          <w:sz w:val="24"/>
          <w:szCs w:val="24"/>
          <w:highlight w:val="none"/>
        </w:rPr>
        <w:t>采购</w:t>
      </w:r>
      <w:r>
        <w:rPr>
          <w:rFonts w:hint="eastAsia" w:hAnsi="宋体" w:cs="宋体"/>
          <w:color w:val="auto"/>
          <w:sz w:val="24"/>
          <w:szCs w:val="24"/>
          <w:highlight w:val="none"/>
        </w:rPr>
        <w:t>项目的编号：</w:t>
      </w:r>
      <w:r>
        <w:rPr>
          <w:rFonts w:hint="eastAsia" w:hAnsi="宋体" w:cs="宋体"/>
          <w:bCs/>
          <w:color w:val="auto"/>
          <w:sz w:val="24"/>
          <w:szCs w:val="24"/>
          <w:highlight w:val="none"/>
          <w:u w:val="single"/>
        </w:rPr>
        <w:t xml:space="preserve">                                          </w:t>
      </w:r>
    </w:p>
    <w:p w14:paraId="6EC3343D">
      <w:pPr>
        <w:pStyle w:val="14"/>
        <w:spacing w:line="360" w:lineRule="auto"/>
        <w:ind w:firstLine="472" w:firstLineChars="197"/>
        <w:rPr>
          <w:rFonts w:hint="eastAsia" w:hAnsi="宋体" w:cs="宋体"/>
          <w:bCs/>
          <w:color w:val="auto"/>
          <w:sz w:val="24"/>
          <w:szCs w:val="24"/>
          <w:highlight w:val="none"/>
          <w:u w:val="single"/>
        </w:rPr>
      </w:pPr>
      <w:r>
        <w:rPr>
          <w:rFonts w:hint="eastAsia" w:hAnsi="宋体" w:cs="宋体"/>
          <w:color w:val="auto"/>
          <w:sz w:val="24"/>
          <w:szCs w:val="24"/>
          <w:highlight w:val="none"/>
        </w:rPr>
        <w:t>采购人名称：</w:t>
      </w:r>
      <w:r>
        <w:rPr>
          <w:rFonts w:hint="eastAsia" w:hAnsi="宋体" w:cs="宋体"/>
          <w:bCs/>
          <w:color w:val="auto"/>
          <w:sz w:val="24"/>
          <w:szCs w:val="24"/>
          <w:highlight w:val="none"/>
          <w:u w:val="single"/>
        </w:rPr>
        <w:t xml:space="preserve">                                                                        </w:t>
      </w:r>
    </w:p>
    <w:p w14:paraId="51B7FA93">
      <w:pPr>
        <w:pStyle w:val="14"/>
        <w:spacing w:line="360" w:lineRule="auto"/>
        <w:ind w:firstLine="472" w:firstLineChars="197"/>
        <w:rPr>
          <w:rFonts w:hint="eastAsia" w:hAnsi="宋体" w:cs="宋体"/>
          <w:bCs/>
          <w:color w:val="auto"/>
          <w:sz w:val="24"/>
          <w:szCs w:val="24"/>
          <w:highlight w:val="none"/>
          <w:u w:val="single"/>
        </w:rPr>
      </w:pPr>
      <w:r>
        <w:rPr>
          <w:rFonts w:hint="eastAsia" w:hAnsi="宋体" w:cs="宋体"/>
          <w:color w:val="auto"/>
          <w:sz w:val="24"/>
          <w:szCs w:val="24"/>
          <w:highlight w:val="none"/>
        </w:rPr>
        <w:t>代理机构名称：</w:t>
      </w:r>
      <w:r>
        <w:rPr>
          <w:rFonts w:hint="eastAsia" w:hAnsi="宋体" w:cs="宋体"/>
          <w:bCs/>
          <w:color w:val="auto"/>
          <w:sz w:val="24"/>
          <w:szCs w:val="24"/>
          <w:highlight w:val="none"/>
          <w:u w:val="single"/>
        </w:rPr>
        <w:t xml:space="preserve">                                                                      </w:t>
      </w:r>
    </w:p>
    <w:p w14:paraId="1A14C155">
      <w:pPr>
        <w:pStyle w:val="14"/>
        <w:spacing w:line="360" w:lineRule="auto"/>
        <w:ind w:firstLine="472" w:firstLineChars="197"/>
        <w:rPr>
          <w:rFonts w:hint="eastAsia" w:hAnsi="宋体" w:cs="宋体"/>
          <w:bCs/>
          <w:color w:val="auto"/>
          <w:sz w:val="24"/>
          <w:szCs w:val="24"/>
          <w:highlight w:val="none"/>
          <w:u w:val="single"/>
        </w:rPr>
      </w:pPr>
      <w:r>
        <w:rPr>
          <w:rFonts w:hint="eastAsia" w:hAnsi="宋体" w:cs="宋体"/>
          <w:bCs/>
          <w:color w:val="auto"/>
          <w:sz w:val="24"/>
          <w:szCs w:val="24"/>
          <w:highlight w:val="none"/>
        </w:rPr>
        <w:t>采购文件公告：</w:t>
      </w:r>
      <w:r>
        <w:rPr>
          <w:rFonts w:hint="eastAsia" w:hAnsi="宋体" w:cs="宋体"/>
          <w:bCs/>
          <w:color w:val="auto"/>
          <w:sz w:val="24"/>
          <w:szCs w:val="24"/>
          <w:highlight w:val="none"/>
          <w:u w:val="single"/>
        </w:rPr>
        <w:t>是/否</w:t>
      </w:r>
      <w:r>
        <w:rPr>
          <w:rFonts w:hint="eastAsia" w:hAnsi="宋体" w:cs="宋体"/>
          <w:bCs/>
          <w:color w:val="auto"/>
          <w:sz w:val="24"/>
          <w:szCs w:val="24"/>
          <w:highlight w:val="none"/>
        </w:rPr>
        <w:t>公告期限：</w:t>
      </w:r>
      <w:r>
        <w:rPr>
          <w:rFonts w:hint="eastAsia" w:hAnsi="宋体" w:cs="宋体"/>
          <w:bCs/>
          <w:color w:val="auto"/>
          <w:sz w:val="24"/>
          <w:szCs w:val="24"/>
          <w:highlight w:val="none"/>
          <w:u w:val="single"/>
        </w:rPr>
        <w:t xml:space="preserve">                                                       </w:t>
      </w:r>
    </w:p>
    <w:p w14:paraId="29498AE2">
      <w:pPr>
        <w:pStyle w:val="14"/>
        <w:spacing w:line="360" w:lineRule="auto"/>
        <w:ind w:firstLine="472" w:firstLineChars="197"/>
        <w:rPr>
          <w:rFonts w:hint="eastAsia" w:hAnsi="宋体" w:cs="宋体"/>
          <w:b/>
          <w:color w:val="auto"/>
          <w:sz w:val="24"/>
          <w:szCs w:val="24"/>
          <w:highlight w:val="none"/>
        </w:rPr>
      </w:pPr>
      <w:r>
        <w:rPr>
          <w:rFonts w:hint="eastAsia" w:hAnsi="宋体" w:cs="宋体"/>
          <w:bCs/>
          <w:color w:val="auto"/>
          <w:sz w:val="24"/>
          <w:szCs w:val="24"/>
          <w:highlight w:val="none"/>
        </w:rPr>
        <w:t>采购结果公告：</w:t>
      </w:r>
      <w:r>
        <w:rPr>
          <w:rFonts w:hint="eastAsia" w:hAnsi="宋体" w:cs="宋体"/>
          <w:bCs/>
          <w:color w:val="auto"/>
          <w:sz w:val="24"/>
          <w:szCs w:val="24"/>
          <w:highlight w:val="none"/>
          <w:u w:val="single"/>
        </w:rPr>
        <w:t>是/否</w:t>
      </w:r>
      <w:r>
        <w:rPr>
          <w:rFonts w:hint="eastAsia" w:hAnsi="宋体" w:cs="宋体"/>
          <w:bCs/>
          <w:color w:val="auto"/>
          <w:sz w:val="24"/>
          <w:szCs w:val="24"/>
          <w:highlight w:val="none"/>
        </w:rPr>
        <w:t>公告期限：</w:t>
      </w:r>
      <w:r>
        <w:rPr>
          <w:rFonts w:hint="eastAsia" w:hAnsi="宋体" w:cs="宋体"/>
          <w:bCs/>
          <w:color w:val="auto"/>
          <w:sz w:val="24"/>
          <w:szCs w:val="24"/>
          <w:highlight w:val="none"/>
          <w:u w:val="single"/>
        </w:rPr>
        <w:t xml:space="preserve">                                                       </w:t>
      </w:r>
    </w:p>
    <w:p w14:paraId="0561D201">
      <w:pPr>
        <w:pStyle w:val="14"/>
        <w:spacing w:line="360" w:lineRule="auto"/>
        <w:ind w:firstLine="472" w:firstLineChars="196"/>
        <w:rPr>
          <w:rFonts w:hint="eastAsia" w:hAnsi="宋体" w:cs="宋体"/>
          <w:b/>
          <w:color w:val="auto"/>
          <w:sz w:val="24"/>
          <w:szCs w:val="24"/>
          <w:highlight w:val="none"/>
        </w:rPr>
      </w:pPr>
      <w:r>
        <w:rPr>
          <w:rFonts w:hint="eastAsia" w:hAnsi="宋体" w:cs="宋体"/>
          <w:b/>
          <w:color w:val="auto"/>
          <w:sz w:val="24"/>
          <w:szCs w:val="24"/>
          <w:highlight w:val="none"/>
        </w:rPr>
        <w:t>三、质疑基本情况</w:t>
      </w:r>
    </w:p>
    <w:p w14:paraId="14C211EF">
      <w:pPr>
        <w:pStyle w:val="14"/>
        <w:spacing w:line="360" w:lineRule="auto"/>
        <w:ind w:left="479" w:leftChars="228" w:firstLine="60" w:firstLineChars="25"/>
        <w:rPr>
          <w:rFonts w:hint="eastAsia" w:hAnsi="宋体" w:cs="宋体"/>
          <w:color w:val="auto"/>
          <w:sz w:val="24"/>
          <w:szCs w:val="24"/>
          <w:highlight w:val="none"/>
        </w:rPr>
      </w:pPr>
      <w:r>
        <w:rPr>
          <w:rFonts w:hint="eastAsia" w:hAnsi="宋体" w:cs="宋体"/>
          <w:color w:val="auto"/>
          <w:sz w:val="24"/>
          <w:szCs w:val="24"/>
          <w:highlight w:val="none"/>
        </w:rPr>
        <w:t>投诉人于</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年</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月</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日，向</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提出质疑，质疑事项为：</w:t>
      </w:r>
    </w:p>
    <w:p w14:paraId="7436BFAF">
      <w:pPr>
        <w:pStyle w:val="14"/>
        <w:spacing w:line="360" w:lineRule="auto"/>
        <w:ind w:firstLine="540" w:firstLineChars="225"/>
        <w:rPr>
          <w:rFonts w:hint="eastAsia" w:hAnsi="宋体" w:cs="宋体"/>
          <w:bCs/>
          <w:color w:val="auto"/>
          <w:sz w:val="24"/>
          <w:szCs w:val="24"/>
          <w:highlight w:val="none"/>
          <w:u w:val="single"/>
        </w:rPr>
      </w:pPr>
      <w:r>
        <w:rPr>
          <w:rFonts w:hint="eastAsia" w:hAnsi="宋体" w:cs="宋体"/>
          <w:color w:val="auto"/>
          <w:sz w:val="24"/>
          <w:szCs w:val="24"/>
          <w:highlight w:val="none"/>
        </w:rPr>
        <w:t xml:space="preserve">    </w:t>
      </w:r>
      <w:r>
        <w:rPr>
          <w:rFonts w:hint="eastAsia" w:hAnsi="宋体" w:cs="宋体"/>
          <w:bCs/>
          <w:color w:val="auto"/>
          <w:sz w:val="24"/>
          <w:szCs w:val="24"/>
          <w:highlight w:val="none"/>
          <w:u w:val="single"/>
        </w:rPr>
        <w:t xml:space="preserve">                                                                                      </w:t>
      </w:r>
    </w:p>
    <w:p w14:paraId="73648FD0">
      <w:pPr>
        <w:pStyle w:val="14"/>
        <w:spacing w:line="360" w:lineRule="auto"/>
        <w:ind w:firstLine="540" w:firstLineChars="225"/>
        <w:rPr>
          <w:rFonts w:hint="eastAsia" w:hAnsi="宋体" w:cs="宋体"/>
          <w:bCs/>
          <w:color w:val="auto"/>
          <w:sz w:val="24"/>
          <w:szCs w:val="24"/>
          <w:highlight w:val="none"/>
          <w:u w:val="single"/>
        </w:rPr>
      </w:pPr>
      <w:r>
        <w:rPr>
          <w:rFonts w:hint="eastAsia" w:hAnsi="宋体" w:cs="宋体"/>
          <w:bCs/>
          <w:color w:val="auto"/>
          <w:sz w:val="24"/>
          <w:szCs w:val="24"/>
          <w:highlight w:val="none"/>
        </w:rPr>
        <w:t xml:space="preserve">    </w:t>
      </w:r>
      <w:r>
        <w:rPr>
          <w:rFonts w:hint="eastAsia" w:hAnsi="宋体" w:cs="宋体"/>
          <w:bCs/>
          <w:color w:val="auto"/>
          <w:sz w:val="24"/>
          <w:szCs w:val="24"/>
          <w:highlight w:val="none"/>
          <w:u w:val="single"/>
        </w:rPr>
        <w:t xml:space="preserve">                                                                                      </w:t>
      </w:r>
    </w:p>
    <w:p w14:paraId="73EE067C">
      <w:pPr>
        <w:pStyle w:val="14"/>
        <w:spacing w:line="360" w:lineRule="auto"/>
        <w:ind w:firstLine="540" w:firstLineChars="225"/>
        <w:rPr>
          <w:rFonts w:hint="eastAsia" w:hAnsi="宋体" w:cs="宋体"/>
          <w:color w:val="auto"/>
          <w:sz w:val="24"/>
          <w:szCs w:val="24"/>
          <w:highlight w:val="none"/>
        </w:rPr>
      </w:pPr>
      <w:r>
        <w:rPr>
          <w:rFonts w:hint="eastAsia" w:hAnsi="宋体" w:cs="宋体"/>
          <w:bCs/>
          <w:color w:val="auto"/>
          <w:sz w:val="24"/>
          <w:szCs w:val="24"/>
          <w:highlight w:val="none"/>
          <w:u w:val="single"/>
        </w:rPr>
        <w:t>采购人/代理机构</w:t>
      </w:r>
      <w:r>
        <w:rPr>
          <w:rFonts w:hint="eastAsia" w:hAnsi="宋体" w:cs="宋体"/>
          <w:bCs/>
          <w:color w:val="auto"/>
          <w:sz w:val="24"/>
          <w:szCs w:val="24"/>
          <w:highlight w:val="none"/>
        </w:rPr>
        <w:t>于</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年</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月</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日，</w:t>
      </w:r>
      <w:r>
        <w:rPr>
          <w:rFonts w:hint="eastAsia" w:hAnsi="宋体" w:cs="宋体"/>
          <w:bCs/>
          <w:color w:val="auto"/>
          <w:sz w:val="24"/>
          <w:szCs w:val="24"/>
          <w:highlight w:val="none"/>
        </w:rPr>
        <w:t xml:space="preserve">就质疑事项作出了答复/没有在法定期限内作出答复。                                                                                             </w:t>
      </w:r>
    </w:p>
    <w:p w14:paraId="0D7BC0DB">
      <w:pPr>
        <w:pStyle w:val="14"/>
        <w:spacing w:line="360" w:lineRule="auto"/>
        <w:ind w:firstLine="472" w:firstLineChars="196"/>
        <w:rPr>
          <w:rFonts w:hint="eastAsia" w:hAnsi="宋体" w:cs="宋体"/>
          <w:b/>
          <w:color w:val="auto"/>
          <w:sz w:val="24"/>
          <w:szCs w:val="24"/>
          <w:highlight w:val="none"/>
        </w:rPr>
      </w:pPr>
      <w:r>
        <w:rPr>
          <w:rFonts w:hint="eastAsia" w:hAnsi="宋体" w:cs="宋体"/>
          <w:b/>
          <w:color w:val="auto"/>
          <w:sz w:val="24"/>
          <w:szCs w:val="24"/>
          <w:highlight w:val="none"/>
        </w:rPr>
        <w:t>四、投诉事项具体内容</w:t>
      </w:r>
    </w:p>
    <w:p w14:paraId="5FA24422">
      <w:pPr>
        <w:pStyle w:val="14"/>
        <w:spacing w:line="360" w:lineRule="auto"/>
        <w:ind w:firstLine="472" w:firstLineChars="197"/>
        <w:rPr>
          <w:rFonts w:hint="eastAsia" w:hAnsi="宋体" w:cs="宋体"/>
          <w:bCs/>
          <w:color w:val="auto"/>
          <w:sz w:val="24"/>
          <w:szCs w:val="24"/>
          <w:highlight w:val="none"/>
          <w:u w:val="single"/>
        </w:rPr>
      </w:pPr>
      <w:r>
        <w:rPr>
          <w:rFonts w:hint="eastAsia" w:hAnsi="宋体" w:cs="宋体"/>
          <w:color w:val="auto"/>
          <w:sz w:val="24"/>
          <w:szCs w:val="24"/>
          <w:highlight w:val="none"/>
        </w:rPr>
        <w:t>投诉事项1：</w:t>
      </w:r>
      <w:r>
        <w:rPr>
          <w:rFonts w:hint="eastAsia" w:hAnsi="宋体" w:cs="宋体"/>
          <w:bCs/>
          <w:color w:val="auto"/>
          <w:sz w:val="24"/>
          <w:szCs w:val="24"/>
          <w:highlight w:val="none"/>
          <w:u w:val="single"/>
        </w:rPr>
        <w:t xml:space="preserve">                                                                           </w:t>
      </w:r>
    </w:p>
    <w:p w14:paraId="6F1CBD7E">
      <w:pPr>
        <w:pStyle w:val="14"/>
        <w:spacing w:line="360" w:lineRule="auto"/>
        <w:ind w:firstLine="480" w:firstLineChars="200"/>
        <w:rPr>
          <w:rFonts w:hint="eastAsia" w:hAnsi="宋体" w:cs="宋体"/>
          <w:bCs/>
          <w:color w:val="auto"/>
          <w:sz w:val="24"/>
          <w:szCs w:val="24"/>
          <w:highlight w:val="none"/>
          <w:u w:val="single"/>
        </w:rPr>
      </w:pPr>
      <w:r>
        <w:rPr>
          <w:rFonts w:hint="eastAsia" w:hAnsi="宋体" w:cs="宋体"/>
          <w:bCs/>
          <w:color w:val="auto"/>
          <w:sz w:val="24"/>
          <w:szCs w:val="24"/>
          <w:highlight w:val="none"/>
        </w:rPr>
        <w:t>事实依据：</w:t>
      </w:r>
      <w:r>
        <w:rPr>
          <w:rFonts w:hint="eastAsia" w:hAnsi="宋体" w:cs="宋体"/>
          <w:color w:val="auto"/>
          <w:sz w:val="24"/>
          <w:szCs w:val="24"/>
          <w:highlight w:val="none"/>
        </w:rPr>
        <w:t xml:space="preserve"> </w:t>
      </w:r>
      <w:r>
        <w:rPr>
          <w:rFonts w:hint="eastAsia" w:hAnsi="宋体" w:cs="宋体"/>
          <w:bCs/>
          <w:color w:val="auto"/>
          <w:sz w:val="24"/>
          <w:szCs w:val="24"/>
          <w:highlight w:val="none"/>
          <w:u w:val="single"/>
        </w:rPr>
        <w:t xml:space="preserve">                                                                                      </w:t>
      </w:r>
    </w:p>
    <w:p w14:paraId="3C9E6F41">
      <w:pPr>
        <w:pStyle w:val="14"/>
        <w:spacing w:line="360" w:lineRule="auto"/>
        <w:ind w:firstLine="472" w:firstLineChars="197"/>
        <w:rPr>
          <w:rFonts w:hint="eastAsia" w:hAnsi="宋体" w:cs="宋体"/>
          <w:color w:val="auto"/>
          <w:sz w:val="24"/>
          <w:szCs w:val="24"/>
          <w:highlight w:val="none"/>
        </w:rPr>
      </w:pPr>
      <w:r>
        <w:rPr>
          <w:rFonts w:hint="eastAsia" w:hAnsi="宋体" w:cs="宋体"/>
          <w:bCs/>
          <w:color w:val="auto"/>
          <w:sz w:val="24"/>
          <w:szCs w:val="24"/>
          <w:highlight w:val="none"/>
          <w:u w:val="single"/>
        </w:rPr>
        <w:t xml:space="preserve">                                                                                        </w:t>
      </w:r>
    </w:p>
    <w:p w14:paraId="251EDA6B">
      <w:pPr>
        <w:pStyle w:val="14"/>
        <w:spacing w:line="360" w:lineRule="auto"/>
        <w:ind w:firstLine="480" w:firstLineChars="200"/>
        <w:rPr>
          <w:rFonts w:hint="eastAsia" w:hAnsi="宋体" w:cs="宋体"/>
          <w:bCs/>
          <w:color w:val="auto"/>
          <w:sz w:val="24"/>
          <w:szCs w:val="24"/>
          <w:highlight w:val="none"/>
          <w:u w:val="single"/>
        </w:rPr>
      </w:pPr>
      <w:r>
        <w:rPr>
          <w:rFonts w:hint="eastAsia" w:hAnsi="宋体" w:cs="宋体"/>
          <w:bCs/>
          <w:color w:val="auto"/>
          <w:sz w:val="24"/>
          <w:szCs w:val="24"/>
          <w:highlight w:val="none"/>
        </w:rPr>
        <w:t>法律依据：</w:t>
      </w:r>
      <w:r>
        <w:rPr>
          <w:rFonts w:hint="eastAsia" w:hAnsi="宋体" w:cs="宋体"/>
          <w:color w:val="auto"/>
          <w:sz w:val="24"/>
          <w:szCs w:val="24"/>
          <w:highlight w:val="none"/>
        </w:rPr>
        <w:t xml:space="preserve"> </w:t>
      </w:r>
      <w:r>
        <w:rPr>
          <w:rFonts w:hint="eastAsia" w:hAnsi="宋体" w:cs="宋体"/>
          <w:bCs/>
          <w:color w:val="auto"/>
          <w:sz w:val="24"/>
          <w:szCs w:val="24"/>
          <w:highlight w:val="none"/>
          <w:u w:val="single"/>
        </w:rPr>
        <w:t xml:space="preserve">                                                                                      </w:t>
      </w:r>
    </w:p>
    <w:p w14:paraId="2BAE117D">
      <w:pPr>
        <w:pStyle w:val="14"/>
        <w:spacing w:line="360" w:lineRule="auto"/>
        <w:ind w:firstLine="352" w:firstLineChars="147"/>
        <w:rPr>
          <w:rFonts w:hint="eastAsia" w:hAnsi="宋体" w:cs="宋体"/>
          <w:bCs/>
          <w:color w:val="auto"/>
          <w:sz w:val="24"/>
          <w:szCs w:val="24"/>
          <w:highlight w:val="none"/>
          <w:u w:val="single"/>
        </w:rPr>
      </w:pPr>
      <w:r>
        <w:rPr>
          <w:rFonts w:hint="eastAsia" w:hAnsi="宋体" w:cs="宋体"/>
          <w:bCs/>
          <w:color w:val="auto"/>
          <w:sz w:val="24"/>
          <w:szCs w:val="24"/>
          <w:highlight w:val="none"/>
        </w:rPr>
        <w:t xml:space="preserve"> </w:t>
      </w:r>
      <w:r>
        <w:rPr>
          <w:rFonts w:hint="eastAsia" w:hAnsi="宋体" w:cs="宋体"/>
          <w:bCs/>
          <w:color w:val="auto"/>
          <w:sz w:val="24"/>
          <w:szCs w:val="24"/>
          <w:highlight w:val="none"/>
          <w:u w:val="single"/>
        </w:rPr>
        <w:t xml:space="preserve">                                                                                        </w:t>
      </w:r>
    </w:p>
    <w:p w14:paraId="4FE1C159">
      <w:pPr>
        <w:pStyle w:val="14"/>
        <w:spacing w:line="360" w:lineRule="auto"/>
        <w:ind w:firstLine="472" w:firstLineChars="197"/>
        <w:rPr>
          <w:rFonts w:hint="eastAsia" w:hAnsi="宋体" w:cs="宋体"/>
          <w:bCs/>
          <w:color w:val="auto"/>
          <w:sz w:val="24"/>
          <w:szCs w:val="24"/>
          <w:highlight w:val="none"/>
        </w:rPr>
      </w:pPr>
      <w:r>
        <w:rPr>
          <w:rFonts w:hint="eastAsia" w:hAnsi="宋体" w:cs="宋体"/>
          <w:color w:val="auto"/>
          <w:sz w:val="24"/>
          <w:szCs w:val="24"/>
          <w:highlight w:val="none"/>
        </w:rPr>
        <w:t xml:space="preserve">投诉事项2  </w:t>
      </w:r>
      <w:r>
        <w:rPr>
          <w:rFonts w:hint="eastAsia" w:hAnsi="宋体" w:cs="宋体"/>
          <w:bCs/>
          <w:color w:val="auto"/>
          <w:sz w:val="24"/>
          <w:szCs w:val="24"/>
          <w:highlight w:val="none"/>
        </w:rPr>
        <w:t xml:space="preserve">   </w:t>
      </w:r>
    </w:p>
    <w:p w14:paraId="22C3647A">
      <w:pPr>
        <w:pStyle w:val="14"/>
        <w:spacing w:line="360" w:lineRule="auto"/>
        <w:ind w:firstLine="472" w:firstLineChars="197"/>
        <w:rPr>
          <w:rFonts w:hint="eastAsia" w:hAnsi="宋体" w:cs="宋体"/>
          <w:bCs/>
          <w:color w:val="auto"/>
          <w:sz w:val="24"/>
          <w:szCs w:val="24"/>
          <w:highlight w:val="none"/>
        </w:rPr>
      </w:pPr>
      <w:r>
        <w:rPr>
          <w:rFonts w:hint="eastAsia" w:hAnsi="宋体" w:cs="宋体"/>
          <w:bCs/>
          <w:color w:val="auto"/>
          <w:sz w:val="24"/>
          <w:szCs w:val="24"/>
          <w:highlight w:val="none"/>
        </w:rPr>
        <w:t>……</w:t>
      </w:r>
    </w:p>
    <w:p w14:paraId="3CF25A70">
      <w:pPr>
        <w:pStyle w:val="14"/>
        <w:spacing w:line="360" w:lineRule="auto"/>
        <w:ind w:firstLine="472" w:firstLineChars="196"/>
        <w:rPr>
          <w:rFonts w:hint="eastAsia" w:hAnsi="宋体" w:cs="宋体"/>
          <w:b/>
          <w:color w:val="auto"/>
          <w:sz w:val="24"/>
          <w:szCs w:val="24"/>
          <w:highlight w:val="none"/>
        </w:rPr>
      </w:pPr>
      <w:r>
        <w:rPr>
          <w:rFonts w:hint="eastAsia" w:hAnsi="宋体" w:cs="宋体"/>
          <w:b/>
          <w:color w:val="auto"/>
          <w:sz w:val="24"/>
          <w:szCs w:val="24"/>
          <w:highlight w:val="none"/>
        </w:rPr>
        <w:t>五、与投诉事项相关的投诉请求：</w:t>
      </w:r>
    </w:p>
    <w:p w14:paraId="3884446B">
      <w:pPr>
        <w:pStyle w:val="14"/>
        <w:spacing w:line="360" w:lineRule="auto"/>
        <w:ind w:firstLine="472" w:firstLineChars="197"/>
        <w:rPr>
          <w:rFonts w:hint="eastAsia" w:hAnsi="宋体" w:cs="宋体"/>
          <w:color w:val="auto"/>
          <w:sz w:val="24"/>
          <w:szCs w:val="24"/>
          <w:highlight w:val="none"/>
        </w:rPr>
      </w:pPr>
      <w:r>
        <w:rPr>
          <w:rFonts w:hint="eastAsia" w:hAnsi="宋体" w:cs="宋体"/>
          <w:color w:val="auto"/>
          <w:sz w:val="24"/>
          <w:szCs w:val="24"/>
          <w:highlight w:val="none"/>
        </w:rPr>
        <w:t>请求：</w:t>
      </w:r>
      <w:r>
        <w:rPr>
          <w:rFonts w:hint="eastAsia" w:hAnsi="宋体" w:cs="宋体"/>
          <w:bCs/>
          <w:color w:val="auto"/>
          <w:sz w:val="24"/>
          <w:szCs w:val="24"/>
          <w:highlight w:val="none"/>
          <w:u w:val="single"/>
        </w:rPr>
        <w:t xml:space="preserve">                                                                                 </w:t>
      </w:r>
    </w:p>
    <w:p w14:paraId="45418C85">
      <w:pPr>
        <w:pStyle w:val="14"/>
        <w:spacing w:line="360" w:lineRule="auto"/>
        <w:ind w:firstLine="352" w:firstLineChars="147"/>
        <w:rPr>
          <w:rFonts w:hint="eastAsia" w:hAnsi="宋体" w:cs="宋体"/>
          <w:color w:val="auto"/>
          <w:sz w:val="24"/>
          <w:szCs w:val="24"/>
          <w:highlight w:val="none"/>
        </w:rPr>
      </w:pPr>
    </w:p>
    <w:p w14:paraId="7EB8A760">
      <w:pPr>
        <w:pStyle w:val="14"/>
        <w:spacing w:line="360" w:lineRule="auto"/>
        <w:ind w:firstLine="472" w:firstLineChars="197"/>
        <w:rPr>
          <w:rFonts w:hint="eastAsia" w:hAnsi="宋体" w:cs="宋体"/>
          <w:color w:val="auto"/>
          <w:sz w:val="24"/>
          <w:szCs w:val="24"/>
          <w:highlight w:val="none"/>
          <w:u w:val="single"/>
        </w:rPr>
      </w:pPr>
      <w:r>
        <w:rPr>
          <w:rFonts w:hint="eastAsia" w:hAnsi="宋体" w:cs="宋体"/>
          <w:color w:val="auto"/>
          <w:sz w:val="24"/>
          <w:szCs w:val="24"/>
          <w:highlight w:val="none"/>
        </w:rPr>
        <w:t>签字（签章）：</w:t>
      </w:r>
      <w:r>
        <w:rPr>
          <w:rFonts w:hint="eastAsia" w:hAnsi="宋体" w:cs="宋体"/>
          <w:color w:val="auto"/>
          <w:sz w:val="24"/>
          <w:szCs w:val="24"/>
          <w:highlight w:val="none"/>
          <w:u w:val="single"/>
        </w:rPr>
        <w:t xml:space="preserve"> </w:t>
      </w:r>
      <w:r>
        <w:rPr>
          <w:rFonts w:hAnsi="宋体" w:cs="宋体"/>
          <w:color w:val="auto"/>
          <w:sz w:val="24"/>
          <w:szCs w:val="24"/>
          <w:highlight w:val="none"/>
          <w:u w:val="single"/>
        </w:rPr>
        <w:t xml:space="preserve">            </w:t>
      </w:r>
      <w:r>
        <w:rPr>
          <w:rFonts w:hint="eastAsia" w:hAnsi="宋体" w:cs="宋体"/>
          <w:color w:val="auto"/>
          <w:sz w:val="24"/>
          <w:szCs w:val="24"/>
          <w:highlight w:val="none"/>
        </w:rPr>
        <w:t xml:space="preserve">                          公章：</w:t>
      </w:r>
      <w:r>
        <w:rPr>
          <w:rFonts w:hAnsi="宋体" w:cs="宋体"/>
          <w:color w:val="auto"/>
          <w:sz w:val="24"/>
          <w:szCs w:val="24"/>
          <w:highlight w:val="none"/>
          <w:u w:val="single"/>
        </w:rPr>
        <w:t xml:space="preserve">            </w:t>
      </w:r>
    </w:p>
    <w:p w14:paraId="0CF9FEA5">
      <w:pPr>
        <w:pStyle w:val="14"/>
        <w:spacing w:line="360" w:lineRule="auto"/>
        <w:ind w:firstLine="352" w:firstLineChars="147"/>
        <w:rPr>
          <w:rFonts w:hint="eastAsia" w:hAnsi="宋体" w:cs="宋体"/>
          <w:color w:val="auto"/>
          <w:sz w:val="24"/>
          <w:szCs w:val="24"/>
          <w:highlight w:val="none"/>
        </w:rPr>
      </w:pPr>
    </w:p>
    <w:p w14:paraId="6DAAC1A7">
      <w:pPr>
        <w:pStyle w:val="14"/>
        <w:spacing w:line="360" w:lineRule="auto"/>
        <w:ind w:firstLine="472" w:firstLineChars="197"/>
        <w:rPr>
          <w:rFonts w:hint="eastAsia" w:hAnsi="宋体" w:cs="宋体"/>
          <w:color w:val="auto"/>
          <w:sz w:val="24"/>
          <w:szCs w:val="24"/>
          <w:highlight w:val="none"/>
        </w:rPr>
      </w:pPr>
      <w:r>
        <w:rPr>
          <w:rFonts w:hint="eastAsia" w:hAnsi="宋体" w:cs="宋体"/>
          <w:color w:val="auto"/>
          <w:sz w:val="24"/>
          <w:szCs w:val="24"/>
          <w:highlight w:val="none"/>
        </w:rPr>
        <w:t>日期：</w:t>
      </w:r>
      <w:r>
        <w:rPr>
          <w:rFonts w:hint="eastAsia" w:hAnsi="宋体" w:cs="宋体"/>
          <w:bCs/>
          <w:color w:val="auto"/>
          <w:sz w:val="24"/>
          <w:szCs w:val="24"/>
          <w:highlight w:val="none"/>
        </w:rPr>
        <w:t xml:space="preserve">    </w:t>
      </w:r>
      <w:r>
        <w:rPr>
          <w:rFonts w:hint="eastAsia" w:cs="宋体" w:asciiTheme="minorEastAsia" w:hAnsiTheme="minorEastAsia" w:eastAsiaTheme="minorEastAsia"/>
          <w:color w:val="auto"/>
          <w:spacing w:val="20"/>
          <w:sz w:val="24"/>
          <w:highlight w:val="none"/>
          <w:u w:val="single"/>
        </w:rPr>
        <w:t xml:space="preserve"> </w:t>
      </w:r>
      <w:r>
        <w:rPr>
          <w:rFonts w:cs="宋体" w:asciiTheme="minorEastAsia" w:hAnsiTheme="minorEastAsia" w:eastAsiaTheme="minorEastAsia"/>
          <w:color w:val="auto"/>
          <w:spacing w:val="20"/>
          <w:sz w:val="24"/>
          <w:highlight w:val="none"/>
          <w:u w:val="single"/>
        </w:rPr>
        <w:t xml:space="preserve">  </w:t>
      </w:r>
      <w:r>
        <w:rPr>
          <w:rFonts w:hint="eastAsia" w:cs="宋体" w:asciiTheme="minorEastAsia" w:hAnsiTheme="minorEastAsia" w:eastAsiaTheme="minorEastAsia"/>
          <w:color w:val="auto"/>
          <w:spacing w:val="20"/>
          <w:sz w:val="24"/>
          <w:highlight w:val="none"/>
          <w:u w:val="single"/>
        </w:rPr>
        <w:t xml:space="preserve">  </w:t>
      </w:r>
      <w:r>
        <w:rPr>
          <w:rFonts w:hint="eastAsia" w:cs="宋体" w:asciiTheme="minorEastAsia" w:hAnsiTheme="minorEastAsia" w:eastAsiaTheme="minorEastAsia"/>
          <w:color w:val="auto"/>
          <w:spacing w:val="20"/>
          <w:sz w:val="24"/>
          <w:highlight w:val="none"/>
        </w:rPr>
        <w:t>年</w:t>
      </w:r>
      <w:r>
        <w:rPr>
          <w:rFonts w:hint="eastAsia" w:cs="宋体" w:asciiTheme="minorEastAsia" w:hAnsiTheme="minorEastAsia" w:eastAsiaTheme="minorEastAsia"/>
          <w:color w:val="auto"/>
          <w:spacing w:val="20"/>
          <w:sz w:val="24"/>
          <w:highlight w:val="none"/>
          <w:u w:val="single"/>
        </w:rPr>
        <w:t xml:space="preserve">  </w:t>
      </w:r>
      <w:r>
        <w:rPr>
          <w:rFonts w:hint="eastAsia" w:cs="宋体" w:asciiTheme="minorEastAsia" w:hAnsiTheme="minorEastAsia" w:eastAsiaTheme="minorEastAsia"/>
          <w:color w:val="auto"/>
          <w:spacing w:val="20"/>
          <w:sz w:val="24"/>
          <w:highlight w:val="none"/>
        </w:rPr>
        <w:t>月</w:t>
      </w:r>
      <w:r>
        <w:rPr>
          <w:rFonts w:hint="eastAsia" w:cs="宋体" w:asciiTheme="minorEastAsia" w:hAnsiTheme="minorEastAsia" w:eastAsiaTheme="minorEastAsia"/>
          <w:color w:val="auto"/>
          <w:spacing w:val="20"/>
          <w:sz w:val="24"/>
          <w:highlight w:val="none"/>
          <w:u w:val="single"/>
        </w:rPr>
        <w:t xml:space="preserve">  </w:t>
      </w:r>
      <w:r>
        <w:rPr>
          <w:rFonts w:hint="eastAsia" w:cs="宋体" w:asciiTheme="minorEastAsia" w:hAnsiTheme="minorEastAsia" w:eastAsiaTheme="minorEastAsia"/>
          <w:color w:val="auto"/>
          <w:spacing w:val="20"/>
          <w:sz w:val="24"/>
          <w:highlight w:val="none"/>
        </w:rPr>
        <w:t>日</w:t>
      </w:r>
      <w:r>
        <w:rPr>
          <w:rFonts w:hint="eastAsia" w:cs="宋体" w:asciiTheme="minorEastAsia" w:hAnsiTheme="minorEastAsia" w:eastAsiaTheme="minorEastAsia"/>
          <w:bCs/>
          <w:color w:val="auto"/>
          <w:sz w:val="24"/>
          <w:szCs w:val="24"/>
          <w:highlight w:val="none"/>
        </w:rPr>
        <w:t xml:space="preserve"> </w:t>
      </w:r>
      <w:r>
        <w:rPr>
          <w:rFonts w:hint="eastAsia" w:hAnsi="宋体" w:cs="宋体"/>
          <w:bCs/>
          <w:color w:val="auto"/>
          <w:sz w:val="24"/>
          <w:szCs w:val="24"/>
          <w:highlight w:val="none"/>
        </w:rPr>
        <w:t xml:space="preserve">                                                        </w:t>
      </w:r>
    </w:p>
    <w:p w14:paraId="4AD408F8">
      <w:pPr>
        <w:pStyle w:val="14"/>
        <w:snapToGrid w:val="0"/>
        <w:spacing w:line="360" w:lineRule="auto"/>
        <w:rPr>
          <w:rFonts w:hint="eastAsia" w:hAnsi="宋体" w:cs="宋体"/>
          <w:b/>
          <w:color w:val="auto"/>
          <w:sz w:val="24"/>
          <w:szCs w:val="24"/>
          <w:highlight w:val="none"/>
        </w:rPr>
      </w:pPr>
    </w:p>
    <w:p w14:paraId="4369021D">
      <w:pPr>
        <w:pStyle w:val="14"/>
        <w:snapToGrid w:val="0"/>
        <w:spacing w:line="360" w:lineRule="auto"/>
        <w:rPr>
          <w:rFonts w:hint="eastAsia" w:ascii="楷体" w:hAnsi="楷体" w:eastAsia="楷体" w:cs="宋体"/>
          <w:b/>
          <w:color w:val="auto"/>
          <w:sz w:val="24"/>
          <w:szCs w:val="24"/>
          <w:highlight w:val="none"/>
        </w:rPr>
      </w:pPr>
      <w:r>
        <w:rPr>
          <w:rFonts w:hint="eastAsia" w:ascii="楷体" w:hAnsi="楷体" w:eastAsia="楷体" w:cs="宋体"/>
          <w:b/>
          <w:color w:val="auto"/>
          <w:sz w:val="24"/>
          <w:szCs w:val="24"/>
          <w:highlight w:val="none"/>
        </w:rPr>
        <w:t>说明：</w:t>
      </w:r>
    </w:p>
    <w:p w14:paraId="2E82DB38">
      <w:pPr>
        <w:pStyle w:val="14"/>
        <w:spacing w:line="360" w:lineRule="auto"/>
        <w:ind w:firstLine="354" w:firstLineChars="147"/>
        <w:rPr>
          <w:rFonts w:hint="eastAsia" w:ascii="楷体" w:hAnsi="楷体" w:eastAsia="楷体" w:cs="宋体"/>
          <w:b/>
          <w:bCs/>
          <w:color w:val="auto"/>
          <w:sz w:val="24"/>
          <w:szCs w:val="24"/>
          <w:highlight w:val="none"/>
        </w:rPr>
      </w:pPr>
      <w:r>
        <w:rPr>
          <w:rFonts w:ascii="楷体" w:hAnsi="楷体" w:eastAsia="楷体" w:cs="宋体"/>
          <w:b/>
          <w:color w:val="auto"/>
          <w:sz w:val="24"/>
          <w:szCs w:val="24"/>
          <w:highlight w:val="none"/>
        </w:rPr>
        <w:t>1.投诉人提起投诉时，应当提交投诉书和必要的证明材料，并按照被投诉人和与投诉事项有关的供应商数量提供投诉书副本</w:t>
      </w:r>
      <w:r>
        <w:rPr>
          <w:rFonts w:hint="eastAsia" w:ascii="楷体" w:hAnsi="楷体" w:eastAsia="楷体" w:cs="宋体"/>
          <w:b/>
          <w:bCs/>
          <w:color w:val="auto"/>
          <w:sz w:val="24"/>
          <w:szCs w:val="24"/>
          <w:highlight w:val="none"/>
        </w:rPr>
        <w:t>。</w:t>
      </w:r>
    </w:p>
    <w:p w14:paraId="6D20AE29">
      <w:pPr>
        <w:pStyle w:val="14"/>
        <w:spacing w:line="360" w:lineRule="auto"/>
        <w:ind w:firstLine="354" w:firstLineChars="147"/>
        <w:rPr>
          <w:rFonts w:hint="eastAsia" w:ascii="楷体" w:hAnsi="楷体" w:eastAsia="楷体" w:cs="宋体"/>
          <w:b/>
          <w:color w:val="auto"/>
          <w:sz w:val="24"/>
          <w:szCs w:val="24"/>
          <w:highlight w:val="none"/>
        </w:rPr>
      </w:pPr>
      <w:r>
        <w:rPr>
          <w:rFonts w:ascii="楷体" w:hAnsi="楷体" w:eastAsia="楷体" w:cs="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19C64B4A">
      <w:pPr>
        <w:pStyle w:val="14"/>
        <w:spacing w:line="360" w:lineRule="auto"/>
        <w:ind w:firstLine="354" w:firstLineChars="147"/>
        <w:rPr>
          <w:rFonts w:hint="eastAsia" w:ascii="楷体" w:hAnsi="楷体" w:eastAsia="楷体" w:cs="宋体"/>
          <w:b/>
          <w:color w:val="auto"/>
          <w:sz w:val="24"/>
          <w:szCs w:val="24"/>
          <w:highlight w:val="none"/>
        </w:rPr>
      </w:pPr>
      <w:r>
        <w:rPr>
          <w:rFonts w:ascii="楷体" w:hAnsi="楷体" w:eastAsia="楷体" w:cs="宋体"/>
          <w:b/>
          <w:color w:val="auto"/>
          <w:sz w:val="24"/>
          <w:szCs w:val="24"/>
          <w:highlight w:val="none"/>
        </w:rPr>
        <w:t>3.投诉书应简要列明质疑事项，质疑函、质疑答复等作为附件材料提供。</w:t>
      </w:r>
    </w:p>
    <w:p w14:paraId="67431B0A">
      <w:pPr>
        <w:pStyle w:val="14"/>
        <w:spacing w:line="360" w:lineRule="auto"/>
        <w:ind w:firstLine="354" w:firstLineChars="147"/>
        <w:rPr>
          <w:rFonts w:hint="eastAsia" w:ascii="楷体" w:hAnsi="楷体" w:eastAsia="楷体" w:cs="宋体"/>
          <w:b/>
          <w:color w:val="auto"/>
          <w:sz w:val="24"/>
          <w:szCs w:val="24"/>
          <w:highlight w:val="none"/>
        </w:rPr>
      </w:pPr>
      <w:r>
        <w:rPr>
          <w:rFonts w:ascii="楷体" w:hAnsi="楷体" w:eastAsia="楷体" w:cs="宋体"/>
          <w:b/>
          <w:color w:val="auto"/>
          <w:sz w:val="24"/>
          <w:szCs w:val="24"/>
          <w:highlight w:val="none"/>
        </w:rPr>
        <w:t>4.投诉书的投诉事项应具体、明确，并有必要的事实依据和法律依据。</w:t>
      </w:r>
    </w:p>
    <w:p w14:paraId="14714193">
      <w:pPr>
        <w:pStyle w:val="14"/>
        <w:spacing w:line="360" w:lineRule="auto"/>
        <w:ind w:firstLine="354" w:firstLineChars="147"/>
        <w:rPr>
          <w:rFonts w:hint="eastAsia" w:ascii="楷体" w:hAnsi="楷体" w:eastAsia="楷体" w:cs="宋体"/>
          <w:b/>
          <w:color w:val="auto"/>
          <w:sz w:val="24"/>
          <w:szCs w:val="24"/>
          <w:highlight w:val="none"/>
        </w:rPr>
      </w:pPr>
      <w:r>
        <w:rPr>
          <w:rFonts w:ascii="楷体" w:hAnsi="楷体" w:eastAsia="楷体" w:cs="宋体"/>
          <w:b/>
          <w:color w:val="auto"/>
          <w:sz w:val="24"/>
          <w:szCs w:val="24"/>
          <w:highlight w:val="none"/>
        </w:rPr>
        <w:t>5.投诉书的投诉请求应与投诉事项相关。</w:t>
      </w:r>
    </w:p>
    <w:p w14:paraId="57ED704E">
      <w:pPr>
        <w:pStyle w:val="14"/>
        <w:spacing w:line="360" w:lineRule="auto"/>
        <w:ind w:firstLine="354" w:firstLineChars="147"/>
        <w:rPr>
          <w:rFonts w:hint="eastAsia" w:ascii="楷体" w:hAnsi="楷体" w:eastAsia="楷体" w:cs="宋体"/>
          <w:b/>
          <w:color w:val="auto"/>
          <w:sz w:val="24"/>
          <w:szCs w:val="24"/>
          <w:highlight w:val="none"/>
        </w:rPr>
      </w:pPr>
      <w:r>
        <w:rPr>
          <w:rFonts w:ascii="楷体" w:hAnsi="楷体" w:eastAsia="楷体" w:cs="宋体"/>
          <w:b/>
          <w:color w:val="auto"/>
          <w:sz w:val="24"/>
          <w:szCs w:val="24"/>
          <w:highlight w:val="none"/>
        </w:rPr>
        <w:t>6.投诉人为法人或者其他组织的，投诉书应由法定代表人、主要负责人，或者其授权代表签字或者盖章，并加盖公章。</w:t>
      </w:r>
    </w:p>
    <w:p w14:paraId="4AFA3A40">
      <w:pPr>
        <w:pStyle w:val="2"/>
        <w:spacing w:before="0" w:after="0" w:line="360" w:lineRule="auto"/>
        <w:jc w:val="center"/>
        <w:rPr>
          <w:rFonts w:hint="eastAsia" w:ascii="宋体" w:hAnsi="宋体" w:cs="宋体"/>
          <w:color w:val="auto"/>
          <w:highlight w:val="none"/>
        </w:rPr>
      </w:pPr>
      <w:bookmarkStart w:id="57" w:name="_Toc3729"/>
      <w:r>
        <w:rPr>
          <w:rFonts w:hint="eastAsia" w:ascii="宋体" w:hAnsi="宋体" w:cs="宋体"/>
          <w:color w:val="auto"/>
          <w:highlight w:val="none"/>
        </w:rPr>
        <w:t>第六章 合同文本</w:t>
      </w:r>
      <w:bookmarkEnd w:id="57"/>
    </w:p>
    <w:p w14:paraId="7C9981E3">
      <w:pPr>
        <w:adjustRightInd w:val="0"/>
        <w:snapToGrid w:val="0"/>
        <w:spacing w:line="360" w:lineRule="auto"/>
        <w:ind w:firstLine="420" w:firstLineChars="200"/>
        <w:rPr>
          <w:rFonts w:hint="eastAsia" w:ascii="宋体" w:hAnsi="宋体" w:cs="宋体"/>
          <w:color w:val="auto"/>
          <w:szCs w:val="21"/>
          <w:highlight w:val="none"/>
        </w:rPr>
      </w:pPr>
    </w:p>
    <w:p w14:paraId="2818DD19">
      <w:pPr>
        <w:spacing w:line="360" w:lineRule="auto"/>
        <w:rPr>
          <w:rFonts w:hint="eastAsia" w:ascii="宋体" w:hAnsi="宋体" w:cs="宋体"/>
          <w:b/>
          <w:color w:val="auto"/>
          <w:sz w:val="32"/>
          <w:szCs w:val="32"/>
          <w:highlight w:val="none"/>
        </w:rPr>
      </w:pPr>
      <w:r>
        <w:rPr>
          <w:rFonts w:hint="eastAsia" w:ascii="宋体" w:hAnsi="宋体" w:cs="宋体"/>
          <w:b/>
          <w:color w:val="auto"/>
          <w:sz w:val="32"/>
          <w:szCs w:val="32"/>
          <w:highlight w:val="none"/>
        </w:rPr>
        <w:t>一般货物类</w:t>
      </w:r>
    </w:p>
    <w:p w14:paraId="74D5446F">
      <w:pPr>
        <w:spacing w:line="440" w:lineRule="exact"/>
        <w:rPr>
          <w:rFonts w:hint="eastAsia" w:ascii="宋体" w:hAnsi="宋体" w:cs="宋体"/>
          <w:color w:val="auto"/>
          <w:sz w:val="24"/>
          <w:highlight w:val="none"/>
        </w:rPr>
      </w:pPr>
      <w:r>
        <w:rPr>
          <w:rFonts w:hint="eastAsia" w:ascii="宋体" w:hAnsi="宋体" w:cs="宋体"/>
          <w:color w:val="auto"/>
          <w:sz w:val="24"/>
          <w:highlight w:val="none"/>
        </w:rPr>
        <w:t>项目名称：</w:t>
      </w:r>
    </w:p>
    <w:p w14:paraId="1ECC7F8C">
      <w:pPr>
        <w:spacing w:line="440" w:lineRule="exact"/>
        <w:rPr>
          <w:rFonts w:hint="eastAsia" w:ascii="宋体" w:hAnsi="宋体" w:cs="宋体"/>
          <w:color w:val="auto"/>
          <w:sz w:val="24"/>
          <w:highlight w:val="none"/>
        </w:rPr>
      </w:pPr>
      <w:r>
        <w:rPr>
          <w:rFonts w:hint="eastAsia" w:ascii="宋体" w:hAnsi="宋体" w:cs="宋体"/>
          <w:color w:val="auto"/>
          <w:sz w:val="24"/>
          <w:highlight w:val="none"/>
        </w:rPr>
        <w:t>合同编号：</w:t>
      </w:r>
      <w:r>
        <w:rPr>
          <w:rFonts w:ascii="宋体" w:hAnsi="宋体" w:cs="宋体"/>
          <w:color w:val="auto"/>
          <w:sz w:val="24"/>
          <w:highlight w:val="none"/>
        </w:rPr>
        <w:t>GXZC2026-J1-002916-GXGN</w:t>
      </w:r>
    </w:p>
    <w:p w14:paraId="2645F35B">
      <w:pPr>
        <w:spacing w:line="440" w:lineRule="exact"/>
        <w:rPr>
          <w:rFonts w:hint="eastAsia" w:ascii="宋体" w:hAnsi="宋体" w:cs="宋体"/>
          <w:color w:val="auto"/>
          <w:sz w:val="24"/>
          <w:highlight w:val="none"/>
        </w:rPr>
      </w:pPr>
      <w:r>
        <w:rPr>
          <w:rFonts w:hint="eastAsia" w:ascii="宋体" w:hAnsi="宋体" w:cs="宋体"/>
          <w:color w:val="auto"/>
          <w:sz w:val="24"/>
          <w:highlight w:val="none"/>
        </w:rPr>
        <w:t xml:space="preserve">采购人（甲方）：广西大学                      </w:t>
      </w:r>
    </w:p>
    <w:p w14:paraId="6495A733">
      <w:pPr>
        <w:spacing w:line="440" w:lineRule="exact"/>
        <w:rPr>
          <w:rFonts w:hint="eastAsia" w:ascii="宋体" w:hAnsi="宋体" w:cs="宋体"/>
          <w:color w:val="auto"/>
          <w:sz w:val="24"/>
          <w:highlight w:val="none"/>
        </w:rPr>
      </w:pPr>
      <w:r>
        <w:rPr>
          <w:rFonts w:hint="eastAsia" w:ascii="宋体" w:hAnsi="宋体" w:cs="宋体"/>
          <w:color w:val="auto"/>
          <w:sz w:val="24"/>
          <w:highlight w:val="none"/>
        </w:rPr>
        <w:t xml:space="preserve">供应商（乙方）：   </w:t>
      </w:r>
    </w:p>
    <w:p w14:paraId="5C3C31C2">
      <w:pPr>
        <w:spacing w:line="440" w:lineRule="exact"/>
        <w:rPr>
          <w:rFonts w:hint="eastAsia" w:ascii="宋体" w:hAnsi="宋体" w:cs="宋体"/>
          <w:color w:val="auto"/>
          <w:sz w:val="24"/>
          <w:highlight w:val="none"/>
        </w:rPr>
      </w:pPr>
      <w:r>
        <w:rPr>
          <w:rFonts w:hint="eastAsia" w:ascii="宋体" w:hAnsi="宋体" w:cs="宋体"/>
          <w:color w:val="auto"/>
          <w:sz w:val="24"/>
          <w:highlight w:val="none"/>
        </w:rPr>
        <w:t>项目编号：</w:t>
      </w:r>
      <w:r>
        <w:rPr>
          <w:rFonts w:ascii="宋体" w:hAnsi="宋体" w:cs="宋体"/>
          <w:color w:val="auto"/>
          <w:sz w:val="24"/>
          <w:highlight w:val="none"/>
          <w:u w:val="single"/>
        </w:rPr>
        <w:t>GXZC2026-J1-002916-GXGN</w:t>
      </w:r>
    </w:p>
    <w:p w14:paraId="0C4DBE57">
      <w:pPr>
        <w:spacing w:line="440" w:lineRule="exact"/>
        <w:rPr>
          <w:rFonts w:hint="eastAsia" w:ascii="宋体" w:hAnsi="宋体" w:cs="宋体"/>
          <w:color w:val="auto"/>
          <w:sz w:val="24"/>
          <w:highlight w:val="none"/>
        </w:rPr>
      </w:pPr>
      <w:r>
        <w:rPr>
          <w:rFonts w:hint="eastAsia" w:ascii="宋体" w:hAnsi="宋体" w:cs="宋体"/>
          <w:color w:val="auto"/>
          <w:sz w:val="24"/>
          <w:highlight w:val="none"/>
        </w:rPr>
        <w:t>签订地点：</w:t>
      </w:r>
      <w:r>
        <w:rPr>
          <w:rFonts w:hint="eastAsia" w:ascii="宋体" w:hAnsi="宋体" w:cs="宋体"/>
          <w:color w:val="auto"/>
          <w:sz w:val="24"/>
          <w:highlight w:val="none"/>
          <w:u w:val="single"/>
        </w:rPr>
        <w:t>广西壮族自治区南宁市西乡塘区</w:t>
      </w:r>
      <w:r>
        <w:rPr>
          <w:rFonts w:hint="eastAsia" w:ascii="宋体" w:hAnsi="宋体" w:cs="宋体"/>
          <w:color w:val="auto"/>
          <w:sz w:val="24"/>
          <w:highlight w:val="none"/>
        </w:rPr>
        <w:t xml:space="preserve">  </w:t>
      </w:r>
    </w:p>
    <w:p w14:paraId="34DBB9AE">
      <w:pPr>
        <w:snapToGrid w:val="0"/>
        <w:spacing w:line="460" w:lineRule="exact"/>
        <w:rPr>
          <w:rFonts w:hint="eastAsia" w:ascii="宋体" w:hAnsi="宋体" w:cs="宋体"/>
          <w:color w:val="auto"/>
          <w:sz w:val="24"/>
          <w:highlight w:val="none"/>
        </w:rPr>
      </w:pPr>
      <w:r>
        <w:rPr>
          <w:rFonts w:hint="eastAsia" w:ascii="宋体" w:hAnsi="宋体" w:cs="宋体"/>
          <w:color w:val="auto"/>
          <w:sz w:val="24"/>
          <w:highlight w:val="none"/>
        </w:rPr>
        <w:t>本合同为中小企业预留合同：（是</w:t>
      </w:r>
      <w:r>
        <w:rPr>
          <w:rFonts w:hint="eastAsia" w:ascii="黑体" w:hAnsi="黑体" w:eastAsia="黑体" w:cs="宋体"/>
          <w:b/>
          <w:color w:val="auto"/>
          <w:sz w:val="24"/>
          <w:highlight w:val="none"/>
        </w:rPr>
        <w:t>□</w:t>
      </w:r>
      <w:r>
        <w:rPr>
          <w:rFonts w:hint="eastAsia" w:ascii="宋体" w:hAnsi="宋体" w:cs="宋体"/>
          <w:color w:val="auto"/>
          <w:sz w:val="24"/>
          <w:highlight w:val="none"/>
        </w:rPr>
        <w:t>/否</w:t>
      </w:r>
      <w:r>
        <w:rPr>
          <w:rFonts w:hint="eastAsia" w:ascii="黑体" w:hAnsi="黑体" w:eastAsia="黑体" w:cs="宋体"/>
          <w:b/>
          <w:color w:val="auto"/>
          <w:sz w:val="24"/>
          <w:highlight w:val="none"/>
        </w:rPr>
        <w:t>□</w:t>
      </w:r>
      <w:r>
        <w:rPr>
          <w:rFonts w:hint="eastAsia" w:ascii="宋体" w:hAnsi="宋体" w:cs="宋体"/>
          <w:color w:val="auto"/>
          <w:sz w:val="24"/>
          <w:highlight w:val="none"/>
        </w:rPr>
        <w:t>）</w:t>
      </w:r>
    </w:p>
    <w:p w14:paraId="5EE8FFDD">
      <w:pPr>
        <w:pStyle w:val="33"/>
        <w:rPr>
          <w:color w:val="auto"/>
          <w:highlight w:val="none"/>
        </w:rPr>
      </w:pPr>
    </w:p>
    <w:p w14:paraId="1D8BC16F">
      <w:pPr>
        <w:snapToGrid w:val="0"/>
        <w:spacing w:line="360" w:lineRule="auto"/>
        <w:ind w:firstLine="480" w:firstLineChars="200"/>
        <w:rPr>
          <w:rFonts w:hint="eastAsia" w:ascii="宋体" w:hAnsi="宋体" w:cs="宋体"/>
          <w:color w:val="auto"/>
          <w:sz w:val="24"/>
          <w:highlight w:val="none"/>
        </w:rPr>
      </w:pPr>
      <w:bookmarkStart w:id="58" w:name="_Hlk55381736"/>
    </w:p>
    <w:p w14:paraId="15889126">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根据《中华人民共和国民法典》《中华人民共和国政府采购法》等法律、法规规定，按照竞争性谈判采购文件规定条款和成交供应商承诺，</w:t>
      </w:r>
      <w:r>
        <w:rPr>
          <w:rFonts w:hint="eastAsia" w:ascii="宋体" w:hAnsi="宋体"/>
          <w:color w:val="auto"/>
          <w:sz w:val="24"/>
          <w:szCs w:val="32"/>
          <w:highlight w:val="none"/>
        </w:rPr>
        <w:t>双方协商</w:t>
      </w:r>
      <w:r>
        <w:rPr>
          <w:rFonts w:hint="eastAsia" w:ascii="宋体" w:hAnsi="宋体" w:cs="宋体"/>
          <w:color w:val="auto"/>
          <w:sz w:val="24"/>
          <w:highlight w:val="none"/>
        </w:rPr>
        <w:t>签订本合同。</w:t>
      </w:r>
    </w:p>
    <w:p w14:paraId="08B80E5A">
      <w:pPr>
        <w:snapToGrid w:val="0"/>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第一条　合同标的</w:t>
      </w:r>
    </w:p>
    <w:p w14:paraId="18108E8D">
      <w:pPr>
        <w:snapToGrid w:val="0"/>
        <w:spacing w:line="360" w:lineRule="auto"/>
        <w:ind w:firstLine="480" w:firstLineChars="200"/>
        <w:rPr>
          <w:rFonts w:hint="eastAsia" w:ascii="宋体" w:hAnsi="宋体" w:cs="宋体"/>
          <w:b/>
          <w:color w:val="auto"/>
          <w:sz w:val="24"/>
          <w:highlight w:val="none"/>
        </w:rPr>
      </w:pPr>
      <w:r>
        <w:rPr>
          <w:rFonts w:hint="eastAsia" w:ascii="宋体" w:hAnsi="宋体" w:cs="宋体"/>
          <w:color w:val="auto"/>
          <w:sz w:val="24"/>
          <w:highlight w:val="none"/>
        </w:rPr>
        <w:t>1</w:t>
      </w:r>
      <w:r>
        <w:rPr>
          <w:rFonts w:ascii="宋体" w:hAnsi="宋体" w:cs="宋体"/>
          <w:color w:val="auto"/>
          <w:sz w:val="24"/>
          <w:highlight w:val="none"/>
        </w:rPr>
        <w:t>.</w:t>
      </w:r>
      <w:r>
        <w:rPr>
          <w:rFonts w:hint="eastAsia" w:ascii="宋体" w:hAnsi="宋体" w:cs="宋体"/>
          <w:color w:val="auto"/>
          <w:sz w:val="24"/>
          <w:highlight w:val="none"/>
        </w:rPr>
        <w:t>供货一览表</w:t>
      </w:r>
    </w:p>
    <w:tbl>
      <w:tblPr>
        <w:tblStyle w:val="26"/>
        <w:tblW w:w="108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034"/>
        <w:gridCol w:w="1134"/>
        <w:gridCol w:w="1276"/>
        <w:gridCol w:w="1134"/>
        <w:gridCol w:w="992"/>
        <w:gridCol w:w="709"/>
        <w:gridCol w:w="830"/>
        <w:gridCol w:w="1722"/>
        <w:gridCol w:w="1276"/>
      </w:tblGrid>
      <w:tr w14:paraId="33E1D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jc w:val="center"/>
        </w:trPr>
        <w:tc>
          <w:tcPr>
            <w:tcW w:w="709" w:type="dxa"/>
            <w:vAlign w:val="center"/>
          </w:tcPr>
          <w:p w14:paraId="7458F517">
            <w:pPr>
              <w:snapToGrid w:val="0"/>
              <w:spacing w:line="460" w:lineRule="exact"/>
              <w:jc w:val="center"/>
              <w:rPr>
                <w:rFonts w:hint="eastAsia" w:ascii="宋体" w:hAnsi="宋体" w:cs="宋体"/>
                <w:b/>
                <w:color w:val="auto"/>
                <w:sz w:val="24"/>
                <w:highlight w:val="none"/>
              </w:rPr>
            </w:pPr>
            <w:r>
              <w:rPr>
                <w:rFonts w:hint="eastAsia" w:ascii="宋体" w:hAnsi="宋体" w:cs="宋体"/>
                <w:b/>
                <w:color w:val="auto"/>
                <w:sz w:val="24"/>
                <w:highlight w:val="none"/>
              </w:rPr>
              <w:t>序号</w:t>
            </w:r>
          </w:p>
        </w:tc>
        <w:tc>
          <w:tcPr>
            <w:tcW w:w="1034" w:type="dxa"/>
            <w:vAlign w:val="center"/>
          </w:tcPr>
          <w:p w14:paraId="19EEF8C2">
            <w:pPr>
              <w:snapToGrid w:val="0"/>
              <w:spacing w:line="460" w:lineRule="exact"/>
              <w:jc w:val="center"/>
              <w:rPr>
                <w:rFonts w:hint="eastAsia" w:ascii="宋体" w:hAnsi="宋体" w:cs="宋体"/>
                <w:b/>
                <w:color w:val="auto"/>
                <w:sz w:val="24"/>
                <w:highlight w:val="none"/>
              </w:rPr>
            </w:pPr>
            <w:r>
              <w:rPr>
                <w:rFonts w:hint="eastAsia" w:ascii="宋体" w:hAnsi="宋体" w:cs="宋体"/>
                <w:b/>
                <w:color w:val="auto"/>
                <w:sz w:val="24"/>
                <w:highlight w:val="none"/>
              </w:rPr>
              <w:t>标的</w:t>
            </w:r>
          </w:p>
          <w:p w14:paraId="13BF5A4F">
            <w:pPr>
              <w:snapToGrid w:val="0"/>
              <w:spacing w:line="460" w:lineRule="exact"/>
              <w:jc w:val="center"/>
              <w:rPr>
                <w:rFonts w:hint="eastAsia" w:ascii="宋体" w:hAnsi="宋体" w:cs="宋体"/>
                <w:b/>
                <w:color w:val="auto"/>
                <w:sz w:val="24"/>
                <w:highlight w:val="none"/>
              </w:rPr>
            </w:pPr>
            <w:r>
              <w:rPr>
                <w:rFonts w:hint="eastAsia" w:ascii="宋体" w:hAnsi="宋体" w:cs="宋体"/>
                <w:b/>
                <w:color w:val="auto"/>
                <w:sz w:val="24"/>
                <w:highlight w:val="none"/>
              </w:rPr>
              <w:t>名称</w:t>
            </w:r>
          </w:p>
        </w:tc>
        <w:tc>
          <w:tcPr>
            <w:tcW w:w="1134" w:type="dxa"/>
            <w:vAlign w:val="center"/>
          </w:tcPr>
          <w:p w14:paraId="1911545F">
            <w:pPr>
              <w:snapToGrid w:val="0"/>
              <w:spacing w:line="460" w:lineRule="exact"/>
              <w:jc w:val="center"/>
              <w:rPr>
                <w:rFonts w:hint="eastAsia" w:ascii="宋体" w:hAnsi="宋体" w:cs="宋体"/>
                <w:b/>
                <w:color w:val="auto"/>
                <w:sz w:val="24"/>
                <w:highlight w:val="none"/>
              </w:rPr>
            </w:pPr>
            <w:r>
              <w:rPr>
                <w:rFonts w:hint="eastAsia" w:ascii="宋体" w:hAnsi="宋体" w:cs="宋体"/>
                <w:b/>
                <w:color w:val="auto"/>
                <w:sz w:val="24"/>
                <w:highlight w:val="none"/>
              </w:rPr>
              <w:t>商标</w:t>
            </w:r>
          </w:p>
          <w:p w14:paraId="2EF8525B">
            <w:pPr>
              <w:snapToGrid w:val="0"/>
              <w:spacing w:line="460" w:lineRule="exact"/>
              <w:jc w:val="center"/>
              <w:rPr>
                <w:rFonts w:hint="eastAsia" w:ascii="宋体" w:hAnsi="宋体" w:cs="宋体"/>
                <w:b/>
                <w:color w:val="auto"/>
                <w:sz w:val="24"/>
                <w:highlight w:val="none"/>
              </w:rPr>
            </w:pPr>
            <w:r>
              <w:rPr>
                <w:rFonts w:hint="eastAsia" w:ascii="宋体" w:hAnsi="宋体" w:cs="宋体"/>
                <w:b/>
                <w:color w:val="auto"/>
                <w:sz w:val="24"/>
                <w:highlight w:val="none"/>
              </w:rPr>
              <w:t>品牌</w:t>
            </w:r>
          </w:p>
        </w:tc>
        <w:tc>
          <w:tcPr>
            <w:tcW w:w="1276" w:type="dxa"/>
            <w:vAlign w:val="center"/>
          </w:tcPr>
          <w:p w14:paraId="077C35BE">
            <w:pPr>
              <w:snapToGrid w:val="0"/>
              <w:spacing w:line="460" w:lineRule="exact"/>
              <w:jc w:val="center"/>
              <w:rPr>
                <w:rFonts w:hint="eastAsia" w:ascii="宋体" w:hAnsi="宋体" w:cs="宋体"/>
                <w:b/>
                <w:color w:val="auto"/>
                <w:sz w:val="24"/>
                <w:highlight w:val="none"/>
              </w:rPr>
            </w:pPr>
            <w:r>
              <w:rPr>
                <w:rFonts w:hint="eastAsia" w:ascii="宋体" w:hAnsi="宋体" w:cs="宋体"/>
                <w:b/>
                <w:color w:val="auto"/>
                <w:sz w:val="24"/>
                <w:highlight w:val="none"/>
              </w:rPr>
              <w:t>规格型号</w:t>
            </w:r>
          </w:p>
        </w:tc>
        <w:tc>
          <w:tcPr>
            <w:tcW w:w="1134" w:type="dxa"/>
            <w:vAlign w:val="center"/>
          </w:tcPr>
          <w:p w14:paraId="26CE6503">
            <w:pPr>
              <w:snapToGrid w:val="0"/>
              <w:jc w:val="center"/>
              <w:rPr>
                <w:rFonts w:hint="eastAsia" w:ascii="宋体" w:hAnsi="宋体" w:cs="宋体"/>
                <w:b/>
                <w:color w:val="auto"/>
                <w:sz w:val="24"/>
                <w:highlight w:val="none"/>
              </w:rPr>
            </w:pPr>
            <w:r>
              <w:rPr>
                <w:rFonts w:hint="eastAsia" w:ascii="宋体" w:hAnsi="宋体" w:cs="宋体"/>
                <w:b/>
                <w:color w:val="auto"/>
                <w:sz w:val="24"/>
                <w:highlight w:val="none"/>
              </w:rPr>
              <w:t>生产</w:t>
            </w:r>
          </w:p>
          <w:p w14:paraId="432674D8">
            <w:pPr>
              <w:snapToGrid w:val="0"/>
              <w:jc w:val="center"/>
              <w:rPr>
                <w:rFonts w:hint="eastAsia" w:ascii="宋体" w:hAnsi="宋体" w:cs="宋体"/>
                <w:b/>
                <w:color w:val="auto"/>
                <w:sz w:val="24"/>
                <w:highlight w:val="none"/>
              </w:rPr>
            </w:pPr>
            <w:r>
              <w:rPr>
                <w:rFonts w:hint="eastAsia" w:ascii="宋体" w:hAnsi="宋体" w:cs="宋体"/>
                <w:b/>
                <w:color w:val="auto"/>
                <w:sz w:val="24"/>
                <w:highlight w:val="none"/>
              </w:rPr>
              <w:t>厂家</w:t>
            </w:r>
          </w:p>
        </w:tc>
        <w:tc>
          <w:tcPr>
            <w:tcW w:w="992" w:type="dxa"/>
            <w:vAlign w:val="center"/>
          </w:tcPr>
          <w:p w14:paraId="355D4C80">
            <w:pPr>
              <w:snapToGrid w:val="0"/>
              <w:jc w:val="center"/>
              <w:rPr>
                <w:rFonts w:hint="eastAsia" w:ascii="宋体" w:hAnsi="宋体" w:cs="宋体"/>
                <w:b/>
                <w:color w:val="auto"/>
                <w:sz w:val="24"/>
                <w:highlight w:val="none"/>
              </w:rPr>
            </w:pPr>
            <w:r>
              <w:rPr>
                <w:rFonts w:hint="eastAsia" w:ascii="宋体" w:hAnsi="宋体" w:cs="宋体"/>
                <w:b/>
                <w:color w:val="auto"/>
                <w:sz w:val="24"/>
                <w:highlight w:val="none"/>
              </w:rPr>
              <w:t>产地</w:t>
            </w:r>
          </w:p>
        </w:tc>
        <w:tc>
          <w:tcPr>
            <w:tcW w:w="709" w:type="dxa"/>
            <w:vAlign w:val="center"/>
          </w:tcPr>
          <w:p w14:paraId="574C8FA8">
            <w:pPr>
              <w:snapToGrid w:val="0"/>
              <w:jc w:val="center"/>
              <w:rPr>
                <w:rFonts w:hint="eastAsia" w:ascii="宋体" w:hAnsi="宋体" w:cs="宋体"/>
                <w:b/>
                <w:color w:val="auto"/>
                <w:sz w:val="24"/>
                <w:highlight w:val="none"/>
              </w:rPr>
            </w:pPr>
            <w:r>
              <w:rPr>
                <w:rFonts w:hint="eastAsia" w:ascii="宋体" w:hAnsi="宋体" w:cs="宋体"/>
                <w:b/>
                <w:color w:val="auto"/>
                <w:sz w:val="24"/>
                <w:highlight w:val="none"/>
              </w:rPr>
              <w:t>数  量</w:t>
            </w:r>
          </w:p>
        </w:tc>
        <w:tc>
          <w:tcPr>
            <w:tcW w:w="830" w:type="dxa"/>
            <w:vAlign w:val="center"/>
          </w:tcPr>
          <w:p w14:paraId="2F3012F9">
            <w:pPr>
              <w:snapToGrid w:val="0"/>
              <w:jc w:val="center"/>
              <w:rPr>
                <w:rFonts w:hint="eastAsia" w:ascii="宋体" w:hAnsi="宋体" w:cs="宋体"/>
                <w:b/>
                <w:color w:val="auto"/>
                <w:sz w:val="24"/>
                <w:highlight w:val="none"/>
              </w:rPr>
            </w:pPr>
            <w:r>
              <w:rPr>
                <w:rFonts w:hint="eastAsia" w:ascii="宋体" w:hAnsi="宋体" w:cs="宋体"/>
                <w:b/>
                <w:color w:val="auto"/>
                <w:sz w:val="24"/>
                <w:highlight w:val="none"/>
              </w:rPr>
              <w:t>单位</w:t>
            </w:r>
          </w:p>
        </w:tc>
        <w:tc>
          <w:tcPr>
            <w:tcW w:w="1722" w:type="dxa"/>
            <w:vAlign w:val="center"/>
          </w:tcPr>
          <w:p w14:paraId="6254A65C">
            <w:pPr>
              <w:snapToGrid w:val="0"/>
              <w:jc w:val="center"/>
              <w:rPr>
                <w:rFonts w:hint="eastAsia" w:ascii="宋体" w:hAnsi="宋体" w:cs="宋体"/>
                <w:b/>
                <w:color w:val="auto"/>
                <w:sz w:val="24"/>
                <w:highlight w:val="none"/>
              </w:rPr>
            </w:pPr>
            <w:r>
              <w:rPr>
                <w:rFonts w:hint="eastAsia" w:ascii="宋体" w:hAnsi="宋体" w:cs="宋体"/>
                <w:b/>
                <w:color w:val="auto"/>
                <w:sz w:val="24"/>
                <w:highlight w:val="none"/>
              </w:rPr>
              <w:t>单  价</w:t>
            </w:r>
          </w:p>
          <w:p w14:paraId="647EF155">
            <w:pPr>
              <w:snapToGrid w:val="0"/>
              <w:jc w:val="center"/>
              <w:rPr>
                <w:rFonts w:hint="eastAsia" w:ascii="宋体" w:hAnsi="宋体" w:cs="宋体"/>
                <w:b/>
                <w:color w:val="auto"/>
                <w:sz w:val="24"/>
                <w:highlight w:val="none"/>
              </w:rPr>
            </w:pPr>
            <w:r>
              <w:rPr>
                <w:rFonts w:hint="eastAsia" w:ascii="宋体" w:hAnsi="宋体" w:cs="宋体"/>
                <w:b/>
                <w:color w:val="auto"/>
                <w:sz w:val="24"/>
                <w:highlight w:val="none"/>
              </w:rPr>
              <w:t>（元/人民币）</w:t>
            </w:r>
          </w:p>
        </w:tc>
        <w:tc>
          <w:tcPr>
            <w:tcW w:w="1276" w:type="dxa"/>
            <w:vAlign w:val="center"/>
          </w:tcPr>
          <w:p w14:paraId="74FD48E1">
            <w:pPr>
              <w:snapToGrid w:val="0"/>
              <w:jc w:val="center"/>
              <w:rPr>
                <w:rFonts w:hint="eastAsia" w:ascii="宋体" w:hAnsi="宋体" w:cs="宋体"/>
                <w:b/>
                <w:color w:val="auto"/>
                <w:sz w:val="24"/>
                <w:highlight w:val="none"/>
              </w:rPr>
            </w:pPr>
            <w:r>
              <w:rPr>
                <w:rFonts w:hint="eastAsia" w:ascii="宋体" w:hAnsi="宋体" w:cs="宋体"/>
                <w:b/>
                <w:color w:val="auto"/>
                <w:sz w:val="24"/>
                <w:highlight w:val="none"/>
              </w:rPr>
              <w:t>单项合计</w:t>
            </w:r>
            <w:r>
              <w:rPr>
                <w:rFonts w:hint="eastAsia" w:ascii="宋体" w:hAnsi="宋体" w:cs="宋体"/>
                <w:b/>
                <w:color w:val="auto"/>
                <w:szCs w:val="21"/>
                <w:highlight w:val="none"/>
              </w:rPr>
              <w:t>（元/人民币）</w:t>
            </w:r>
          </w:p>
        </w:tc>
      </w:tr>
      <w:tr w14:paraId="4218F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709" w:type="dxa"/>
            <w:vAlign w:val="center"/>
          </w:tcPr>
          <w:p w14:paraId="7AA99A42">
            <w:pPr>
              <w:snapToGrid w:val="0"/>
              <w:spacing w:line="460" w:lineRule="exact"/>
              <w:jc w:val="center"/>
              <w:rPr>
                <w:rFonts w:hint="eastAsia" w:ascii="宋体" w:hAnsi="宋体" w:cs="宋体"/>
                <w:color w:val="auto"/>
                <w:sz w:val="24"/>
                <w:highlight w:val="none"/>
              </w:rPr>
            </w:pPr>
            <w:r>
              <w:rPr>
                <w:rFonts w:hint="eastAsia" w:ascii="宋体" w:hAnsi="宋体" w:cs="宋体"/>
                <w:color w:val="auto"/>
                <w:sz w:val="24"/>
                <w:highlight w:val="none"/>
              </w:rPr>
              <w:t>1</w:t>
            </w:r>
          </w:p>
        </w:tc>
        <w:tc>
          <w:tcPr>
            <w:tcW w:w="1034" w:type="dxa"/>
            <w:vAlign w:val="center"/>
          </w:tcPr>
          <w:p w14:paraId="578FD282">
            <w:pPr>
              <w:snapToGrid w:val="0"/>
              <w:spacing w:line="460" w:lineRule="exact"/>
              <w:jc w:val="center"/>
              <w:rPr>
                <w:rFonts w:hint="eastAsia" w:ascii="宋体" w:hAnsi="宋体" w:cs="宋体"/>
                <w:color w:val="auto"/>
                <w:sz w:val="24"/>
                <w:highlight w:val="none"/>
              </w:rPr>
            </w:pPr>
          </w:p>
        </w:tc>
        <w:tc>
          <w:tcPr>
            <w:tcW w:w="1134" w:type="dxa"/>
            <w:vAlign w:val="center"/>
          </w:tcPr>
          <w:p w14:paraId="438B9ADF">
            <w:pPr>
              <w:snapToGrid w:val="0"/>
              <w:spacing w:line="460" w:lineRule="exact"/>
              <w:jc w:val="center"/>
              <w:rPr>
                <w:rFonts w:hint="eastAsia" w:ascii="宋体" w:hAnsi="宋体" w:cs="宋体"/>
                <w:color w:val="auto"/>
                <w:sz w:val="24"/>
                <w:highlight w:val="none"/>
              </w:rPr>
            </w:pPr>
          </w:p>
        </w:tc>
        <w:tc>
          <w:tcPr>
            <w:tcW w:w="1276" w:type="dxa"/>
            <w:vAlign w:val="center"/>
          </w:tcPr>
          <w:p w14:paraId="5DC12817">
            <w:pPr>
              <w:snapToGrid w:val="0"/>
              <w:spacing w:line="460" w:lineRule="exact"/>
              <w:jc w:val="center"/>
              <w:rPr>
                <w:rFonts w:hint="eastAsia" w:ascii="宋体" w:hAnsi="宋体" w:cs="宋体"/>
                <w:color w:val="auto"/>
                <w:sz w:val="24"/>
                <w:highlight w:val="none"/>
              </w:rPr>
            </w:pPr>
          </w:p>
        </w:tc>
        <w:tc>
          <w:tcPr>
            <w:tcW w:w="1134" w:type="dxa"/>
          </w:tcPr>
          <w:p w14:paraId="562BD458">
            <w:pPr>
              <w:snapToGrid w:val="0"/>
              <w:spacing w:line="460" w:lineRule="exact"/>
              <w:jc w:val="center"/>
              <w:rPr>
                <w:rFonts w:hint="eastAsia" w:ascii="宋体" w:hAnsi="宋体" w:cs="宋体"/>
                <w:color w:val="auto"/>
                <w:sz w:val="24"/>
                <w:highlight w:val="none"/>
              </w:rPr>
            </w:pPr>
          </w:p>
        </w:tc>
        <w:tc>
          <w:tcPr>
            <w:tcW w:w="992" w:type="dxa"/>
            <w:vAlign w:val="center"/>
          </w:tcPr>
          <w:p w14:paraId="6A7E1393">
            <w:pPr>
              <w:snapToGrid w:val="0"/>
              <w:spacing w:line="460" w:lineRule="exact"/>
              <w:jc w:val="center"/>
              <w:rPr>
                <w:rFonts w:hint="eastAsia" w:ascii="宋体" w:hAnsi="宋体" w:cs="宋体"/>
                <w:color w:val="auto"/>
                <w:sz w:val="24"/>
                <w:highlight w:val="none"/>
              </w:rPr>
            </w:pPr>
          </w:p>
        </w:tc>
        <w:tc>
          <w:tcPr>
            <w:tcW w:w="709" w:type="dxa"/>
            <w:vAlign w:val="center"/>
          </w:tcPr>
          <w:p w14:paraId="01C1E5EB">
            <w:pPr>
              <w:snapToGrid w:val="0"/>
              <w:spacing w:line="460" w:lineRule="exact"/>
              <w:jc w:val="center"/>
              <w:rPr>
                <w:rFonts w:hint="eastAsia" w:ascii="宋体" w:hAnsi="宋体" w:cs="宋体"/>
                <w:color w:val="auto"/>
                <w:sz w:val="24"/>
                <w:highlight w:val="none"/>
              </w:rPr>
            </w:pPr>
          </w:p>
        </w:tc>
        <w:tc>
          <w:tcPr>
            <w:tcW w:w="830" w:type="dxa"/>
          </w:tcPr>
          <w:p w14:paraId="069E10FC">
            <w:pPr>
              <w:snapToGrid w:val="0"/>
              <w:spacing w:line="460" w:lineRule="exact"/>
              <w:jc w:val="center"/>
              <w:rPr>
                <w:rFonts w:hint="eastAsia" w:ascii="宋体" w:hAnsi="宋体" w:cs="宋体"/>
                <w:color w:val="auto"/>
                <w:sz w:val="24"/>
                <w:highlight w:val="none"/>
              </w:rPr>
            </w:pPr>
          </w:p>
        </w:tc>
        <w:tc>
          <w:tcPr>
            <w:tcW w:w="1722" w:type="dxa"/>
            <w:vAlign w:val="center"/>
          </w:tcPr>
          <w:p w14:paraId="78FE5841">
            <w:pPr>
              <w:snapToGrid w:val="0"/>
              <w:spacing w:line="460" w:lineRule="exact"/>
              <w:jc w:val="center"/>
              <w:rPr>
                <w:rFonts w:hint="eastAsia" w:ascii="宋体" w:hAnsi="宋体" w:cs="宋体"/>
                <w:color w:val="auto"/>
                <w:sz w:val="24"/>
                <w:highlight w:val="none"/>
              </w:rPr>
            </w:pPr>
          </w:p>
        </w:tc>
        <w:tc>
          <w:tcPr>
            <w:tcW w:w="1276" w:type="dxa"/>
          </w:tcPr>
          <w:p w14:paraId="508CBC19">
            <w:pPr>
              <w:snapToGrid w:val="0"/>
              <w:spacing w:line="460" w:lineRule="exact"/>
              <w:jc w:val="center"/>
              <w:rPr>
                <w:rFonts w:hint="eastAsia" w:ascii="宋体" w:hAnsi="宋体" w:cs="宋体"/>
                <w:color w:val="auto"/>
                <w:sz w:val="24"/>
                <w:highlight w:val="none"/>
              </w:rPr>
            </w:pPr>
          </w:p>
        </w:tc>
      </w:tr>
      <w:tr w14:paraId="1131E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709" w:type="dxa"/>
            <w:vAlign w:val="center"/>
          </w:tcPr>
          <w:p w14:paraId="7BFA435E">
            <w:pPr>
              <w:snapToGrid w:val="0"/>
              <w:spacing w:line="460" w:lineRule="exact"/>
              <w:jc w:val="center"/>
              <w:rPr>
                <w:rFonts w:hint="eastAsia" w:ascii="宋体" w:hAnsi="宋体" w:cs="宋体"/>
                <w:color w:val="auto"/>
                <w:sz w:val="24"/>
                <w:highlight w:val="none"/>
              </w:rPr>
            </w:pPr>
          </w:p>
        </w:tc>
        <w:tc>
          <w:tcPr>
            <w:tcW w:w="1034" w:type="dxa"/>
            <w:vAlign w:val="center"/>
          </w:tcPr>
          <w:p w14:paraId="4AF763AF">
            <w:pPr>
              <w:snapToGrid w:val="0"/>
              <w:spacing w:line="460" w:lineRule="exact"/>
              <w:jc w:val="center"/>
              <w:rPr>
                <w:rFonts w:hint="eastAsia" w:ascii="宋体" w:hAnsi="宋体" w:cs="宋体"/>
                <w:color w:val="auto"/>
                <w:sz w:val="24"/>
                <w:highlight w:val="none"/>
              </w:rPr>
            </w:pPr>
          </w:p>
        </w:tc>
        <w:tc>
          <w:tcPr>
            <w:tcW w:w="1134" w:type="dxa"/>
            <w:vAlign w:val="center"/>
          </w:tcPr>
          <w:p w14:paraId="0FB81834">
            <w:pPr>
              <w:snapToGrid w:val="0"/>
              <w:spacing w:line="460" w:lineRule="exact"/>
              <w:jc w:val="center"/>
              <w:rPr>
                <w:rFonts w:hint="eastAsia" w:ascii="宋体" w:hAnsi="宋体" w:cs="宋体"/>
                <w:color w:val="auto"/>
                <w:sz w:val="24"/>
                <w:highlight w:val="none"/>
              </w:rPr>
            </w:pPr>
          </w:p>
        </w:tc>
        <w:tc>
          <w:tcPr>
            <w:tcW w:w="1276" w:type="dxa"/>
            <w:vAlign w:val="center"/>
          </w:tcPr>
          <w:p w14:paraId="24853E63">
            <w:pPr>
              <w:snapToGrid w:val="0"/>
              <w:spacing w:line="460" w:lineRule="exact"/>
              <w:jc w:val="center"/>
              <w:rPr>
                <w:rFonts w:hint="eastAsia" w:ascii="宋体" w:hAnsi="宋体" w:cs="宋体"/>
                <w:color w:val="auto"/>
                <w:sz w:val="24"/>
                <w:highlight w:val="none"/>
              </w:rPr>
            </w:pPr>
          </w:p>
        </w:tc>
        <w:tc>
          <w:tcPr>
            <w:tcW w:w="1134" w:type="dxa"/>
          </w:tcPr>
          <w:p w14:paraId="26B717FC">
            <w:pPr>
              <w:snapToGrid w:val="0"/>
              <w:spacing w:line="460" w:lineRule="exact"/>
              <w:jc w:val="center"/>
              <w:rPr>
                <w:rFonts w:hint="eastAsia" w:ascii="宋体" w:hAnsi="宋体" w:cs="宋体"/>
                <w:color w:val="auto"/>
                <w:sz w:val="24"/>
                <w:highlight w:val="none"/>
              </w:rPr>
            </w:pPr>
          </w:p>
        </w:tc>
        <w:tc>
          <w:tcPr>
            <w:tcW w:w="992" w:type="dxa"/>
            <w:vAlign w:val="center"/>
          </w:tcPr>
          <w:p w14:paraId="591FE4FA">
            <w:pPr>
              <w:snapToGrid w:val="0"/>
              <w:spacing w:line="460" w:lineRule="exact"/>
              <w:jc w:val="center"/>
              <w:rPr>
                <w:rFonts w:hint="eastAsia" w:ascii="宋体" w:hAnsi="宋体" w:cs="宋体"/>
                <w:color w:val="auto"/>
                <w:sz w:val="24"/>
                <w:highlight w:val="none"/>
              </w:rPr>
            </w:pPr>
          </w:p>
        </w:tc>
        <w:tc>
          <w:tcPr>
            <w:tcW w:w="709" w:type="dxa"/>
            <w:vAlign w:val="center"/>
          </w:tcPr>
          <w:p w14:paraId="37A04122">
            <w:pPr>
              <w:snapToGrid w:val="0"/>
              <w:spacing w:line="460" w:lineRule="exact"/>
              <w:jc w:val="center"/>
              <w:rPr>
                <w:rFonts w:hint="eastAsia" w:ascii="宋体" w:hAnsi="宋体" w:cs="宋体"/>
                <w:color w:val="auto"/>
                <w:sz w:val="24"/>
                <w:highlight w:val="none"/>
              </w:rPr>
            </w:pPr>
          </w:p>
        </w:tc>
        <w:tc>
          <w:tcPr>
            <w:tcW w:w="830" w:type="dxa"/>
          </w:tcPr>
          <w:p w14:paraId="19EF87ED">
            <w:pPr>
              <w:snapToGrid w:val="0"/>
              <w:spacing w:line="460" w:lineRule="exact"/>
              <w:jc w:val="center"/>
              <w:rPr>
                <w:rFonts w:hint="eastAsia" w:ascii="宋体" w:hAnsi="宋体" w:cs="宋体"/>
                <w:color w:val="auto"/>
                <w:sz w:val="24"/>
                <w:highlight w:val="none"/>
              </w:rPr>
            </w:pPr>
          </w:p>
        </w:tc>
        <w:tc>
          <w:tcPr>
            <w:tcW w:w="1722" w:type="dxa"/>
            <w:vAlign w:val="center"/>
          </w:tcPr>
          <w:p w14:paraId="153E4905">
            <w:pPr>
              <w:snapToGrid w:val="0"/>
              <w:spacing w:line="460" w:lineRule="exact"/>
              <w:jc w:val="center"/>
              <w:rPr>
                <w:rFonts w:hint="eastAsia" w:ascii="宋体" w:hAnsi="宋体" w:cs="宋体"/>
                <w:color w:val="auto"/>
                <w:sz w:val="24"/>
                <w:highlight w:val="none"/>
              </w:rPr>
            </w:pPr>
          </w:p>
        </w:tc>
        <w:tc>
          <w:tcPr>
            <w:tcW w:w="1276" w:type="dxa"/>
          </w:tcPr>
          <w:p w14:paraId="118407F5">
            <w:pPr>
              <w:snapToGrid w:val="0"/>
              <w:spacing w:line="460" w:lineRule="exact"/>
              <w:jc w:val="center"/>
              <w:rPr>
                <w:rFonts w:hint="eastAsia" w:ascii="宋体" w:hAnsi="宋体" w:cs="宋体"/>
                <w:color w:val="auto"/>
                <w:sz w:val="24"/>
                <w:highlight w:val="none"/>
              </w:rPr>
            </w:pPr>
          </w:p>
        </w:tc>
      </w:tr>
      <w:tr w14:paraId="07C7D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5" w:hRule="atLeast"/>
          <w:jc w:val="center"/>
        </w:trPr>
        <w:tc>
          <w:tcPr>
            <w:tcW w:w="10816" w:type="dxa"/>
            <w:gridSpan w:val="10"/>
          </w:tcPr>
          <w:p w14:paraId="53CD5878">
            <w:pPr>
              <w:snapToGrid w:val="0"/>
              <w:spacing w:line="460" w:lineRule="exact"/>
              <w:jc w:val="left"/>
              <w:rPr>
                <w:rFonts w:hint="eastAsia" w:ascii="宋体" w:hAnsi="宋体" w:cs="宋体"/>
                <w:color w:val="auto"/>
                <w:sz w:val="24"/>
                <w:highlight w:val="none"/>
              </w:rPr>
            </w:pPr>
            <w:r>
              <w:rPr>
                <w:rFonts w:hint="eastAsia" w:ascii="宋体" w:hAnsi="宋体" w:cs="宋体"/>
                <w:color w:val="auto"/>
                <w:sz w:val="24"/>
                <w:highlight w:val="none"/>
              </w:rPr>
              <w:t>合计金额（人民币大写</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b/>
                <w:bCs/>
                <w:color w:val="auto"/>
                <w:sz w:val="24"/>
                <w:highlight w:val="none"/>
                <w:u w:val="single"/>
              </w:rPr>
              <w:t xml:space="preserve"> </w:t>
            </w:r>
            <w:r>
              <w:rPr>
                <w:rFonts w:ascii="宋体" w:hAnsi="宋体" w:cs="宋体"/>
                <w:b/>
                <w:bCs/>
                <w:color w:val="auto"/>
                <w:sz w:val="24"/>
                <w:highlight w:val="none"/>
                <w:u w:val="single"/>
              </w:rPr>
              <w:t xml:space="preserve">            </w:t>
            </w:r>
            <w:r>
              <w:rPr>
                <w:rFonts w:ascii="宋体" w:hAnsi="宋体" w:cs="宋体"/>
                <w:bCs/>
                <w:color w:val="auto"/>
                <w:sz w:val="24"/>
                <w:highlight w:val="none"/>
                <w:u w:val="single"/>
              </w:rPr>
              <w:t xml:space="preserve"> </w:t>
            </w:r>
            <w:r>
              <w:rPr>
                <w:rFonts w:hint="eastAsia" w:ascii="宋体" w:hAnsi="宋体" w:cs="宋体"/>
                <w:bCs/>
                <w:color w:val="auto"/>
                <w:sz w:val="24"/>
                <w:highlight w:val="none"/>
              </w:rPr>
              <w:t>（小写）</w:t>
            </w:r>
            <w:r>
              <w:rPr>
                <w:rFonts w:hint="eastAsia" w:ascii="宋体" w:hAnsi="宋体" w:cs="宋体"/>
                <w:bCs/>
                <w:color w:val="auto"/>
                <w:sz w:val="24"/>
                <w:highlight w:val="none"/>
                <w:u w:val="single"/>
              </w:rPr>
              <w:t xml:space="preserve">¥ </w:t>
            </w:r>
            <w:r>
              <w:rPr>
                <w:rFonts w:ascii="宋体" w:hAnsi="宋体" w:cs="宋体"/>
                <w:bCs/>
                <w:color w:val="auto"/>
                <w:sz w:val="24"/>
                <w:highlight w:val="none"/>
                <w:u w:val="single"/>
              </w:rPr>
              <w:t xml:space="preserve">         .**</w:t>
            </w:r>
          </w:p>
        </w:tc>
      </w:tr>
    </w:tbl>
    <w:p w14:paraId="774538FE">
      <w:pPr>
        <w:snapToGrid w:val="0"/>
        <w:spacing w:line="46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合同合计金额包括货物价款、配套软件、标准附件、随配附件、备品备件、辅助材料、专用工具、包装、运抵指定交货地点、运输、装卸、完工清场清洁、货到就位、安装、调试、检验、技术培训、技术资料、售后服务、保险、投标费用、预验收及履约验收及售后服务、人工费、一切税费等全部费用，甲方不再支付合同合计金额以外的其他费用。</w:t>
      </w:r>
    </w:p>
    <w:p w14:paraId="35A862A2">
      <w:pPr>
        <w:snapToGrid w:val="0"/>
        <w:spacing w:line="460" w:lineRule="exact"/>
        <w:ind w:firstLine="482" w:firstLineChars="200"/>
        <w:rPr>
          <w:rFonts w:hint="eastAsia" w:ascii="宋体" w:hAnsi="宋体" w:cs="宋体"/>
          <w:color w:val="auto"/>
          <w:sz w:val="24"/>
          <w:highlight w:val="none"/>
        </w:rPr>
      </w:pPr>
      <w:r>
        <w:rPr>
          <w:rFonts w:hint="eastAsia" w:ascii="宋体" w:hAnsi="宋体" w:cs="宋体"/>
          <w:b/>
          <w:color w:val="auto"/>
          <w:sz w:val="24"/>
          <w:highlight w:val="none"/>
        </w:rPr>
        <w:t>第二条　质量要求</w:t>
      </w:r>
    </w:p>
    <w:p w14:paraId="17DCAC28">
      <w:pPr>
        <w:snapToGrid w:val="0"/>
        <w:spacing w:line="46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1.乙方所提供的产品名称、商标品牌、生产厂家、规格型号、技术参数等质量必须与采购文件规定及响应文件承诺相一致。乙方提供的节能和环保产品必须是列入政府采购品目清单的产品。</w:t>
      </w:r>
    </w:p>
    <w:p w14:paraId="07C54311">
      <w:pPr>
        <w:snapToGrid w:val="0"/>
        <w:spacing w:line="46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2.乙方所提供的货物必须是全新、未使用的原装产品，且在正常安装、使用和保养条件下，其使用寿命期内各项指标均达到采购文件规定或者响应文件承诺的质量要求。</w:t>
      </w:r>
    </w:p>
    <w:p w14:paraId="35AA900F">
      <w:pPr>
        <w:snapToGrid w:val="0"/>
        <w:spacing w:line="460" w:lineRule="exact"/>
        <w:ind w:firstLine="482" w:firstLineChars="200"/>
        <w:rPr>
          <w:rFonts w:hint="eastAsia" w:ascii="宋体" w:hAnsi="宋体" w:cs="宋体"/>
          <w:color w:val="auto"/>
          <w:sz w:val="24"/>
          <w:highlight w:val="none"/>
        </w:rPr>
      </w:pPr>
      <w:r>
        <w:rPr>
          <w:rFonts w:hint="eastAsia" w:ascii="宋体" w:hAnsi="宋体" w:cs="宋体"/>
          <w:b/>
          <w:color w:val="auto"/>
          <w:sz w:val="24"/>
          <w:highlight w:val="none"/>
        </w:rPr>
        <w:t>第三条　权利保证</w:t>
      </w:r>
    </w:p>
    <w:p w14:paraId="6B6561B8">
      <w:pPr>
        <w:snapToGrid w:val="0"/>
        <w:spacing w:line="46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1.乙方应保证所提供货物在使用时不会侵犯任何第三方的专利权、商标权、工业设计权</w:t>
      </w:r>
      <w:r>
        <w:rPr>
          <w:rFonts w:hint="eastAsia" w:ascii="宋体" w:hAnsi="宋体"/>
          <w:color w:val="auto"/>
          <w:sz w:val="24"/>
          <w:highlight w:val="none"/>
        </w:rPr>
        <w:t>等知识产权及其他合法权利，且所有权、处分权等没有受到任何限制。</w:t>
      </w:r>
      <w:r>
        <w:rPr>
          <w:rFonts w:hint="eastAsia" w:ascii="宋体" w:hAnsi="宋体" w:cs="宋体"/>
          <w:color w:val="auto"/>
          <w:sz w:val="24"/>
          <w:highlight w:val="none"/>
        </w:rPr>
        <w:t>。</w:t>
      </w:r>
    </w:p>
    <w:p w14:paraId="2B62BA9E">
      <w:pPr>
        <w:snapToGrid w:val="0"/>
        <w:spacing w:line="46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2.乙方应按采购文件规定或者响应文件承诺的时间向甲方提供使用货物的有关技术资料。</w:t>
      </w:r>
    </w:p>
    <w:p w14:paraId="059E1319">
      <w:pPr>
        <w:snapToGrid w:val="0"/>
        <w:spacing w:line="46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没有甲方事先书面同意，乙方不得将由甲方提供的有关合同或者任何合同条文、规格、计划、图纸、样品或者资料提供给与履行本合同无关的任何其他人。即使向履行本合同有关的人员提供，也应注意保密并限于履行合同的必需范围。</w:t>
      </w:r>
    </w:p>
    <w:p w14:paraId="1C4F5570">
      <w:pPr>
        <w:snapToGrid w:val="0"/>
        <w:spacing w:line="46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4.乙方保证将要交付的货物的所有权完全属于乙方且无任何抵押、质押、查封等产权瑕疵。</w:t>
      </w:r>
    </w:p>
    <w:p w14:paraId="2A8D7BBC">
      <w:pPr>
        <w:snapToGrid w:val="0"/>
        <w:spacing w:line="460" w:lineRule="exact"/>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第四条　包装、运输和签收</w:t>
      </w:r>
    </w:p>
    <w:p w14:paraId="10D0B12B">
      <w:pPr>
        <w:snapToGrid w:val="0"/>
        <w:spacing w:line="46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1.乙方提供的货物均应包装完整，每一包装单元内应附详细的装箱单和质量合格证。</w:t>
      </w:r>
    </w:p>
    <w:p w14:paraId="3129783E">
      <w:pPr>
        <w:pStyle w:val="14"/>
        <w:snapToGrid w:val="0"/>
        <w:spacing w:line="44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rPr>
        <w:t>2.货物的运输：</w:t>
      </w:r>
      <w:r>
        <w:rPr>
          <w:rFonts w:hAnsi="宋体" w:cs="宋体"/>
          <w:color w:val="auto"/>
          <w:sz w:val="24"/>
          <w:szCs w:val="24"/>
          <w:highlight w:val="none"/>
          <w:u w:val="single"/>
        </w:rPr>
        <w:t xml:space="preserve"> 。</w:t>
      </w:r>
    </w:p>
    <w:p w14:paraId="1EF6B027">
      <w:pPr>
        <w:pStyle w:val="14"/>
        <w:snapToGrid w:val="0"/>
        <w:spacing w:line="44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rPr>
        <w:t>3. 乙方负责货物运输，货物运输合理损耗及计算方法：</w:t>
      </w:r>
      <w:r>
        <w:rPr>
          <w:rFonts w:hint="eastAsia" w:hAnsi="宋体" w:cs="宋体"/>
          <w:color w:val="auto"/>
          <w:sz w:val="24"/>
          <w:szCs w:val="24"/>
          <w:highlight w:val="none"/>
          <w:u w:val="single"/>
        </w:rPr>
        <w:t>甲方不接受损耗。</w:t>
      </w:r>
    </w:p>
    <w:p w14:paraId="78D08289">
      <w:pPr>
        <w:pStyle w:val="14"/>
        <w:snapToGrid w:val="0"/>
        <w:spacing w:line="440" w:lineRule="exact"/>
        <w:ind w:firstLine="480" w:firstLineChars="200"/>
        <w:rPr>
          <w:rFonts w:hint="eastAsia" w:hAnsi="宋体" w:cs="宋体"/>
          <w:color w:val="auto"/>
          <w:sz w:val="24"/>
          <w:szCs w:val="24"/>
          <w:highlight w:val="none"/>
        </w:rPr>
      </w:pPr>
      <w:r>
        <w:rPr>
          <w:rFonts w:hAnsi="宋体" w:cs="宋体"/>
          <w:color w:val="auto"/>
          <w:sz w:val="24"/>
          <w:szCs w:val="24"/>
          <w:highlight w:val="none"/>
        </w:rPr>
        <w:t>4.</w:t>
      </w:r>
      <w:r>
        <w:rPr>
          <w:rFonts w:hint="eastAsia" w:hAnsi="宋体" w:cs="宋体"/>
          <w:color w:val="auto"/>
          <w:sz w:val="24"/>
          <w:szCs w:val="24"/>
          <w:highlight w:val="none"/>
        </w:rPr>
        <w:t>乙方应在货物发运前对其进行满足运输距离、防潮、防震、防锈和防破损装卸等要求包装，以保证货物安全运达甲方指定地点。</w:t>
      </w:r>
    </w:p>
    <w:p w14:paraId="722CAEB6">
      <w:pPr>
        <w:pStyle w:val="14"/>
        <w:snapToGrid w:val="0"/>
        <w:spacing w:line="440" w:lineRule="exact"/>
        <w:ind w:firstLine="480" w:firstLineChars="200"/>
        <w:rPr>
          <w:rFonts w:hint="eastAsia" w:hAnsi="宋体" w:cs="宋体"/>
          <w:color w:val="auto"/>
          <w:sz w:val="24"/>
          <w:szCs w:val="24"/>
          <w:highlight w:val="none"/>
        </w:rPr>
      </w:pPr>
      <w:r>
        <w:rPr>
          <w:rFonts w:hAnsi="宋体" w:cs="宋体"/>
          <w:color w:val="auto"/>
          <w:sz w:val="24"/>
          <w:szCs w:val="24"/>
          <w:highlight w:val="none"/>
        </w:rPr>
        <w:t>5.</w:t>
      </w:r>
      <w:r>
        <w:rPr>
          <w:rFonts w:hint="eastAsia" w:hAnsi="宋体" w:cs="宋体"/>
          <w:color w:val="auto"/>
          <w:sz w:val="24"/>
          <w:szCs w:val="24"/>
          <w:highlight w:val="none"/>
        </w:rPr>
        <w:t xml:space="preserve"> 使用说明书（货物属于进口产品的，供货时应同时附上中文使用说明书）、质量检验证明书、随配附件和工具以及清单一并附于货物内。</w:t>
      </w:r>
    </w:p>
    <w:p w14:paraId="37378084">
      <w:pPr>
        <w:pStyle w:val="14"/>
        <w:snapToGrid w:val="0"/>
        <w:spacing w:line="440" w:lineRule="exact"/>
        <w:ind w:firstLine="480" w:firstLineChars="200"/>
        <w:rPr>
          <w:rFonts w:hint="eastAsia" w:hAnsi="宋体" w:cs="宋体"/>
          <w:color w:val="auto"/>
          <w:sz w:val="24"/>
          <w:szCs w:val="24"/>
          <w:highlight w:val="none"/>
        </w:rPr>
      </w:pPr>
      <w:r>
        <w:rPr>
          <w:rFonts w:hAnsi="宋体" w:cs="宋体"/>
          <w:color w:val="auto"/>
          <w:sz w:val="24"/>
          <w:szCs w:val="24"/>
          <w:highlight w:val="none"/>
        </w:rPr>
        <w:t>6</w:t>
      </w:r>
      <w:r>
        <w:rPr>
          <w:rFonts w:hint="eastAsia" w:hAnsi="宋体" w:cs="宋体"/>
          <w:color w:val="auto"/>
          <w:sz w:val="24"/>
          <w:szCs w:val="24"/>
          <w:highlight w:val="none"/>
        </w:rPr>
        <w:t>.乙方在货物发运手续办理完毕后2</w:t>
      </w:r>
      <w:r>
        <w:rPr>
          <w:rFonts w:hAnsi="宋体" w:cs="宋体"/>
          <w:color w:val="auto"/>
          <w:sz w:val="24"/>
          <w:szCs w:val="24"/>
          <w:highlight w:val="none"/>
        </w:rPr>
        <w:t>4</w:t>
      </w:r>
      <w:r>
        <w:rPr>
          <w:rFonts w:hint="eastAsia" w:hAnsi="宋体" w:cs="宋体"/>
          <w:color w:val="auto"/>
          <w:sz w:val="24"/>
          <w:szCs w:val="24"/>
          <w:highlight w:val="none"/>
        </w:rPr>
        <w:t>小时内或者货到甲方4</w:t>
      </w:r>
      <w:r>
        <w:rPr>
          <w:rFonts w:hAnsi="宋体" w:cs="宋体"/>
          <w:color w:val="auto"/>
          <w:sz w:val="24"/>
          <w:szCs w:val="24"/>
          <w:highlight w:val="none"/>
        </w:rPr>
        <w:t>8</w:t>
      </w:r>
      <w:r>
        <w:rPr>
          <w:rFonts w:hint="eastAsia" w:hAnsi="宋体" w:cs="宋体"/>
          <w:color w:val="auto"/>
          <w:sz w:val="24"/>
          <w:szCs w:val="24"/>
          <w:highlight w:val="none"/>
        </w:rPr>
        <w:t>小时前通知甲方，以准备接货。</w:t>
      </w:r>
    </w:p>
    <w:p w14:paraId="21C5BD02">
      <w:pPr>
        <w:pStyle w:val="14"/>
        <w:snapToGrid w:val="0"/>
        <w:spacing w:line="440" w:lineRule="exact"/>
        <w:ind w:firstLine="480" w:firstLineChars="200"/>
        <w:rPr>
          <w:rFonts w:hint="eastAsia" w:hAnsi="宋体" w:cs="宋体"/>
          <w:color w:val="auto"/>
          <w:sz w:val="24"/>
          <w:szCs w:val="24"/>
          <w:highlight w:val="none"/>
        </w:rPr>
      </w:pPr>
      <w:r>
        <w:rPr>
          <w:rFonts w:hAnsi="宋体" w:cs="宋体"/>
          <w:color w:val="auto"/>
          <w:sz w:val="24"/>
          <w:szCs w:val="24"/>
          <w:highlight w:val="none"/>
        </w:rPr>
        <w:t>7</w:t>
      </w:r>
      <w:r>
        <w:rPr>
          <w:rFonts w:hint="eastAsia" w:hAnsi="宋体" w:cs="宋体"/>
          <w:color w:val="auto"/>
          <w:sz w:val="24"/>
          <w:szCs w:val="24"/>
          <w:highlight w:val="none"/>
        </w:rPr>
        <w:t>.货物在规定的交付期限内由乙方送达甲方指定的地点，乙方同时需通知甲方货物已送达，甲方清点货物后签收，货物签收不作为最终验收合格的依据。</w:t>
      </w:r>
    </w:p>
    <w:p w14:paraId="39F0AE73">
      <w:pPr>
        <w:snapToGrid w:val="0"/>
        <w:spacing w:line="460" w:lineRule="exact"/>
        <w:ind w:firstLine="482" w:firstLineChars="200"/>
        <w:rPr>
          <w:rFonts w:hint="eastAsia" w:hAnsi="宋体" w:cs="宋体"/>
          <w:b/>
          <w:color w:val="auto"/>
          <w:sz w:val="24"/>
          <w:highlight w:val="none"/>
        </w:rPr>
      </w:pPr>
      <w:r>
        <w:rPr>
          <w:rFonts w:hint="eastAsia" w:ascii="宋体" w:hAnsi="宋体" w:cs="宋体"/>
          <w:b/>
          <w:color w:val="auto"/>
          <w:sz w:val="24"/>
          <w:highlight w:val="none"/>
        </w:rPr>
        <w:t>第五条　</w:t>
      </w:r>
      <w:r>
        <w:rPr>
          <w:rFonts w:hint="eastAsia" w:hAnsi="宋体" w:cs="宋体"/>
          <w:b/>
          <w:color w:val="auto"/>
          <w:sz w:val="24"/>
          <w:highlight w:val="none"/>
        </w:rPr>
        <w:t>安装和培训</w:t>
      </w:r>
    </w:p>
    <w:p w14:paraId="61613882">
      <w:pPr>
        <w:snapToGrid w:val="0"/>
        <w:spacing w:line="46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1.甲方应提供必要安装条件（如场地、电源、水源等）。</w:t>
      </w:r>
    </w:p>
    <w:p w14:paraId="69C1BF0C">
      <w:pPr>
        <w:snapToGrid w:val="0"/>
        <w:spacing w:line="460" w:lineRule="exact"/>
        <w:ind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rPr>
        <w:t>2.乙方响应文件承诺负责甲方有关人员的培训：</w:t>
      </w:r>
      <w:r>
        <w:rPr>
          <w:rFonts w:hint="eastAsia" w:ascii="宋体" w:hAnsi="宋体" w:cs="宋体"/>
          <w:color w:val="auto"/>
          <w:sz w:val="24"/>
          <w:highlight w:val="none"/>
          <w:u w:val="single"/>
        </w:rPr>
        <w:t>根据甲方要求开展。</w:t>
      </w:r>
    </w:p>
    <w:p w14:paraId="48CB17CF">
      <w:pPr>
        <w:snapToGrid w:val="0"/>
        <w:spacing w:line="460" w:lineRule="exact"/>
        <w:ind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rPr>
        <w:t>3.培训时间、地点：</w:t>
      </w:r>
      <w:r>
        <w:rPr>
          <w:rFonts w:hint="eastAsia" w:ascii="宋体" w:hAnsi="宋体" w:cs="宋体"/>
          <w:color w:val="auto"/>
          <w:sz w:val="24"/>
          <w:highlight w:val="none"/>
          <w:u w:val="single"/>
        </w:rPr>
        <w:t>甲方指定。</w:t>
      </w:r>
    </w:p>
    <w:p w14:paraId="0B4D30C9">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4.提供原厂技术人员对甲方的操作技术培训和相关技术资料。提供不少于2次/每年的主要设备厂商工程师安装配置等实操培训课程，场地、交通等与培训相关的费用均由成交供应商承担。</w:t>
      </w:r>
    </w:p>
    <w:p w14:paraId="2941AA42">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5.提供验收与培训时开机实验必须的配件及耗材,以保障验收与培训的正常开展。</w:t>
      </w:r>
    </w:p>
    <w:p w14:paraId="325D41FB">
      <w:pPr>
        <w:snapToGrid w:val="0"/>
        <w:spacing w:line="460" w:lineRule="exact"/>
        <w:ind w:firstLine="482" w:firstLineChars="200"/>
        <w:rPr>
          <w:rFonts w:hint="eastAsia" w:ascii="宋体" w:hAnsi="宋体" w:cs="宋体"/>
          <w:color w:val="auto"/>
          <w:sz w:val="24"/>
          <w:highlight w:val="none"/>
        </w:rPr>
      </w:pPr>
      <w:r>
        <w:rPr>
          <w:rFonts w:hint="eastAsia" w:ascii="宋体" w:hAnsi="宋体" w:cs="宋体"/>
          <w:b/>
          <w:color w:val="auto"/>
          <w:sz w:val="24"/>
          <w:highlight w:val="none"/>
        </w:rPr>
        <w:t>第六条　调试、交付和验收</w:t>
      </w:r>
    </w:p>
    <w:p w14:paraId="20EA3F38">
      <w:pPr>
        <w:snapToGrid w:val="0"/>
        <w:spacing w:line="46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1.交付时间：自签订合同之日起</w:t>
      </w:r>
      <w:r>
        <w:rPr>
          <w:rFonts w:ascii="宋体" w:hAnsi="宋体" w:cs="宋体"/>
          <w:color w:val="auto"/>
          <w:sz w:val="24"/>
          <w:highlight w:val="none"/>
        </w:rPr>
        <w:t>**</w:t>
      </w:r>
      <w:r>
        <w:rPr>
          <w:rFonts w:hint="eastAsia" w:ascii="宋体" w:hAnsi="宋体" w:cs="宋体"/>
          <w:color w:val="auto"/>
          <w:sz w:val="24"/>
          <w:highlight w:val="none"/>
        </w:rPr>
        <w:t>日历天内到货安装调试完成并通过验收。</w:t>
      </w:r>
    </w:p>
    <w:p w14:paraId="3EB91599">
      <w:pPr>
        <w:snapToGrid w:val="0"/>
        <w:spacing w:line="460" w:lineRule="exact"/>
        <w:ind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rPr>
        <w:t>交付地点：</w:t>
      </w:r>
      <w:r>
        <w:rPr>
          <w:rFonts w:hint="eastAsia" w:ascii="宋体" w:hAnsi="宋体" w:cs="宋体"/>
          <w:color w:val="auto"/>
          <w:sz w:val="24"/>
          <w:highlight w:val="none"/>
          <w:u w:val="single"/>
        </w:rPr>
        <w:t>甲方指定地点。</w:t>
      </w:r>
    </w:p>
    <w:p w14:paraId="5D7E5922">
      <w:pPr>
        <w:snapToGrid w:val="0"/>
        <w:spacing w:line="46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2.乙方提供不符合采购文件规定或者响应文件承诺的和本合同规定的货物，甲方有权拒绝接受。</w:t>
      </w:r>
    </w:p>
    <w:p w14:paraId="1C06C2EB">
      <w:pPr>
        <w:snapToGri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3.乙方提供不符合招标文件要求或提供虚假承诺、虚假检测报告等任何虚假材料的，甲方有权拒绝验收并认定乙方违约，甲方有权单方面解除合同，乙方承担所有责任和费用，甲方保留进一步追究责任的权利。</w:t>
      </w:r>
    </w:p>
    <w:p w14:paraId="3B11C9B5">
      <w:pPr>
        <w:snapToGrid w:val="0"/>
        <w:spacing w:line="360" w:lineRule="auto"/>
        <w:ind w:firstLine="480" w:firstLineChars="200"/>
        <w:rPr>
          <w:rFonts w:hint="eastAsia" w:ascii="宋体" w:hAnsi="宋体" w:cs="宋体"/>
          <w:color w:val="auto"/>
          <w:sz w:val="24"/>
          <w:highlight w:val="none"/>
        </w:rPr>
      </w:pPr>
      <w:r>
        <w:rPr>
          <w:rFonts w:ascii="宋体" w:hAnsi="宋体" w:cs="宋体"/>
          <w:color w:val="auto"/>
          <w:sz w:val="24"/>
          <w:highlight w:val="none"/>
        </w:rPr>
        <w:t>4</w:t>
      </w:r>
      <w:r>
        <w:rPr>
          <w:rFonts w:hint="eastAsia" w:ascii="宋体" w:hAnsi="宋体" w:cs="宋体"/>
          <w:color w:val="auto"/>
          <w:sz w:val="24"/>
          <w:highlight w:val="none"/>
        </w:rPr>
        <w:t>.乙方应将所提供货物的装箱清单、用户手册、原厂保修卡、随机资料、工具和备品、备件等交付给甲方，货物属于进口产品的，供货时应同时附上中文使用说明书，如有缺失应在5个工作日内补齐，否则视为逾期交货。</w:t>
      </w:r>
    </w:p>
    <w:p w14:paraId="35A3E3FA">
      <w:pPr>
        <w:snapToGrid w:val="0"/>
        <w:spacing w:line="360" w:lineRule="auto"/>
        <w:ind w:firstLine="480" w:firstLineChars="200"/>
        <w:rPr>
          <w:rFonts w:hint="eastAsia" w:ascii="宋体" w:hAnsi="宋体" w:cs="宋体"/>
          <w:color w:val="auto"/>
          <w:sz w:val="24"/>
          <w:highlight w:val="none"/>
        </w:rPr>
      </w:pPr>
      <w:r>
        <w:rPr>
          <w:rFonts w:ascii="宋体" w:hAnsi="宋体"/>
          <w:color w:val="auto"/>
          <w:sz w:val="24"/>
          <w:highlight w:val="none"/>
        </w:rPr>
        <w:t>5.</w:t>
      </w:r>
      <w:r>
        <w:rPr>
          <w:rFonts w:hint="eastAsia" w:ascii="宋体" w:hAnsi="宋体" w:cs="宋体"/>
          <w:color w:val="auto"/>
          <w:sz w:val="24"/>
          <w:highlight w:val="none"/>
        </w:rPr>
        <w:t>乙方应对产品作出全面检查和对验收文件进行整理，并列出清单，作为甲方验收和使用的技术条件依据，检验的结果应随货物交甲方。</w:t>
      </w:r>
    </w:p>
    <w:p w14:paraId="6B6DBC58">
      <w:pPr>
        <w:pStyle w:val="14"/>
        <w:snapToGrid w:val="0"/>
        <w:spacing w:line="360" w:lineRule="auto"/>
        <w:ind w:firstLine="480" w:firstLineChars="200"/>
        <w:rPr>
          <w:rFonts w:hint="eastAsia" w:hAnsi="宋体" w:cs="宋体"/>
          <w:color w:val="auto"/>
          <w:sz w:val="24"/>
          <w:szCs w:val="24"/>
          <w:highlight w:val="none"/>
        </w:rPr>
      </w:pPr>
      <w:r>
        <w:rPr>
          <w:rFonts w:hAnsi="宋体"/>
          <w:color w:val="auto"/>
          <w:sz w:val="24"/>
          <w:szCs w:val="24"/>
          <w:highlight w:val="none"/>
        </w:rPr>
        <w:t>6.</w:t>
      </w:r>
      <w:r>
        <w:rPr>
          <w:rFonts w:hint="eastAsia" w:hAnsi="宋体" w:cs="宋体"/>
          <w:color w:val="auto"/>
          <w:sz w:val="24"/>
          <w:szCs w:val="24"/>
          <w:highlight w:val="none"/>
        </w:rPr>
        <w:t>甲方对乙方提供的货物在使用前进行调试时，乙方需负责安装并培训甲方的使用操作人员，并协助甲方一起调试，直到符合技术要求，甲方才做最终验收。</w:t>
      </w:r>
    </w:p>
    <w:p w14:paraId="59DF2491">
      <w:pPr>
        <w:spacing w:line="360" w:lineRule="auto"/>
        <w:ind w:firstLine="480" w:firstLineChars="200"/>
        <w:rPr>
          <w:rFonts w:hint="eastAsia" w:ascii="宋体" w:hAnsi="宋体"/>
          <w:color w:val="auto"/>
          <w:sz w:val="24"/>
          <w:highlight w:val="none"/>
        </w:rPr>
      </w:pPr>
      <w:r>
        <w:rPr>
          <w:rFonts w:ascii="宋体" w:hAnsi="宋体" w:cs="宋体"/>
          <w:color w:val="auto"/>
          <w:sz w:val="24"/>
          <w:highlight w:val="none"/>
        </w:rPr>
        <w:t>7.</w:t>
      </w:r>
      <w:r>
        <w:rPr>
          <w:rFonts w:hint="eastAsia" w:ascii="宋体" w:hAnsi="宋体" w:cs="宋体"/>
          <w:color w:val="auto"/>
          <w:sz w:val="24"/>
          <w:highlight w:val="none"/>
        </w:rPr>
        <w:t>乙方应当在到货并安装、调试完毕后，达到验收条件时以书面形式提请甲方进行验收，甲方应在收到乙方书面验收请求后</w:t>
      </w:r>
      <w:r>
        <w:rPr>
          <w:rFonts w:ascii="宋体" w:hAnsi="宋体" w:cs="宋体"/>
          <w:color w:val="auto"/>
          <w:sz w:val="24"/>
          <w:highlight w:val="none"/>
        </w:rPr>
        <w:t>5</w:t>
      </w:r>
      <w:r>
        <w:rPr>
          <w:rFonts w:hint="eastAsia" w:ascii="宋体" w:hAnsi="宋体" w:cs="宋体"/>
          <w:color w:val="auto"/>
          <w:sz w:val="24"/>
          <w:highlight w:val="none"/>
        </w:rPr>
        <w:t>个工作日内组织开展履约验收（预验收）。验收合格后由甲乙双方签署货物验收单，</w:t>
      </w:r>
      <w:bookmarkStart w:id="59" w:name="_Hlk206519504"/>
      <w:r>
        <w:rPr>
          <w:rFonts w:hint="eastAsia" w:ascii="宋体" w:hAnsi="宋体"/>
          <w:color w:val="auto"/>
          <w:sz w:val="24"/>
          <w:highlight w:val="none"/>
        </w:rPr>
        <w:t>履约验收材料一式三份，甲方执两份，乙方执一份。</w:t>
      </w:r>
    </w:p>
    <w:bookmarkEnd w:id="59"/>
    <w:p w14:paraId="6BDF6398">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甲方使用单位预验收及甲方履约验收过程中所产生的一切费用均由乙方承担。</w:t>
      </w:r>
    </w:p>
    <w:p w14:paraId="73FCA026">
      <w:pPr>
        <w:pStyle w:val="14"/>
        <w:snapToGrid w:val="0"/>
        <w:spacing w:line="360" w:lineRule="auto"/>
        <w:ind w:firstLine="480" w:firstLineChars="200"/>
        <w:rPr>
          <w:rFonts w:hint="eastAsia" w:hAnsi="宋体" w:cs="宋体"/>
          <w:color w:val="auto"/>
          <w:sz w:val="24"/>
          <w:szCs w:val="24"/>
          <w:highlight w:val="none"/>
        </w:rPr>
      </w:pPr>
      <w:r>
        <w:rPr>
          <w:rFonts w:hAnsi="宋体"/>
          <w:color w:val="auto"/>
          <w:sz w:val="24"/>
          <w:szCs w:val="24"/>
          <w:highlight w:val="none"/>
        </w:rPr>
        <w:t>8.</w:t>
      </w:r>
      <w:r>
        <w:rPr>
          <w:rFonts w:hint="eastAsia" w:hAnsi="宋体" w:cs="宋体"/>
          <w:color w:val="auto"/>
          <w:sz w:val="24"/>
          <w:szCs w:val="24"/>
          <w:highlight w:val="none"/>
        </w:rPr>
        <w:t>对技术复杂的货物，甲方可请国家认可的专业检测机构参与初步验收及最终验收，并由其出具质量检测报告。</w:t>
      </w:r>
    </w:p>
    <w:p w14:paraId="336908A1">
      <w:pPr>
        <w:snapToGrid w:val="0"/>
        <w:spacing w:line="360" w:lineRule="auto"/>
        <w:ind w:firstLine="480" w:firstLineChars="200"/>
        <w:rPr>
          <w:rFonts w:hint="eastAsia" w:ascii="宋体" w:hAnsi="宋体" w:cs="宋体"/>
          <w:color w:val="auto"/>
          <w:sz w:val="24"/>
          <w:highlight w:val="none"/>
        </w:rPr>
      </w:pPr>
      <w:r>
        <w:rPr>
          <w:rFonts w:ascii="宋体" w:hAnsi="宋体" w:cs="宋体"/>
          <w:color w:val="auto"/>
          <w:sz w:val="24"/>
          <w:highlight w:val="none"/>
        </w:rPr>
        <w:t>9.</w:t>
      </w:r>
      <w:r>
        <w:rPr>
          <w:rFonts w:hint="eastAsia" w:ascii="宋体" w:hAnsi="宋体" w:cs="宋体"/>
          <w:color w:val="auto"/>
          <w:sz w:val="24"/>
          <w:highlight w:val="none"/>
        </w:rPr>
        <w:t>预验收未通过或者履约验收未通过的，应限期整改或进行退换货处理，整改完成后重新组织履约验收。整改后仍不能通过验收的，甲方将有权解除合同，依法追究相关责任。详细预验收及履约验收程序按《广西大学货物和服务采购合同履约验收管理办法（试行）》执行。</w:t>
      </w:r>
    </w:p>
    <w:p w14:paraId="3D98BB3B">
      <w:pPr>
        <w:snapToGrid w:val="0"/>
        <w:spacing w:line="360" w:lineRule="auto"/>
        <w:ind w:firstLine="480" w:firstLineChars="200"/>
        <w:rPr>
          <w:rFonts w:hint="eastAsia" w:ascii="宋体" w:hAnsi="宋体" w:cs="宋体"/>
          <w:color w:val="auto"/>
          <w:sz w:val="24"/>
          <w:highlight w:val="none"/>
        </w:rPr>
      </w:pPr>
      <w:r>
        <w:rPr>
          <w:rFonts w:ascii="宋体" w:hAnsi="宋体" w:cs="宋体"/>
          <w:color w:val="auto"/>
          <w:sz w:val="24"/>
          <w:highlight w:val="none"/>
        </w:rPr>
        <w:t>10.</w:t>
      </w:r>
      <w:r>
        <w:rPr>
          <w:rFonts w:hint="eastAsia" w:ascii="宋体" w:hAnsi="宋体" w:cs="宋体"/>
          <w:color w:val="auto"/>
          <w:sz w:val="24"/>
          <w:highlight w:val="none"/>
        </w:rPr>
        <w:t>在验收过程中发现乙方有违约情形，可暂缓资金结算，待乙方违约情形整改后，方可办理资金结算事宜。</w:t>
      </w:r>
    </w:p>
    <w:p w14:paraId="27538FCA">
      <w:pPr>
        <w:snapToGrid w:val="0"/>
        <w:spacing w:line="360" w:lineRule="auto"/>
        <w:ind w:firstLine="480" w:firstLineChars="200"/>
        <w:rPr>
          <w:rFonts w:hint="eastAsia" w:ascii="宋体" w:hAnsi="宋体" w:cs="宋体"/>
          <w:color w:val="auto"/>
          <w:sz w:val="24"/>
          <w:highlight w:val="none"/>
          <w:u w:val="single"/>
        </w:rPr>
      </w:pPr>
      <w:r>
        <w:rPr>
          <w:rFonts w:ascii="宋体" w:hAnsi="宋体" w:cs="宋体"/>
          <w:color w:val="auto"/>
          <w:sz w:val="24"/>
          <w:highlight w:val="none"/>
        </w:rPr>
        <w:t>11.</w:t>
      </w:r>
      <w:r>
        <w:rPr>
          <w:rFonts w:hint="eastAsia" w:ascii="宋体" w:hAnsi="宋体" w:cs="宋体"/>
          <w:color w:val="auto"/>
          <w:sz w:val="24"/>
          <w:highlight w:val="none"/>
        </w:rPr>
        <w:t>甲方对验收有异议的，在验收后</w:t>
      </w:r>
      <w:r>
        <w:rPr>
          <w:rFonts w:ascii="宋体" w:hAnsi="宋体" w:cs="宋体"/>
          <w:color w:val="auto"/>
          <w:sz w:val="24"/>
          <w:highlight w:val="none"/>
        </w:rPr>
        <w:t>5</w:t>
      </w:r>
      <w:r>
        <w:rPr>
          <w:rFonts w:hint="eastAsia" w:ascii="宋体" w:hAnsi="宋体" w:cs="宋体"/>
          <w:color w:val="auto"/>
          <w:sz w:val="24"/>
          <w:highlight w:val="none"/>
        </w:rPr>
        <w:t>个工作日内以书面形式向乙方提出，乙方应自收到甲方书面异议后</w:t>
      </w:r>
      <w:r>
        <w:rPr>
          <w:rFonts w:ascii="宋体" w:hAnsi="宋体" w:cs="宋体"/>
          <w:color w:val="auto"/>
          <w:sz w:val="24"/>
          <w:highlight w:val="none"/>
        </w:rPr>
        <w:t>7</w:t>
      </w:r>
      <w:r>
        <w:rPr>
          <w:rFonts w:hint="eastAsia" w:ascii="宋体" w:hAnsi="宋体" w:cs="宋体"/>
          <w:color w:val="auto"/>
          <w:sz w:val="24"/>
          <w:highlight w:val="none"/>
        </w:rPr>
        <w:t>日内及时予以解决。</w:t>
      </w:r>
    </w:p>
    <w:p w14:paraId="4BC00B8E">
      <w:pPr>
        <w:snapToGrid w:val="0"/>
        <w:spacing w:line="360" w:lineRule="auto"/>
        <w:ind w:left="-61" w:firstLine="514"/>
        <w:rPr>
          <w:rFonts w:hint="eastAsia" w:ascii="宋体" w:hAnsi="宋体" w:cs="宋体"/>
          <w:color w:val="auto"/>
          <w:sz w:val="24"/>
          <w:highlight w:val="none"/>
        </w:rPr>
      </w:pPr>
      <w:r>
        <w:rPr>
          <w:rFonts w:ascii="宋体" w:hAnsi="宋体" w:cs="宋体"/>
          <w:color w:val="auto"/>
          <w:sz w:val="24"/>
          <w:highlight w:val="none"/>
        </w:rPr>
        <w:t>12.</w:t>
      </w:r>
      <w:r>
        <w:rPr>
          <w:rFonts w:hint="eastAsia" w:ascii="宋体" w:hAnsi="宋体" w:cs="宋体"/>
          <w:color w:val="auto"/>
          <w:sz w:val="24"/>
          <w:highlight w:val="none"/>
        </w:rPr>
        <w:t>验收时乙方必须在现场，验收完毕后作出验收结果报告；甲方使用单位预验收及甲方履约验收过程中所产生的一切费用均由乙方承担。</w:t>
      </w:r>
    </w:p>
    <w:p w14:paraId="2114F474">
      <w:pPr>
        <w:snapToGrid w:val="0"/>
        <w:spacing w:line="360" w:lineRule="auto"/>
        <w:ind w:left="-61" w:firstLine="514"/>
        <w:rPr>
          <w:rFonts w:hint="eastAsia" w:hAnsi="宋体" w:cs="宋体"/>
          <w:color w:val="auto"/>
          <w:sz w:val="24"/>
          <w:highlight w:val="none"/>
        </w:rPr>
      </w:pPr>
      <w:r>
        <w:rPr>
          <w:rFonts w:ascii="宋体" w:hAnsi="宋体" w:cs="宋体"/>
          <w:color w:val="auto"/>
          <w:sz w:val="24"/>
          <w:highlight w:val="none"/>
        </w:rPr>
        <w:t>13.</w:t>
      </w:r>
      <w:r>
        <w:rPr>
          <w:rFonts w:hint="eastAsia" w:ascii="宋体" w:hAnsi="宋体" w:cs="宋体"/>
          <w:color w:val="auto"/>
          <w:sz w:val="24"/>
          <w:highlight w:val="none"/>
        </w:rPr>
        <w:t>货物在验收合同交付甲方前发生的风险均由乙方负责。</w:t>
      </w:r>
    </w:p>
    <w:p w14:paraId="79C476E5">
      <w:pPr>
        <w:pStyle w:val="10"/>
        <w:ind w:firstLine="480" w:firstLineChars="200"/>
        <w:rPr>
          <w:color w:val="auto"/>
          <w:highlight w:val="none"/>
        </w:rPr>
      </w:pPr>
      <w:r>
        <w:rPr>
          <w:rFonts w:ascii="宋体" w:hAnsi="宋体" w:cs="宋体"/>
          <w:color w:val="auto"/>
          <w:sz w:val="24"/>
          <w:highlight w:val="none"/>
        </w:rPr>
        <w:t>14.</w:t>
      </w:r>
      <w:r>
        <w:rPr>
          <w:rFonts w:hint="eastAsia" w:ascii="宋体" w:hAnsi="宋体" w:cs="宋体"/>
          <w:color w:val="auto"/>
          <w:sz w:val="24"/>
          <w:highlight w:val="none"/>
        </w:rPr>
        <w:t>本合同的验收条款与采购需求商务条款中的货物验收条款互为补充。</w:t>
      </w:r>
    </w:p>
    <w:p w14:paraId="218811E4">
      <w:pPr>
        <w:snapToGrid w:val="0"/>
        <w:spacing w:line="360" w:lineRule="auto"/>
        <w:ind w:left="-61" w:firstLine="514"/>
        <w:rPr>
          <w:rFonts w:hint="eastAsia" w:ascii="宋体" w:hAnsi="宋体" w:cs="宋体"/>
          <w:b/>
          <w:color w:val="auto"/>
          <w:sz w:val="24"/>
          <w:highlight w:val="none"/>
        </w:rPr>
      </w:pPr>
      <w:r>
        <w:rPr>
          <w:rFonts w:hint="eastAsia" w:ascii="宋体" w:hAnsi="宋体" w:cs="宋体"/>
          <w:b/>
          <w:color w:val="auto"/>
          <w:sz w:val="24"/>
          <w:highlight w:val="none"/>
        </w:rPr>
        <w:t>第七条　付款方式</w:t>
      </w:r>
    </w:p>
    <w:p w14:paraId="732F5D8C">
      <w:pPr>
        <w:snapToGrid w:val="0"/>
        <w:spacing w:line="360" w:lineRule="auto"/>
        <w:ind w:left="-61"/>
        <w:rPr>
          <w:rFonts w:ascii="宋体" w:hAnsi="宋体" w:cs="宋体"/>
          <w:color w:val="auto"/>
          <w:szCs w:val="21"/>
          <w:highlight w:val="none"/>
        </w:rPr>
      </w:pPr>
      <w:r>
        <w:rPr>
          <w:rFonts w:hint="eastAsia" w:ascii="宋体" w:hAnsi="宋体" w:cs="宋体"/>
          <w:color w:val="auto"/>
          <w:sz w:val="24"/>
          <w:highlight w:val="none"/>
        </w:rPr>
        <w:t>（分标1）本项目无预付款，全部货物安装调试完毕、完成所有服务内容并经验收合格后，采购人办理完支付手续后一次性向成交供应商支付全部合同款（无息）；付款前，成交供应商开具等额增值税专用发票给采购人。</w:t>
      </w:r>
    </w:p>
    <w:p w14:paraId="1FF980D8">
      <w:pPr>
        <w:ind w:left="-61"/>
        <w:rPr>
          <w:rFonts w:ascii="宋体" w:hAnsi="宋体" w:cs="宋体"/>
          <w:color w:val="auto"/>
          <w:sz w:val="24"/>
          <w:highlight w:val="none"/>
        </w:rPr>
      </w:pPr>
      <w:r>
        <w:rPr>
          <w:rFonts w:hint="eastAsia" w:ascii="宋体" w:hAnsi="宋体" w:cs="宋体"/>
          <w:color w:val="auto"/>
          <w:sz w:val="24"/>
          <w:highlight w:val="none"/>
        </w:rPr>
        <w:t>（分标</w:t>
      </w:r>
      <w:r>
        <w:rPr>
          <w:rFonts w:ascii="宋体" w:hAnsi="宋体" w:cs="宋体"/>
          <w:color w:val="auto"/>
          <w:sz w:val="24"/>
          <w:highlight w:val="none"/>
        </w:rPr>
        <w:t>2</w:t>
      </w:r>
      <w:r>
        <w:rPr>
          <w:rFonts w:hint="eastAsia" w:ascii="宋体" w:hAnsi="宋体" w:cs="宋体"/>
          <w:color w:val="auto"/>
          <w:sz w:val="24"/>
          <w:highlight w:val="none"/>
        </w:rPr>
        <w:t>）</w:t>
      </w:r>
      <w:r>
        <w:rPr>
          <w:rFonts w:ascii="宋体" w:hAnsi="宋体" w:cs="宋体"/>
          <w:color w:val="auto"/>
          <w:sz w:val="24"/>
          <w:highlight w:val="none"/>
        </w:rPr>
        <w:t>1.</w:t>
      </w:r>
      <w:r>
        <w:rPr>
          <w:rFonts w:hint="eastAsia" w:ascii="宋体" w:hAnsi="宋体" w:cs="宋体"/>
          <w:color w:val="auto"/>
          <w:sz w:val="24"/>
          <w:highlight w:val="none"/>
        </w:rPr>
        <w:t>序号</w:t>
      </w:r>
      <w:r>
        <w:rPr>
          <w:rFonts w:ascii="宋体" w:hAnsi="宋体" w:cs="宋体"/>
          <w:color w:val="auto"/>
          <w:sz w:val="24"/>
          <w:highlight w:val="none"/>
        </w:rPr>
        <w:t>1-21</w:t>
      </w:r>
      <w:r>
        <w:rPr>
          <w:rFonts w:hint="eastAsia" w:ascii="宋体" w:hAnsi="宋体" w:cs="宋体"/>
          <w:color w:val="auto"/>
          <w:sz w:val="24"/>
          <w:highlight w:val="none"/>
        </w:rPr>
        <w:t>：无预付款，全部货物安装调试完毕、完成所有服务内容并经验收合格后，采购人办理完支付手续后一次性向成交供应商支付全部合同款（无息）；付款前，成交供应商开具等额增值税专用发票给采购人。</w:t>
      </w:r>
    </w:p>
    <w:p w14:paraId="52180379">
      <w:pPr>
        <w:ind w:left="-61" w:firstLine="514"/>
        <w:rPr>
          <w:rFonts w:ascii="宋体" w:hAnsi="宋体" w:cs="宋体"/>
          <w:color w:val="auto"/>
          <w:sz w:val="24"/>
          <w:highlight w:val="none"/>
        </w:rPr>
      </w:pPr>
      <w:r>
        <w:rPr>
          <w:rFonts w:ascii="宋体" w:hAnsi="宋体" w:cs="宋体"/>
          <w:color w:val="auto"/>
          <w:sz w:val="24"/>
          <w:highlight w:val="none"/>
        </w:rPr>
        <w:t>2.</w:t>
      </w:r>
      <w:r>
        <w:rPr>
          <w:rFonts w:hint="eastAsia" w:ascii="宋体" w:hAnsi="宋体" w:cs="宋体"/>
          <w:color w:val="auto"/>
          <w:sz w:val="24"/>
          <w:highlight w:val="none"/>
        </w:rPr>
        <w:t>序号</w:t>
      </w:r>
      <w:r>
        <w:rPr>
          <w:rFonts w:ascii="宋体" w:hAnsi="宋体" w:cs="宋体"/>
          <w:color w:val="auto"/>
          <w:sz w:val="24"/>
          <w:highlight w:val="none"/>
        </w:rPr>
        <w:t>22</w:t>
      </w:r>
      <w:r>
        <w:rPr>
          <w:rFonts w:hint="eastAsia" w:ascii="宋体" w:hAnsi="宋体" w:cs="宋体"/>
          <w:color w:val="auto"/>
          <w:sz w:val="24"/>
          <w:highlight w:val="none"/>
        </w:rPr>
        <w:t>：无预付款，采购人每年结算支付一次，成交供应商完成服务内容后采购人根据考核得分情况办理完支付手续后</w:t>
      </w:r>
      <w:r>
        <w:rPr>
          <w:rFonts w:ascii="宋体" w:hAnsi="宋体" w:cs="宋体"/>
          <w:color w:val="auto"/>
          <w:sz w:val="24"/>
          <w:highlight w:val="none"/>
        </w:rPr>
        <w:t>15</w:t>
      </w:r>
      <w:r>
        <w:rPr>
          <w:rFonts w:hint="eastAsia" w:ascii="宋体" w:hAnsi="宋体" w:cs="宋体"/>
          <w:color w:val="auto"/>
          <w:sz w:val="24"/>
          <w:highlight w:val="none"/>
        </w:rPr>
        <w:t>个工作日内支付当年的驻场服务费。</w:t>
      </w:r>
    </w:p>
    <w:p w14:paraId="6A9D3CAA">
      <w:pPr>
        <w:snapToGrid w:val="0"/>
        <w:spacing w:line="460" w:lineRule="exact"/>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第八条　履约保证金</w:t>
      </w:r>
    </w:p>
    <w:p w14:paraId="2D2D3E78">
      <w:pPr>
        <w:snapToGrid w:val="0"/>
        <w:spacing w:line="460" w:lineRule="exact"/>
        <w:ind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u w:val="single"/>
        </w:rPr>
        <w:t>1.履约保证金金额：</w:t>
      </w:r>
      <w:r>
        <w:rPr>
          <w:rFonts w:hint="eastAsia" w:ascii="宋体" w:hAnsi="宋体" w:cs="宋体"/>
          <w:color w:val="auto"/>
          <w:sz w:val="24"/>
          <w:highlight w:val="none"/>
          <w:u w:val="single"/>
          <w:lang w:eastAsia="zh-Hans"/>
        </w:rPr>
        <w:t>合同金额的</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w:t>
      </w:r>
      <w:r>
        <w:rPr>
          <w:rFonts w:hint="eastAsia" w:ascii="宋体" w:hAnsi="宋体" w:cs="宋体"/>
          <w:color w:val="auto"/>
          <w:sz w:val="24"/>
          <w:highlight w:val="none"/>
          <w:u w:val="single"/>
        </w:rPr>
        <w:t>）</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即人民币（大写）   </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w:t>
      </w:r>
      <w:r>
        <w:rPr>
          <w:rFonts w:hint="eastAsia" w:ascii="宋体" w:hAnsi="宋体" w:cs="宋体"/>
          <w:color w:val="auto"/>
          <w:sz w:val="24"/>
          <w:highlight w:val="none"/>
        </w:rPr>
        <w:t>乙方在签订合同时交至指定账户（履约保证金缴纳时须备注项目编号及项目名称：</w:t>
      </w:r>
      <w:r>
        <w:rPr>
          <w:rFonts w:ascii="宋体" w:hAnsi="宋体" w:cs="宋体"/>
          <w:color w:val="auto"/>
          <w:sz w:val="24"/>
          <w:highlight w:val="none"/>
        </w:rPr>
        <w:t>GXZC2026-J1-002916-GXGN</w:t>
      </w:r>
      <w:r>
        <w:rPr>
          <w:rFonts w:hint="eastAsia" w:ascii="宋体" w:hAnsi="宋体" w:cs="宋体"/>
          <w:color w:val="auto"/>
          <w:sz w:val="24"/>
          <w:highlight w:val="none"/>
          <w:u w:val="single"/>
        </w:rPr>
        <w:t>（</w:t>
      </w:r>
      <w:r>
        <w:rPr>
          <w:rFonts w:hint="eastAsia" w:ascii="宋体" w:hAnsi="宋体" w:cs="宋体"/>
          <w:b/>
          <w:color w:val="auto"/>
          <w:sz w:val="24"/>
          <w:highlight w:val="none"/>
          <w:u w:val="single"/>
        </w:rPr>
        <w:t>东校园部分学生公寓无线网络改造</w:t>
      </w:r>
      <w:r>
        <w:rPr>
          <w:rFonts w:hint="eastAsia" w:ascii="宋体" w:hAnsi="宋体" w:cs="宋体"/>
          <w:color w:val="auto"/>
          <w:sz w:val="24"/>
          <w:highlight w:val="none"/>
          <w:u w:val="single"/>
        </w:rPr>
        <w:t>）</w:t>
      </w:r>
      <w:r>
        <w:rPr>
          <w:rFonts w:hint="eastAsia" w:ascii="宋体" w:hAnsi="宋体" w:cs="宋体"/>
          <w:color w:val="auto"/>
          <w:sz w:val="24"/>
          <w:highlight w:val="none"/>
        </w:rPr>
        <w:t>履约保证金。）</w:t>
      </w:r>
    </w:p>
    <w:p w14:paraId="3BC24CF9">
      <w:pPr>
        <w:snapToGrid w:val="0"/>
        <w:spacing w:line="46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2.履约保证金递交方式：银行转账、保函等非现金方式。由乙方在签订合同时按规定的金额直接缴入以下甲方账户或将保函原件交给甲方。</w:t>
      </w:r>
    </w:p>
    <w:p w14:paraId="280FBBF5">
      <w:pPr>
        <w:snapToGrid w:val="0"/>
        <w:spacing w:line="46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履约保证金退付方式、时间及条件：乙方若不能完全履行合同，履约保证金不予退还；乙方若完全履行合同，货物验收合格后，乙方凭履约保证金缴款凭证、退付意见书到甲方财务部门办理无息退还手续。由乙方向甲方提供《广西壮族自治区政府采购项目合同验收书》或广西大学的验收报告（甲方提供格式）、《政府采购项目履约保证金退付意见书》，甲方在收到合格材料后办理退还手续（不计利息）。</w:t>
      </w:r>
    </w:p>
    <w:p w14:paraId="7EAA7520">
      <w:pPr>
        <w:snapToGrid w:val="0"/>
        <w:spacing w:line="46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4.备注：</w:t>
      </w:r>
    </w:p>
    <w:p w14:paraId="57352B06">
      <w:pPr>
        <w:snapToGrid w:val="0"/>
        <w:spacing w:line="46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（1）履约保证金必须足额缴纳，或出具的保函额度必须足额且保函有效期不能低于合同履行期限（即签订采购合同之日起至履行完合同约定的权利及义务之日止），否则视为无效履约保证金。</w:t>
      </w:r>
    </w:p>
    <w:p w14:paraId="2AE83F2E">
      <w:pPr>
        <w:snapToGrid w:val="0"/>
        <w:spacing w:line="46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（2）采用保函的，必须为无条件保函，否则视为无效履约保证金。</w:t>
      </w:r>
    </w:p>
    <w:p w14:paraId="2ACC8DC5">
      <w:pPr>
        <w:snapToGrid w:val="0"/>
        <w:spacing w:line="460" w:lineRule="exact"/>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（3）</w:t>
      </w:r>
      <w:r>
        <w:rPr>
          <w:rFonts w:ascii="宋体" w:hAnsi="宋体" w:cs="宋体"/>
          <w:b/>
          <w:color w:val="auto"/>
          <w:sz w:val="24"/>
          <w:highlight w:val="none"/>
        </w:rPr>
        <w:t>履约保证金缴纳时须明确备注项目</w:t>
      </w:r>
      <w:r>
        <w:rPr>
          <w:rFonts w:hint="eastAsia" w:ascii="宋体" w:hAnsi="宋体" w:cs="宋体"/>
          <w:b/>
          <w:color w:val="auto"/>
          <w:sz w:val="24"/>
          <w:highlight w:val="none"/>
        </w:rPr>
        <w:t>名称（编号）：</w:t>
      </w:r>
      <w:bookmarkStart w:id="60" w:name="_Hlk207210846"/>
      <w:r>
        <w:rPr>
          <w:rFonts w:hint="eastAsia" w:ascii="宋体" w:hAnsi="宋体" w:cs="宋体"/>
          <w:b/>
          <w:color w:val="auto"/>
          <w:sz w:val="24"/>
          <w:highlight w:val="none"/>
          <w:u w:val="single"/>
        </w:rPr>
        <w:t>东校园部分学生公寓无线网络改造</w:t>
      </w:r>
      <w:r>
        <w:rPr>
          <w:rFonts w:hint="eastAsia" w:ascii="宋体" w:hAnsi="宋体" w:cs="宋体"/>
          <w:b/>
          <w:color w:val="auto"/>
          <w:sz w:val="24"/>
          <w:highlight w:val="none"/>
        </w:rPr>
        <w:t>（</w:t>
      </w:r>
      <w:r>
        <w:rPr>
          <w:rFonts w:ascii="宋体" w:hAnsi="宋体" w:cs="宋体"/>
          <w:b/>
          <w:color w:val="auto"/>
          <w:sz w:val="24"/>
          <w:highlight w:val="none"/>
        </w:rPr>
        <w:t>GXZC2026-J1-002916-GXGN</w:t>
      </w:r>
      <w:r>
        <w:rPr>
          <w:rFonts w:hint="eastAsia" w:ascii="宋体" w:hAnsi="宋体" w:cs="宋体"/>
          <w:b/>
          <w:color w:val="auto"/>
          <w:sz w:val="24"/>
          <w:highlight w:val="none"/>
        </w:rPr>
        <w:t>）履约保证金。</w:t>
      </w:r>
      <w:bookmarkEnd w:id="60"/>
    </w:p>
    <w:p w14:paraId="0467920A">
      <w:pPr>
        <w:snapToGrid w:val="0"/>
        <w:spacing w:line="420" w:lineRule="exact"/>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（4）甲方账户信息如下：</w:t>
      </w:r>
    </w:p>
    <w:p w14:paraId="145A4A73">
      <w:pPr>
        <w:snapToGrid w:val="0"/>
        <w:spacing w:line="420" w:lineRule="exact"/>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统一社会信用代码：124500004985009929</w:t>
      </w:r>
    </w:p>
    <w:p w14:paraId="66E6D5D2">
      <w:pPr>
        <w:snapToGrid w:val="0"/>
        <w:spacing w:line="420" w:lineRule="exact"/>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户名： 广西大学</w:t>
      </w:r>
    </w:p>
    <w:p w14:paraId="40A5D466">
      <w:pPr>
        <w:snapToGrid w:val="0"/>
        <w:spacing w:line="420" w:lineRule="exact"/>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开户行：中国银行广西南宁市西大支行（行号：104611010324）</w:t>
      </w:r>
    </w:p>
    <w:p w14:paraId="34D2113E">
      <w:pPr>
        <w:snapToGrid w:val="0"/>
        <w:spacing w:line="420" w:lineRule="exact"/>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账号： 618 457 484 938</w:t>
      </w:r>
    </w:p>
    <w:p w14:paraId="79EC363C">
      <w:pPr>
        <w:snapToGrid w:val="0"/>
        <w:spacing w:line="420" w:lineRule="exact"/>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地址：广西壮族自治区南宁市大学东路100号  联系电话：3232888</w:t>
      </w:r>
    </w:p>
    <w:p w14:paraId="75E99D45">
      <w:pPr>
        <w:snapToGrid w:val="0"/>
        <w:spacing w:line="420" w:lineRule="exact"/>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签订合同后，如乙方不按双方签订的合同规定履约，则其全部履约保证金甲方不予退还；履约保证金不足以赔偿甲方损失的，按实际损失赔偿。</w:t>
      </w:r>
    </w:p>
    <w:p w14:paraId="1E435B7A">
      <w:pPr>
        <w:snapToGrid w:val="0"/>
        <w:spacing w:line="460" w:lineRule="exact"/>
        <w:ind w:firstLine="514"/>
        <w:rPr>
          <w:rFonts w:hint="eastAsia" w:ascii="宋体" w:hAnsi="宋体" w:cs="宋体"/>
          <w:b/>
          <w:color w:val="auto"/>
          <w:sz w:val="24"/>
          <w:highlight w:val="none"/>
        </w:rPr>
      </w:pPr>
      <w:r>
        <w:rPr>
          <w:rFonts w:hint="eastAsia" w:ascii="宋体" w:hAnsi="宋体" w:cs="宋体"/>
          <w:b/>
          <w:color w:val="auto"/>
          <w:sz w:val="24"/>
          <w:highlight w:val="none"/>
        </w:rPr>
        <w:t>第九条  税费</w:t>
      </w:r>
    </w:p>
    <w:p w14:paraId="19191118">
      <w:pPr>
        <w:snapToGrid w:val="0"/>
        <w:spacing w:line="460" w:lineRule="exact"/>
        <w:ind w:firstLine="514"/>
        <w:rPr>
          <w:rFonts w:hint="eastAsia" w:ascii="宋体" w:hAnsi="宋体" w:cs="宋体"/>
          <w:color w:val="auto"/>
          <w:sz w:val="24"/>
          <w:highlight w:val="none"/>
        </w:rPr>
      </w:pPr>
      <w:r>
        <w:rPr>
          <w:rFonts w:hint="eastAsia" w:ascii="宋体" w:hAnsi="宋体" w:cs="宋体"/>
          <w:color w:val="auto"/>
          <w:sz w:val="24"/>
          <w:highlight w:val="none"/>
        </w:rPr>
        <w:t>本合同执行中相关的一切税费均由乙方负担，合同另有约定的除外。合同执行期间税费发生变化的，由乙方承担。</w:t>
      </w:r>
    </w:p>
    <w:p w14:paraId="71B17AEA">
      <w:pPr>
        <w:snapToGrid w:val="0"/>
        <w:spacing w:line="460" w:lineRule="exact"/>
        <w:ind w:firstLine="514"/>
        <w:rPr>
          <w:rFonts w:hint="eastAsia" w:ascii="宋体" w:hAnsi="宋体" w:cs="宋体"/>
          <w:color w:val="auto"/>
          <w:sz w:val="24"/>
          <w:highlight w:val="none"/>
        </w:rPr>
      </w:pPr>
      <w:r>
        <w:rPr>
          <w:rFonts w:hint="eastAsia" w:ascii="宋体" w:hAnsi="宋体" w:cs="宋体"/>
          <w:b/>
          <w:color w:val="auto"/>
          <w:sz w:val="24"/>
          <w:highlight w:val="none"/>
        </w:rPr>
        <w:t>第十条  质量保证、售后服务</w:t>
      </w:r>
    </w:p>
    <w:p w14:paraId="40C561DD">
      <w:pPr>
        <w:snapToGrid w:val="0"/>
        <w:spacing w:line="460" w:lineRule="exact"/>
        <w:ind w:firstLine="480" w:firstLineChars="200"/>
        <w:rPr>
          <w:rFonts w:hint="eastAsia" w:ascii="宋体" w:hAnsi="宋体" w:cs="宋体"/>
          <w:bCs/>
          <w:color w:val="auto"/>
          <w:kern w:val="0"/>
          <w:sz w:val="24"/>
          <w:highlight w:val="none"/>
        </w:rPr>
      </w:pPr>
      <w:r>
        <w:rPr>
          <w:rFonts w:hint="eastAsia" w:hAnsi="宋体" w:cs="宋体"/>
          <w:color w:val="auto"/>
          <w:sz w:val="24"/>
          <w:highlight w:val="none"/>
        </w:rPr>
        <w:t>1</w:t>
      </w:r>
      <w:r>
        <w:rPr>
          <w:rFonts w:hint="eastAsia" w:ascii="宋体" w:hAnsi="宋体" w:cs="宋体"/>
          <w:bCs/>
          <w:color w:val="auto"/>
          <w:kern w:val="0"/>
          <w:sz w:val="24"/>
          <w:highlight w:val="none"/>
        </w:rPr>
        <w:t>.乙方应按照国家有关法律法规和“三包”规定以及采购文件要求、响应文件承诺和本合同所附的《售后服务承诺》，为甲方提供售后服务。</w:t>
      </w:r>
    </w:p>
    <w:p w14:paraId="6F4822B0">
      <w:pPr>
        <w:snapToGrid w:val="0"/>
        <w:spacing w:line="460" w:lineRule="exact"/>
        <w:ind w:firstLine="480" w:firstLineChars="200"/>
        <w:rPr>
          <w:rFonts w:hint="eastAsia" w:ascii="宋体" w:hAnsi="宋体" w:cs="宋体"/>
          <w:bCs/>
          <w:color w:val="auto"/>
          <w:kern w:val="0"/>
          <w:sz w:val="24"/>
          <w:highlight w:val="none"/>
        </w:rPr>
      </w:pPr>
      <w:r>
        <w:rPr>
          <w:rFonts w:hint="eastAsia" w:ascii="宋体" w:hAnsi="宋体" w:cs="宋体"/>
          <w:bCs/>
          <w:color w:val="auto"/>
          <w:kern w:val="0"/>
          <w:sz w:val="24"/>
          <w:highlight w:val="none"/>
        </w:rPr>
        <w:t>2.乙方应按采购文件规定的设备和软件性能、技术要求、质量标准向甲方提供未经使用的全新产品。对达不到要求者，根据实际情况，经双方协商，可按以下办法处理：</w:t>
      </w:r>
    </w:p>
    <w:p w14:paraId="3D67BE1D">
      <w:pPr>
        <w:snapToGrid w:val="0"/>
        <w:spacing w:line="460" w:lineRule="exact"/>
        <w:ind w:firstLine="480" w:firstLineChars="200"/>
        <w:rPr>
          <w:rFonts w:hint="eastAsia" w:ascii="宋体" w:hAnsi="宋体" w:cs="宋体"/>
          <w:bCs/>
          <w:color w:val="auto"/>
          <w:kern w:val="0"/>
          <w:sz w:val="24"/>
          <w:highlight w:val="none"/>
        </w:rPr>
      </w:pPr>
      <w:r>
        <w:rPr>
          <w:rFonts w:hint="eastAsia" w:ascii="宋体" w:hAnsi="宋体" w:cs="宋体"/>
          <w:bCs/>
          <w:color w:val="auto"/>
          <w:kern w:val="0"/>
          <w:sz w:val="24"/>
          <w:highlight w:val="none"/>
        </w:rPr>
        <w:t>（1）更换：由乙方承担所发生的全部费用。</w:t>
      </w:r>
    </w:p>
    <w:p w14:paraId="4FF521E5">
      <w:pPr>
        <w:snapToGrid w:val="0"/>
        <w:spacing w:line="460" w:lineRule="exact"/>
        <w:ind w:firstLine="480" w:firstLineChars="200"/>
        <w:rPr>
          <w:rFonts w:hint="eastAsia" w:ascii="宋体" w:hAnsi="宋体" w:cs="宋体"/>
          <w:bCs/>
          <w:color w:val="auto"/>
          <w:kern w:val="0"/>
          <w:sz w:val="24"/>
          <w:highlight w:val="none"/>
        </w:rPr>
      </w:pPr>
      <w:r>
        <w:rPr>
          <w:rFonts w:hint="eastAsia" w:ascii="宋体" w:hAnsi="宋体" w:cs="宋体"/>
          <w:bCs/>
          <w:color w:val="auto"/>
          <w:kern w:val="0"/>
          <w:sz w:val="24"/>
          <w:highlight w:val="none"/>
        </w:rPr>
        <w:t>（2）贬值处理：由甲乙双方合议定价。</w:t>
      </w:r>
    </w:p>
    <w:p w14:paraId="0A223359">
      <w:pPr>
        <w:snapToGrid w:val="0"/>
        <w:spacing w:line="360" w:lineRule="auto"/>
        <w:ind w:firstLine="480" w:firstLineChars="200"/>
        <w:rPr>
          <w:rFonts w:hint="eastAsia" w:ascii="宋体" w:hAnsi="宋体" w:cs="宋体"/>
          <w:bCs/>
          <w:color w:val="auto"/>
          <w:kern w:val="0"/>
          <w:sz w:val="24"/>
          <w:highlight w:val="none"/>
        </w:rPr>
      </w:pPr>
      <w:r>
        <w:rPr>
          <w:rFonts w:hint="eastAsia" w:ascii="宋体" w:hAnsi="宋体" w:cs="宋体"/>
          <w:bCs/>
          <w:color w:val="auto"/>
          <w:kern w:val="0"/>
          <w:sz w:val="24"/>
          <w:highlight w:val="none"/>
        </w:rPr>
        <w:t>（3）退货处理：乙方应退还甲方支付的合同款，同时应承担该货物的直接费用（运输、保险、检验、货款利息及银行手续费等）。</w:t>
      </w:r>
    </w:p>
    <w:p w14:paraId="313E093A">
      <w:pPr>
        <w:snapToGrid w:val="0"/>
        <w:spacing w:line="360" w:lineRule="auto"/>
        <w:ind w:firstLine="480" w:firstLineChars="200"/>
        <w:rPr>
          <w:rFonts w:hint="eastAsia" w:ascii="宋体" w:hAnsi="宋体" w:cs="宋体"/>
          <w:bCs/>
          <w:color w:val="auto"/>
          <w:kern w:val="0"/>
          <w:sz w:val="24"/>
          <w:highlight w:val="none"/>
        </w:rPr>
      </w:pPr>
      <w:r>
        <w:rPr>
          <w:rFonts w:hint="eastAsia" w:ascii="宋体" w:hAnsi="宋体" w:cs="宋体"/>
          <w:bCs/>
          <w:color w:val="auto"/>
          <w:kern w:val="0"/>
          <w:sz w:val="24"/>
          <w:highlight w:val="none"/>
        </w:rPr>
        <w:t>如果双方不能就上述第（1）、（2）项达成协议，则甲方有权单方选择第（3）项方式。</w:t>
      </w:r>
    </w:p>
    <w:p w14:paraId="5D18990C">
      <w:pPr>
        <w:snapToGrid w:val="0"/>
        <w:spacing w:line="360" w:lineRule="auto"/>
        <w:ind w:firstLine="480" w:firstLineChars="200"/>
        <w:rPr>
          <w:rFonts w:hint="eastAsia" w:ascii="宋体" w:hAnsi="宋体" w:cs="宋体"/>
          <w:bCs/>
          <w:color w:val="auto"/>
          <w:kern w:val="0"/>
          <w:sz w:val="24"/>
          <w:highlight w:val="none"/>
        </w:rPr>
      </w:pPr>
      <w:r>
        <w:rPr>
          <w:rFonts w:ascii="宋体" w:hAnsi="宋体" w:cs="宋体"/>
          <w:bCs/>
          <w:color w:val="auto"/>
          <w:kern w:val="0"/>
          <w:sz w:val="24"/>
          <w:highlight w:val="none"/>
        </w:rPr>
        <w:t>3</w:t>
      </w:r>
      <w:r>
        <w:rPr>
          <w:rFonts w:hint="eastAsia" w:ascii="宋体" w:hAnsi="宋体" w:cs="宋体"/>
          <w:bCs/>
          <w:color w:val="auto"/>
          <w:kern w:val="0"/>
          <w:sz w:val="24"/>
          <w:highlight w:val="none"/>
        </w:rPr>
        <w:t>.乙方提供的服务承诺和售后服务及质量保证期责任等其他具体约定事项见合同附件及响应文件。</w:t>
      </w:r>
    </w:p>
    <w:p w14:paraId="03268899">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4.负责送货上门、提供产品原厂工程师现场安装、安装调试服务、技术培训和12个月远程服务。</w:t>
      </w:r>
    </w:p>
    <w:p w14:paraId="785300AA">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w:t>
      </w:r>
      <w:bookmarkStart w:id="61" w:name="_Hlk207211069"/>
      <w:r>
        <w:rPr>
          <w:rFonts w:hint="eastAsia" w:ascii="宋体" w:hAnsi="宋体" w:cs="宋体"/>
          <w:color w:val="auto"/>
          <w:sz w:val="24"/>
          <w:highlight w:val="none"/>
        </w:rPr>
        <w:t>维修响应：售后服务要求7天×8小时工作制，乙方在接到用户维修电话后1小时内响应，3小时内到达现场处理，一般情况下24小时内恢复正常使用。若不能修复须有合理应对方案。如果乙方未在上述时间内作出响应,则甲方有权自行或委托他人解决相关问题或查找和解决合同货物的故障，乙方应承担由此发生的全部费用。</w:t>
      </w:r>
      <w:bookmarkEnd w:id="61"/>
    </w:p>
    <w:p w14:paraId="0D9408E9">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6.质量保证期内因设备性能故障检修三次仍不能正常使用的，更换新设备。在超出质量保证期后，如产品发生故障，可派技术员上门服务；如需更换配件，配件均按市场最优惠价格供应。</w:t>
      </w:r>
    </w:p>
    <w:p w14:paraId="13B458A6">
      <w:pPr>
        <w:snapToGrid w:val="0"/>
        <w:spacing w:line="460" w:lineRule="exact"/>
        <w:ind w:firstLine="480" w:firstLineChars="200"/>
        <w:rPr>
          <w:rFonts w:hint="eastAsia" w:ascii="宋体" w:hAnsi="宋体" w:cs="宋体"/>
          <w:bCs/>
          <w:color w:val="auto"/>
          <w:kern w:val="0"/>
          <w:sz w:val="24"/>
          <w:highlight w:val="none"/>
        </w:rPr>
      </w:pPr>
      <w:r>
        <w:rPr>
          <w:rFonts w:hint="eastAsia" w:ascii="宋体" w:hAnsi="宋体" w:cs="宋体"/>
          <w:color w:val="auto"/>
          <w:sz w:val="24"/>
          <w:highlight w:val="none"/>
        </w:rPr>
        <w:t>7.终身提供技术协助服务。</w:t>
      </w:r>
      <w:r>
        <w:rPr>
          <w:rFonts w:hint="eastAsia" w:ascii="宋体" w:hAnsi="宋体" w:cs="宋体"/>
          <w:bCs/>
          <w:color w:val="auto"/>
          <w:kern w:val="0"/>
          <w:sz w:val="24"/>
          <w:highlight w:val="none"/>
        </w:rPr>
        <w:t>乙方除承担运输、安装、调试、验收与培训等义务外，还将为甲方提供技术支持，包括质量保证期外的技术指导。</w:t>
      </w:r>
    </w:p>
    <w:p w14:paraId="08B99261">
      <w:pPr>
        <w:snapToGrid w:val="0"/>
        <w:spacing w:line="460" w:lineRule="exact"/>
        <w:ind w:firstLine="480" w:firstLineChars="200"/>
        <w:rPr>
          <w:rFonts w:hint="eastAsia" w:ascii="宋体" w:hAnsi="宋体" w:cs="宋体"/>
          <w:bCs/>
          <w:color w:val="auto"/>
          <w:kern w:val="0"/>
          <w:sz w:val="24"/>
          <w:highlight w:val="none"/>
        </w:rPr>
      </w:pPr>
      <w:r>
        <w:rPr>
          <w:rFonts w:hAnsi="宋体" w:cs="宋体"/>
          <w:color w:val="auto"/>
          <w:sz w:val="24"/>
          <w:highlight w:val="none"/>
        </w:rPr>
        <w:t>8.</w:t>
      </w:r>
      <w:r>
        <w:rPr>
          <w:rFonts w:hint="eastAsia" w:ascii="宋体" w:hAnsi="宋体" w:cs="宋体"/>
          <w:bCs/>
          <w:color w:val="auto"/>
          <w:kern w:val="0"/>
          <w:sz w:val="24"/>
          <w:highlight w:val="none"/>
        </w:rPr>
        <w:t>在质保期内，乙方应对货物出现的质量及安全问题负责处理解决并承担一切费用。</w:t>
      </w:r>
    </w:p>
    <w:p w14:paraId="52313DF2">
      <w:pPr>
        <w:snapToGrid w:val="0"/>
        <w:spacing w:line="460" w:lineRule="exact"/>
        <w:ind w:firstLine="480" w:firstLineChars="200"/>
        <w:rPr>
          <w:rFonts w:hint="eastAsia" w:ascii="宋体" w:hAnsi="宋体" w:cs="宋体"/>
          <w:bCs/>
          <w:color w:val="auto"/>
          <w:kern w:val="0"/>
          <w:sz w:val="24"/>
          <w:highlight w:val="none"/>
        </w:rPr>
      </w:pPr>
      <w:r>
        <w:rPr>
          <w:rFonts w:hAnsi="宋体" w:cs="宋体"/>
          <w:color w:val="auto"/>
          <w:sz w:val="24"/>
          <w:highlight w:val="none"/>
        </w:rPr>
        <w:t>9</w:t>
      </w:r>
      <w:r>
        <w:rPr>
          <w:rFonts w:hint="eastAsia" w:ascii="宋体" w:hAnsi="宋体" w:cs="宋体"/>
          <w:bCs/>
          <w:color w:val="auto"/>
          <w:kern w:val="0"/>
          <w:sz w:val="24"/>
          <w:highlight w:val="none"/>
        </w:rPr>
        <w:t>.超过质量保证期的机器设备，终身维修，维修时只收部件成本费。</w:t>
      </w:r>
    </w:p>
    <w:p w14:paraId="46225B49">
      <w:pPr>
        <w:snapToGrid w:val="0"/>
        <w:spacing w:line="460" w:lineRule="exact"/>
        <w:ind w:firstLine="480" w:firstLineChars="200"/>
        <w:rPr>
          <w:rFonts w:hint="eastAsia" w:ascii="宋体" w:hAnsi="宋体" w:cs="宋体"/>
          <w:bCs/>
          <w:color w:val="auto"/>
          <w:kern w:val="0"/>
          <w:sz w:val="24"/>
          <w:highlight w:val="none"/>
          <w:u w:val="single"/>
        </w:rPr>
      </w:pPr>
      <w:r>
        <w:rPr>
          <w:rFonts w:hAnsi="宋体" w:cs="宋体"/>
          <w:color w:val="auto"/>
          <w:sz w:val="24"/>
          <w:highlight w:val="none"/>
        </w:rPr>
        <w:t>10</w:t>
      </w:r>
      <w:r>
        <w:rPr>
          <w:rFonts w:hint="eastAsia" w:ascii="宋体" w:hAnsi="宋体" w:cs="宋体"/>
          <w:bCs/>
          <w:color w:val="auto"/>
          <w:kern w:val="0"/>
          <w:sz w:val="24"/>
          <w:highlight w:val="none"/>
        </w:rPr>
        <w:t>.货物质量保证期：</w:t>
      </w:r>
      <w:r>
        <w:rPr>
          <w:rFonts w:hint="eastAsia" w:ascii="宋体" w:hAnsi="宋体" w:cs="宋体"/>
          <w:color w:val="auto"/>
          <w:sz w:val="24"/>
          <w:highlight w:val="none"/>
          <w:u w:val="single"/>
        </w:rPr>
        <w:t>按国家有关产品“三包”规定执行“三包”，质量保证期不少于</w:t>
      </w:r>
      <w:r>
        <w:rPr>
          <w:rFonts w:ascii="宋体" w:hAnsi="宋体" w:cs="宋体"/>
          <w:color w:val="auto"/>
          <w:sz w:val="24"/>
          <w:highlight w:val="none"/>
          <w:u w:val="single"/>
        </w:rPr>
        <w:t>*</w:t>
      </w:r>
      <w:r>
        <w:rPr>
          <w:rFonts w:hint="eastAsia" w:ascii="宋体" w:hAnsi="宋体" w:cs="宋体"/>
          <w:color w:val="auto"/>
          <w:sz w:val="24"/>
          <w:highlight w:val="none"/>
          <w:u w:val="single"/>
        </w:rPr>
        <w:t>年（质量保证期自货物验收合格之日起计。分项货物或配置有明确要求的按分项要求；生产厂家承诺的</w:t>
      </w:r>
      <w:r>
        <w:rPr>
          <w:rFonts w:hint="eastAsia" w:ascii="宋体" w:hAnsi="宋体" w:cs="宋体"/>
          <w:bCs/>
          <w:color w:val="auto"/>
          <w:kern w:val="0"/>
          <w:sz w:val="24"/>
          <w:highlight w:val="none"/>
          <w:u w:val="single"/>
        </w:rPr>
        <w:t>质量保证期</w:t>
      </w:r>
      <w:r>
        <w:rPr>
          <w:rFonts w:hint="eastAsia" w:ascii="宋体" w:hAnsi="宋体" w:cs="宋体"/>
          <w:color w:val="auto"/>
          <w:sz w:val="24"/>
          <w:highlight w:val="none"/>
          <w:u w:val="single"/>
        </w:rPr>
        <w:t>更长的按生产厂家的承诺；</w:t>
      </w:r>
      <w:r>
        <w:rPr>
          <w:rFonts w:hint="eastAsia" w:ascii="宋体" w:hAnsi="宋体" w:cs="宋体"/>
          <w:bCs/>
          <w:color w:val="auto"/>
          <w:kern w:val="0"/>
          <w:sz w:val="24"/>
          <w:highlight w:val="none"/>
          <w:u w:val="single"/>
        </w:rPr>
        <w:t>乙方响应文件承诺更优的，以乙方响应文件承诺为准</w:t>
      </w:r>
      <w:r>
        <w:rPr>
          <w:rFonts w:hint="eastAsia" w:ascii="宋体" w:hAnsi="宋体" w:cs="宋体"/>
          <w:color w:val="auto"/>
          <w:sz w:val="24"/>
          <w:highlight w:val="none"/>
          <w:u w:val="single"/>
        </w:rPr>
        <w:t>）</w:t>
      </w:r>
      <w:r>
        <w:rPr>
          <w:rFonts w:hint="eastAsia" w:ascii="宋体" w:hAnsi="宋体" w:cs="宋体"/>
          <w:bCs/>
          <w:color w:val="auto"/>
          <w:kern w:val="0"/>
          <w:sz w:val="24"/>
          <w:highlight w:val="none"/>
          <w:u w:val="single"/>
        </w:rPr>
        <w:t>。</w:t>
      </w:r>
    </w:p>
    <w:p w14:paraId="45B3734F">
      <w:pPr>
        <w:snapToGrid w:val="0"/>
        <w:spacing w:line="360" w:lineRule="auto"/>
        <w:ind w:firstLine="480" w:firstLineChars="200"/>
        <w:rPr>
          <w:rFonts w:hint="eastAsia" w:ascii="宋体" w:hAnsi="宋体" w:cs="宋体"/>
          <w:color w:val="auto"/>
          <w:sz w:val="24"/>
          <w:highlight w:val="none"/>
        </w:rPr>
      </w:pPr>
      <w:bookmarkStart w:id="62" w:name="OLE_LINK6"/>
      <w:r>
        <w:rPr>
          <w:rFonts w:ascii="宋体" w:hAnsi="宋体" w:cs="宋体"/>
          <w:color w:val="auto"/>
          <w:sz w:val="24"/>
          <w:highlight w:val="none"/>
        </w:rPr>
        <w:t>11</w:t>
      </w:r>
      <w:r>
        <w:rPr>
          <w:rFonts w:hint="eastAsia" w:ascii="宋体" w:hAnsi="宋体" w:cs="宋体"/>
          <w:color w:val="auto"/>
          <w:sz w:val="24"/>
          <w:highlight w:val="none"/>
        </w:rPr>
        <w:t>. 质保期内维修延误及违约责任</w:t>
      </w:r>
    </w:p>
    <w:p w14:paraId="105B6B2E">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w:t>
      </w:r>
      <w:r>
        <w:rPr>
          <w:rFonts w:ascii="宋体" w:hAnsi="宋体" w:cs="宋体"/>
          <w:color w:val="auto"/>
          <w:sz w:val="24"/>
          <w:highlight w:val="none"/>
        </w:rPr>
        <w:t>1）响应延误违约金</w:t>
      </w:r>
    </w:p>
    <w:p w14:paraId="1E2B7025">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质保期内，若乙方未按原合同约定时间履行响应、提供解决方案或到达现场等任一义务，每发生一次，乙方应向甲方支付合同价款的万分之五的违约金人民币</w:t>
      </w:r>
      <w:r>
        <w:rPr>
          <w:rFonts w:ascii="宋体" w:hAnsi="宋体" w:cs="宋体"/>
          <w:color w:val="auto"/>
          <w:sz w:val="24"/>
          <w:highlight w:val="none"/>
        </w:rPr>
        <w:t>*****元（大写：</w:t>
      </w:r>
      <w:r>
        <w:rPr>
          <w:rFonts w:hint="eastAsia" w:ascii="宋体" w:hAnsi="宋体" w:cs="宋体"/>
          <w:color w:val="auto"/>
          <w:sz w:val="24"/>
          <w:highlight w:val="none"/>
        </w:rPr>
        <w:t>*</w:t>
      </w:r>
      <w:r>
        <w:rPr>
          <w:rFonts w:ascii="宋体" w:hAnsi="宋体" w:cs="宋体"/>
          <w:color w:val="auto"/>
          <w:sz w:val="24"/>
          <w:highlight w:val="none"/>
        </w:rPr>
        <w:t>******</w:t>
      </w:r>
      <w:r>
        <w:rPr>
          <w:rFonts w:hint="eastAsia" w:ascii="宋体" w:hAnsi="宋体" w:cs="宋体"/>
          <w:color w:val="auto"/>
          <w:sz w:val="24"/>
          <w:highlight w:val="none"/>
        </w:rPr>
        <w:t>整）。</w:t>
      </w:r>
    </w:p>
    <w:p w14:paraId="037A0A45">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w:t>
      </w:r>
      <w:r>
        <w:rPr>
          <w:rFonts w:ascii="宋体" w:hAnsi="宋体" w:cs="宋体"/>
          <w:color w:val="auto"/>
          <w:sz w:val="24"/>
          <w:highlight w:val="none"/>
        </w:rPr>
        <w:t>2）故障修复延误违约金</w:t>
      </w:r>
    </w:p>
    <w:p w14:paraId="7BE8AFD6">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质保期内，因乙方设备质量原因导致故障，乙方在提供解决方案后未能在</w:t>
      </w:r>
      <w:r>
        <w:rPr>
          <w:rFonts w:ascii="宋体" w:hAnsi="宋体" w:cs="宋体"/>
          <w:color w:val="auto"/>
          <w:sz w:val="24"/>
          <w:highlight w:val="none"/>
        </w:rPr>
        <w:t>60个自然日内完成修复的（因不可抗力或甲方原因导致的延误期间除外），</w:t>
      </w:r>
      <w:r>
        <w:rPr>
          <w:rFonts w:hint="eastAsia" w:ascii="宋体" w:hAnsi="宋体" w:cs="宋体"/>
          <w:color w:val="auto"/>
          <w:sz w:val="24"/>
          <w:highlight w:val="none"/>
        </w:rPr>
        <w:t>自第</w:t>
      </w:r>
      <w:r>
        <w:rPr>
          <w:rFonts w:ascii="宋体" w:hAnsi="宋体" w:cs="宋体"/>
          <w:color w:val="auto"/>
          <w:sz w:val="24"/>
          <w:highlight w:val="none"/>
        </w:rPr>
        <w:t>61日起，乙方应按日向甲方支付该设备对应的合同价款万分之一的违约金，</w:t>
      </w:r>
      <w:r>
        <w:rPr>
          <w:rFonts w:hint="eastAsia" w:ascii="宋体" w:hAnsi="宋体" w:cs="宋体"/>
          <w:color w:val="auto"/>
          <w:sz w:val="24"/>
          <w:highlight w:val="none"/>
        </w:rPr>
        <w:t>直至设备恢复正常运行为止。此项违约金不影响甲方就设备停用期间所遭受的其他直接及间接损失向乙方索赔的权利。此项违约金累计总额不超过该设备对应的合同价款的百分之十。</w:t>
      </w:r>
    </w:p>
    <w:p w14:paraId="28AE9C7B">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w:t>
      </w:r>
      <w:r>
        <w:rPr>
          <w:rFonts w:ascii="宋体" w:hAnsi="宋体" w:cs="宋体"/>
          <w:color w:val="auto"/>
          <w:sz w:val="24"/>
          <w:highlight w:val="none"/>
        </w:rPr>
        <w:t>3）严重故障的救济措施与违约金</w:t>
      </w:r>
    </w:p>
    <w:p w14:paraId="4DB5D859">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质保期内，若因乙方设备质量原因导致设备完全无法修复，或单次故障持续无法修复超过</w:t>
      </w:r>
      <w:r>
        <w:rPr>
          <w:rFonts w:ascii="宋体" w:hAnsi="宋体" w:cs="宋体"/>
          <w:color w:val="auto"/>
          <w:sz w:val="24"/>
          <w:highlight w:val="none"/>
        </w:rPr>
        <w:t>60个自然日，或在任意连续12个月内累计无法正常运行超过90个自然日，甲方有权选择采取以下任一措施：</w:t>
      </w:r>
    </w:p>
    <w:p w14:paraId="5439BAFA">
      <w:pPr>
        <w:snapToGrid w:val="0"/>
        <w:spacing w:line="360" w:lineRule="auto"/>
        <w:ind w:firstLine="480" w:firstLineChars="200"/>
        <w:rPr>
          <w:rFonts w:hint="eastAsia" w:ascii="宋体" w:hAnsi="宋体" w:cs="宋体"/>
          <w:color w:val="auto"/>
          <w:sz w:val="24"/>
          <w:highlight w:val="none"/>
        </w:rPr>
      </w:pPr>
      <w:r>
        <w:rPr>
          <w:rFonts w:ascii="宋体" w:hAnsi="宋体" w:cs="宋体"/>
          <w:color w:val="auto"/>
          <w:sz w:val="24"/>
          <w:highlight w:val="none"/>
        </w:rPr>
        <w:t>1）要求乙方更换同等或更高规格的新设备</w:t>
      </w:r>
      <w:r>
        <w:rPr>
          <w:rFonts w:hint="eastAsia" w:ascii="宋体" w:hAnsi="宋体" w:cs="宋体"/>
          <w:color w:val="auto"/>
          <w:sz w:val="24"/>
          <w:highlight w:val="none"/>
        </w:rPr>
        <w:t>；</w:t>
      </w:r>
    </w:p>
    <w:p w14:paraId="45C6F132">
      <w:pPr>
        <w:snapToGrid w:val="0"/>
        <w:spacing w:line="360" w:lineRule="auto"/>
        <w:ind w:firstLine="480" w:firstLineChars="200"/>
        <w:rPr>
          <w:rFonts w:hint="eastAsia" w:ascii="宋体" w:hAnsi="宋体" w:cs="宋体"/>
          <w:color w:val="auto"/>
          <w:sz w:val="24"/>
          <w:highlight w:val="none"/>
        </w:rPr>
      </w:pPr>
      <w:r>
        <w:rPr>
          <w:rFonts w:ascii="宋体" w:hAnsi="宋体" w:cs="宋体"/>
          <w:color w:val="auto"/>
          <w:sz w:val="24"/>
          <w:highlight w:val="none"/>
        </w:rPr>
        <w:t>2）要求乙方退还该设备所对应的全部合同价款，并同时向甲方支付相当</w:t>
      </w:r>
      <w:r>
        <w:rPr>
          <w:rFonts w:hint="eastAsia" w:ascii="宋体" w:hAnsi="宋体" w:cs="宋体"/>
          <w:color w:val="auto"/>
          <w:sz w:val="24"/>
          <w:highlight w:val="none"/>
        </w:rPr>
        <w:t>于该设备合同价款百分之二十的违约金</w:t>
      </w:r>
      <w:r>
        <w:rPr>
          <w:rFonts w:ascii="宋体" w:hAnsi="宋体" w:cs="宋体"/>
          <w:color w:val="auto"/>
          <w:sz w:val="24"/>
          <w:highlight w:val="none"/>
        </w:rPr>
        <w:t>。</w:t>
      </w:r>
    </w:p>
    <w:p w14:paraId="7C1FE5F9">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无论甲方选择何种措施，乙方仍应承担合同项下的其他全部违约责任。</w:t>
      </w:r>
    </w:p>
    <w:p w14:paraId="6EC6875A">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w:t>
      </w:r>
      <w:r>
        <w:rPr>
          <w:rFonts w:ascii="宋体" w:hAnsi="宋体" w:cs="宋体"/>
          <w:color w:val="auto"/>
          <w:sz w:val="24"/>
          <w:highlight w:val="none"/>
        </w:rPr>
        <w:t>4）违约责任与质保义务的独立性</w:t>
      </w:r>
    </w:p>
    <w:p w14:paraId="51437850">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乙方依据本条款支付违约金后，其在合同项下的维修、更换等质量保证义务并不因此免除，应继续履行。</w:t>
      </w:r>
    </w:p>
    <w:p w14:paraId="246B6F34">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w:t>
      </w:r>
      <w:r>
        <w:rPr>
          <w:rFonts w:ascii="宋体" w:hAnsi="宋体" w:cs="宋体"/>
          <w:color w:val="auto"/>
          <w:sz w:val="24"/>
          <w:highlight w:val="none"/>
        </w:rPr>
        <w:t>5）“维修”的定义</w:t>
      </w:r>
    </w:p>
    <w:p w14:paraId="4895E513">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本条所述“维修”包括但不限于故障诊断、提供临时解决方案、现场修理、更换零部件等为使设备恢复至约定性能状态所需的一切工作。</w:t>
      </w:r>
    </w:p>
    <w:p w14:paraId="3981D2CF">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w:t>
      </w:r>
      <w:r>
        <w:rPr>
          <w:rFonts w:ascii="宋体" w:hAnsi="宋体" w:cs="宋体"/>
          <w:color w:val="auto"/>
          <w:sz w:val="24"/>
          <w:highlight w:val="none"/>
        </w:rPr>
        <w:t>6） 附加培训服务</w:t>
      </w:r>
    </w:p>
    <w:p w14:paraId="44811EEC">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除合同约定的安装培训外，乙方应在质保期内，每年为甲方额外提供一次仪器操作使用培训。同时，乙方每年应为甲方提供一次专业数据分析培训（可采用线上形式），内容应包括但不限于设备高级功能与进阶使用技巧。甲方有权根据实际情况要求调整培训时间，乙方应予配合。</w:t>
      </w:r>
    </w:p>
    <w:p w14:paraId="288C27C4">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w:t>
      </w:r>
      <w:r>
        <w:rPr>
          <w:rFonts w:ascii="宋体" w:hAnsi="宋体" w:cs="宋体"/>
          <w:color w:val="auto"/>
          <w:sz w:val="24"/>
          <w:highlight w:val="none"/>
        </w:rPr>
        <w:t>7）违约金的支付</w:t>
      </w:r>
    </w:p>
    <w:p w14:paraId="61986B37">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本条约定的各项违约金，应由乙方在收到甲方出具的书面付款通知后</w:t>
      </w:r>
      <w:r>
        <w:rPr>
          <w:rFonts w:ascii="宋体" w:hAnsi="宋体" w:cs="宋体"/>
          <w:color w:val="auto"/>
          <w:sz w:val="24"/>
          <w:highlight w:val="none"/>
        </w:rPr>
        <w:t>10个</w:t>
      </w:r>
      <w:r>
        <w:rPr>
          <w:rFonts w:hint="eastAsia" w:ascii="宋体" w:hAnsi="宋体" w:cs="宋体"/>
          <w:color w:val="auto"/>
          <w:sz w:val="24"/>
          <w:highlight w:val="none"/>
        </w:rPr>
        <w:t>工作日内，向甲方支付。若乙方逾期支付，每逾期一日，应按逾期金额的万分之五向甲方支付滞纳金。同时，甲方有权采取包括但不限于法律诉讼在内的任何必要措施，向乙方追索全部未付款项（包括违约金、滞纳金以及甲方为实现债权所支出的合理费用）。</w:t>
      </w:r>
      <w:bookmarkEnd w:id="62"/>
    </w:p>
    <w:p w14:paraId="2F14C85A">
      <w:pPr>
        <w:snapToGrid w:val="0"/>
        <w:spacing w:line="460" w:lineRule="exact"/>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第十一条　违约责任</w:t>
      </w:r>
    </w:p>
    <w:p w14:paraId="4B56ED73">
      <w:pPr>
        <w:pStyle w:val="14"/>
        <w:snapToGrid w:val="0"/>
        <w:spacing w:line="460" w:lineRule="exact"/>
        <w:ind w:firstLine="470" w:firstLineChars="196"/>
        <w:rPr>
          <w:rFonts w:hint="eastAsia" w:hAnsi="宋体" w:cs="宋体"/>
          <w:color w:val="auto"/>
          <w:sz w:val="24"/>
          <w:szCs w:val="24"/>
          <w:highlight w:val="none"/>
        </w:rPr>
      </w:pPr>
      <w:r>
        <w:rPr>
          <w:rFonts w:hint="eastAsia" w:hAnsi="宋体" w:cs="宋体"/>
          <w:color w:val="auto"/>
          <w:sz w:val="24"/>
          <w:szCs w:val="24"/>
          <w:highlight w:val="none"/>
        </w:rPr>
        <w:t xml:space="preserve">1.乙方所提供的产品名称、商标品牌、生产厂家、规格型号、技术参数等质量不合格的，应及时更换，更换不及时的按逾期交货处理；因质量问题甲方不同意接收的或者特殊情况甲方同意接收的，乙方应按违约货款额5%向甲方支付违约金并赔偿甲方经济损失。                                       </w:t>
      </w:r>
    </w:p>
    <w:p w14:paraId="60E03CED">
      <w:pPr>
        <w:pStyle w:val="14"/>
        <w:snapToGrid w:val="0"/>
        <w:spacing w:line="460" w:lineRule="exact"/>
        <w:ind w:firstLine="470" w:firstLineChars="196"/>
        <w:rPr>
          <w:rFonts w:hint="eastAsia" w:hAnsi="宋体" w:cs="宋体"/>
          <w:color w:val="auto"/>
          <w:sz w:val="24"/>
          <w:szCs w:val="24"/>
          <w:highlight w:val="none"/>
        </w:rPr>
      </w:pPr>
      <w:r>
        <w:rPr>
          <w:rFonts w:hint="eastAsia" w:hAnsi="宋体" w:cs="宋体"/>
          <w:color w:val="auto"/>
          <w:sz w:val="24"/>
          <w:szCs w:val="24"/>
          <w:highlight w:val="none"/>
        </w:rPr>
        <w:t>2.乙方提供的货物如侵犯了第三方合法权益而引发的任何纠纷或者诉讼，均由乙方负责交涉并承担全部责任。</w:t>
      </w:r>
    </w:p>
    <w:p w14:paraId="158E3C5F">
      <w:pPr>
        <w:pStyle w:val="14"/>
        <w:snapToGrid w:val="0"/>
        <w:spacing w:line="460" w:lineRule="exact"/>
        <w:ind w:firstLine="470" w:firstLineChars="196"/>
        <w:rPr>
          <w:rFonts w:hint="eastAsia" w:hAnsi="宋体" w:cs="宋体"/>
          <w:color w:val="auto"/>
          <w:sz w:val="24"/>
          <w:szCs w:val="24"/>
          <w:highlight w:val="none"/>
        </w:rPr>
      </w:pPr>
      <w:r>
        <w:rPr>
          <w:rFonts w:hint="eastAsia" w:hAnsi="宋体" w:cs="宋体"/>
          <w:color w:val="auto"/>
          <w:sz w:val="24"/>
          <w:szCs w:val="24"/>
          <w:highlight w:val="none"/>
        </w:rPr>
        <w:t>3.因包装、运输引起的货物损坏，按质量不合格处理。</w:t>
      </w:r>
    </w:p>
    <w:p w14:paraId="0CAECE0C">
      <w:pPr>
        <w:pStyle w:val="14"/>
        <w:snapToGrid w:val="0"/>
        <w:spacing w:line="460" w:lineRule="exact"/>
        <w:ind w:firstLine="470" w:firstLineChars="196"/>
        <w:rPr>
          <w:rFonts w:hint="eastAsia" w:hAnsi="宋体" w:cs="宋体"/>
          <w:color w:val="auto"/>
          <w:sz w:val="24"/>
          <w:szCs w:val="24"/>
          <w:highlight w:val="none"/>
        </w:rPr>
      </w:pPr>
      <w:r>
        <w:rPr>
          <w:rFonts w:hint="eastAsia" w:hAnsi="宋体" w:cs="宋体"/>
          <w:color w:val="auto"/>
          <w:sz w:val="24"/>
          <w:szCs w:val="24"/>
          <w:highlight w:val="none"/>
        </w:rPr>
        <w:t>4.合同一方不履行合同义务、履行合同义务不符合约定或者违反合同项下所作保证的，应向对方承担继续履行、采取修理、更换、退货等补救措施或者赔偿损失等违约责任。</w:t>
      </w:r>
    </w:p>
    <w:p w14:paraId="29236B6B">
      <w:pPr>
        <w:pStyle w:val="14"/>
        <w:snapToGrid w:val="0"/>
        <w:spacing w:line="460" w:lineRule="exact"/>
        <w:ind w:firstLine="470" w:firstLineChars="196"/>
        <w:rPr>
          <w:rFonts w:hint="eastAsia" w:hAnsi="宋体" w:cs="宋体"/>
          <w:color w:val="auto"/>
          <w:sz w:val="24"/>
          <w:szCs w:val="24"/>
          <w:highlight w:val="none"/>
        </w:rPr>
      </w:pPr>
      <w:r>
        <w:rPr>
          <w:rFonts w:hint="eastAsia" w:hAnsi="宋体" w:cs="宋体"/>
          <w:color w:val="auto"/>
          <w:sz w:val="24"/>
          <w:szCs w:val="24"/>
          <w:highlight w:val="none"/>
        </w:rPr>
        <w:t>5.乙方未能按时交付货物的，应向甲方支付迟延交付违约金。迟延交付违约金的计算方法如下：</w:t>
      </w:r>
    </w:p>
    <w:p w14:paraId="4EDC9F2B">
      <w:pPr>
        <w:pStyle w:val="14"/>
        <w:snapToGrid w:val="0"/>
        <w:spacing w:line="460" w:lineRule="exact"/>
        <w:ind w:firstLine="470" w:firstLineChars="196"/>
        <w:rPr>
          <w:rFonts w:hint="eastAsia" w:hAnsi="宋体" w:cs="宋体"/>
          <w:color w:val="auto"/>
          <w:sz w:val="24"/>
          <w:szCs w:val="24"/>
          <w:highlight w:val="none"/>
        </w:rPr>
      </w:pPr>
      <w:r>
        <w:rPr>
          <w:rFonts w:hint="eastAsia" w:hAnsi="宋体" w:cs="宋体"/>
          <w:color w:val="auto"/>
          <w:sz w:val="24"/>
          <w:szCs w:val="24"/>
          <w:highlight w:val="none"/>
        </w:rPr>
        <w:t>（1）从迟交的第1日到第3</w:t>
      </w:r>
      <w:r>
        <w:rPr>
          <w:rFonts w:hAnsi="宋体" w:cs="宋体"/>
          <w:color w:val="auto"/>
          <w:sz w:val="24"/>
          <w:szCs w:val="24"/>
          <w:highlight w:val="none"/>
        </w:rPr>
        <w:t>0</w:t>
      </w:r>
      <w:r>
        <w:rPr>
          <w:rFonts w:hint="eastAsia" w:hAnsi="宋体" w:cs="宋体"/>
          <w:color w:val="auto"/>
          <w:sz w:val="24"/>
          <w:szCs w:val="24"/>
          <w:highlight w:val="none"/>
        </w:rPr>
        <w:t>日，每日迟延交付违约金为合同总金额的1.5‰；</w:t>
      </w:r>
    </w:p>
    <w:p w14:paraId="00D3106A">
      <w:pPr>
        <w:pStyle w:val="14"/>
        <w:snapToGrid w:val="0"/>
        <w:spacing w:line="460" w:lineRule="exact"/>
        <w:ind w:firstLine="470" w:firstLineChars="196"/>
        <w:rPr>
          <w:rFonts w:hint="eastAsia" w:hAnsi="宋体" w:cs="宋体"/>
          <w:color w:val="auto"/>
          <w:sz w:val="24"/>
          <w:szCs w:val="24"/>
          <w:highlight w:val="none"/>
        </w:rPr>
      </w:pPr>
      <w:r>
        <w:rPr>
          <w:rFonts w:hint="eastAsia" w:hAnsi="宋体" w:cs="宋体"/>
          <w:color w:val="auto"/>
          <w:sz w:val="24"/>
          <w:szCs w:val="24"/>
          <w:highlight w:val="none"/>
        </w:rPr>
        <w:t>（2）从迟交的第3</w:t>
      </w:r>
      <w:r>
        <w:rPr>
          <w:rFonts w:hAnsi="宋体" w:cs="宋体"/>
          <w:color w:val="auto"/>
          <w:sz w:val="24"/>
          <w:szCs w:val="24"/>
          <w:highlight w:val="none"/>
        </w:rPr>
        <w:t>1</w:t>
      </w:r>
      <w:r>
        <w:rPr>
          <w:rFonts w:hint="eastAsia" w:hAnsi="宋体" w:cs="宋体"/>
          <w:color w:val="auto"/>
          <w:sz w:val="24"/>
          <w:szCs w:val="24"/>
          <w:highlight w:val="none"/>
        </w:rPr>
        <w:t>到第6</w:t>
      </w:r>
      <w:r>
        <w:rPr>
          <w:rFonts w:hAnsi="宋体" w:cs="宋体"/>
          <w:color w:val="auto"/>
          <w:sz w:val="24"/>
          <w:szCs w:val="24"/>
          <w:highlight w:val="none"/>
        </w:rPr>
        <w:t>0</w:t>
      </w:r>
      <w:r>
        <w:rPr>
          <w:rFonts w:hint="eastAsia" w:hAnsi="宋体" w:cs="宋体"/>
          <w:color w:val="auto"/>
          <w:sz w:val="24"/>
          <w:szCs w:val="24"/>
          <w:highlight w:val="none"/>
        </w:rPr>
        <w:t>日，每日迟延交付违约金为合同总金额的3‰；</w:t>
      </w:r>
    </w:p>
    <w:p w14:paraId="3C29532D">
      <w:pPr>
        <w:pStyle w:val="14"/>
        <w:snapToGrid w:val="0"/>
        <w:spacing w:line="460" w:lineRule="exact"/>
        <w:ind w:firstLine="470" w:firstLineChars="196"/>
        <w:rPr>
          <w:rFonts w:hint="eastAsia" w:hAnsi="宋体" w:cs="宋体"/>
          <w:color w:val="auto"/>
          <w:sz w:val="24"/>
          <w:szCs w:val="24"/>
          <w:highlight w:val="none"/>
        </w:rPr>
      </w:pPr>
      <w:r>
        <w:rPr>
          <w:rFonts w:hint="eastAsia" w:hAnsi="宋体" w:cs="宋体"/>
          <w:color w:val="auto"/>
          <w:sz w:val="24"/>
          <w:szCs w:val="24"/>
          <w:highlight w:val="none"/>
        </w:rPr>
        <w:t>（3）从迟交的第6</w:t>
      </w:r>
      <w:r>
        <w:rPr>
          <w:rFonts w:hAnsi="宋体" w:cs="宋体"/>
          <w:color w:val="auto"/>
          <w:sz w:val="24"/>
          <w:szCs w:val="24"/>
          <w:highlight w:val="none"/>
        </w:rPr>
        <w:t>1</w:t>
      </w:r>
      <w:r>
        <w:rPr>
          <w:rFonts w:hint="eastAsia" w:hAnsi="宋体" w:cs="宋体"/>
          <w:color w:val="auto"/>
          <w:sz w:val="24"/>
          <w:szCs w:val="24"/>
          <w:highlight w:val="none"/>
        </w:rPr>
        <w:t>日起，每日迟延交付违约金为合同总金额的5‰。</w:t>
      </w:r>
    </w:p>
    <w:p w14:paraId="1868C6AF">
      <w:pPr>
        <w:pStyle w:val="14"/>
        <w:snapToGrid w:val="0"/>
        <w:spacing w:line="460" w:lineRule="exact"/>
        <w:ind w:firstLine="470" w:firstLineChars="196"/>
        <w:rPr>
          <w:rFonts w:hint="eastAsia" w:hAnsi="宋体" w:cs="宋体"/>
          <w:color w:val="auto"/>
          <w:sz w:val="24"/>
          <w:szCs w:val="24"/>
          <w:highlight w:val="none"/>
        </w:rPr>
      </w:pPr>
      <w:r>
        <w:rPr>
          <w:rFonts w:hint="eastAsia" w:hAnsi="宋体" w:cs="宋体"/>
          <w:color w:val="auto"/>
          <w:sz w:val="24"/>
          <w:szCs w:val="24"/>
          <w:highlight w:val="none"/>
        </w:rPr>
        <w:t>（4）迟延交付违约金的总额不得超过合同总金额的30%。迟延交付违约金的支付不能免除乙方继续交付相关合同货物的义务，但如迟延交付必然导致合同货物安装、调试、验收等工作推迟的，相关工作应相应顺延。</w:t>
      </w:r>
    </w:p>
    <w:p w14:paraId="069AE4A5">
      <w:pPr>
        <w:pStyle w:val="14"/>
        <w:snapToGrid w:val="0"/>
        <w:spacing w:line="460" w:lineRule="exact"/>
        <w:ind w:firstLine="470" w:firstLineChars="196"/>
        <w:rPr>
          <w:rFonts w:hint="eastAsia" w:hAnsi="宋体" w:cs="宋体"/>
          <w:color w:val="auto"/>
          <w:sz w:val="24"/>
          <w:szCs w:val="24"/>
          <w:highlight w:val="none"/>
        </w:rPr>
      </w:pPr>
      <w:r>
        <w:rPr>
          <w:rFonts w:hint="eastAsia" w:hAnsi="宋体" w:cs="宋体"/>
          <w:color w:val="auto"/>
          <w:sz w:val="24"/>
          <w:szCs w:val="24"/>
          <w:highlight w:val="none"/>
        </w:rPr>
        <w:t>6.甲方未能按合同约定支付合同价款的，应向乙方支付延迟付款违约金。迟延付款违约金的计算方法如下：</w:t>
      </w:r>
    </w:p>
    <w:p w14:paraId="7F4242D6">
      <w:pPr>
        <w:pStyle w:val="14"/>
        <w:snapToGrid w:val="0"/>
        <w:spacing w:line="460" w:lineRule="exact"/>
        <w:ind w:firstLine="470" w:firstLineChars="196"/>
        <w:rPr>
          <w:rFonts w:hint="eastAsia" w:hAnsi="宋体" w:cs="宋体"/>
          <w:color w:val="auto"/>
          <w:sz w:val="24"/>
          <w:szCs w:val="24"/>
          <w:highlight w:val="none"/>
        </w:rPr>
      </w:pPr>
      <w:r>
        <w:rPr>
          <w:rFonts w:hint="eastAsia" w:hAnsi="宋体" w:cs="宋体"/>
          <w:color w:val="auto"/>
          <w:sz w:val="24"/>
          <w:szCs w:val="24"/>
          <w:highlight w:val="none"/>
        </w:rPr>
        <w:t>（1）从迟交的第1日到第3</w:t>
      </w:r>
      <w:r>
        <w:rPr>
          <w:rFonts w:hAnsi="宋体" w:cs="宋体"/>
          <w:color w:val="auto"/>
          <w:sz w:val="24"/>
          <w:szCs w:val="24"/>
          <w:highlight w:val="none"/>
        </w:rPr>
        <w:t>0</w:t>
      </w:r>
      <w:r>
        <w:rPr>
          <w:rFonts w:hint="eastAsia" w:hAnsi="宋体" w:cs="宋体"/>
          <w:color w:val="auto"/>
          <w:sz w:val="24"/>
          <w:szCs w:val="24"/>
          <w:highlight w:val="none"/>
        </w:rPr>
        <w:t>日，每日迟延付款违约金为迟延付款金额的1.5‰；</w:t>
      </w:r>
    </w:p>
    <w:p w14:paraId="2C0B1516">
      <w:pPr>
        <w:pStyle w:val="14"/>
        <w:snapToGrid w:val="0"/>
        <w:spacing w:line="460" w:lineRule="exact"/>
        <w:ind w:firstLine="470" w:firstLineChars="196"/>
        <w:rPr>
          <w:rFonts w:hint="eastAsia" w:hAnsi="宋体" w:cs="宋体"/>
          <w:color w:val="auto"/>
          <w:sz w:val="24"/>
          <w:szCs w:val="24"/>
          <w:highlight w:val="none"/>
        </w:rPr>
      </w:pPr>
      <w:r>
        <w:rPr>
          <w:rFonts w:hint="eastAsia" w:hAnsi="宋体" w:cs="宋体"/>
          <w:color w:val="auto"/>
          <w:sz w:val="24"/>
          <w:szCs w:val="24"/>
          <w:highlight w:val="none"/>
        </w:rPr>
        <w:t>（2）从迟交的第3</w:t>
      </w:r>
      <w:r>
        <w:rPr>
          <w:rFonts w:hAnsi="宋体" w:cs="宋体"/>
          <w:color w:val="auto"/>
          <w:sz w:val="24"/>
          <w:szCs w:val="24"/>
          <w:highlight w:val="none"/>
        </w:rPr>
        <w:t>1</w:t>
      </w:r>
      <w:r>
        <w:rPr>
          <w:rFonts w:hint="eastAsia" w:hAnsi="宋体" w:cs="宋体"/>
          <w:color w:val="auto"/>
          <w:sz w:val="24"/>
          <w:szCs w:val="24"/>
          <w:highlight w:val="none"/>
        </w:rPr>
        <w:t>日到第60日，每日迟延付款违约金为迟延付款金额的3‰；</w:t>
      </w:r>
    </w:p>
    <w:p w14:paraId="4034C4E2">
      <w:pPr>
        <w:pStyle w:val="14"/>
        <w:snapToGrid w:val="0"/>
        <w:spacing w:line="460" w:lineRule="exact"/>
        <w:ind w:firstLine="470" w:firstLineChars="196"/>
        <w:rPr>
          <w:rFonts w:hint="eastAsia" w:hAnsi="宋体" w:cs="宋体"/>
          <w:color w:val="auto"/>
          <w:sz w:val="24"/>
          <w:szCs w:val="24"/>
          <w:highlight w:val="none"/>
        </w:rPr>
      </w:pPr>
      <w:r>
        <w:rPr>
          <w:rFonts w:hint="eastAsia" w:hAnsi="宋体" w:cs="宋体"/>
          <w:color w:val="auto"/>
          <w:sz w:val="24"/>
          <w:szCs w:val="24"/>
          <w:highlight w:val="none"/>
        </w:rPr>
        <w:t>（3）从迟交的第6</w:t>
      </w:r>
      <w:r>
        <w:rPr>
          <w:rFonts w:hAnsi="宋体" w:cs="宋体"/>
          <w:color w:val="auto"/>
          <w:sz w:val="24"/>
          <w:szCs w:val="24"/>
          <w:highlight w:val="none"/>
        </w:rPr>
        <w:t>1</w:t>
      </w:r>
      <w:r>
        <w:rPr>
          <w:rFonts w:hint="eastAsia" w:hAnsi="宋体" w:cs="宋体"/>
          <w:color w:val="auto"/>
          <w:sz w:val="24"/>
          <w:szCs w:val="24"/>
          <w:highlight w:val="none"/>
        </w:rPr>
        <w:t>日起，每日迟延付款违约金为迟延付款金额的5‰。迟延付款违约金的总额不得超过迟延付款金额的30% 。</w:t>
      </w:r>
    </w:p>
    <w:p w14:paraId="4371EE6A">
      <w:pPr>
        <w:pStyle w:val="14"/>
        <w:snapToGrid w:val="0"/>
        <w:spacing w:line="460" w:lineRule="exact"/>
        <w:ind w:firstLine="470" w:firstLineChars="196"/>
        <w:rPr>
          <w:rFonts w:hint="eastAsia" w:hAnsi="宋体" w:cs="宋体"/>
          <w:color w:val="auto"/>
          <w:sz w:val="24"/>
          <w:szCs w:val="24"/>
          <w:highlight w:val="none"/>
        </w:rPr>
      </w:pPr>
      <w:r>
        <w:rPr>
          <w:rFonts w:hint="eastAsia" w:hAnsi="宋体" w:cs="宋体"/>
          <w:color w:val="auto"/>
          <w:sz w:val="24"/>
          <w:szCs w:val="24"/>
          <w:highlight w:val="none"/>
        </w:rPr>
        <w:t>7.乙方未按本合同和响应文件承诺提供售后服务的，乙方应按本合同总金额的5%向甲方支付违约金。</w:t>
      </w:r>
    </w:p>
    <w:p w14:paraId="04D429F5">
      <w:pPr>
        <w:pStyle w:val="14"/>
        <w:snapToGrid w:val="0"/>
        <w:spacing w:line="440" w:lineRule="exact"/>
        <w:ind w:firstLine="480" w:firstLineChars="200"/>
        <w:rPr>
          <w:rFonts w:hint="eastAsia" w:cs="宋体"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8.</w:t>
      </w:r>
      <w:r>
        <w:rPr>
          <w:rFonts w:hint="eastAsia" w:asciiTheme="minorEastAsia" w:hAnsiTheme="minorEastAsia" w:eastAsiaTheme="minorEastAsia"/>
          <w:color w:val="auto"/>
          <w:sz w:val="24"/>
          <w:szCs w:val="24"/>
          <w:highlight w:val="none"/>
        </w:rPr>
        <w:t>乙方违约，甲方对本合同享有单方解除权。</w:t>
      </w:r>
    </w:p>
    <w:p w14:paraId="5A5A607D">
      <w:pPr>
        <w:pStyle w:val="14"/>
        <w:snapToGrid w:val="0"/>
        <w:spacing w:line="440" w:lineRule="exact"/>
        <w:ind w:firstLine="480" w:firstLineChars="200"/>
        <w:rPr>
          <w:rFonts w:hint="eastAsia" w:cs="宋体"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9</w:t>
      </w:r>
      <w:r>
        <w:rPr>
          <w:rFonts w:hint="eastAsia" w:cs="宋体" w:asciiTheme="minorEastAsia" w:hAnsiTheme="minorEastAsia" w:eastAsiaTheme="minorEastAsia"/>
          <w:color w:val="auto"/>
          <w:sz w:val="24"/>
          <w:szCs w:val="24"/>
          <w:highlight w:val="none"/>
        </w:rPr>
        <w:t>.因某一方</w:t>
      </w:r>
      <w:r>
        <w:rPr>
          <w:rFonts w:hint="eastAsia" w:asciiTheme="minorEastAsia" w:hAnsiTheme="minorEastAsia" w:eastAsiaTheme="minorEastAsia"/>
          <w:bCs/>
          <w:color w:val="auto"/>
          <w:sz w:val="24"/>
          <w:highlight w:val="none"/>
          <w:shd w:val="clear" w:color="auto" w:fill="FFFFFF"/>
        </w:rPr>
        <w:t>单方面</w:t>
      </w:r>
      <w:r>
        <w:rPr>
          <w:rFonts w:hint="eastAsia" w:cs="宋体" w:asciiTheme="minorEastAsia" w:hAnsiTheme="minorEastAsia" w:eastAsiaTheme="minorEastAsia"/>
          <w:color w:val="auto"/>
          <w:sz w:val="24"/>
          <w:szCs w:val="24"/>
          <w:highlight w:val="none"/>
        </w:rPr>
        <w:t>原因导致变更、中止或者终止</w:t>
      </w:r>
      <w:bookmarkStart w:id="63" w:name="_Hlk123747227"/>
      <w:r>
        <w:rPr>
          <w:rFonts w:hint="eastAsia" w:asciiTheme="minorEastAsia" w:hAnsiTheme="minorEastAsia" w:eastAsiaTheme="minorEastAsia"/>
          <w:bCs/>
          <w:color w:val="auto"/>
          <w:sz w:val="24"/>
          <w:highlight w:val="none"/>
          <w:shd w:val="clear" w:color="auto" w:fill="FFFFFF"/>
        </w:rPr>
        <w:t>本</w:t>
      </w:r>
      <w:bookmarkEnd w:id="63"/>
      <w:r>
        <w:rPr>
          <w:rFonts w:hint="eastAsia" w:cs="宋体" w:asciiTheme="minorEastAsia" w:hAnsiTheme="minorEastAsia" w:eastAsiaTheme="minorEastAsia"/>
          <w:color w:val="auto"/>
          <w:sz w:val="24"/>
          <w:szCs w:val="24"/>
          <w:highlight w:val="none"/>
        </w:rPr>
        <w:t>合同的，该方应当对另一方</w:t>
      </w:r>
      <w:r>
        <w:rPr>
          <w:rFonts w:hint="eastAsia" w:asciiTheme="minorEastAsia" w:hAnsiTheme="minorEastAsia" w:eastAsiaTheme="minorEastAsia"/>
          <w:bCs/>
          <w:color w:val="auto"/>
          <w:sz w:val="24"/>
          <w:highlight w:val="none"/>
          <w:shd w:val="clear" w:color="auto" w:fill="FFFFFF"/>
        </w:rPr>
        <w:t>因此</w:t>
      </w:r>
      <w:r>
        <w:rPr>
          <w:rFonts w:hint="eastAsia" w:cs="宋体" w:asciiTheme="minorEastAsia" w:hAnsiTheme="minorEastAsia" w:eastAsiaTheme="minorEastAsia"/>
          <w:color w:val="auto"/>
          <w:sz w:val="24"/>
          <w:szCs w:val="24"/>
          <w:highlight w:val="none"/>
        </w:rPr>
        <w:t>受到的损失予以赔偿或者补偿。</w:t>
      </w:r>
    </w:p>
    <w:p w14:paraId="583475FF">
      <w:pPr>
        <w:pStyle w:val="14"/>
        <w:snapToGrid w:val="0"/>
        <w:spacing w:line="440" w:lineRule="exact"/>
        <w:ind w:firstLine="480" w:firstLineChars="200"/>
        <w:rPr>
          <w:rFonts w:hint="eastAsia" w:hAnsi="宋体" w:cs="宋体"/>
          <w:color w:val="auto"/>
          <w:sz w:val="24"/>
          <w:szCs w:val="24"/>
          <w:highlight w:val="none"/>
        </w:rPr>
      </w:pPr>
      <w:r>
        <w:rPr>
          <w:rFonts w:hAnsi="宋体" w:cs="宋体"/>
          <w:color w:val="auto"/>
          <w:sz w:val="24"/>
          <w:szCs w:val="24"/>
          <w:highlight w:val="none"/>
        </w:rPr>
        <w:t>10</w:t>
      </w:r>
      <w:r>
        <w:rPr>
          <w:rFonts w:hint="eastAsia" w:hAnsi="宋体" w:cs="宋体"/>
          <w:color w:val="auto"/>
          <w:sz w:val="24"/>
          <w:szCs w:val="24"/>
          <w:highlight w:val="none"/>
        </w:rPr>
        <w:t>.乙方提供的货物在质量保证期内，因设计、工艺或者材料的缺陷和其它质量原因造成的问题，由乙方负责，费用从余款或者履约保证金中扣除，不足另补。</w:t>
      </w:r>
    </w:p>
    <w:p w14:paraId="6F9FA8A0">
      <w:pPr>
        <w:pStyle w:val="14"/>
        <w:snapToGrid w:val="0"/>
        <w:spacing w:line="44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rPr>
        <w:t>1</w:t>
      </w:r>
      <w:r>
        <w:rPr>
          <w:rFonts w:hAnsi="宋体" w:cs="宋体"/>
          <w:color w:val="auto"/>
          <w:sz w:val="24"/>
          <w:szCs w:val="24"/>
          <w:highlight w:val="none"/>
        </w:rPr>
        <w:t>1</w:t>
      </w:r>
      <w:r>
        <w:rPr>
          <w:rFonts w:hint="eastAsia" w:hAnsi="宋体" w:cs="宋体"/>
          <w:color w:val="auto"/>
          <w:sz w:val="24"/>
          <w:szCs w:val="24"/>
          <w:highlight w:val="none"/>
        </w:rPr>
        <w:t>.甲乙双方有其他违约行为的，由违约方向对方支付违约货款额的5%，违约货款额的5%不足以赔偿经济损失的，须按实际损失作出赔偿。若双方通过诉讼解决合同纠纷，败诉方还应承担胜诉方在诉讼期间支出的相关费用（包括但不限于诉讼费、律师费、诉讼期间差旅费、鉴定费、执行费、保全费、保全保险费等）。</w:t>
      </w:r>
    </w:p>
    <w:p w14:paraId="5B14FF07">
      <w:pPr>
        <w:pStyle w:val="14"/>
        <w:snapToGrid w:val="0"/>
        <w:spacing w:line="440" w:lineRule="exact"/>
        <w:ind w:firstLine="470" w:firstLineChars="196"/>
        <w:rPr>
          <w:rFonts w:hint="eastAsia" w:hAnsi="宋体" w:cs="宋体"/>
          <w:color w:val="auto"/>
          <w:sz w:val="24"/>
          <w:szCs w:val="24"/>
          <w:highlight w:val="none"/>
        </w:rPr>
      </w:pPr>
      <w:r>
        <w:rPr>
          <w:rFonts w:hint="eastAsia" w:hAnsi="宋体" w:cs="宋体"/>
          <w:color w:val="auto"/>
          <w:sz w:val="24"/>
          <w:szCs w:val="24"/>
          <w:highlight w:val="none"/>
        </w:rPr>
        <w:t>1</w:t>
      </w:r>
      <w:r>
        <w:rPr>
          <w:rFonts w:hAnsi="宋体" w:cs="宋体"/>
          <w:color w:val="auto"/>
          <w:sz w:val="24"/>
          <w:szCs w:val="24"/>
          <w:highlight w:val="none"/>
        </w:rPr>
        <w:t>2</w:t>
      </w:r>
      <w:r>
        <w:rPr>
          <w:rFonts w:hint="eastAsia" w:hAnsi="宋体" w:cs="宋体"/>
          <w:color w:val="auto"/>
          <w:sz w:val="24"/>
          <w:szCs w:val="24"/>
          <w:highlight w:val="none"/>
        </w:rPr>
        <w:t>.其他违约责任按《中华人民共和国民法典》处理。</w:t>
      </w:r>
    </w:p>
    <w:p w14:paraId="4F88A7F4">
      <w:pPr>
        <w:pStyle w:val="14"/>
        <w:snapToGrid w:val="0"/>
        <w:spacing w:line="460" w:lineRule="exact"/>
        <w:ind w:firstLine="472" w:firstLineChars="196"/>
        <w:rPr>
          <w:rFonts w:hint="eastAsia" w:hAnsi="宋体" w:cs="宋体"/>
          <w:b/>
          <w:bCs/>
          <w:color w:val="auto"/>
          <w:sz w:val="24"/>
          <w:szCs w:val="24"/>
          <w:highlight w:val="none"/>
        </w:rPr>
      </w:pPr>
      <w:r>
        <w:rPr>
          <w:rFonts w:hint="eastAsia" w:hAnsi="宋体" w:cs="宋体"/>
          <w:b/>
          <w:bCs/>
          <w:color w:val="auto"/>
          <w:sz w:val="24"/>
          <w:szCs w:val="24"/>
          <w:highlight w:val="none"/>
        </w:rPr>
        <w:t>第十二条  不可抗力事件处理</w:t>
      </w:r>
    </w:p>
    <w:p w14:paraId="48A01182">
      <w:pPr>
        <w:pStyle w:val="14"/>
        <w:snapToGrid w:val="0"/>
        <w:spacing w:line="460" w:lineRule="exact"/>
        <w:ind w:firstLine="470" w:firstLineChars="196"/>
        <w:rPr>
          <w:rFonts w:hint="eastAsia" w:hAnsi="宋体" w:cs="宋体"/>
          <w:color w:val="auto"/>
          <w:sz w:val="24"/>
          <w:szCs w:val="24"/>
          <w:highlight w:val="none"/>
        </w:rPr>
      </w:pPr>
      <w:r>
        <w:rPr>
          <w:rFonts w:hint="eastAsia" w:hAnsi="宋体" w:cs="宋体"/>
          <w:color w:val="auto"/>
          <w:sz w:val="24"/>
          <w:szCs w:val="24"/>
          <w:highlight w:val="none"/>
        </w:rPr>
        <w:t>1.在合同有效期内，任何一方因不可抗力事件导致不能履行合同，则合同履行期可延长，其延长期与不可抗力影响期相同。</w:t>
      </w:r>
    </w:p>
    <w:p w14:paraId="3FCC8836">
      <w:pPr>
        <w:pStyle w:val="14"/>
        <w:snapToGrid w:val="0"/>
        <w:spacing w:line="46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rPr>
        <w:t>2.不可抗力事件发生后，应立即通知对方，并寄送有关权威机构出具的证明。</w:t>
      </w:r>
    </w:p>
    <w:p w14:paraId="24924D3F">
      <w:pPr>
        <w:snapToGrid w:val="0"/>
        <w:spacing w:line="46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3.不可抗力事件延续</w:t>
      </w:r>
      <w:r>
        <w:rPr>
          <w:rFonts w:ascii="宋体" w:hAnsi="宋体" w:cs="宋体"/>
          <w:color w:val="auto"/>
          <w:sz w:val="24"/>
          <w:highlight w:val="none"/>
        </w:rPr>
        <w:t>60</w:t>
      </w:r>
      <w:r>
        <w:rPr>
          <w:rFonts w:hint="eastAsia" w:ascii="宋体" w:hAnsi="宋体" w:cs="宋体"/>
          <w:color w:val="auto"/>
          <w:sz w:val="24"/>
          <w:highlight w:val="none"/>
        </w:rPr>
        <w:t>天以上，双方应通过友好协商，确定是否继续履行合同。</w:t>
      </w:r>
    </w:p>
    <w:p w14:paraId="1BAA2442">
      <w:pPr>
        <w:snapToGrid w:val="0"/>
        <w:spacing w:line="460" w:lineRule="exact"/>
        <w:ind w:firstLine="482" w:firstLineChars="200"/>
        <w:rPr>
          <w:rFonts w:hint="eastAsia" w:ascii="宋体" w:hAnsi="宋体" w:cs="宋体"/>
          <w:color w:val="auto"/>
          <w:sz w:val="24"/>
          <w:highlight w:val="none"/>
        </w:rPr>
      </w:pPr>
      <w:r>
        <w:rPr>
          <w:rFonts w:hint="eastAsia" w:ascii="宋体" w:hAnsi="宋体" w:cs="宋体"/>
          <w:b/>
          <w:color w:val="auto"/>
          <w:sz w:val="24"/>
          <w:highlight w:val="none"/>
        </w:rPr>
        <w:t>第十三条  合同争议解决</w:t>
      </w:r>
    </w:p>
    <w:p w14:paraId="693DBE8F">
      <w:pPr>
        <w:snapToGrid w:val="0"/>
        <w:spacing w:line="46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1.因货物质量问题发生争议的，应邀请国家认可的质量检测机构对货物质量进行鉴定。货物符合标准的，鉴定费由甲方承担；货物不符合标准的，鉴定费由乙方承担。</w:t>
      </w:r>
    </w:p>
    <w:p w14:paraId="00C451D7">
      <w:pPr>
        <w:snapToGrid w:val="0"/>
        <w:spacing w:line="46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2.因履行本合同引起的或者与本合同有关的争议，甲乙双方应首先通过友好协商解决，如果协商不能解决，任何一方可向甲方所在地有管辖权的人民法院提起诉讼。</w:t>
      </w:r>
    </w:p>
    <w:p w14:paraId="06844913">
      <w:pPr>
        <w:snapToGrid w:val="0"/>
        <w:spacing w:line="460" w:lineRule="exact"/>
        <w:ind w:firstLine="514"/>
        <w:rPr>
          <w:rFonts w:hint="eastAsia" w:ascii="宋体" w:hAnsi="宋体" w:cs="宋体"/>
          <w:color w:val="auto"/>
          <w:sz w:val="24"/>
          <w:highlight w:val="none"/>
        </w:rPr>
      </w:pPr>
      <w:r>
        <w:rPr>
          <w:rFonts w:hint="eastAsia" w:ascii="宋体" w:hAnsi="宋体" w:cs="宋体"/>
          <w:color w:val="auto"/>
          <w:sz w:val="24"/>
          <w:highlight w:val="none"/>
        </w:rPr>
        <w:t>3.诉讼期间，本合同无争议部分须继续履行。</w:t>
      </w:r>
    </w:p>
    <w:p w14:paraId="1BF41893">
      <w:pPr>
        <w:pStyle w:val="14"/>
        <w:snapToGrid w:val="0"/>
        <w:spacing w:line="460" w:lineRule="exact"/>
        <w:ind w:firstLine="472" w:firstLineChars="196"/>
        <w:rPr>
          <w:rFonts w:hint="eastAsia" w:hAnsi="宋体" w:cs="宋体"/>
          <w:b/>
          <w:color w:val="auto"/>
          <w:sz w:val="24"/>
          <w:szCs w:val="24"/>
          <w:highlight w:val="none"/>
        </w:rPr>
      </w:pPr>
      <w:r>
        <w:rPr>
          <w:rFonts w:hint="eastAsia" w:hAnsi="宋体" w:cs="宋体"/>
          <w:b/>
          <w:color w:val="auto"/>
          <w:sz w:val="24"/>
          <w:szCs w:val="24"/>
          <w:highlight w:val="none"/>
        </w:rPr>
        <w:t>第十四条  合同生效及其他</w:t>
      </w:r>
    </w:p>
    <w:p w14:paraId="7E5F86FD">
      <w:pPr>
        <w:pStyle w:val="14"/>
        <w:snapToGrid w:val="0"/>
        <w:spacing w:line="460" w:lineRule="exact"/>
        <w:ind w:firstLine="480" w:firstLineChars="200"/>
        <w:rPr>
          <w:rFonts w:hint="eastAsia" w:hAnsi="宋体" w:cs="宋体"/>
          <w:color w:val="auto"/>
          <w:kern w:val="2"/>
          <w:sz w:val="24"/>
          <w:szCs w:val="24"/>
          <w:highlight w:val="none"/>
        </w:rPr>
      </w:pPr>
      <w:r>
        <w:rPr>
          <w:rFonts w:hint="eastAsia" w:hAnsi="宋体" w:cs="宋体"/>
          <w:color w:val="auto"/>
          <w:kern w:val="2"/>
          <w:sz w:val="24"/>
          <w:szCs w:val="24"/>
          <w:highlight w:val="none"/>
        </w:rPr>
        <w:t>1.合同自双方法定代表人或者委托代理人签字并加盖单位公章或合同专用章之日起生效（委托代理人签字的须后附授权委托书，格式自拟）。</w:t>
      </w:r>
    </w:p>
    <w:p w14:paraId="31CA92AE">
      <w:pPr>
        <w:pStyle w:val="14"/>
        <w:snapToGrid w:val="0"/>
        <w:spacing w:line="460" w:lineRule="exact"/>
        <w:ind w:firstLine="480" w:firstLineChars="200"/>
        <w:rPr>
          <w:rFonts w:hint="eastAsia" w:hAnsi="宋体" w:cs="宋体"/>
          <w:color w:val="auto"/>
          <w:kern w:val="2"/>
          <w:sz w:val="24"/>
          <w:szCs w:val="24"/>
          <w:highlight w:val="none"/>
        </w:rPr>
      </w:pPr>
      <w:r>
        <w:rPr>
          <w:rFonts w:hint="eastAsia" w:hAnsi="宋体" w:cs="宋体"/>
          <w:color w:val="auto"/>
          <w:kern w:val="2"/>
          <w:sz w:val="24"/>
          <w:szCs w:val="24"/>
          <w:highlight w:val="none"/>
        </w:rPr>
        <w:t>2.本合同未尽事宜，遵照《中华人民共和国民法典》有关条文执行。</w:t>
      </w:r>
    </w:p>
    <w:p w14:paraId="35ECBAFB">
      <w:pPr>
        <w:snapToGrid w:val="0"/>
        <w:spacing w:line="460" w:lineRule="exact"/>
        <w:ind w:firstLine="480" w:firstLineChars="200"/>
        <w:rPr>
          <w:rFonts w:hint="eastAsia" w:ascii="宋体" w:hAnsi="宋体" w:cs="宋体"/>
          <w:color w:val="auto"/>
          <w:kern w:val="0"/>
          <w:sz w:val="24"/>
          <w:highlight w:val="none"/>
          <w:lang w:val="zh-CN"/>
        </w:rPr>
      </w:pPr>
      <w:r>
        <w:rPr>
          <w:rFonts w:hint="eastAsia" w:hAnsi="宋体" w:cs="宋体"/>
          <w:color w:val="auto"/>
          <w:sz w:val="24"/>
          <w:highlight w:val="none"/>
        </w:rPr>
        <w:t>3</w:t>
      </w:r>
      <w:r>
        <w:rPr>
          <w:rFonts w:hAnsi="宋体" w:cs="宋体"/>
          <w:color w:val="auto"/>
          <w:sz w:val="24"/>
          <w:highlight w:val="none"/>
        </w:rPr>
        <w:t>.</w:t>
      </w:r>
      <w:r>
        <w:rPr>
          <w:rFonts w:hint="eastAsia" w:hAnsi="宋体" w:cs="宋体"/>
          <w:color w:val="auto"/>
          <w:sz w:val="24"/>
          <w:highlight w:val="none"/>
        </w:rPr>
        <w:t>双方确认本合同落款通讯地址作为文书送达地址，该通讯地址适用于包括双方合同履行过程中的各类通知、补充协议、整改函等文件，以及因履行合同发生争议进入民事诉讼程序后的一审、二审、再审和执行程序等阶段法律文书的送达。通讯地址需要变更时应当提前15个工作日书面通知对方。</w:t>
      </w:r>
      <w:r>
        <w:rPr>
          <w:rFonts w:hint="eastAsia" w:ascii="宋体" w:hAnsi="宋体" w:cs="宋体"/>
          <w:color w:val="auto"/>
          <w:sz w:val="24"/>
          <w:highlight w:val="none"/>
        </w:rPr>
        <w:t>因提供或者确认的通讯地址不准确、通讯地址变更后未及时依程序告知对方，或</w:t>
      </w:r>
      <w:r>
        <w:rPr>
          <w:rFonts w:hint="eastAsia" w:hAnsi="宋体" w:cs="宋体"/>
          <w:color w:val="auto"/>
          <w:sz w:val="24"/>
          <w:highlight w:val="none"/>
        </w:rPr>
        <w:t>按合同落款通讯地址寄送，</w:t>
      </w:r>
      <w:r>
        <w:rPr>
          <w:rFonts w:hint="eastAsia" w:ascii="宋体" w:hAnsi="宋体" w:cs="宋体"/>
          <w:color w:val="auto"/>
          <w:sz w:val="24"/>
          <w:highlight w:val="none"/>
        </w:rPr>
        <w:t>受送达方拒绝签收或拒绝接听快递员投递电话等原因，导致文书未能被实际接收的，邮寄文书被退回之日视为送达之日。</w:t>
      </w:r>
    </w:p>
    <w:p w14:paraId="53E9B760">
      <w:pPr>
        <w:pStyle w:val="14"/>
        <w:snapToGrid w:val="0"/>
        <w:spacing w:line="460" w:lineRule="exact"/>
        <w:ind w:firstLine="482" w:firstLineChars="200"/>
        <w:rPr>
          <w:rFonts w:hint="eastAsia" w:hAnsi="宋体" w:cs="宋体"/>
          <w:b/>
          <w:color w:val="auto"/>
          <w:sz w:val="24"/>
          <w:highlight w:val="none"/>
        </w:rPr>
      </w:pPr>
      <w:r>
        <w:rPr>
          <w:rFonts w:hint="eastAsia" w:hAnsi="宋体" w:cs="宋体"/>
          <w:b/>
          <w:color w:val="auto"/>
          <w:sz w:val="24"/>
          <w:highlight w:val="none"/>
        </w:rPr>
        <w:t>第十五条　合同的变更、终止与转让</w:t>
      </w:r>
    </w:p>
    <w:p w14:paraId="482CC44D">
      <w:pPr>
        <w:snapToGrid w:val="0"/>
        <w:spacing w:line="46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1.除《中华人民共和国政府采购法》第五十条规定的情形外，本合同一经签订，甲乙双方不得擅自变更、中止或者终止。</w:t>
      </w:r>
    </w:p>
    <w:p w14:paraId="7873A36C">
      <w:pPr>
        <w:snapToGrid w:val="0"/>
        <w:spacing w:line="460" w:lineRule="exact"/>
        <w:ind w:firstLine="514"/>
        <w:rPr>
          <w:rFonts w:hint="eastAsia" w:ascii="宋体" w:hAnsi="宋体" w:cs="宋体"/>
          <w:color w:val="auto"/>
          <w:sz w:val="24"/>
          <w:highlight w:val="none"/>
        </w:rPr>
      </w:pPr>
      <w:r>
        <w:rPr>
          <w:rFonts w:hint="eastAsia" w:ascii="宋体" w:hAnsi="宋体" w:cs="宋体"/>
          <w:color w:val="auto"/>
          <w:sz w:val="24"/>
          <w:highlight w:val="none"/>
        </w:rPr>
        <w:t>2.乙方不得擅自转让其应履行的合同义务。</w:t>
      </w:r>
    </w:p>
    <w:p w14:paraId="07516431">
      <w:pPr>
        <w:pStyle w:val="14"/>
        <w:snapToGrid w:val="0"/>
        <w:spacing w:line="460" w:lineRule="exact"/>
        <w:ind w:firstLine="472" w:firstLineChars="196"/>
        <w:rPr>
          <w:rFonts w:hint="eastAsia" w:hAnsi="宋体" w:cs="宋体"/>
          <w:color w:val="auto"/>
          <w:sz w:val="24"/>
          <w:szCs w:val="24"/>
          <w:highlight w:val="none"/>
        </w:rPr>
      </w:pPr>
      <w:r>
        <w:rPr>
          <w:rFonts w:hint="eastAsia" w:hAnsi="宋体" w:cs="宋体"/>
          <w:b/>
          <w:color w:val="auto"/>
          <w:sz w:val="24"/>
          <w:szCs w:val="24"/>
          <w:highlight w:val="none"/>
        </w:rPr>
        <w:t>第十六条　</w:t>
      </w:r>
      <w:r>
        <w:rPr>
          <w:rFonts w:hint="eastAsia" w:hAnsi="宋体" w:cs="宋体"/>
          <w:color w:val="auto"/>
          <w:spacing w:val="-2"/>
          <w:sz w:val="24"/>
          <w:szCs w:val="24"/>
          <w:highlight w:val="none"/>
        </w:rPr>
        <w:t>本</w:t>
      </w:r>
      <w:r>
        <w:rPr>
          <w:rFonts w:hint="eastAsia" w:hAnsi="宋体" w:cs="宋体"/>
          <w:color w:val="auto"/>
          <w:sz w:val="24"/>
          <w:szCs w:val="24"/>
          <w:highlight w:val="none"/>
        </w:rPr>
        <w:t>合同书</w:t>
      </w:r>
      <w:r>
        <w:rPr>
          <w:rFonts w:hint="eastAsia" w:hAnsi="宋体" w:cs="宋体"/>
          <w:color w:val="auto"/>
          <w:spacing w:val="-2"/>
          <w:sz w:val="24"/>
          <w:szCs w:val="24"/>
          <w:highlight w:val="none"/>
        </w:rPr>
        <w:t>与</w:t>
      </w:r>
      <w:r>
        <w:rPr>
          <w:rFonts w:hint="eastAsia" w:hAnsi="宋体" w:cs="宋体"/>
          <w:color w:val="auto"/>
          <w:sz w:val="24"/>
          <w:szCs w:val="24"/>
          <w:highlight w:val="none"/>
        </w:rPr>
        <w:t>下</w:t>
      </w:r>
      <w:r>
        <w:rPr>
          <w:rFonts w:hint="eastAsia" w:hAnsi="宋体" w:cs="宋体"/>
          <w:color w:val="auto"/>
          <w:spacing w:val="-2"/>
          <w:sz w:val="24"/>
          <w:szCs w:val="24"/>
          <w:highlight w:val="none"/>
        </w:rPr>
        <w:t>列</w:t>
      </w:r>
      <w:r>
        <w:rPr>
          <w:rFonts w:hint="eastAsia" w:hAnsi="宋体" w:cs="宋体"/>
          <w:color w:val="auto"/>
          <w:sz w:val="24"/>
          <w:szCs w:val="24"/>
          <w:highlight w:val="none"/>
        </w:rPr>
        <w:t>文</w:t>
      </w:r>
      <w:r>
        <w:rPr>
          <w:rFonts w:hint="eastAsia" w:hAnsi="宋体" w:cs="宋体"/>
          <w:color w:val="auto"/>
          <w:spacing w:val="-2"/>
          <w:sz w:val="24"/>
          <w:szCs w:val="24"/>
          <w:highlight w:val="none"/>
        </w:rPr>
        <w:t>件一</w:t>
      </w:r>
      <w:r>
        <w:rPr>
          <w:rFonts w:hint="eastAsia" w:hAnsi="宋体" w:cs="宋体"/>
          <w:color w:val="auto"/>
          <w:sz w:val="24"/>
          <w:szCs w:val="24"/>
          <w:highlight w:val="none"/>
        </w:rPr>
        <w:t>起构</w:t>
      </w:r>
      <w:r>
        <w:rPr>
          <w:rFonts w:hint="eastAsia" w:hAnsi="宋体" w:cs="宋体"/>
          <w:color w:val="auto"/>
          <w:spacing w:val="-2"/>
          <w:sz w:val="24"/>
          <w:szCs w:val="24"/>
          <w:highlight w:val="none"/>
        </w:rPr>
        <w:t>成</w:t>
      </w:r>
      <w:r>
        <w:rPr>
          <w:rFonts w:hint="eastAsia" w:hAnsi="宋体" w:cs="宋体"/>
          <w:color w:val="auto"/>
          <w:sz w:val="24"/>
          <w:szCs w:val="24"/>
          <w:highlight w:val="none"/>
        </w:rPr>
        <w:t>合</w:t>
      </w:r>
      <w:r>
        <w:rPr>
          <w:rFonts w:hint="eastAsia" w:hAnsi="宋体" w:cs="宋体"/>
          <w:color w:val="auto"/>
          <w:spacing w:val="-2"/>
          <w:sz w:val="24"/>
          <w:szCs w:val="24"/>
          <w:highlight w:val="none"/>
        </w:rPr>
        <w:t>同</w:t>
      </w:r>
      <w:r>
        <w:rPr>
          <w:rFonts w:hint="eastAsia" w:hAnsi="宋体" w:cs="宋体"/>
          <w:color w:val="auto"/>
          <w:sz w:val="24"/>
          <w:szCs w:val="24"/>
          <w:highlight w:val="none"/>
        </w:rPr>
        <w:t>文</w:t>
      </w:r>
      <w:r>
        <w:rPr>
          <w:rFonts w:hint="eastAsia" w:hAnsi="宋体" w:cs="宋体"/>
          <w:color w:val="auto"/>
          <w:spacing w:val="-2"/>
          <w:sz w:val="24"/>
          <w:szCs w:val="24"/>
          <w:highlight w:val="none"/>
        </w:rPr>
        <w:t>件</w:t>
      </w:r>
    </w:p>
    <w:p w14:paraId="587D6C50">
      <w:pPr>
        <w:pStyle w:val="14"/>
        <w:snapToGrid w:val="0"/>
        <w:spacing w:line="460" w:lineRule="exact"/>
        <w:ind w:firstLine="470" w:firstLineChars="196"/>
        <w:rPr>
          <w:rFonts w:hint="eastAsia" w:hAnsi="宋体" w:cs="宋体"/>
          <w:color w:val="auto"/>
          <w:sz w:val="24"/>
          <w:szCs w:val="24"/>
          <w:highlight w:val="none"/>
        </w:rPr>
      </w:pPr>
      <w:r>
        <w:rPr>
          <w:rFonts w:hint="eastAsia" w:hAnsi="宋体" w:cs="宋体"/>
          <w:color w:val="auto"/>
          <w:sz w:val="24"/>
          <w:szCs w:val="24"/>
          <w:highlight w:val="none"/>
        </w:rPr>
        <w:t>1.成交通知书</w:t>
      </w:r>
    </w:p>
    <w:p w14:paraId="5EB121F6">
      <w:pPr>
        <w:pStyle w:val="14"/>
        <w:snapToGrid w:val="0"/>
        <w:spacing w:line="460" w:lineRule="exact"/>
        <w:ind w:firstLine="470" w:firstLineChars="196"/>
        <w:rPr>
          <w:rFonts w:hint="eastAsia" w:hAnsi="宋体" w:cs="宋体"/>
          <w:color w:val="auto"/>
          <w:sz w:val="24"/>
          <w:szCs w:val="24"/>
          <w:highlight w:val="none"/>
        </w:rPr>
      </w:pPr>
      <w:r>
        <w:rPr>
          <w:rFonts w:hint="eastAsia" w:hAnsi="宋体" w:cs="宋体"/>
          <w:color w:val="auto"/>
          <w:sz w:val="24"/>
          <w:szCs w:val="24"/>
          <w:highlight w:val="none"/>
        </w:rPr>
        <w:t>2.采购需求</w:t>
      </w:r>
    </w:p>
    <w:p w14:paraId="4C70BF98">
      <w:pPr>
        <w:pStyle w:val="14"/>
        <w:snapToGrid w:val="0"/>
        <w:spacing w:line="460" w:lineRule="exact"/>
        <w:ind w:firstLine="470" w:firstLineChars="196"/>
        <w:rPr>
          <w:rFonts w:hint="eastAsia" w:hAnsi="宋体" w:cs="宋体"/>
          <w:color w:val="auto"/>
          <w:sz w:val="24"/>
          <w:szCs w:val="24"/>
          <w:highlight w:val="none"/>
        </w:rPr>
      </w:pPr>
      <w:r>
        <w:rPr>
          <w:rFonts w:hint="eastAsia" w:hAnsi="宋体" w:cs="宋体"/>
          <w:color w:val="auto"/>
          <w:sz w:val="24"/>
          <w:szCs w:val="24"/>
          <w:highlight w:val="none"/>
        </w:rPr>
        <w:t>3.</w:t>
      </w:r>
      <w:r>
        <w:rPr>
          <w:rFonts w:hint="eastAsia" w:hAnsi="宋体" w:cs="宋体"/>
          <w:color w:val="auto"/>
          <w:sz w:val="24"/>
          <w:highlight w:val="none"/>
        </w:rPr>
        <w:t>参与竞争性谈判</w:t>
      </w:r>
      <w:r>
        <w:rPr>
          <w:rFonts w:hint="eastAsia" w:hAnsi="宋体" w:cs="宋体"/>
          <w:color w:val="auto"/>
          <w:sz w:val="24"/>
          <w:szCs w:val="24"/>
          <w:highlight w:val="none"/>
        </w:rPr>
        <w:t>声明函</w:t>
      </w:r>
    </w:p>
    <w:p w14:paraId="1C731345">
      <w:pPr>
        <w:pStyle w:val="14"/>
        <w:snapToGrid w:val="0"/>
        <w:spacing w:line="460" w:lineRule="exact"/>
        <w:ind w:firstLine="470" w:firstLineChars="196"/>
        <w:rPr>
          <w:rFonts w:hint="eastAsia" w:hAnsi="宋体" w:cs="宋体"/>
          <w:color w:val="auto"/>
          <w:sz w:val="24"/>
          <w:szCs w:val="24"/>
          <w:highlight w:val="none"/>
        </w:rPr>
      </w:pPr>
      <w:r>
        <w:rPr>
          <w:rFonts w:hint="eastAsia" w:hAnsi="宋体" w:cs="宋体"/>
          <w:color w:val="auto"/>
          <w:sz w:val="24"/>
          <w:szCs w:val="24"/>
          <w:highlight w:val="none"/>
        </w:rPr>
        <w:t>4.</w:t>
      </w:r>
      <w:r>
        <w:rPr>
          <w:rFonts w:hint="eastAsia" w:hAnsi="宋体" w:cs="宋体"/>
          <w:color w:val="auto"/>
          <w:sz w:val="24"/>
          <w:highlight w:val="none"/>
        </w:rPr>
        <w:t>竞争性谈判</w:t>
      </w:r>
      <w:r>
        <w:rPr>
          <w:rFonts w:hint="eastAsia" w:hAnsi="宋体" w:cs="宋体"/>
          <w:color w:val="auto"/>
          <w:sz w:val="24"/>
          <w:szCs w:val="24"/>
          <w:highlight w:val="none"/>
        </w:rPr>
        <w:t>报价表及货物配置清单</w:t>
      </w:r>
    </w:p>
    <w:p w14:paraId="05B70ADF">
      <w:pPr>
        <w:pStyle w:val="14"/>
        <w:snapToGrid w:val="0"/>
        <w:spacing w:line="460" w:lineRule="exact"/>
        <w:ind w:firstLine="470" w:firstLineChars="196"/>
        <w:rPr>
          <w:rFonts w:hint="eastAsia" w:hAnsi="宋体" w:cs="宋体"/>
          <w:color w:val="auto"/>
          <w:sz w:val="24"/>
          <w:szCs w:val="24"/>
          <w:highlight w:val="none"/>
        </w:rPr>
      </w:pPr>
      <w:r>
        <w:rPr>
          <w:rFonts w:hint="eastAsia" w:hAnsi="宋体" w:cs="宋体"/>
          <w:color w:val="auto"/>
          <w:sz w:val="24"/>
          <w:szCs w:val="24"/>
          <w:highlight w:val="none"/>
        </w:rPr>
        <w:t>5.商务要求偏离表和技术要求偏离表</w:t>
      </w:r>
    </w:p>
    <w:p w14:paraId="5A28C774">
      <w:pPr>
        <w:pStyle w:val="14"/>
        <w:snapToGrid w:val="0"/>
        <w:spacing w:line="460" w:lineRule="exact"/>
        <w:ind w:firstLine="470" w:firstLineChars="196"/>
        <w:rPr>
          <w:rFonts w:hint="eastAsia" w:hAnsi="宋体" w:cs="宋体"/>
          <w:color w:val="auto"/>
          <w:sz w:val="24"/>
          <w:szCs w:val="24"/>
          <w:highlight w:val="none"/>
        </w:rPr>
      </w:pPr>
      <w:r>
        <w:rPr>
          <w:rFonts w:hint="eastAsia" w:hAnsi="宋体" w:cs="宋体"/>
          <w:color w:val="auto"/>
          <w:sz w:val="24"/>
          <w:szCs w:val="24"/>
          <w:highlight w:val="none"/>
        </w:rPr>
        <w:t>6.售后服务承诺</w:t>
      </w:r>
    </w:p>
    <w:p w14:paraId="6978A10D">
      <w:pPr>
        <w:pStyle w:val="14"/>
        <w:snapToGrid w:val="0"/>
        <w:spacing w:line="460" w:lineRule="exact"/>
        <w:ind w:firstLine="470" w:firstLineChars="196"/>
        <w:rPr>
          <w:rFonts w:hint="eastAsia" w:hAnsi="宋体" w:cs="宋体"/>
          <w:color w:val="auto"/>
          <w:sz w:val="24"/>
          <w:szCs w:val="24"/>
          <w:highlight w:val="none"/>
        </w:rPr>
      </w:pPr>
      <w:r>
        <w:rPr>
          <w:rFonts w:hint="eastAsia" w:hAnsi="宋体" w:cs="宋体"/>
          <w:color w:val="auto"/>
          <w:sz w:val="24"/>
          <w:szCs w:val="24"/>
          <w:highlight w:val="none"/>
        </w:rPr>
        <w:t>7.其他合同文件</w:t>
      </w:r>
    </w:p>
    <w:p w14:paraId="53C76FD9">
      <w:pPr>
        <w:pStyle w:val="14"/>
        <w:snapToGrid w:val="0"/>
        <w:spacing w:line="460" w:lineRule="exact"/>
        <w:ind w:firstLine="470" w:firstLineChars="196"/>
        <w:rPr>
          <w:rFonts w:hint="eastAsia" w:hAnsi="宋体" w:cs="宋体"/>
          <w:color w:val="auto"/>
          <w:sz w:val="24"/>
          <w:szCs w:val="24"/>
          <w:highlight w:val="none"/>
        </w:rPr>
      </w:pPr>
      <w:r>
        <w:rPr>
          <w:rFonts w:hint="eastAsia" w:hAnsi="宋体" w:cs="宋体"/>
          <w:color w:val="auto"/>
          <w:sz w:val="24"/>
          <w:szCs w:val="24"/>
          <w:highlight w:val="none"/>
        </w:rPr>
        <w:t>上述合同文件互相补充和解释。如果合同文件之间存在矛盾或者不一致之处，以上述文件的排列顺序在先者为准。</w:t>
      </w:r>
    </w:p>
    <w:p w14:paraId="251AC8E7">
      <w:pPr>
        <w:pStyle w:val="14"/>
        <w:snapToGrid w:val="0"/>
        <w:spacing w:line="460" w:lineRule="exact"/>
        <w:ind w:firstLine="472" w:firstLineChars="196"/>
        <w:rPr>
          <w:rFonts w:hint="eastAsia" w:hAnsi="宋体" w:cs="宋体"/>
          <w:color w:val="auto"/>
          <w:sz w:val="24"/>
          <w:highlight w:val="none"/>
        </w:rPr>
      </w:pPr>
      <w:r>
        <w:rPr>
          <w:rFonts w:hint="eastAsia" w:hAnsi="宋体" w:cs="宋体"/>
          <w:b/>
          <w:color w:val="auto"/>
          <w:sz w:val="24"/>
          <w:highlight w:val="none"/>
        </w:rPr>
        <w:t>第十七条　</w:t>
      </w:r>
      <w:r>
        <w:rPr>
          <w:rFonts w:hint="eastAsia" w:hAnsi="宋体" w:cs="宋体"/>
          <w:color w:val="auto"/>
          <w:sz w:val="24"/>
          <w:szCs w:val="24"/>
          <w:highlight w:val="none"/>
        </w:rPr>
        <w:t>本合同一式柒份，具有同等法律效力，甲方伍份，乙方壹份，采购代理机构壹份。</w:t>
      </w:r>
    </w:p>
    <w:p w14:paraId="55AAB222">
      <w:pPr>
        <w:pStyle w:val="14"/>
        <w:snapToGrid w:val="0"/>
        <w:spacing w:line="460" w:lineRule="exact"/>
        <w:ind w:firstLine="470" w:firstLineChars="196"/>
        <w:rPr>
          <w:rFonts w:hint="eastAsia" w:hAnsi="宋体" w:cs="宋体"/>
          <w:color w:val="auto"/>
          <w:sz w:val="24"/>
          <w:szCs w:val="24"/>
          <w:highlight w:val="none"/>
        </w:rPr>
      </w:pPr>
      <w:r>
        <w:rPr>
          <w:rFonts w:hint="eastAsia" w:hAnsi="宋体" w:cs="宋体"/>
          <w:color w:val="auto"/>
          <w:sz w:val="24"/>
          <w:szCs w:val="24"/>
          <w:highlight w:val="none"/>
        </w:rPr>
        <w:t>（以下无正文）</w:t>
      </w:r>
    </w:p>
    <w:p w14:paraId="69AE32D1">
      <w:pPr>
        <w:pStyle w:val="14"/>
        <w:snapToGrid w:val="0"/>
        <w:spacing w:line="460" w:lineRule="exact"/>
        <w:ind w:firstLine="470" w:firstLineChars="196"/>
        <w:rPr>
          <w:rFonts w:hint="eastAsia" w:hAnsi="宋体" w:cs="宋体"/>
          <w:color w:val="auto"/>
          <w:sz w:val="24"/>
          <w:highlight w:val="none"/>
        </w:rPr>
      </w:pPr>
    </w:p>
    <w:bookmarkEnd w:id="58"/>
    <w:tbl>
      <w:tblPr>
        <w:tblStyle w:val="26"/>
        <w:tblW w:w="87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59"/>
        <w:gridCol w:w="4360"/>
      </w:tblGrid>
      <w:tr w14:paraId="2F793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71" w:hRule="atLeast"/>
          <w:jc w:val="center"/>
        </w:trPr>
        <w:tc>
          <w:tcPr>
            <w:tcW w:w="4359" w:type="dxa"/>
            <w:vAlign w:val="center"/>
          </w:tcPr>
          <w:p w14:paraId="5AE05C82">
            <w:pPr>
              <w:snapToGrid w:val="0"/>
              <w:spacing w:line="460" w:lineRule="exact"/>
              <w:rPr>
                <w:rFonts w:hint="eastAsia" w:ascii="宋体" w:hAnsi="宋体" w:cs="宋体"/>
                <w:color w:val="auto"/>
                <w:sz w:val="24"/>
                <w:highlight w:val="none"/>
              </w:rPr>
            </w:pPr>
            <w:r>
              <w:rPr>
                <w:rFonts w:hint="eastAsia" w:ascii="宋体" w:hAnsi="宋体" w:cs="宋体"/>
                <w:color w:val="auto"/>
                <w:sz w:val="24"/>
                <w:highlight w:val="none"/>
              </w:rPr>
              <w:t xml:space="preserve">甲方（章）           </w:t>
            </w:r>
          </w:p>
          <w:p w14:paraId="6C49C63C">
            <w:pPr>
              <w:snapToGrid w:val="0"/>
              <w:spacing w:line="460" w:lineRule="exact"/>
              <w:jc w:val="center"/>
              <w:rPr>
                <w:rFonts w:hint="eastAsia" w:ascii="宋体" w:hAnsi="宋体" w:cs="宋体"/>
                <w:color w:val="auto"/>
                <w:sz w:val="24"/>
                <w:highlight w:val="none"/>
              </w:rPr>
            </w:pPr>
            <w:r>
              <w:rPr>
                <w:rFonts w:hint="eastAsia" w:ascii="宋体" w:hAnsi="宋体" w:cs="宋体"/>
                <w:color w:val="auto"/>
                <w:sz w:val="24"/>
                <w:highlight w:val="none"/>
              </w:rPr>
              <w:t>广西大学</w:t>
            </w:r>
          </w:p>
          <w:p w14:paraId="6546D1EC">
            <w:pPr>
              <w:snapToGrid w:val="0"/>
              <w:spacing w:line="460" w:lineRule="exact"/>
              <w:ind w:firstLine="1080" w:firstLineChars="450"/>
              <w:jc w:val="right"/>
              <w:rPr>
                <w:rFonts w:hint="eastAsia" w:ascii="宋体" w:hAnsi="宋体" w:cs="宋体"/>
                <w:color w:val="auto"/>
                <w:sz w:val="24"/>
                <w:highlight w:val="none"/>
              </w:rPr>
            </w:pPr>
            <w:r>
              <w:rPr>
                <w:rFonts w:hint="eastAsia" w:ascii="宋体" w:hAnsi="宋体" w:cs="宋体"/>
                <w:color w:val="auto"/>
                <w:sz w:val="24"/>
                <w:highlight w:val="none"/>
              </w:rPr>
              <w:t>年   月   日</w:t>
            </w:r>
          </w:p>
        </w:tc>
        <w:tc>
          <w:tcPr>
            <w:tcW w:w="4360" w:type="dxa"/>
            <w:vAlign w:val="center"/>
          </w:tcPr>
          <w:p w14:paraId="68F03AC0">
            <w:pPr>
              <w:snapToGrid w:val="0"/>
              <w:spacing w:line="460" w:lineRule="exact"/>
              <w:rPr>
                <w:rFonts w:hint="eastAsia" w:ascii="宋体" w:hAnsi="宋体" w:cs="宋体"/>
                <w:color w:val="auto"/>
                <w:sz w:val="24"/>
                <w:highlight w:val="none"/>
              </w:rPr>
            </w:pPr>
            <w:r>
              <w:rPr>
                <w:rFonts w:hint="eastAsia" w:ascii="宋体" w:hAnsi="宋体" w:cs="宋体"/>
                <w:color w:val="auto"/>
                <w:sz w:val="24"/>
                <w:highlight w:val="none"/>
              </w:rPr>
              <w:t xml:space="preserve">乙方（章）              </w:t>
            </w:r>
          </w:p>
          <w:p w14:paraId="630AC6CB">
            <w:pPr>
              <w:snapToGrid w:val="0"/>
              <w:spacing w:line="460" w:lineRule="exact"/>
              <w:jc w:val="right"/>
              <w:rPr>
                <w:rFonts w:hint="eastAsia" w:ascii="宋体" w:hAnsi="宋体" w:cs="宋体"/>
                <w:color w:val="auto"/>
                <w:sz w:val="24"/>
                <w:highlight w:val="none"/>
              </w:rPr>
            </w:pPr>
            <w:r>
              <w:rPr>
                <w:rFonts w:hint="eastAsia" w:ascii="宋体" w:hAnsi="宋体" w:cs="宋体"/>
                <w:color w:val="auto"/>
                <w:sz w:val="24"/>
                <w:highlight w:val="none"/>
              </w:rPr>
              <w:t xml:space="preserve"> 年   月   日</w:t>
            </w:r>
          </w:p>
        </w:tc>
      </w:tr>
      <w:tr w14:paraId="43B12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5" w:hRule="atLeast"/>
          <w:jc w:val="center"/>
        </w:trPr>
        <w:tc>
          <w:tcPr>
            <w:tcW w:w="4359" w:type="dxa"/>
            <w:vAlign w:val="center"/>
          </w:tcPr>
          <w:p w14:paraId="58D6867D">
            <w:pPr>
              <w:snapToGrid w:val="0"/>
              <w:spacing w:line="460" w:lineRule="exact"/>
              <w:rPr>
                <w:rFonts w:hint="eastAsia" w:ascii="宋体" w:hAnsi="宋体" w:cs="宋体"/>
                <w:color w:val="auto"/>
                <w:sz w:val="24"/>
                <w:highlight w:val="none"/>
              </w:rPr>
            </w:pPr>
            <w:r>
              <w:rPr>
                <w:rFonts w:hint="eastAsia" w:ascii="宋体" w:hAnsi="宋体" w:cs="宋体"/>
                <w:color w:val="auto"/>
                <w:sz w:val="24"/>
                <w:highlight w:val="none"/>
              </w:rPr>
              <w:t>单位地址：广西壮族自治区南宁市大学东路100号</w:t>
            </w:r>
          </w:p>
        </w:tc>
        <w:tc>
          <w:tcPr>
            <w:tcW w:w="4360" w:type="dxa"/>
            <w:vAlign w:val="center"/>
          </w:tcPr>
          <w:p w14:paraId="38F254EF">
            <w:pPr>
              <w:pStyle w:val="22"/>
              <w:widowControl/>
              <w:spacing w:line="460" w:lineRule="exact"/>
              <w:rPr>
                <w:rFonts w:hint="eastAsia" w:ascii="宋体" w:hAnsi="宋体" w:cs="宋体"/>
                <w:color w:val="auto"/>
                <w:highlight w:val="none"/>
              </w:rPr>
            </w:pPr>
            <w:r>
              <w:rPr>
                <w:rFonts w:hint="eastAsia" w:ascii="宋体" w:hAnsi="宋体" w:cs="宋体"/>
                <w:color w:val="auto"/>
                <w:highlight w:val="none"/>
              </w:rPr>
              <w:t>单位地址：</w:t>
            </w:r>
          </w:p>
        </w:tc>
      </w:tr>
      <w:tr w14:paraId="3B728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6" w:hRule="atLeast"/>
          <w:jc w:val="center"/>
        </w:trPr>
        <w:tc>
          <w:tcPr>
            <w:tcW w:w="4359" w:type="dxa"/>
            <w:vAlign w:val="center"/>
          </w:tcPr>
          <w:p w14:paraId="7D5B3851">
            <w:pPr>
              <w:snapToGrid w:val="0"/>
              <w:spacing w:line="460" w:lineRule="exact"/>
              <w:rPr>
                <w:rFonts w:hint="eastAsia" w:ascii="宋体" w:hAnsi="宋体" w:cs="宋体"/>
                <w:color w:val="auto"/>
                <w:sz w:val="24"/>
                <w:highlight w:val="none"/>
              </w:rPr>
            </w:pPr>
            <w:r>
              <w:rPr>
                <w:rFonts w:hint="eastAsia" w:ascii="宋体" w:hAnsi="宋体" w:cs="宋体"/>
                <w:color w:val="auto"/>
                <w:sz w:val="24"/>
                <w:highlight w:val="none"/>
              </w:rPr>
              <w:t>法定代表人（签字）：</w:t>
            </w:r>
          </w:p>
        </w:tc>
        <w:tc>
          <w:tcPr>
            <w:tcW w:w="4360" w:type="dxa"/>
            <w:vAlign w:val="center"/>
          </w:tcPr>
          <w:p w14:paraId="2F8C7BB4">
            <w:pPr>
              <w:snapToGrid w:val="0"/>
              <w:spacing w:line="460" w:lineRule="exact"/>
              <w:rPr>
                <w:rFonts w:hint="eastAsia" w:ascii="宋体" w:hAnsi="宋体" w:cs="宋体"/>
                <w:color w:val="auto"/>
                <w:sz w:val="24"/>
                <w:highlight w:val="none"/>
              </w:rPr>
            </w:pPr>
            <w:r>
              <w:rPr>
                <w:rFonts w:hint="eastAsia" w:ascii="宋体" w:hAnsi="宋体" w:cs="宋体"/>
                <w:color w:val="auto"/>
                <w:sz w:val="24"/>
                <w:highlight w:val="none"/>
              </w:rPr>
              <w:t>法定代表人（签字）：</w:t>
            </w:r>
          </w:p>
        </w:tc>
      </w:tr>
      <w:tr w14:paraId="5B03D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6" w:hRule="atLeast"/>
          <w:jc w:val="center"/>
        </w:trPr>
        <w:tc>
          <w:tcPr>
            <w:tcW w:w="4359" w:type="dxa"/>
            <w:vAlign w:val="center"/>
          </w:tcPr>
          <w:p w14:paraId="32CCE52D">
            <w:pPr>
              <w:snapToGrid w:val="0"/>
              <w:spacing w:line="460" w:lineRule="exact"/>
              <w:rPr>
                <w:rFonts w:hint="eastAsia" w:ascii="宋体" w:hAnsi="宋体" w:cs="宋体"/>
                <w:color w:val="auto"/>
                <w:sz w:val="24"/>
                <w:highlight w:val="none"/>
              </w:rPr>
            </w:pPr>
            <w:r>
              <w:rPr>
                <w:rFonts w:hint="eastAsia" w:ascii="宋体" w:hAnsi="宋体" w:cs="宋体"/>
                <w:color w:val="auto"/>
                <w:sz w:val="24"/>
                <w:highlight w:val="none"/>
              </w:rPr>
              <w:t>委托代理人（签字）：</w:t>
            </w:r>
          </w:p>
        </w:tc>
        <w:tc>
          <w:tcPr>
            <w:tcW w:w="4360" w:type="dxa"/>
            <w:vAlign w:val="center"/>
          </w:tcPr>
          <w:p w14:paraId="7980BDF2">
            <w:pPr>
              <w:snapToGrid w:val="0"/>
              <w:spacing w:line="460" w:lineRule="exact"/>
              <w:rPr>
                <w:rFonts w:hint="eastAsia" w:ascii="宋体" w:hAnsi="宋体" w:cs="宋体"/>
                <w:color w:val="auto"/>
                <w:sz w:val="24"/>
                <w:highlight w:val="none"/>
              </w:rPr>
            </w:pPr>
            <w:r>
              <w:rPr>
                <w:rFonts w:hint="eastAsia" w:ascii="宋体" w:hAnsi="宋体" w:cs="宋体"/>
                <w:color w:val="auto"/>
                <w:sz w:val="24"/>
                <w:highlight w:val="none"/>
              </w:rPr>
              <w:t>委托代理人（签字）：</w:t>
            </w:r>
          </w:p>
        </w:tc>
      </w:tr>
      <w:tr w14:paraId="0D672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6" w:hRule="atLeast"/>
          <w:jc w:val="center"/>
        </w:trPr>
        <w:tc>
          <w:tcPr>
            <w:tcW w:w="4359" w:type="dxa"/>
            <w:vAlign w:val="center"/>
          </w:tcPr>
          <w:p w14:paraId="70C19868">
            <w:pPr>
              <w:snapToGrid w:val="0"/>
              <w:spacing w:line="460" w:lineRule="exact"/>
              <w:rPr>
                <w:rFonts w:hint="eastAsia" w:ascii="宋体" w:hAnsi="宋体" w:cs="宋体"/>
                <w:color w:val="auto"/>
                <w:sz w:val="24"/>
                <w:highlight w:val="none"/>
              </w:rPr>
            </w:pPr>
            <w:r>
              <w:rPr>
                <w:rFonts w:hint="eastAsia" w:ascii="宋体" w:hAnsi="宋体" w:cs="宋体"/>
                <w:color w:val="auto"/>
                <w:kern w:val="0"/>
                <w:sz w:val="24"/>
                <w:highlight w:val="none"/>
              </w:rPr>
              <w:t>办公电话：0771-3272161</w:t>
            </w:r>
          </w:p>
        </w:tc>
        <w:tc>
          <w:tcPr>
            <w:tcW w:w="4360" w:type="dxa"/>
            <w:vAlign w:val="center"/>
          </w:tcPr>
          <w:p w14:paraId="4E00BD33">
            <w:pPr>
              <w:snapToGrid w:val="0"/>
              <w:spacing w:line="460" w:lineRule="exact"/>
              <w:rPr>
                <w:rFonts w:hint="eastAsia" w:ascii="宋体" w:hAnsi="宋体" w:cs="宋体"/>
                <w:color w:val="auto"/>
                <w:sz w:val="24"/>
                <w:highlight w:val="none"/>
              </w:rPr>
            </w:pPr>
            <w:r>
              <w:rPr>
                <w:rFonts w:hint="eastAsia" w:ascii="宋体" w:hAnsi="宋体" w:cs="宋体"/>
                <w:color w:val="auto"/>
                <w:kern w:val="0"/>
                <w:sz w:val="24"/>
                <w:highlight w:val="none"/>
              </w:rPr>
              <w:t>办公电话：</w:t>
            </w:r>
          </w:p>
        </w:tc>
      </w:tr>
      <w:tr w14:paraId="7F2CA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8" w:hRule="atLeast"/>
          <w:jc w:val="center"/>
        </w:trPr>
        <w:tc>
          <w:tcPr>
            <w:tcW w:w="4359" w:type="dxa"/>
            <w:vAlign w:val="center"/>
          </w:tcPr>
          <w:p w14:paraId="3E08E7F6">
            <w:pPr>
              <w:snapToGrid w:val="0"/>
              <w:spacing w:line="460" w:lineRule="exact"/>
              <w:rPr>
                <w:rFonts w:hint="eastAsia" w:ascii="宋体" w:hAnsi="宋体" w:cs="宋体"/>
                <w:color w:val="auto"/>
                <w:sz w:val="24"/>
                <w:highlight w:val="none"/>
              </w:rPr>
            </w:pPr>
            <w:r>
              <w:rPr>
                <w:rFonts w:hint="eastAsia" w:ascii="宋体" w:hAnsi="宋体" w:cs="宋体"/>
                <w:color w:val="auto"/>
                <w:kern w:val="0"/>
                <w:sz w:val="24"/>
                <w:highlight w:val="none"/>
              </w:rPr>
              <w:t>联系手机：</w:t>
            </w:r>
          </w:p>
        </w:tc>
        <w:tc>
          <w:tcPr>
            <w:tcW w:w="4360" w:type="dxa"/>
            <w:vAlign w:val="center"/>
          </w:tcPr>
          <w:p w14:paraId="76B7AB1F">
            <w:pPr>
              <w:widowControl/>
              <w:spacing w:line="460" w:lineRule="exact"/>
              <w:jc w:val="left"/>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联系手机： </w:t>
            </w:r>
          </w:p>
        </w:tc>
      </w:tr>
      <w:tr w14:paraId="4AB07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8" w:hRule="atLeast"/>
          <w:jc w:val="center"/>
        </w:trPr>
        <w:tc>
          <w:tcPr>
            <w:tcW w:w="4359" w:type="dxa"/>
            <w:vAlign w:val="center"/>
          </w:tcPr>
          <w:p w14:paraId="700A428C">
            <w:pPr>
              <w:snapToGrid w:val="0"/>
              <w:spacing w:line="460" w:lineRule="exact"/>
              <w:rPr>
                <w:rFonts w:hint="eastAsia" w:ascii="宋体" w:hAnsi="宋体" w:cs="宋体"/>
                <w:color w:val="auto"/>
                <w:kern w:val="0"/>
                <w:sz w:val="24"/>
                <w:highlight w:val="none"/>
              </w:rPr>
            </w:pPr>
            <w:r>
              <w:rPr>
                <w:rFonts w:hint="eastAsia" w:ascii="宋体" w:hAnsi="宋体" w:cs="宋体"/>
                <w:color w:val="auto"/>
                <w:kern w:val="0"/>
                <w:sz w:val="24"/>
                <w:highlight w:val="none"/>
              </w:rPr>
              <w:t>电子邮箱：gxdxsbk@163.com</w:t>
            </w:r>
          </w:p>
        </w:tc>
        <w:tc>
          <w:tcPr>
            <w:tcW w:w="4360" w:type="dxa"/>
            <w:vAlign w:val="center"/>
          </w:tcPr>
          <w:p w14:paraId="54A7F6B6">
            <w:pPr>
              <w:snapToGrid w:val="0"/>
              <w:spacing w:line="460" w:lineRule="exact"/>
              <w:rPr>
                <w:rFonts w:hint="eastAsia" w:ascii="宋体" w:hAnsi="宋体" w:cs="宋体"/>
                <w:color w:val="auto"/>
                <w:kern w:val="0"/>
                <w:sz w:val="24"/>
                <w:highlight w:val="none"/>
              </w:rPr>
            </w:pPr>
            <w:r>
              <w:rPr>
                <w:rFonts w:hint="eastAsia" w:ascii="宋体" w:hAnsi="宋体" w:cs="宋体"/>
                <w:color w:val="auto"/>
                <w:kern w:val="0"/>
                <w:sz w:val="24"/>
                <w:highlight w:val="none"/>
              </w:rPr>
              <w:t>电子邮箱：</w:t>
            </w:r>
          </w:p>
        </w:tc>
      </w:tr>
      <w:tr w14:paraId="102BA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5" w:hRule="atLeast"/>
          <w:jc w:val="center"/>
        </w:trPr>
        <w:tc>
          <w:tcPr>
            <w:tcW w:w="4359" w:type="dxa"/>
            <w:vAlign w:val="center"/>
          </w:tcPr>
          <w:p w14:paraId="6EA0BFE6">
            <w:pPr>
              <w:snapToGrid w:val="0"/>
              <w:spacing w:line="460" w:lineRule="exact"/>
              <w:rPr>
                <w:rFonts w:hint="eastAsia" w:ascii="宋体" w:hAnsi="宋体" w:cs="宋体"/>
                <w:color w:val="auto"/>
                <w:kern w:val="0"/>
                <w:sz w:val="24"/>
                <w:highlight w:val="none"/>
              </w:rPr>
            </w:pPr>
            <w:r>
              <w:rPr>
                <w:rFonts w:hint="eastAsia" w:ascii="宋体" w:hAnsi="宋体" w:cs="宋体"/>
                <w:color w:val="auto"/>
                <w:kern w:val="0"/>
                <w:sz w:val="24"/>
                <w:highlight w:val="none"/>
              </w:rPr>
              <w:t>开户银行：中国银行广西南宁市西大支行</w:t>
            </w:r>
          </w:p>
        </w:tc>
        <w:tc>
          <w:tcPr>
            <w:tcW w:w="4360" w:type="dxa"/>
            <w:vAlign w:val="center"/>
          </w:tcPr>
          <w:p w14:paraId="27EED344">
            <w:pPr>
              <w:widowControl/>
              <w:spacing w:line="460" w:lineRule="exact"/>
              <w:jc w:val="left"/>
              <w:rPr>
                <w:rFonts w:hint="eastAsia" w:ascii="宋体" w:hAnsi="宋体" w:cs="宋体"/>
                <w:color w:val="auto"/>
                <w:kern w:val="0"/>
                <w:sz w:val="24"/>
                <w:highlight w:val="none"/>
              </w:rPr>
            </w:pPr>
            <w:r>
              <w:rPr>
                <w:rFonts w:hint="eastAsia" w:ascii="宋体" w:hAnsi="宋体" w:cs="宋体"/>
                <w:color w:val="auto"/>
                <w:kern w:val="0"/>
                <w:sz w:val="24"/>
                <w:highlight w:val="none"/>
              </w:rPr>
              <w:t>开户银行：</w:t>
            </w:r>
          </w:p>
        </w:tc>
      </w:tr>
      <w:tr w14:paraId="2A112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8" w:hRule="atLeast"/>
          <w:jc w:val="center"/>
        </w:trPr>
        <w:tc>
          <w:tcPr>
            <w:tcW w:w="4359" w:type="dxa"/>
            <w:vAlign w:val="center"/>
          </w:tcPr>
          <w:p w14:paraId="751F0BFF">
            <w:pPr>
              <w:pStyle w:val="22"/>
              <w:widowControl/>
              <w:rPr>
                <w:rFonts w:hint="eastAsia" w:ascii="宋体" w:hAnsi="宋体" w:cs="宋体"/>
                <w:color w:val="auto"/>
                <w:highlight w:val="none"/>
              </w:rPr>
            </w:pPr>
            <w:r>
              <w:rPr>
                <w:rFonts w:hint="eastAsia" w:ascii="宋体" w:hAnsi="宋体" w:cs="宋体"/>
                <w:color w:val="auto"/>
                <w:highlight w:val="none"/>
              </w:rPr>
              <w:t>账号：6184 5748 4938</w:t>
            </w:r>
          </w:p>
        </w:tc>
        <w:tc>
          <w:tcPr>
            <w:tcW w:w="4360" w:type="dxa"/>
            <w:vAlign w:val="center"/>
          </w:tcPr>
          <w:p w14:paraId="431C2701">
            <w:pPr>
              <w:widowControl/>
              <w:spacing w:line="460" w:lineRule="exact"/>
              <w:jc w:val="left"/>
              <w:rPr>
                <w:rFonts w:hint="eastAsia" w:ascii="宋体" w:hAnsi="宋体" w:cs="宋体"/>
                <w:color w:val="auto"/>
                <w:highlight w:val="none"/>
              </w:rPr>
            </w:pPr>
            <w:r>
              <w:rPr>
                <w:rFonts w:hint="eastAsia" w:ascii="宋体" w:hAnsi="宋体" w:cs="宋体"/>
                <w:color w:val="auto"/>
                <w:highlight w:val="none"/>
              </w:rPr>
              <w:t>账号：</w:t>
            </w:r>
          </w:p>
        </w:tc>
      </w:tr>
      <w:tr w14:paraId="754B8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jc w:val="center"/>
        </w:trPr>
        <w:tc>
          <w:tcPr>
            <w:tcW w:w="4359" w:type="dxa"/>
            <w:vAlign w:val="center"/>
          </w:tcPr>
          <w:p w14:paraId="6EB08733">
            <w:pPr>
              <w:pStyle w:val="22"/>
              <w:widowControl/>
              <w:rPr>
                <w:rFonts w:hint="eastAsia" w:ascii="宋体" w:hAnsi="宋体" w:cs="宋体"/>
                <w:color w:val="auto"/>
                <w:highlight w:val="none"/>
              </w:rPr>
            </w:pPr>
            <w:r>
              <w:rPr>
                <w:rFonts w:hint="eastAsia" w:ascii="宋体" w:hAnsi="宋体" w:cs="宋体"/>
                <w:color w:val="auto"/>
                <w:highlight w:val="none"/>
              </w:rPr>
              <w:t>邮政编码：530004</w:t>
            </w:r>
          </w:p>
        </w:tc>
        <w:tc>
          <w:tcPr>
            <w:tcW w:w="4360" w:type="dxa"/>
            <w:vAlign w:val="center"/>
          </w:tcPr>
          <w:p w14:paraId="053FA28C">
            <w:pPr>
              <w:widowControl/>
              <w:spacing w:line="460" w:lineRule="exact"/>
              <w:jc w:val="left"/>
              <w:rPr>
                <w:rFonts w:hint="eastAsia" w:ascii="宋体" w:hAnsi="宋体" w:cs="宋体"/>
                <w:color w:val="auto"/>
                <w:kern w:val="0"/>
                <w:sz w:val="24"/>
                <w:highlight w:val="none"/>
              </w:rPr>
            </w:pPr>
            <w:r>
              <w:rPr>
                <w:rFonts w:hint="eastAsia" w:ascii="宋体" w:hAnsi="宋体" w:cs="宋体"/>
                <w:color w:val="auto"/>
                <w:kern w:val="0"/>
                <w:sz w:val="24"/>
                <w:highlight w:val="none"/>
              </w:rPr>
              <w:t>邮政编码：</w:t>
            </w:r>
          </w:p>
        </w:tc>
      </w:tr>
    </w:tbl>
    <w:p w14:paraId="6CB1A8CF">
      <w:pPr>
        <w:spacing w:line="460" w:lineRule="exact"/>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br w:type="page"/>
      </w:r>
    </w:p>
    <w:p w14:paraId="76A6089A">
      <w:pPr>
        <w:jc w:val="center"/>
        <w:rPr>
          <w:rFonts w:hint="eastAsia" w:ascii="宋体" w:hAnsi="宋体" w:cs="宋体"/>
          <w:color w:val="auto"/>
          <w:sz w:val="32"/>
          <w:szCs w:val="32"/>
          <w:highlight w:val="none"/>
        </w:rPr>
      </w:pPr>
      <w:r>
        <w:rPr>
          <w:rFonts w:hint="eastAsia" w:ascii="宋体" w:hAnsi="宋体" w:cs="宋体"/>
          <w:b/>
          <w:bCs/>
          <w:color w:val="auto"/>
          <w:kern w:val="0"/>
          <w:sz w:val="32"/>
          <w:szCs w:val="32"/>
          <w:highlight w:val="none"/>
        </w:rPr>
        <w:t>广西大学采购项目履约保证金退付意见书</w:t>
      </w:r>
    </w:p>
    <w:p w14:paraId="5AA50271">
      <w:pPr>
        <w:snapToGrid w:val="0"/>
        <w:spacing w:line="400" w:lineRule="exact"/>
        <w:jc w:val="center"/>
        <w:rPr>
          <w:rFonts w:hint="eastAsia" w:ascii="宋体" w:hAnsi="宋体" w:cs="宋体"/>
          <w:b/>
          <w:color w:val="auto"/>
          <w:sz w:val="24"/>
          <w:highlight w:val="none"/>
        </w:rPr>
      </w:pPr>
    </w:p>
    <w:tbl>
      <w:tblPr>
        <w:tblStyle w:val="26"/>
        <w:tblW w:w="890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0"/>
        <w:gridCol w:w="7174"/>
      </w:tblGrid>
      <w:tr w14:paraId="78821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1730" w:type="dxa"/>
            <w:vMerge w:val="restart"/>
            <w:vAlign w:val="center"/>
          </w:tcPr>
          <w:p w14:paraId="414817B2">
            <w:pPr>
              <w:jc w:val="center"/>
              <w:rPr>
                <w:rFonts w:hint="eastAsia" w:ascii="宋体" w:hAnsi="宋体"/>
                <w:color w:val="auto"/>
                <w:sz w:val="24"/>
                <w:highlight w:val="none"/>
              </w:rPr>
            </w:pPr>
            <w:r>
              <w:rPr>
                <w:rFonts w:hint="eastAsia" w:ascii="宋体" w:hAnsi="宋体"/>
                <w:color w:val="auto"/>
                <w:sz w:val="24"/>
                <w:highlight w:val="none"/>
              </w:rPr>
              <w:t>供应商申请</w:t>
            </w:r>
          </w:p>
        </w:tc>
        <w:tc>
          <w:tcPr>
            <w:tcW w:w="7174" w:type="dxa"/>
            <w:vAlign w:val="center"/>
          </w:tcPr>
          <w:p w14:paraId="05C1D7D7">
            <w:pPr>
              <w:rPr>
                <w:rFonts w:hint="eastAsia" w:ascii="宋体" w:hAnsi="宋体"/>
                <w:color w:val="auto"/>
                <w:sz w:val="24"/>
                <w:highlight w:val="none"/>
              </w:rPr>
            </w:pPr>
            <w:r>
              <w:rPr>
                <w:rFonts w:hint="eastAsia" w:ascii="宋体" w:hAnsi="宋体"/>
                <w:color w:val="auto"/>
                <w:sz w:val="24"/>
                <w:highlight w:val="none"/>
              </w:rPr>
              <w:t>项目名称：东校园部分学生公寓无线网络改造</w:t>
            </w:r>
          </w:p>
        </w:tc>
      </w:tr>
      <w:tr w14:paraId="06EBC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1730" w:type="dxa"/>
            <w:vMerge w:val="continue"/>
          </w:tcPr>
          <w:p w14:paraId="314E7C44">
            <w:pPr>
              <w:rPr>
                <w:rFonts w:hint="eastAsia" w:ascii="宋体" w:hAnsi="宋体"/>
                <w:color w:val="auto"/>
                <w:sz w:val="24"/>
                <w:highlight w:val="none"/>
              </w:rPr>
            </w:pPr>
          </w:p>
        </w:tc>
        <w:tc>
          <w:tcPr>
            <w:tcW w:w="7174" w:type="dxa"/>
            <w:vAlign w:val="center"/>
          </w:tcPr>
          <w:p w14:paraId="2B0200F7">
            <w:pPr>
              <w:rPr>
                <w:rFonts w:hint="eastAsia" w:ascii="宋体" w:hAnsi="宋体"/>
                <w:color w:val="auto"/>
                <w:sz w:val="24"/>
                <w:highlight w:val="none"/>
              </w:rPr>
            </w:pPr>
            <w:r>
              <w:rPr>
                <w:rFonts w:hint="eastAsia" w:ascii="宋体" w:hAnsi="宋体"/>
                <w:color w:val="auto"/>
                <w:sz w:val="24"/>
                <w:highlight w:val="none"/>
              </w:rPr>
              <w:t>合同编号：</w:t>
            </w:r>
            <w:r>
              <w:rPr>
                <w:rFonts w:ascii="宋体" w:hAnsi="宋体"/>
                <w:color w:val="auto"/>
                <w:sz w:val="24"/>
                <w:highlight w:val="none"/>
              </w:rPr>
              <w:t>GXZC2026-J1-002916-GXGN</w:t>
            </w:r>
          </w:p>
        </w:tc>
      </w:tr>
      <w:tr w14:paraId="5EECB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5" w:hRule="atLeast"/>
        </w:trPr>
        <w:tc>
          <w:tcPr>
            <w:tcW w:w="1730" w:type="dxa"/>
            <w:vMerge w:val="continue"/>
          </w:tcPr>
          <w:p w14:paraId="1E9ABE80">
            <w:pPr>
              <w:rPr>
                <w:rFonts w:hint="eastAsia" w:ascii="宋体" w:hAnsi="宋体"/>
                <w:color w:val="auto"/>
                <w:sz w:val="24"/>
                <w:highlight w:val="none"/>
              </w:rPr>
            </w:pPr>
          </w:p>
        </w:tc>
        <w:tc>
          <w:tcPr>
            <w:tcW w:w="7174" w:type="dxa"/>
          </w:tcPr>
          <w:p w14:paraId="318B09EB">
            <w:pPr>
              <w:rPr>
                <w:rFonts w:hint="eastAsia" w:ascii="宋体" w:hAnsi="宋体"/>
                <w:color w:val="auto"/>
                <w:sz w:val="24"/>
                <w:highlight w:val="none"/>
              </w:rPr>
            </w:pPr>
          </w:p>
          <w:p w14:paraId="3E0858E8">
            <w:pPr>
              <w:ind w:firstLine="600" w:firstLineChars="250"/>
              <w:rPr>
                <w:rFonts w:hint="eastAsia" w:ascii="宋体" w:hAnsi="宋体"/>
                <w:color w:val="auto"/>
                <w:sz w:val="24"/>
                <w:highlight w:val="none"/>
              </w:rPr>
            </w:pPr>
            <w:r>
              <w:rPr>
                <w:rFonts w:hint="eastAsia" w:ascii="宋体" w:hAnsi="宋体"/>
                <w:color w:val="auto"/>
                <w:sz w:val="24"/>
                <w:highlight w:val="none"/>
              </w:rPr>
              <w:t>该项目已于   年    月   日按合同要求履约完成。根据合同规定，可将履约保证金（大写）人民币</w:t>
            </w:r>
            <w:r>
              <w:rPr>
                <w:rFonts w:hint="eastAsia" w:ascii="宋体" w:hAnsi="宋体"/>
                <w:color w:val="auto"/>
                <w:sz w:val="24"/>
                <w:highlight w:val="none"/>
                <w:u w:val="single"/>
              </w:rPr>
              <w:t xml:space="preserve">                  </w:t>
            </w:r>
            <w:r>
              <w:rPr>
                <w:rFonts w:hint="eastAsia" w:ascii="宋体" w:hAnsi="宋体"/>
                <w:color w:val="auto"/>
                <w:sz w:val="24"/>
                <w:highlight w:val="none"/>
              </w:rPr>
              <w:t>（小写）￥</w:t>
            </w:r>
            <w:r>
              <w:rPr>
                <w:rFonts w:hint="eastAsia" w:ascii="宋体" w:hAnsi="宋体"/>
                <w:color w:val="auto"/>
                <w:sz w:val="24"/>
                <w:highlight w:val="none"/>
                <w:u w:val="single"/>
              </w:rPr>
              <w:t xml:space="preserve">            </w:t>
            </w:r>
            <w:r>
              <w:rPr>
                <w:rFonts w:ascii="宋体" w:hAnsi="宋体"/>
                <w:color w:val="auto"/>
                <w:sz w:val="24"/>
                <w:highlight w:val="none"/>
                <w:u w:val="single"/>
              </w:rPr>
              <w:t>.00</w:t>
            </w:r>
            <w:r>
              <w:rPr>
                <w:rFonts w:hint="eastAsia" w:ascii="宋体" w:hAnsi="宋体"/>
                <w:color w:val="auto"/>
                <w:sz w:val="24"/>
                <w:highlight w:val="none"/>
              </w:rPr>
              <w:t>退付到达以下帐户：</w:t>
            </w:r>
          </w:p>
          <w:p w14:paraId="6147A2A2">
            <w:pPr>
              <w:rPr>
                <w:rFonts w:hint="eastAsia" w:ascii="宋体" w:hAnsi="宋体"/>
                <w:color w:val="auto"/>
                <w:sz w:val="24"/>
                <w:highlight w:val="none"/>
              </w:rPr>
            </w:pPr>
          </w:p>
          <w:p w14:paraId="1436FF57">
            <w:pPr>
              <w:spacing w:line="420" w:lineRule="exact"/>
              <w:rPr>
                <w:rFonts w:hint="eastAsia" w:ascii="宋体" w:hAnsi="宋体"/>
                <w:color w:val="auto"/>
                <w:sz w:val="24"/>
                <w:highlight w:val="none"/>
              </w:rPr>
            </w:pPr>
            <w:r>
              <w:rPr>
                <w:rFonts w:hint="eastAsia" w:ascii="宋体" w:hAnsi="宋体"/>
                <w:color w:val="auto"/>
                <w:sz w:val="24"/>
                <w:highlight w:val="none"/>
              </w:rPr>
              <w:t>单位名称：</w:t>
            </w:r>
          </w:p>
          <w:p w14:paraId="1CEE61F5">
            <w:pPr>
              <w:spacing w:line="420" w:lineRule="exact"/>
              <w:rPr>
                <w:rFonts w:hint="eastAsia" w:ascii="宋体" w:hAnsi="宋体"/>
                <w:color w:val="auto"/>
                <w:sz w:val="24"/>
                <w:highlight w:val="none"/>
              </w:rPr>
            </w:pPr>
            <w:r>
              <w:rPr>
                <w:rFonts w:hint="eastAsia" w:ascii="宋体" w:hAnsi="宋体"/>
                <w:color w:val="auto"/>
                <w:sz w:val="24"/>
                <w:highlight w:val="none"/>
              </w:rPr>
              <w:t>开户银行：</w:t>
            </w:r>
          </w:p>
          <w:p w14:paraId="0030B412">
            <w:pPr>
              <w:spacing w:line="420" w:lineRule="exact"/>
              <w:rPr>
                <w:rFonts w:hint="eastAsia" w:ascii="宋体" w:hAnsi="宋体"/>
                <w:color w:val="auto"/>
                <w:sz w:val="24"/>
                <w:highlight w:val="none"/>
              </w:rPr>
            </w:pPr>
            <w:r>
              <w:rPr>
                <w:rFonts w:hint="eastAsia" w:ascii="宋体" w:hAnsi="宋体"/>
                <w:color w:val="auto"/>
                <w:sz w:val="24"/>
                <w:highlight w:val="none"/>
              </w:rPr>
              <w:t>银行帐号：</w:t>
            </w:r>
          </w:p>
          <w:p w14:paraId="6778D5A0">
            <w:pPr>
              <w:rPr>
                <w:rFonts w:hint="eastAsia" w:ascii="宋体" w:hAnsi="宋体"/>
                <w:color w:val="auto"/>
                <w:sz w:val="24"/>
                <w:highlight w:val="none"/>
              </w:rPr>
            </w:pPr>
          </w:p>
          <w:p w14:paraId="21A85915">
            <w:pPr>
              <w:spacing w:line="420" w:lineRule="exact"/>
              <w:rPr>
                <w:rFonts w:hint="eastAsia" w:ascii="宋体" w:hAnsi="宋体"/>
                <w:color w:val="auto"/>
                <w:sz w:val="24"/>
                <w:highlight w:val="none"/>
              </w:rPr>
            </w:pPr>
            <w:r>
              <w:rPr>
                <w:rFonts w:hint="eastAsia" w:ascii="宋体" w:hAnsi="宋体"/>
                <w:color w:val="auto"/>
                <w:sz w:val="24"/>
                <w:highlight w:val="none"/>
              </w:rPr>
              <w:t>联系人：</w:t>
            </w:r>
          </w:p>
          <w:p w14:paraId="526E4974">
            <w:pPr>
              <w:spacing w:line="420" w:lineRule="exact"/>
              <w:rPr>
                <w:rFonts w:hint="eastAsia" w:ascii="宋体" w:hAnsi="宋体"/>
                <w:color w:val="auto"/>
                <w:sz w:val="24"/>
                <w:highlight w:val="none"/>
              </w:rPr>
            </w:pPr>
            <w:r>
              <w:rPr>
                <w:rFonts w:hint="eastAsia" w:ascii="宋体" w:hAnsi="宋体"/>
                <w:color w:val="auto"/>
                <w:sz w:val="24"/>
                <w:highlight w:val="none"/>
              </w:rPr>
              <w:t>联系电话：</w:t>
            </w:r>
          </w:p>
          <w:p w14:paraId="6C04C446">
            <w:pPr>
              <w:rPr>
                <w:rFonts w:hint="eastAsia" w:ascii="宋体" w:hAnsi="宋体"/>
                <w:color w:val="auto"/>
                <w:sz w:val="24"/>
                <w:highlight w:val="none"/>
              </w:rPr>
            </w:pPr>
          </w:p>
          <w:p w14:paraId="0DEAA92B">
            <w:pPr>
              <w:spacing w:line="420" w:lineRule="exact"/>
              <w:rPr>
                <w:rFonts w:hint="eastAsia" w:ascii="宋体" w:hAnsi="宋体"/>
                <w:color w:val="auto"/>
                <w:sz w:val="24"/>
                <w:highlight w:val="none"/>
                <w:u w:val="single"/>
              </w:rPr>
            </w:pPr>
            <w:r>
              <w:rPr>
                <w:rFonts w:hint="eastAsia" w:ascii="宋体" w:hAnsi="宋体"/>
                <w:color w:val="auto"/>
                <w:sz w:val="24"/>
                <w:highlight w:val="none"/>
              </w:rPr>
              <w:t xml:space="preserve">                                 供应商（签章）：</w:t>
            </w:r>
          </w:p>
          <w:p w14:paraId="7E689449">
            <w:pPr>
              <w:spacing w:line="420" w:lineRule="exact"/>
              <w:rPr>
                <w:rFonts w:hint="eastAsia" w:ascii="宋体" w:hAnsi="宋体"/>
                <w:color w:val="auto"/>
                <w:sz w:val="24"/>
                <w:highlight w:val="none"/>
              </w:rPr>
            </w:pPr>
            <w:r>
              <w:rPr>
                <w:rFonts w:hint="eastAsia" w:ascii="宋体" w:hAnsi="宋体"/>
                <w:color w:val="auto"/>
                <w:sz w:val="24"/>
                <w:highlight w:val="none"/>
              </w:rPr>
              <w:t xml:space="preserve">                              </w:t>
            </w:r>
            <w:r>
              <w:rPr>
                <w:rFonts w:hint="eastAsia"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rPr>
              <w:t>日</w:t>
            </w:r>
          </w:p>
          <w:p w14:paraId="0D0DA12B">
            <w:pPr>
              <w:rPr>
                <w:rFonts w:hint="eastAsia" w:ascii="宋体" w:hAnsi="宋体"/>
                <w:color w:val="auto"/>
                <w:sz w:val="24"/>
                <w:highlight w:val="none"/>
              </w:rPr>
            </w:pPr>
          </w:p>
        </w:tc>
      </w:tr>
      <w:tr w14:paraId="7E36F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3" w:hRule="atLeast"/>
        </w:trPr>
        <w:tc>
          <w:tcPr>
            <w:tcW w:w="1730" w:type="dxa"/>
            <w:vAlign w:val="center"/>
          </w:tcPr>
          <w:p w14:paraId="00780A14">
            <w:pPr>
              <w:jc w:val="center"/>
              <w:rPr>
                <w:rFonts w:hint="eastAsia" w:ascii="宋体" w:hAnsi="宋体"/>
                <w:color w:val="auto"/>
                <w:sz w:val="24"/>
                <w:highlight w:val="none"/>
              </w:rPr>
            </w:pPr>
            <w:r>
              <w:rPr>
                <w:rFonts w:hint="eastAsia" w:ascii="宋体" w:hAnsi="宋体"/>
                <w:color w:val="auto"/>
                <w:sz w:val="24"/>
                <w:highlight w:val="none"/>
              </w:rPr>
              <w:t>使用单位</w:t>
            </w:r>
          </w:p>
          <w:p w14:paraId="13834AF7">
            <w:pPr>
              <w:jc w:val="center"/>
              <w:rPr>
                <w:rFonts w:hint="eastAsia" w:ascii="宋体" w:hAnsi="宋体"/>
                <w:color w:val="auto"/>
                <w:sz w:val="24"/>
                <w:highlight w:val="none"/>
              </w:rPr>
            </w:pPr>
            <w:r>
              <w:rPr>
                <w:rFonts w:hint="eastAsia" w:ascii="宋体" w:hAnsi="宋体"/>
                <w:color w:val="auto"/>
                <w:sz w:val="24"/>
                <w:highlight w:val="none"/>
              </w:rPr>
              <w:t>意见</w:t>
            </w:r>
          </w:p>
        </w:tc>
        <w:tc>
          <w:tcPr>
            <w:tcW w:w="7174" w:type="dxa"/>
          </w:tcPr>
          <w:p w14:paraId="2EDF9576">
            <w:pPr>
              <w:rPr>
                <w:rFonts w:hint="eastAsia" w:ascii="宋体" w:hAnsi="宋体"/>
                <w:color w:val="auto"/>
                <w:sz w:val="24"/>
                <w:highlight w:val="none"/>
              </w:rPr>
            </w:pPr>
            <w:r>
              <w:rPr>
                <w:rFonts w:hint="eastAsia" w:ascii="宋体" w:hAnsi="宋体"/>
                <w:color w:val="auto"/>
                <w:sz w:val="24"/>
                <w:highlight w:val="none"/>
              </w:rPr>
              <w:t>（退付意见：是否同意退付履约保证金）</w:t>
            </w:r>
          </w:p>
          <w:p w14:paraId="52759E64">
            <w:pPr>
              <w:spacing w:line="420" w:lineRule="exact"/>
              <w:rPr>
                <w:rFonts w:hint="eastAsia" w:ascii="宋体" w:hAnsi="宋体"/>
                <w:color w:val="auto"/>
                <w:sz w:val="24"/>
                <w:highlight w:val="none"/>
              </w:rPr>
            </w:pPr>
          </w:p>
          <w:p w14:paraId="054A49F5">
            <w:pPr>
              <w:spacing w:line="420" w:lineRule="exact"/>
              <w:rPr>
                <w:rFonts w:hint="eastAsia" w:ascii="宋体" w:hAnsi="宋体"/>
                <w:color w:val="auto"/>
                <w:sz w:val="24"/>
                <w:highlight w:val="none"/>
              </w:rPr>
            </w:pPr>
            <w:r>
              <w:rPr>
                <w:rFonts w:hint="eastAsia" w:ascii="宋体" w:hAnsi="宋体"/>
                <w:color w:val="auto"/>
                <w:sz w:val="24"/>
                <w:highlight w:val="none"/>
              </w:rPr>
              <w:t>项目负责人意见：</w:t>
            </w:r>
          </w:p>
          <w:p w14:paraId="0E03F780">
            <w:pPr>
              <w:spacing w:line="420" w:lineRule="exact"/>
              <w:rPr>
                <w:rFonts w:hint="eastAsia" w:ascii="宋体" w:hAnsi="宋体"/>
                <w:color w:val="auto"/>
                <w:sz w:val="24"/>
                <w:highlight w:val="none"/>
              </w:rPr>
            </w:pPr>
          </w:p>
          <w:p w14:paraId="45E1CFC9">
            <w:pPr>
              <w:spacing w:line="420" w:lineRule="exact"/>
              <w:rPr>
                <w:rFonts w:hint="eastAsia" w:ascii="宋体" w:hAnsi="宋体"/>
                <w:color w:val="auto"/>
                <w:sz w:val="24"/>
                <w:highlight w:val="none"/>
              </w:rPr>
            </w:pPr>
            <w:r>
              <w:rPr>
                <w:rFonts w:hint="eastAsia" w:ascii="宋体" w:hAnsi="宋体"/>
                <w:color w:val="auto"/>
                <w:sz w:val="24"/>
                <w:highlight w:val="none"/>
              </w:rPr>
              <w:t>联系人：</w:t>
            </w:r>
          </w:p>
          <w:p w14:paraId="493AA584">
            <w:pPr>
              <w:spacing w:line="420" w:lineRule="exact"/>
              <w:rPr>
                <w:rFonts w:hint="eastAsia" w:ascii="宋体" w:hAnsi="宋体"/>
                <w:color w:val="auto"/>
                <w:sz w:val="24"/>
                <w:highlight w:val="none"/>
              </w:rPr>
            </w:pPr>
            <w:r>
              <w:rPr>
                <w:rFonts w:hint="eastAsia" w:ascii="宋体" w:hAnsi="宋体"/>
                <w:color w:val="auto"/>
                <w:sz w:val="24"/>
                <w:highlight w:val="none"/>
              </w:rPr>
              <w:t>联系电话：</w:t>
            </w:r>
          </w:p>
          <w:p w14:paraId="69ECA5BF">
            <w:pPr>
              <w:rPr>
                <w:rFonts w:hint="eastAsia" w:ascii="宋体" w:hAnsi="宋体"/>
                <w:color w:val="auto"/>
                <w:sz w:val="24"/>
                <w:highlight w:val="none"/>
              </w:rPr>
            </w:pPr>
          </w:p>
          <w:p w14:paraId="369F86B3">
            <w:pPr>
              <w:rPr>
                <w:rFonts w:hint="eastAsia" w:ascii="宋体" w:hAnsi="宋体"/>
                <w:color w:val="auto"/>
                <w:sz w:val="24"/>
                <w:highlight w:val="none"/>
                <w:u w:val="single"/>
              </w:rPr>
            </w:pPr>
            <w:r>
              <w:rPr>
                <w:rFonts w:hint="eastAsia" w:ascii="宋体" w:hAnsi="宋体"/>
                <w:color w:val="auto"/>
                <w:sz w:val="24"/>
                <w:highlight w:val="none"/>
              </w:rPr>
              <w:t xml:space="preserve">                                   单位（签章）：</w:t>
            </w:r>
          </w:p>
          <w:p w14:paraId="20FF539A">
            <w:pPr>
              <w:spacing w:line="420" w:lineRule="exact"/>
              <w:rPr>
                <w:rFonts w:hint="eastAsia" w:ascii="宋体" w:hAnsi="宋体"/>
                <w:color w:val="auto"/>
                <w:sz w:val="24"/>
                <w:highlight w:val="none"/>
              </w:rPr>
            </w:pPr>
            <w:r>
              <w:rPr>
                <w:rFonts w:hint="eastAsia" w:ascii="宋体" w:hAnsi="宋体"/>
                <w:color w:val="auto"/>
                <w:sz w:val="24"/>
                <w:highlight w:val="none"/>
              </w:rPr>
              <w:t xml:space="preserve">                               </w:t>
            </w:r>
            <w:r>
              <w:rPr>
                <w:rFonts w:hint="eastAsia"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rPr>
              <w:t>日</w:t>
            </w:r>
          </w:p>
        </w:tc>
      </w:tr>
      <w:tr w14:paraId="34DB7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2" w:hRule="atLeast"/>
        </w:trPr>
        <w:tc>
          <w:tcPr>
            <w:tcW w:w="1730" w:type="dxa"/>
            <w:vAlign w:val="center"/>
          </w:tcPr>
          <w:p w14:paraId="1D5CABC9">
            <w:pPr>
              <w:jc w:val="center"/>
              <w:rPr>
                <w:rFonts w:hint="eastAsia" w:ascii="宋体" w:hAnsi="宋体"/>
                <w:color w:val="auto"/>
                <w:sz w:val="24"/>
                <w:highlight w:val="none"/>
              </w:rPr>
            </w:pPr>
            <w:r>
              <w:rPr>
                <w:rFonts w:hint="eastAsia" w:ascii="宋体" w:hAnsi="宋体"/>
                <w:color w:val="auto"/>
                <w:sz w:val="24"/>
                <w:highlight w:val="none"/>
              </w:rPr>
              <w:t>国有资产与实验室管理处（招标与采购管理中心）意见</w:t>
            </w:r>
          </w:p>
        </w:tc>
        <w:tc>
          <w:tcPr>
            <w:tcW w:w="7174" w:type="dxa"/>
          </w:tcPr>
          <w:p w14:paraId="07370E46">
            <w:pPr>
              <w:rPr>
                <w:rFonts w:hint="eastAsia" w:ascii="宋体" w:hAnsi="宋体"/>
                <w:color w:val="auto"/>
                <w:sz w:val="24"/>
                <w:highlight w:val="none"/>
              </w:rPr>
            </w:pPr>
          </w:p>
          <w:p w14:paraId="662B3525">
            <w:pPr>
              <w:rPr>
                <w:rFonts w:hint="eastAsia" w:ascii="宋体" w:hAnsi="宋体"/>
                <w:color w:val="auto"/>
                <w:sz w:val="24"/>
                <w:highlight w:val="none"/>
              </w:rPr>
            </w:pPr>
          </w:p>
          <w:p w14:paraId="6021FC49">
            <w:pPr>
              <w:rPr>
                <w:rFonts w:hint="eastAsia" w:ascii="宋体" w:hAnsi="宋体"/>
                <w:color w:val="auto"/>
                <w:sz w:val="24"/>
                <w:highlight w:val="none"/>
              </w:rPr>
            </w:pPr>
            <w:r>
              <w:rPr>
                <w:rFonts w:hint="eastAsia" w:ascii="宋体" w:hAnsi="宋体"/>
                <w:color w:val="auto"/>
                <w:sz w:val="24"/>
                <w:highlight w:val="none"/>
              </w:rPr>
              <w:t>经办人意见：</w:t>
            </w:r>
          </w:p>
          <w:p w14:paraId="14838A69">
            <w:pPr>
              <w:rPr>
                <w:rFonts w:hint="eastAsia" w:ascii="宋体" w:hAnsi="宋体"/>
                <w:color w:val="auto"/>
                <w:sz w:val="24"/>
                <w:highlight w:val="none"/>
              </w:rPr>
            </w:pPr>
          </w:p>
          <w:p w14:paraId="614927A6">
            <w:pPr>
              <w:rPr>
                <w:rFonts w:hint="eastAsia" w:ascii="宋体" w:hAnsi="宋体"/>
                <w:color w:val="auto"/>
                <w:sz w:val="24"/>
                <w:highlight w:val="none"/>
              </w:rPr>
            </w:pPr>
            <w:r>
              <w:rPr>
                <w:rFonts w:hint="eastAsia"/>
                <w:color w:val="auto"/>
                <w:highlight w:val="none"/>
              </w:rPr>
              <w:t>审核人意见：</w:t>
            </w:r>
            <w:r>
              <w:rPr>
                <w:rFonts w:hint="eastAsia" w:ascii="宋体" w:hAnsi="宋体"/>
                <w:color w:val="auto"/>
                <w:sz w:val="24"/>
                <w:highlight w:val="none"/>
              </w:rPr>
              <w:t xml:space="preserve">                                     </w:t>
            </w:r>
          </w:p>
          <w:p w14:paraId="4E8308F5">
            <w:pPr>
              <w:ind w:firstLine="4080" w:firstLineChars="1700"/>
              <w:rPr>
                <w:rFonts w:hint="eastAsia" w:ascii="宋体" w:hAnsi="宋体"/>
                <w:color w:val="auto"/>
                <w:sz w:val="24"/>
                <w:highlight w:val="none"/>
              </w:rPr>
            </w:pPr>
            <w:r>
              <w:rPr>
                <w:rFonts w:hint="eastAsia" w:ascii="宋体" w:hAnsi="宋体"/>
                <w:color w:val="auto"/>
                <w:sz w:val="24"/>
                <w:highlight w:val="none"/>
              </w:rPr>
              <w:t>单位（签章）：</w:t>
            </w:r>
          </w:p>
          <w:p w14:paraId="13FB904C">
            <w:pPr>
              <w:rPr>
                <w:rFonts w:hint="eastAsia" w:ascii="宋体" w:hAnsi="宋体"/>
                <w:color w:val="auto"/>
                <w:sz w:val="24"/>
                <w:highlight w:val="none"/>
              </w:rPr>
            </w:pPr>
            <w:r>
              <w:rPr>
                <w:rFonts w:hint="eastAsia" w:ascii="宋体" w:hAnsi="宋体"/>
                <w:color w:val="auto"/>
                <w:sz w:val="24"/>
                <w:highlight w:val="none"/>
              </w:rPr>
              <w:t xml:space="preserve">                                </w:t>
            </w:r>
            <w:r>
              <w:rPr>
                <w:rFonts w:hint="eastAsia"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rPr>
              <w:t>日</w:t>
            </w:r>
          </w:p>
        </w:tc>
      </w:tr>
    </w:tbl>
    <w:p w14:paraId="4B62AF59">
      <w:pPr>
        <w:snapToGrid w:val="0"/>
        <w:spacing w:line="360" w:lineRule="auto"/>
        <w:rPr>
          <w:rFonts w:hint="eastAsia" w:ascii="宋体" w:hAnsi="宋体" w:cs="宋体"/>
          <w:color w:val="auto"/>
          <w:sz w:val="24"/>
          <w:highlight w:val="none"/>
        </w:rPr>
      </w:pPr>
    </w:p>
    <w:sectPr>
      <w:footerReference r:id="rId9" w:type="first"/>
      <w:pgSz w:w="11905" w:h="16838"/>
      <w:pgMar w:top="1417" w:right="1417" w:bottom="1417" w:left="1417" w:header="850" w:footer="992" w:gutter="0"/>
      <w:cols w:space="720" w:num="1"/>
      <w:titlePg/>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方正书宋_GBK">
    <w:altName w:val="微软雅黑"/>
    <w:panose1 w:val="00000000000000000000"/>
    <w:charset w:val="86"/>
    <w:family w:val="auto"/>
    <w:pitch w:val="default"/>
    <w:sig w:usb0="00000000" w:usb1="00000000" w:usb2="00082016" w:usb3="00000000" w:csb0="00040001" w:csb1="00000000"/>
  </w:font>
  <w:font w:name="微软雅黑">
    <w:panose1 w:val="020B0503020204020204"/>
    <w:charset w:val="86"/>
    <w:family w:val="swiss"/>
    <w:pitch w:val="default"/>
    <w:sig w:usb0="80000287" w:usb1="2ACF3C50" w:usb2="00000016" w:usb3="00000000" w:csb0="0004001F" w:csb1="00000000"/>
  </w:font>
  <w:font w:name="Calibri Light">
    <w:panose1 w:val="020F0302020204030204"/>
    <w:charset w:val="00"/>
    <w:family w:val="swiss"/>
    <w:pitch w:val="default"/>
    <w:sig w:usb0="E4002EFF" w:usb1="C200247B" w:usb2="00000009" w:usb3="00000000" w:csb0="200001FF" w:csb1="00000000"/>
  </w:font>
  <w:font w:name="Arial Unicode MS">
    <w:altName w:val="Malgun Gothic Semilight"/>
    <w:panose1 w:val="020B0604020202020204"/>
    <w:charset w:val="86"/>
    <w:family w:val="swiss"/>
    <w:pitch w:val="default"/>
    <w:sig w:usb0="00000000" w:usb1="00000000" w:usb2="0000003F" w:usb3="00000000" w:csb0="003F01FF" w:csb1="00000000"/>
  </w:font>
  <w:font w:name="Malgun Gothic Semilight">
    <w:panose1 w:val="020B0502040204020203"/>
    <w:charset w:val="86"/>
    <w:family w:val="auto"/>
    <w:pitch w:val="default"/>
    <w:sig w:usb0="900002AF" w:usb1="01D77CFB" w:usb2="00000012" w:usb3="00000000" w:csb0="203E01BD" w:csb1="D7FF0000"/>
  </w:font>
  <w:font w:name="楷体">
    <w:panose1 w:val="02010609060101010101"/>
    <w:charset w:val="86"/>
    <w:family w:val="modern"/>
    <w:pitch w:val="default"/>
    <w:sig w:usb0="800002BF" w:usb1="38CF7CFA" w:usb2="00000016" w:usb3="00000000" w:csb0="00040001" w:csb1="00000000"/>
  </w:font>
  <w:font w:name="Segoe UI Symbol">
    <w:panose1 w:val="020B0502040204020203"/>
    <w:charset w:val="00"/>
    <w:family w:val="swiss"/>
    <w:pitch w:val="default"/>
    <w:sig w:usb0="800001E3" w:usb1="1200FFEF" w:usb2="00040000" w:usb3="04000000" w:csb0="00000001" w:csb1="40000000"/>
  </w:font>
  <w:font w:name="方正小标宋简体">
    <w:altName w:val="微软雅黑"/>
    <w:panose1 w:val="02000000000000000000"/>
    <w:charset w:val="86"/>
    <w:family w:val="auto"/>
    <w:pitch w:val="default"/>
    <w:sig w:usb0="00000000" w:usb1="00000000" w:usb2="00000010" w:usb3="00000000" w:csb0="00040000" w:csb1="00000000"/>
  </w:font>
  <w:font w:name="KSOF2EEBCA72">
    <w:panose1 w:val="020B0502040204020203"/>
    <w:charset w:val="86"/>
    <w:family w:val="auto"/>
    <w:pitch w:val="default"/>
    <w:sig w:usb0="00000001" w:usb1="00000000" w:usb2="00000000" w:usb3="00000000" w:csb0="003E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3F14E5">
    <w:pPr>
      <w:pStyle w:val="17"/>
      <w:framePr w:wrap="around" w:vAnchor="text" w:hAnchor="margin" w:xAlign="center" w:y="1"/>
      <w:jc w:val="center"/>
      <w:rPr>
        <w:rStyle w:val="30"/>
      </w:rPr>
    </w:pPr>
    <w:r>
      <w:fldChar w:fldCharType="begin"/>
    </w:r>
    <w:r>
      <w:rPr>
        <w:rStyle w:val="30"/>
      </w:rPr>
      <w:instrText xml:space="preserve">PAGE  </w:instrText>
    </w:r>
    <w:r>
      <w:fldChar w:fldCharType="separate"/>
    </w:r>
    <w:r>
      <w:rPr>
        <w:rStyle w:val="30"/>
      </w:rPr>
      <w:t>27</w:t>
    </w:r>
    <w:r>
      <w:fldChar w:fldCharType="end"/>
    </w:r>
  </w:p>
  <w:p w14:paraId="1B118C55">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E43FA5">
    <w:pPr>
      <w:pStyle w:val="17"/>
      <w:framePr w:wrap="around" w:vAnchor="text" w:hAnchor="margin" w:xAlign="center" w:y="1"/>
      <w:rPr>
        <w:rStyle w:val="30"/>
      </w:rPr>
    </w:pPr>
    <w:r>
      <w:fldChar w:fldCharType="begin"/>
    </w:r>
    <w:r>
      <w:rPr>
        <w:rStyle w:val="30"/>
      </w:rPr>
      <w:instrText xml:space="preserve">PAGE  </w:instrText>
    </w:r>
    <w:r>
      <w:fldChar w:fldCharType="separate"/>
    </w:r>
    <w:r>
      <w:rPr>
        <w:rStyle w:val="30"/>
      </w:rPr>
      <w:t>1</w:t>
    </w:r>
    <w:r>
      <w:fldChar w:fldCharType="end"/>
    </w:r>
  </w:p>
  <w:p w14:paraId="726AAB9A">
    <w:pPr>
      <w:pStyle w:val="1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CD5CBB">
    <w:pPr>
      <w:pStyle w:val="17"/>
      <w:jc w:val="center"/>
    </w:pPr>
    <w:r>
      <w:fldChar w:fldCharType="begin"/>
    </w:r>
    <w:r>
      <w:instrText xml:space="preserve"> PAGE   \* MERGEFORMAT </w:instrText>
    </w:r>
    <w:r>
      <w:fldChar w:fldCharType="separate"/>
    </w:r>
    <w:r>
      <w:rPr>
        <w:lang w:val="zh-CN"/>
      </w:rPr>
      <w:t>28</w:t>
    </w:r>
    <w:r>
      <w:fldChar w:fldCharType="end"/>
    </w:r>
  </w:p>
  <w:p w14:paraId="4A6B5EA7">
    <w:pPr>
      <w:pStyle w:val="1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1155A6">
    <w:pPr>
      <w:pStyle w:val="1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CC7121">
                          <w:pPr>
                            <w:pStyle w:val="17"/>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14:paraId="65CC7121">
                    <w:pPr>
                      <w:pStyle w:val="17"/>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CA269D">
    <w:pPr>
      <w:pStyle w:val="17"/>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51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2F03515">
                          <w:pPr>
                            <w:pStyle w:val="17"/>
                          </w:pPr>
                          <w:r>
                            <w:rPr>
                              <w:rFonts w:hint="eastAsia"/>
                            </w:rPr>
                            <w:fldChar w:fldCharType="begin"/>
                          </w:r>
                          <w:r>
                            <w:rPr>
                              <w:rFonts w:hint="eastAsia"/>
                            </w:rPr>
                            <w:instrText xml:space="preserve"> PAGE  \* MERGEFORMAT </w:instrText>
                          </w:r>
                          <w:r>
                            <w:rPr>
                              <w:rFonts w:hint="eastAsia"/>
                            </w:rPr>
                            <w:fldChar w:fldCharType="separate"/>
                          </w:r>
                          <w:r>
                            <w:t>39</w:t>
                          </w:r>
                          <w:r>
                            <w:rPr>
                              <w:rFonts w:hint="eastAsia"/>
                            </w:rPr>
                            <w:fldChar w:fldCharType="end"/>
                          </w:r>
                        </w:p>
                      </w:txbxContent>
                    </wps:txbx>
                    <wps:bodyPr wrap="none" lIns="0" tIns="0" rIns="0" bIns="0">
                      <a:spAutoFit/>
                    </wps:bodyPr>
                  </wps:wsp>
                </a:graphicData>
              </a:graphic>
            </wp:anchor>
          </w:drawing>
        </mc:Choice>
        <mc:Fallback>
          <w:pict>
            <v:shape id="文本框 512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M7uMX7FAQAAkAMAAA4AAAAAAAAAAQAgAAAAHgEAAGRycy9lMm9Eb2MueG1s&#10;UEsFBgAAAAAGAAYAWQEAAFUFAAAAAA==&#10;">
              <v:fill on="f" focussize="0,0"/>
              <v:stroke on="f"/>
              <v:imagedata o:title=""/>
              <o:lock v:ext="edit" aspectratio="f"/>
              <v:textbox inset="0mm,0mm,0mm,0mm" style="mso-fit-shape-to-text:t;">
                <w:txbxContent>
                  <w:p w14:paraId="42F03515">
                    <w:pPr>
                      <w:pStyle w:val="17"/>
                    </w:pPr>
                    <w:r>
                      <w:rPr>
                        <w:rFonts w:hint="eastAsia"/>
                      </w:rPr>
                      <w:fldChar w:fldCharType="begin"/>
                    </w:r>
                    <w:r>
                      <w:rPr>
                        <w:rFonts w:hint="eastAsia"/>
                      </w:rPr>
                      <w:instrText xml:space="preserve"> PAGE  \* MERGEFORMAT </w:instrText>
                    </w:r>
                    <w:r>
                      <w:rPr>
                        <w:rFonts w:hint="eastAsia"/>
                      </w:rPr>
                      <w:fldChar w:fldCharType="separate"/>
                    </w:r>
                    <w:r>
                      <w:t>39</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AA5451">
    <w:pPr>
      <w:pStyle w:val="18"/>
      <w:pBdr>
        <w:bottom w:val="none" w:color="auto" w:sz="0" w:space="0"/>
      </w:pBd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BC097D">
    <w:pPr>
      <w:pStyle w:val="1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96D742"/>
    <w:multiLevelType w:val="singleLevel"/>
    <w:tmpl w:val="BF96D742"/>
    <w:lvl w:ilvl="0" w:tentative="0">
      <w:start w:val="1"/>
      <w:numFmt w:val="decimal"/>
      <w:suff w:val="nothing"/>
      <w:lvlText w:val="%1、"/>
      <w:lvlJc w:val="left"/>
    </w:lvl>
  </w:abstractNum>
  <w:abstractNum w:abstractNumId="1">
    <w:nsid w:val="FB6F0D65"/>
    <w:multiLevelType w:val="singleLevel"/>
    <w:tmpl w:val="FB6F0D65"/>
    <w:lvl w:ilvl="0" w:tentative="0">
      <w:start w:val="1"/>
      <w:numFmt w:val="bullet"/>
      <w:lvlText w:val=""/>
      <w:lvlJc w:val="left"/>
      <w:pPr>
        <w:ind w:left="420" w:hanging="42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documentProtection w:enforcement="0"/>
  <w:defaultTabStop w:val="420"/>
  <w:drawingGridHorizontalSpacing w:val="210"/>
  <w:drawingGridVerticalSpacing w:val="159"/>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NmYmNhODQxOWNkODc0ZjYxNTI4MThkY2UxMGM3NzYifQ=="/>
  </w:docVars>
  <w:rsids>
    <w:rsidRoot w:val="00F34B14"/>
    <w:rsid w:val="00000672"/>
    <w:rsid w:val="00000EE0"/>
    <w:rsid w:val="00001799"/>
    <w:rsid w:val="000022D9"/>
    <w:rsid w:val="00002D29"/>
    <w:rsid w:val="000040C5"/>
    <w:rsid w:val="000045C6"/>
    <w:rsid w:val="00004A8A"/>
    <w:rsid w:val="0000574C"/>
    <w:rsid w:val="00005B07"/>
    <w:rsid w:val="00005E55"/>
    <w:rsid w:val="00005FDF"/>
    <w:rsid w:val="00006586"/>
    <w:rsid w:val="000065BA"/>
    <w:rsid w:val="0001045D"/>
    <w:rsid w:val="00010D39"/>
    <w:rsid w:val="000112BB"/>
    <w:rsid w:val="0001149B"/>
    <w:rsid w:val="0001172C"/>
    <w:rsid w:val="00012854"/>
    <w:rsid w:val="00012E50"/>
    <w:rsid w:val="00012EA6"/>
    <w:rsid w:val="000139DC"/>
    <w:rsid w:val="00013D8C"/>
    <w:rsid w:val="00013DFE"/>
    <w:rsid w:val="00013F03"/>
    <w:rsid w:val="000141EA"/>
    <w:rsid w:val="00014385"/>
    <w:rsid w:val="00014D2F"/>
    <w:rsid w:val="000159F6"/>
    <w:rsid w:val="00016960"/>
    <w:rsid w:val="00017396"/>
    <w:rsid w:val="000177DB"/>
    <w:rsid w:val="00020227"/>
    <w:rsid w:val="000203E4"/>
    <w:rsid w:val="00020455"/>
    <w:rsid w:val="00020CCE"/>
    <w:rsid w:val="00022731"/>
    <w:rsid w:val="00022792"/>
    <w:rsid w:val="00022A07"/>
    <w:rsid w:val="000242CE"/>
    <w:rsid w:val="00025382"/>
    <w:rsid w:val="00025636"/>
    <w:rsid w:val="00025E36"/>
    <w:rsid w:val="00026627"/>
    <w:rsid w:val="00026886"/>
    <w:rsid w:val="0002793A"/>
    <w:rsid w:val="00030496"/>
    <w:rsid w:val="000329E0"/>
    <w:rsid w:val="000333A0"/>
    <w:rsid w:val="000336EF"/>
    <w:rsid w:val="00034060"/>
    <w:rsid w:val="000352E9"/>
    <w:rsid w:val="00036A07"/>
    <w:rsid w:val="00036E33"/>
    <w:rsid w:val="00036FAD"/>
    <w:rsid w:val="00037363"/>
    <w:rsid w:val="00037C94"/>
    <w:rsid w:val="00037E2D"/>
    <w:rsid w:val="00040571"/>
    <w:rsid w:val="0004156E"/>
    <w:rsid w:val="00041597"/>
    <w:rsid w:val="00041800"/>
    <w:rsid w:val="0004440C"/>
    <w:rsid w:val="00045880"/>
    <w:rsid w:val="000462CB"/>
    <w:rsid w:val="00046B5E"/>
    <w:rsid w:val="0004783A"/>
    <w:rsid w:val="0005010B"/>
    <w:rsid w:val="000509D9"/>
    <w:rsid w:val="0005398D"/>
    <w:rsid w:val="000552A6"/>
    <w:rsid w:val="00055D41"/>
    <w:rsid w:val="000569C7"/>
    <w:rsid w:val="00057CEC"/>
    <w:rsid w:val="00060DCE"/>
    <w:rsid w:val="00061A5A"/>
    <w:rsid w:val="000623B4"/>
    <w:rsid w:val="000634A3"/>
    <w:rsid w:val="000634A7"/>
    <w:rsid w:val="00063E85"/>
    <w:rsid w:val="00063F81"/>
    <w:rsid w:val="00064847"/>
    <w:rsid w:val="0006484B"/>
    <w:rsid w:val="000673E2"/>
    <w:rsid w:val="000703B6"/>
    <w:rsid w:val="000711E4"/>
    <w:rsid w:val="000719F9"/>
    <w:rsid w:val="0007228C"/>
    <w:rsid w:val="000722D1"/>
    <w:rsid w:val="00072AED"/>
    <w:rsid w:val="00073F47"/>
    <w:rsid w:val="00075B7E"/>
    <w:rsid w:val="00077C70"/>
    <w:rsid w:val="00080B57"/>
    <w:rsid w:val="00080C27"/>
    <w:rsid w:val="00081BA3"/>
    <w:rsid w:val="00081D2E"/>
    <w:rsid w:val="00081E30"/>
    <w:rsid w:val="0008267B"/>
    <w:rsid w:val="00082D02"/>
    <w:rsid w:val="000833E9"/>
    <w:rsid w:val="00083B91"/>
    <w:rsid w:val="00083FD9"/>
    <w:rsid w:val="0008520B"/>
    <w:rsid w:val="00086559"/>
    <w:rsid w:val="000871B8"/>
    <w:rsid w:val="00087DB6"/>
    <w:rsid w:val="000913BE"/>
    <w:rsid w:val="000918F8"/>
    <w:rsid w:val="00092442"/>
    <w:rsid w:val="00094183"/>
    <w:rsid w:val="00095233"/>
    <w:rsid w:val="0009588E"/>
    <w:rsid w:val="000959EE"/>
    <w:rsid w:val="00095B51"/>
    <w:rsid w:val="00097DA0"/>
    <w:rsid w:val="000A0D6B"/>
    <w:rsid w:val="000A1389"/>
    <w:rsid w:val="000A166E"/>
    <w:rsid w:val="000A2B0E"/>
    <w:rsid w:val="000A398F"/>
    <w:rsid w:val="000A509C"/>
    <w:rsid w:val="000A5516"/>
    <w:rsid w:val="000A6007"/>
    <w:rsid w:val="000A65A6"/>
    <w:rsid w:val="000A7275"/>
    <w:rsid w:val="000A7A12"/>
    <w:rsid w:val="000A7CA5"/>
    <w:rsid w:val="000B039A"/>
    <w:rsid w:val="000B1801"/>
    <w:rsid w:val="000B1D0C"/>
    <w:rsid w:val="000B2D03"/>
    <w:rsid w:val="000B3815"/>
    <w:rsid w:val="000B3C7B"/>
    <w:rsid w:val="000B5B24"/>
    <w:rsid w:val="000B666F"/>
    <w:rsid w:val="000B6C95"/>
    <w:rsid w:val="000C06D3"/>
    <w:rsid w:val="000C0C58"/>
    <w:rsid w:val="000C1679"/>
    <w:rsid w:val="000C2F89"/>
    <w:rsid w:val="000C30BB"/>
    <w:rsid w:val="000C366E"/>
    <w:rsid w:val="000C3B94"/>
    <w:rsid w:val="000C4635"/>
    <w:rsid w:val="000C548E"/>
    <w:rsid w:val="000C5698"/>
    <w:rsid w:val="000C5775"/>
    <w:rsid w:val="000C6DE4"/>
    <w:rsid w:val="000C716B"/>
    <w:rsid w:val="000C7C12"/>
    <w:rsid w:val="000D01EB"/>
    <w:rsid w:val="000D056E"/>
    <w:rsid w:val="000D0675"/>
    <w:rsid w:val="000D0A89"/>
    <w:rsid w:val="000D1389"/>
    <w:rsid w:val="000D1798"/>
    <w:rsid w:val="000D1A2A"/>
    <w:rsid w:val="000D1A53"/>
    <w:rsid w:val="000D2626"/>
    <w:rsid w:val="000D2B7D"/>
    <w:rsid w:val="000D4A06"/>
    <w:rsid w:val="000D60E2"/>
    <w:rsid w:val="000D6DCD"/>
    <w:rsid w:val="000D73DD"/>
    <w:rsid w:val="000D7D9B"/>
    <w:rsid w:val="000E18E2"/>
    <w:rsid w:val="000E28AB"/>
    <w:rsid w:val="000E28C1"/>
    <w:rsid w:val="000E2E3E"/>
    <w:rsid w:val="000E33C5"/>
    <w:rsid w:val="000E3583"/>
    <w:rsid w:val="000E3AF0"/>
    <w:rsid w:val="000E3D53"/>
    <w:rsid w:val="000E4E04"/>
    <w:rsid w:val="000E684C"/>
    <w:rsid w:val="000E6EC9"/>
    <w:rsid w:val="000E70B4"/>
    <w:rsid w:val="000F06FC"/>
    <w:rsid w:val="000F0742"/>
    <w:rsid w:val="000F3281"/>
    <w:rsid w:val="000F3733"/>
    <w:rsid w:val="000F4D88"/>
    <w:rsid w:val="000F4FC9"/>
    <w:rsid w:val="000F64AA"/>
    <w:rsid w:val="000F7AF4"/>
    <w:rsid w:val="000F7C33"/>
    <w:rsid w:val="000F7F0C"/>
    <w:rsid w:val="00100246"/>
    <w:rsid w:val="001004D6"/>
    <w:rsid w:val="00100D90"/>
    <w:rsid w:val="00102309"/>
    <w:rsid w:val="00102ECA"/>
    <w:rsid w:val="00103918"/>
    <w:rsid w:val="00104889"/>
    <w:rsid w:val="00104897"/>
    <w:rsid w:val="00104D7E"/>
    <w:rsid w:val="00104EDE"/>
    <w:rsid w:val="00105AA1"/>
    <w:rsid w:val="00105FAC"/>
    <w:rsid w:val="00106BEE"/>
    <w:rsid w:val="00110339"/>
    <w:rsid w:val="00110C92"/>
    <w:rsid w:val="00113134"/>
    <w:rsid w:val="00113AC0"/>
    <w:rsid w:val="00114851"/>
    <w:rsid w:val="00115E11"/>
    <w:rsid w:val="00115F56"/>
    <w:rsid w:val="00117CBD"/>
    <w:rsid w:val="0012006A"/>
    <w:rsid w:val="00120990"/>
    <w:rsid w:val="001217B5"/>
    <w:rsid w:val="00121979"/>
    <w:rsid w:val="00122064"/>
    <w:rsid w:val="0012378B"/>
    <w:rsid w:val="00123B26"/>
    <w:rsid w:val="00125004"/>
    <w:rsid w:val="001263B8"/>
    <w:rsid w:val="00126763"/>
    <w:rsid w:val="00130217"/>
    <w:rsid w:val="00130783"/>
    <w:rsid w:val="00130990"/>
    <w:rsid w:val="001312CB"/>
    <w:rsid w:val="00132B47"/>
    <w:rsid w:val="00132E64"/>
    <w:rsid w:val="00134816"/>
    <w:rsid w:val="001351CB"/>
    <w:rsid w:val="001359A2"/>
    <w:rsid w:val="00135E37"/>
    <w:rsid w:val="00136020"/>
    <w:rsid w:val="00136445"/>
    <w:rsid w:val="0013746E"/>
    <w:rsid w:val="001374F3"/>
    <w:rsid w:val="00140132"/>
    <w:rsid w:val="00141C9C"/>
    <w:rsid w:val="00142668"/>
    <w:rsid w:val="001434BE"/>
    <w:rsid w:val="00144275"/>
    <w:rsid w:val="0014479F"/>
    <w:rsid w:val="001452B4"/>
    <w:rsid w:val="00146CA1"/>
    <w:rsid w:val="00146EC6"/>
    <w:rsid w:val="001478D2"/>
    <w:rsid w:val="00151C48"/>
    <w:rsid w:val="00152A87"/>
    <w:rsid w:val="00154486"/>
    <w:rsid w:val="00154663"/>
    <w:rsid w:val="00154CA7"/>
    <w:rsid w:val="00156D0E"/>
    <w:rsid w:val="00156DD9"/>
    <w:rsid w:val="0016086E"/>
    <w:rsid w:val="00160D0C"/>
    <w:rsid w:val="00161172"/>
    <w:rsid w:val="0016139E"/>
    <w:rsid w:val="00161E65"/>
    <w:rsid w:val="00162597"/>
    <w:rsid w:val="001629AF"/>
    <w:rsid w:val="00162C1D"/>
    <w:rsid w:val="001633A3"/>
    <w:rsid w:val="0016428A"/>
    <w:rsid w:val="001647C9"/>
    <w:rsid w:val="00164837"/>
    <w:rsid w:val="001661A3"/>
    <w:rsid w:val="0016782B"/>
    <w:rsid w:val="00170B05"/>
    <w:rsid w:val="00173256"/>
    <w:rsid w:val="001733E1"/>
    <w:rsid w:val="00173F74"/>
    <w:rsid w:val="00175086"/>
    <w:rsid w:val="00175BA6"/>
    <w:rsid w:val="0017617F"/>
    <w:rsid w:val="00176CA7"/>
    <w:rsid w:val="001778C5"/>
    <w:rsid w:val="00177E56"/>
    <w:rsid w:val="00177F0A"/>
    <w:rsid w:val="0018177D"/>
    <w:rsid w:val="001821A1"/>
    <w:rsid w:val="00183852"/>
    <w:rsid w:val="00185617"/>
    <w:rsid w:val="00186ADE"/>
    <w:rsid w:val="00187F35"/>
    <w:rsid w:val="0019171E"/>
    <w:rsid w:val="0019220F"/>
    <w:rsid w:val="001928B1"/>
    <w:rsid w:val="00194ED5"/>
    <w:rsid w:val="00195424"/>
    <w:rsid w:val="001955FF"/>
    <w:rsid w:val="0019692F"/>
    <w:rsid w:val="00196B52"/>
    <w:rsid w:val="00197EDD"/>
    <w:rsid w:val="00197F70"/>
    <w:rsid w:val="001A02B3"/>
    <w:rsid w:val="001A0322"/>
    <w:rsid w:val="001A04BB"/>
    <w:rsid w:val="001A08D0"/>
    <w:rsid w:val="001A14B1"/>
    <w:rsid w:val="001A1B39"/>
    <w:rsid w:val="001A2492"/>
    <w:rsid w:val="001A2E69"/>
    <w:rsid w:val="001A3C34"/>
    <w:rsid w:val="001A3EDE"/>
    <w:rsid w:val="001A4222"/>
    <w:rsid w:val="001A50EA"/>
    <w:rsid w:val="001A5E24"/>
    <w:rsid w:val="001A6D8B"/>
    <w:rsid w:val="001B079E"/>
    <w:rsid w:val="001B0CDA"/>
    <w:rsid w:val="001B0E26"/>
    <w:rsid w:val="001B125A"/>
    <w:rsid w:val="001B1EBA"/>
    <w:rsid w:val="001B2142"/>
    <w:rsid w:val="001B26CF"/>
    <w:rsid w:val="001B2F2B"/>
    <w:rsid w:val="001B327A"/>
    <w:rsid w:val="001B35DE"/>
    <w:rsid w:val="001B3A13"/>
    <w:rsid w:val="001B59FF"/>
    <w:rsid w:val="001B5FF8"/>
    <w:rsid w:val="001B636D"/>
    <w:rsid w:val="001B65D7"/>
    <w:rsid w:val="001B6752"/>
    <w:rsid w:val="001B6768"/>
    <w:rsid w:val="001B6F1F"/>
    <w:rsid w:val="001B7ECC"/>
    <w:rsid w:val="001C25A7"/>
    <w:rsid w:val="001C318C"/>
    <w:rsid w:val="001C38B0"/>
    <w:rsid w:val="001C4287"/>
    <w:rsid w:val="001C4479"/>
    <w:rsid w:val="001C76B7"/>
    <w:rsid w:val="001C76FB"/>
    <w:rsid w:val="001D1165"/>
    <w:rsid w:val="001D2764"/>
    <w:rsid w:val="001D324F"/>
    <w:rsid w:val="001D3697"/>
    <w:rsid w:val="001D3F71"/>
    <w:rsid w:val="001D51DE"/>
    <w:rsid w:val="001D540E"/>
    <w:rsid w:val="001D58A1"/>
    <w:rsid w:val="001D5A8A"/>
    <w:rsid w:val="001D735E"/>
    <w:rsid w:val="001D73C8"/>
    <w:rsid w:val="001D74D4"/>
    <w:rsid w:val="001D756D"/>
    <w:rsid w:val="001D778C"/>
    <w:rsid w:val="001D7E1F"/>
    <w:rsid w:val="001E0756"/>
    <w:rsid w:val="001E0A8D"/>
    <w:rsid w:val="001E0FFB"/>
    <w:rsid w:val="001E129E"/>
    <w:rsid w:val="001E1F33"/>
    <w:rsid w:val="001E2B9F"/>
    <w:rsid w:val="001E30C0"/>
    <w:rsid w:val="001E3221"/>
    <w:rsid w:val="001E33BA"/>
    <w:rsid w:val="001E49F2"/>
    <w:rsid w:val="001E4A8D"/>
    <w:rsid w:val="001E5A94"/>
    <w:rsid w:val="001E6D88"/>
    <w:rsid w:val="001E7648"/>
    <w:rsid w:val="001F127B"/>
    <w:rsid w:val="001F15A8"/>
    <w:rsid w:val="001F2A2E"/>
    <w:rsid w:val="001F3B72"/>
    <w:rsid w:val="001F3C63"/>
    <w:rsid w:val="001F4460"/>
    <w:rsid w:val="001F5DAF"/>
    <w:rsid w:val="001F637C"/>
    <w:rsid w:val="001F6B6C"/>
    <w:rsid w:val="001F711A"/>
    <w:rsid w:val="001F75B0"/>
    <w:rsid w:val="001F7686"/>
    <w:rsid w:val="0020035F"/>
    <w:rsid w:val="0020072B"/>
    <w:rsid w:val="00200CE5"/>
    <w:rsid w:val="002014DB"/>
    <w:rsid w:val="00201E12"/>
    <w:rsid w:val="00202AEC"/>
    <w:rsid w:val="002031E2"/>
    <w:rsid w:val="002033B5"/>
    <w:rsid w:val="0020382C"/>
    <w:rsid w:val="0020437A"/>
    <w:rsid w:val="00204B5F"/>
    <w:rsid w:val="0020532C"/>
    <w:rsid w:val="00205D23"/>
    <w:rsid w:val="0021064F"/>
    <w:rsid w:val="002114C7"/>
    <w:rsid w:val="00212756"/>
    <w:rsid w:val="0021302C"/>
    <w:rsid w:val="00213045"/>
    <w:rsid w:val="00213483"/>
    <w:rsid w:val="00213B1C"/>
    <w:rsid w:val="00214202"/>
    <w:rsid w:val="002146F3"/>
    <w:rsid w:val="002148E3"/>
    <w:rsid w:val="00215373"/>
    <w:rsid w:val="0021552D"/>
    <w:rsid w:val="002156AE"/>
    <w:rsid w:val="002177BD"/>
    <w:rsid w:val="00217861"/>
    <w:rsid w:val="00217A91"/>
    <w:rsid w:val="0022054D"/>
    <w:rsid w:val="00220949"/>
    <w:rsid w:val="002225FA"/>
    <w:rsid w:val="00222FAC"/>
    <w:rsid w:val="0022413B"/>
    <w:rsid w:val="00224DE1"/>
    <w:rsid w:val="002255B2"/>
    <w:rsid w:val="00225664"/>
    <w:rsid w:val="00226463"/>
    <w:rsid w:val="002269DC"/>
    <w:rsid w:val="00227C28"/>
    <w:rsid w:val="00227F2D"/>
    <w:rsid w:val="00231851"/>
    <w:rsid w:val="002319FB"/>
    <w:rsid w:val="00231B89"/>
    <w:rsid w:val="00231B8E"/>
    <w:rsid w:val="00233727"/>
    <w:rsid w:val="002355BE"/>
    <w:rsid w:val="00236D82"/>
    <w:rsid w:val="00236DE9"/>
    <w:rsid w:val="00237D5A"/>
    <w:rsid w:val="00241300"/>
    <w:rsid w:val="00241D3C"/>
    <w:rsid w:val="002439AB"/>
    <w:rsid w:val="002442F6"/>
    <w:rsid w:val="002450D5"/>
    <w:rsid w:val="00245587"/>
    <w:rsid w:val="002458A7"/>
    <w:rsid w:val="00245F2B"/>
    <w:rsid w:val="00246F95"/>
    <w:rsid w:val="0024703E"/>
    <w:rsid w:val="00247676"/>
    <w:rsid w:val="00247F3A"/>
    <w:rsid w:val="00250122"/>
    <w:rsid w:val="00250755"/>
    <w:rsid w:val="00250AE3"/>
    <w:rsid w:val="00251C4A"/>
    <w:rsid w:val="0025271C"/>
    <w:rsid w:val="00252A91"/>
    <w:rsid w:val="00252C5C"/>
    <w:rsid w:val="002533CD"/>
    <w:rsid w:val="00253DB2"/>
    <w:rsid w:val="002544C1"/>
    <w:rsid w:val="00254EAB"/>
    <w:rsid w:val="002557AF"/>
    <w:rsid w:val="00256474"/>
    <w:rsid w:val="002566B1"/>
    <w:rsid w:val="002575E3"/>
    <w:rsid w:val="002603C1"/>
    <w:rsid w:val="002609A1"/>
    <w:rsid w:val="002612B1"/>
    <w:rsid w:val="0026327C"/>
    <w:rsid w:val="00265600"/>
    <w:rsid w:val="00266165"/>
    <w:rsid w:val="002666A1"/>
    <w:rsid w:val="0026782A"/>
    <w:rsid w:val="002708B3"/>
    <w:rsid w:val="0027125E"/>
    <w:rsid w:val="00271767"/>
    <w:rsid w:val="002719C1"/>
    <w:rsid w:val="00272293"/>
    <w:rsid w:val="002723C8"/>
    <w:rsid w:val="00273379"/>
    <w:rsid w:val="00273CBE"/>
    <w:rsid w:val="00277F24"/>
    <w:rsid w:val="00280240"/>
    <w:rsid w:val="002802D7"/>
    <w:rsid w:val="0028232C"/>
    <w:rsid w:val="002827F1"/>
    <w:rsid w:val="00282EC3"/>
    <w:rsid w:val="002835B0"/>
    <w:rsid w:val="0028407E"/>
    <w:rsid w:val="0028410F"/>
    <w:rsid w:val="002854BF"/>
    <w:rsid w:val="00286603"/>
    <w:rsid w:val="00286A98"/>
    <w:rsid w:val="00286FB5"/>
    <w:rsid w:val="00287763"/>
    <w:rsid w:val="00290606"/>
    <w:rsid w:val="0029080F"/>
    <w:rsid w:val="00290F9D"/>
    <w:rsid w:val="002918A7"/>
    <w:rsid w:val="00291D6D"/>
    <w:rsid w:val="00291FF1"/>
    <w:rsid w:val="002923F6"/>
    <w:rsid w:val="00293361"/>
    <w:rsid w:val="00293BAA"/>
    <w:rsid w:val="00294AE8"/>
    <w:rsid w:val="00295137"/>
    <w:rsid w:val="00295287"/>
    <w:rsid w:val="002952B1"/>
    <w:rsid w:val="00295D11"/>
    <w:rsid w:val="00295FA0"/>
    <w:rsid w:val="00297626"/>
    <w:rsid w:val="00297A7A"/>
    <w:rsid w:val="002A0620"/>
    <w:rsid w:val="002A0C3A"/>
    <w:rsid w:val="002A1130"/>
    <w:rsid w:val="002A14D3"/>
    <w:rsid w:val="002A1880"/>
    <w:rsid w:val="002A1D47"/>
    <w:rsid w:val="002A23B7"/>
    <w:rsid w:val="002A3A57"/>
    <w:rsid w:val="002A6D22"/>
    <w:rsid w:val="002A6DEF"/>
    <w:rsid w:val="002A7411"/>
    <w:rsid w:val="002A7C24"/>
    <w:rsid w:val="002B013E"/>
    <w:rsid w:val="002B058D"/>
    <w:rsid w:val="002B0C16"/>
    <w:rsid w:val="002B11C9"/>
    <w:rsid w:val="002B169E"/>
    <w:rsid w:val="002B2621"/>
    <w:rsid w:val="002B2AC5"/>
    <w:rsid w:val="002B3528"/>
    <w:rsid w:val="002B3539"/>
    <w:rsid w:val="002B3B2B"/>
    <w:rsid w:val="002B6D17"/>
    <w:rsid w:val="002B6E71"/>
    <w:rsid w:val="002B6FA5"/>
    <w:rsid w:val="002B7169"/>
    <w:rsid w:val="002B7B5E"/>
    <w:rsid w:val="002C0C1C"/>
    <w:rsid w:val="002C0F5A"/>
    <w:rsid w:val="002C184E"/>
    <w:rsid w:val="002C28F5"/>
    <w:rsid w:val="002C3CE4"/>
    <w:rsid w:val="002C54C2"/>
    <w:rsid w:val="002C5D34"/>
    <w:rsid w:val="002C5EA7"/>
    <w:rsid w:val="002C661A"/>
    <w:rsid w:val="002C7C6E"/>
    <w:rsid w:val="002D0AF5"/>
    <w:rsid w:val="002D1C54"/>
    <w:rsid w:val="002D1FAA"/>
    <w:rsid w:val="002D2231"/>
    <w:rsid w:val="002D25FC"/>
    <w:rsid w:val="002D318B"/>
    <w:rsid w:val="002D3380"/>
    <w:rsid w:val="002D444E"/>
    <w:rsid w:val="002D44D6"/>
    <w:rsid w:val="002D4925"/>
    <w:rsid w:val="002D4AC6"/>
    <w:rsid w:val="002D5C7B"/>
    <w:rsid w:val="002D6DFC"/>
    <w:rsid w:val="002D7648"/>
    <w:rsid w:val="002D7909"/>
    <w:rsid w:val="002D7AB7"/>
    <w:rsid w:val="002E109C"/>
    <w:rsid w:val="002E115E"/>
    <w:rsid w:val="002E131F"/>
    <w:rsid w:val="002E1439"/>
    <w:rsid w:val="002E193E"/>
    <w:rsid w:val="002E1D76"/>
    <w:rsid w:val="002E243C"/>
    <w:rsid w:val="002E26C4"/>
    <w:rsid w:val="002E30B3"/>
    <w:rsid w:val="002E33E9"/>
    <w:rsid w:val="002E4B37"/>
    <w:rsid w:val="002E4BF9"/>
    <w:rsid w:val="002E6F5B"/>
    <w:rsid w:val="002F16DD"/>
    <w:rsid w:val="002F199D"/>
    <w:rsid w:val="002F23B2"/>
    <w:rsid w:val="002F2558"/>
    <w:rsid w:val="002F4084"/>
    <w:rsid w:val="002F4672"/>
    <w:rsid w:val="002F4A08"/>
    <w:rsid w:val="002F4ADB"/>
    <w:rsid w:val="002F531E"/>
    <w:rsid w:val="002F5ACC"/>
    <w:rsid w:val="002F6C2C"/>
    <w:rsid w:val="002F704B"/>
    <w:rsid w:val="002F72C3"/>
    <w:rsid w:val="002F768C"/>
    <w:rsid w:val="002F7D1E"/>
    <w:rsid w:val="00301839"/>
    <w:rsid w:val="00301A68"/>
    <w:rsid w:val="003026AF"/>
    <w:rsid w:val="00302929"/>
    <w:rsid w:val="00302F0F"/>
    <w:rsid w:val="00303243"/>
    <w:rsid w:val="00303BCC"/>
    <w:rsid w:val="00303F2B"/>
    <w:rsid w:val="00303F8D"/>
    <w:rsid w:val="00304541"/>
    <w:rsid w:val="00304580"/>
    <w:rsid w:val="0030586A"/>
    <w:rsid w:val="003074C5"/>
    <w:rsid w:val="00307A3C"/>
    <w:rsid w:val="00307AF8"/>
    <w:rsid w:val="00307FA4"/>
    <w:rsid w:val="00310CC1"/>
    <w:rsid w:val="0031222F"/>
    <w:rsid w:val="00313026"/>
    <w:rsid w:val="00313213"/>
    <w:rsid w:val="00313C14"/>
    <w:rsid w:val="0031421F"/>
    <w:rsid w:val="00314B31"/>
    <w:rsid w:val="00314B36"/>
    <w:rsid w:val="00315158"/>
    <w:rsid w:val="00315346"/>
    <w:rsid w:val="00315A65"/>
    <w:rsid w:val="00316E85"/>
    <w:rsid w:val="00317BA7"/>
    <w:rsid w:val="003200A4"/>
    <w:rsid w:val="00320BE2"/>
    <w:rsid w:val="00321886"/>
    <w:rsid w:val="00321902"/>
    <w:rsid w:val="00323694"/>
    <w:rsid w:val="00324D63"/>
    <w:rsid w:val="003255AF"/>
    <w:rsid w:val="003256EB"/>
    <w:rsid w:val="003259DB"/>
    <w:rsid w:val="00325F20"/>
    <w:rsid w:val="00326039"/>
    <w:rsid w:val="003267F2"/>
    <w:rsid w:val="003300EA"/>
    <w:rsid w:val="00331A48"/>
    <w:rsid w:val="003330C9"/>
    <w:rsid w:val="0033364C"/>
    <w:rsid w:val="00334415"/>
    <w:rsid w:val="00335460"/>
    <w:rsid w:val="0033591B"/>
    <w:rsid w:val="0033691E"/>
    <w:rsid w:val="00336CCB"/>
    <w:rsid w:val="0033745F"/>
    <w:rsid w:val="00337631"/>
    <w:rsid w:val="00337F44"/>
    <w:rsid w:val="003401AC"/>
    <w:rsid w:val="003411D1"/>
    <w:rsid w:val="003416BA"/>
    <w:rsid w:val="00341BD6"/>
    <w:rsid w:val="00342A8A"/>
    <w:rsid w:val="00342F99"/>
    <w:rsid w:val="0034339D"/>
    <w:rsid w:val="00344726"/>
    <w:rsid w:val="003454A4"/>
    <w:rsid w:val="00345988"/>
    <w:rsid w:val="00350E6C"/>
    <w:rsid w:val="003518A6"/>
    <w:rsid w:val="00351E7F"/>
    <w:rsid w:val="003526FD"/>
    <w:rsid w:val="00352953"/>
    <w:rsid w:val="00354062"/>
    <w:rsid w:val="003542B0"/>
    <w:rsid w:val="003554A4"/>
    <w:rsid w:val="00355C0D"/>
    <w:rsid w:val="0035622C"/>
    <w:rsid w:val="003566A9"/>
    <w:rsid w:val="00356988"/>
    <w:rsid w:val="00356B20"/>
    <w:rsid w:val="00357128"/>
    <w:rsid w:val="0035755E"/>
    <w:rsid w:val="00357A80"/>
    <w:rsid w:val="00357CA5"/>
    <w:rsid w:val="00361B8B"/>
    <w:rsid w:val="00363F39"/>
    <w:rsid w:val="003643C6"/>
    <w:rsid w:val="003644A3"/>
    <w:rsid w:val="00364AB0"/>
    <w:rsid w:val="00365A6E"/>
    <w:rsid w:val="003664B8"/>
    <w:rsid w:val="003667B0"/>
    <w:rsid w:val="003667DD"/>
    <w:rsid w:val="00366842"/>
    <w:rsid w:val="00366B48"/>
    <w:rsid w:val="00367764"/>
    <w:rsid w:val="00367DE6"/>
    <w:rsid w:val="00370316"/>
    <w:rsid w:val="00370DC7"/>
    <w:rsid w:val="0037156C"/>
    <w:rsid w:val="00371CBD"/>
    <w:rsid w:val="00373CBE"/>
    <w:rsid w:val="003740CC"/>
    <w:rsid w:val="0037435E"/>
    <w:rsid w:val="00374E79"/>
    <w:rsid w:val="00375388"/>
    <w:rsid w:val="00375B7E"/>
    <w:rsid w:val="00375FB9"/>
    <w:rsid w:val="00376851"/>
    <w:rsid w:val="00376F10"/>
    <w:rsid w:val="00376FA2"/>
    <w:rsid w:val="00377A3B"/>
    <w:rsid w:val="00377E3C"/>
    <w:rsid w:val="00380B5C"/>
    <w:rsid w:val="00380BBE"/>
    <w:rsid w:val="00381D70"/>
    <w:rsid w:val="00382128"/>
    <w:rsid w:val="0038235E"/>
    <w:rsid w:val="003829D0"/>
    <w:rsid w:val="00382FBA"/>
    <w:rsid w:val="003835DD"/>
    <w:rsid w:val="0038444F"/>
    <w:rsid w:val="00384E83"/>
    <w:rsid w:val="00385C34"/>
    <w:rsid w:val="00386B36"/>
    <w:rsid w:val="00387051"/>
    <w:rsid w:val="00387ECF"/>
    <w:rsid w:val="0039021B"/>
    <w:rsid w:val="00390429"/>
    <w:rsid w:val="00391298"/>
    <w:rsid w:val="0039327C"/>
    <w:rsid w:val="003933A2"/>
    <w:rsid w:val="0039366C"/>
    <w:rsid w:val="003938F3"/>
    <w:rsid w:val="00393C4B"/>
    <w:rsid w:val="00393DE7"/>
    <w:rsid w:val="00393EC8"/>
    <w:rsid w:val="00395E42"/>
    <w:rsid w:val="00396052"/>
    <w:rsid w:val="00396A2D"/>
    <w:rsid w:val="00396FC3"/>
    <w:rsid w:val="003A1895"/>
    <w:rsid w:val="003A1A94"/>
    <w:rsid w:val="003A204E"/>
    <w:rsid w:val="003A2D25"/>
    <w:rsid w:val="003A4DDB"/>
    <w:rsid w:val="003A60E7"/>
    <w:rsid w:val="003B07DF"/>
    <w:rsid w:val="003B0B6A"/>
    <w:rsid w:val="003B0F79"/>
    <w:rsid w:val="003B10E1"/>
    <w:rsid w:val="003B29CF"/>
    <w:rsid w:val="003B54DF"/>
    <w:rsid w:val="003B6659"/>
    <w:rsid w:val="003B7733"/>
    <w:rsid w:val="003B7BC8"/>
    <w:rsid w:val="003B7D9A"/>
    <w:rsid w:val="003C0166"/>
    <w:rsid w:val="003C21AA"/>
    <w:rsid w:val="003C2B79"/>
    <w:rsid w:val="003C350C"/>
    <w:rsid w:val="003C3903"/>
    <w:rsid w:val="003C3BA0"/>
    <w:rsid w:val="003C4580"/>
    <w:rsid w:val="003C52D8"/>
    <w:rsid w:val="003C5C5E"/>
    <w:rsid w:val="003C6746"/>
    <w:rsid w:val="003C7133"/>
    <w:rsid w:val="003C7555"/>
    <w:rsid w:val="003C7898"/>
    <w:rsid w:val="003D0FF5"/>
    <w:rsid w:val="003D2D1B"/>
    <w:rsid w:val="003D30AB"/>
    <w:rsid w:val="003D3D94"/>
    <w:rsid w:val="003D48C7"/>
    <w:rsid w:val="003D4C08"/>
    <w:rsid w:val="003D51ED"/>
    <w:rsid w:val="003D7CE8"/>
    <w:rsid w:val="003E1032"/>
    <w:rsid w:val="003E1904"/>
    <w:rsid w:val="003E2114"/>
    <w:rsid w:val="003E285E"/>
    <w:rsid w:val="003E3300"/>
    <w:rsid w:val="003E5B89"/>
    <w:rsid w:val="003E6340"/>
    <w:rsid w:val="003E65AC"/>
    <w:rsid w:val="003E6948"/>
    <w:rsid w:val="003E6E24"/>
    <w:rsid w:val="003E72B9"/>
    <w:rsid w:val="003E73C4"/>
    <w:rsid w:val="003E755C"/>
    <w:rsid w:val="003E7ED4"/>
    <w:rsid w:val="003F004D"/>
    <w:rsid w:val="003F0E52"/>
    <w:rsid w:val="003F0EF2"/>
    <w:rsid w:val="003F0F6B"/>
    <w:rsid w:val="003F1F40"/>
    <w:rsid w:val="003F1FE3"/>
    <w:rsid w:val="003F3865"/>
    <w:rsid w:val="003F3A0A"/>
    <w:rsid w:val="003F4632"/>
    <w:rsid w:val="003F47BA"/>
    <w:rsid w:val="003F5DA1"/>
    <w:rsid w:val="003F6617"/>
    <w:rsid w:val="003F773D"/>
    <w:rsid w:val="0040063B"/>
    <w:rsid w:val="00401070"/>
    <w:rsid w:val="004013C0"/>
    <w:rsid w:val="00402332"/>
    <w:rsid w:val="004025C2"/>
    <w:rsid w:val="0040346D"/>
    <w:rsid w:val="00403E55"/>
    <w:rsid w:val="00404532"/>
    <w:rsid w:val="00404681"/>
    <w:rsid w:val="0040496D"/>
    <w:rsid w:val="00405010"/>
    <w:rsid w:val="0040595A"/>
    <w:rsid w:val="00406923"/>
    <w:rsid w:val="0040713A"/>
    <w:rsid w:val="0040763D"/>
    <w:rsid w:val="004105B0"/>
    <w:rsid w:val="00410DC1"/>
    <w:rsid w:val="00410EC5"/>
    <w:rsid w:val="00411B1F"/>
    <w:rsid w:val="00412EC8"/>
    <w:rsid w:val="004133A8"/>
    <w:rsid w:val="00413821"/>
    <w:rsid w:val="00413D43"/>
    <w:rsid w:val="004141A3"/>
    <w:rsid w:val="004143E9"/>
    <w:rsid w:val="00414909"/>
    <w:rsid w:val="00415B03"/>
    <w:rsid w:val="00415E66"/>
    <w:rsid w:val="00416112"/>
    <w:rsid w:val="00416DF0"/>
    <w:rsid w:val="00417AE0"/>
    <w:rsid w:val="00417BAA"/>
    <w:rsid w:val="00420BA9"/>
    <w:rsid w:val="00420D7A"/>
    <w:rsid w:val="00420D9E"/>
    <w:rsid w:val="004223DE"/>
    <w:rsid w:val="00422718"/>
    <w:rsid w:val="0042293E"/>
    <w:rsid w:val="00422A10"/>
    <w:rsid w:val="00424D17"/>
    <w:rsid w:val="00425DFD"/>
    <w:rsid w:val="004263A3"/>
    <w:rsid w:val="00426903"/>
    <w:rsid w:val="00427713"/>
    <w:rsid w:val="00427CCC"/>
    <w:rsid w:val="00427D54"/>
    <w:rsid w:val="00427DB8"/>
    <w:rsid w:val="0043013A"/>
    <w:rsid w:val="00430421"/>
    <w:rsid w:val="00430B4F"/>
    <w:rsid w:val="004314B1"/>
    <w:rsid w:val="00431AD0"/>
    <w:rsid w:val="00431E65"/>
    <w:rsid w:val="00432589"/>
    <w:rsid w:val="00432A94"/>
    <w:rsid w:val="00433827"/>
    <w:rsid w:val="00435041"/>
    <w:rsid w:val="004360C8"/>
    <w:rsid w:val="0044006B"/>
    <w:rsid w:val="0044033F"/>
    <w:rsid w:val="00440630"/>
    <w:rsid w:val="00441123"/>
    <w:rsid w:val="0044127B"/>
    <w:rsid w:val="00441705"/>
    <w:rsid w:val="00442095"/>
    <w:rsid w:val="00442965"/>
    <w:rsid w:val="00444157"/>
    <w:rsid w:val="0044417C"/>
    <w:rsid w:val="00444DB3"/>
    <w:rsid w:val="00444E7F"/>
    <w:rsid w:val="004452B9"/>
    <w:rsid w:val="00445A2F"/>
    <w:rsid w:val="00446328"/>
    <w:rsid w:val="00446341"/>
    <w:rsid w:val="0044684E"/>
    <w:rsid w:val="004473DD"/>
    <w:rsid w:val="004479CA"/>
    <w:rsid w:val="004503A4"/>
    <w:rsid w:val="00450555"/>
    <w:rsid w:val="00450DC6"/>
    <w:rsid w:val="004516A5"/>
    <w:rsid w:val="004535AE"/>
    <w:rsid w:val="00453C42"/>
    <w:rsid w:val="0045463A"/>
    <w:rsid w:val="00454AC9"/>
    <w:rsid w:val="004554A3"/>
    <w:rsid w:val="00455A6E"/>
    <w:rsid w:val="004569CD"/>
    <w:rsid w:val="00456F2B"/>
    <w:rsid w:val="004578EB"/>
    <w:rsid w:val="00460303"/>
    <w:rsid w:val="00460697"/>
    <w:rsid w:val="004609AB"/>
    <w:rsid w:val="0046247F"/>
    <w:rsid w:val="00462593"/>
    <w:rsid w:val="00462A00"/>
    <w:rsid w:val="00465EEF"/>
    <w:rsid w:val="00466D03"/>
    <w:rsid w:val="0046711B"/>
    <w:rsid w:val="00467312"/>
    <w:rsid w:val="00471156"/>
    <w:rsid w:val="00472429"/>
    <w:rsid w:val="004725E5"/>
    <w:rsid w:val="004726FE"/>
    <w:rsid w:val="00472751"/>
    <w:rsid w:val="00473128"/>
    <w:rsid w:val="0047470A"/>
    <w:rsid w:val="00475078"/>
    <w:rsid w:val="00475226"/>
    <w:rsid w:val="004777F1"/>
    <w:rsid w:val="00477842"/>
    <w:rsid w:val="004779A0"/>
    <w:rsid w:val="004808E3"/>
    <w:rsid w:val="0048097D"/>
    <w:rsid w:val="00481016"/>
    <w:rsid w:val="004814C8"/>
    <w:rsid w:val="004814D3"/>
    <w:rsid w:val="0048204C"/>
    <w:rsid w:val="004821BB"/>
    <w:rsid w:val="00482233"/>
    <w:rsid w:val="004826FE"/>
    <w:rsid w:val="004827D5"/>
    <w:rsid w:val="004830C9"/>
    <w:rsid w:val="00483347"/>
    <w:rsid w:val="00483D06"/>
    <w:rsid w:val="00483E2E"/>
    <w:rsid w:val="00484B69"/>
    <w:rsid w:val="00485406"/>
    <w:rsid w:val="0048590F"/>
    <w:rsid w:val="004867A5"/>
    <w:rsid w:val="00486D60"/>
    <w:rsid w:val="00487C87"/>
    <w:rsid w:val="00492A25"/>
    <w:rsid w:val="0049474A"/>
    <w:rsid w:val="004951C8"/>
    <w:rsid w:val="00496350"/>
    <w:rsid w:val="00496F91"/>
    <w:rsid w:val="00497274"/>
    <w:rsid w:val="0049797C"/>
    <w:rsid w:val="00497C2C"/>
    <w:rsid w:val="00497E9D"/>
    <w:rsid w:val="004A036E"/>
    <w:rsid w:val="004A1405"/>
    <w:rsid w:val="004A1FC6"/>
    <w:rsid w:val="004A3C03"/>
    <w:rsid w:val="004A3DB7"/>
    <w:rsid w:val="004A3FB3"/>
    <w:rsid w:val="004A5088"/>
    <w:rsid w:val="004A5255"/>
    <w:rsid w:val="004A6097"/>
    <w:rsid w:val="004A6CB0"/>
    <w:rsid w:val="004A70FF"/>
    <w:rsid w:val="004B1B84"/>
    <w:rsid w:val="004B29AC"/>
    <w:rsid w:val="004B29E3"/>
    <w:rsid w:val="004B35DF"/>
    <w:rsid w:val="004B3627"/>
    <w:rsid w:val="004B3F3A"/>
    <w:rsid w:val="004B4779"/>
    <w:rsid w:val="004B4922"/>
    <w:rsid w:val="004B57DF"/>
    <w:rsid w:val="004C0238"/>
    <w:rsid w:val="004C03A0"/>
    <w:rsid w:val="004C2138"/>
    <w:rsid w:val="004C2ED0"/>
    <w:rsid w:val="004C32D4"/>
    <w:rsid w:val="004C3940"/>
    <w:rsid w:val="004C51FD"/>
    <w:rsid w:val="004C65A8"/>
    <w:rsid w:val="004C786C"/>
    <w:rsid w:val="004C7963"/>
    <w:rsid w:val="004D2314"/>
    <w:rsid w:val="004D2F63"/>
    <w:rsid w:val="004D35BA"/>
    <w:rsid w:val="004D45B8"/>
    <w:rsid w:val="004D4701"/>
    <w:rsid w:val="004D47C7"/>
    <w:rsid w:val="004D618D"/>
    <w:rsid w:val="004D6202"/>
    <w:rsid w:val="004D62A9"/>
    <w:rsid w:val="004D6FC3"/>
    <w:rsid w:val="004D7476"/>
    <w:rsid w:val="004E0306"/>
    <w:rsid w:val="004E0572"/>
    <w:rsid w:val="004E0C97"/>
    <w:rsid w:val="004E25A8"/>
    <w:rsid w:val="004E2AA0"/>
    <w:rsid w:val="004E3930"/>
    <w:rsid w:val="004E3ED9"/>
    <w:rsid w:val="004E5362"/>
    <w:rsid w:val="004E5866"/>
    <w:rsid w:val="004E6097"/>
    <w:rsid w:val="004E61EF"/>
    <w:rsid w:val="004E6772"/>
    <w:rsid w:val="004E76A7"/>
    <w:rsid w:val="004E7736"/>
    <w:rsid w:val="004E7A99"/>
    <w:rsid w:val="004E7B03"/>
    <w:rsid w:val="004F0064"/>
    <w:rsid w:val="004F069F"/>
    <w:rsid w:val="004F06AC"/>
    <w:rsid w:val="004F1AE6"/>
    <w:rsid w:val="004F243F"/>
    <w:rsid w:val="004F3E0C"/>
    <w:rsid w:val="004F6523"/>
    <w:rsid w:val="004F6929"/>
    <w:rsid w:val="004F6A2D"/>
    <w:rsid w:val="004F7160"/>
    <w:rsid w:val="00500258"/>
    <w:rsid w:val="0050175E"/>
    <w:rsid w:val="00501A99"/>
    <w:rsid w:val="00502569"/>
    <w:rsid w:val="00502CF3"/>
    <w:rsid w:val="00503180"/>
    <w:rsid w:val="0050417C"/>
    <w:rsid w:val="00505450"/>
    <w:rsid w:val="005100B7"/>
    <w:rsid w:val="005111C2"/>
    <w:rsid w:val="005113C9"/>
    <w:rsid w:val="0051280C"/>
    <w:rsid w:val="00512842"/>
    <w:rsid w:val="005128BE"/>
    <w:rsid w:val="00512B7B"/>
    <w:rsid w:val="00512E6C"/>
    <w:rsid w:val="0051356F"/>
    <w:rsid w:val="00513E7C"/>
    <w:rsid w:val="005140BB"/>
    <w:rsid w:val="005143C2"/>
    <w:rsid w:val="00514FD9"/>
    <w:rsid w:val="0051518F"/>
    <w:rsid w:val="00515FB2"/>
    <w:rsid w:val="0051608F"/>
    <w:rsid w:val="005165E9"/>
    <w:rsid w:val="005210F7"/>
    <w:rsid w:val="00521753"/>
    <w:rsid w:val="00521A44"/>
    <w:rsid w:val="00521D16"/>
    <w:rsid w:val="005222BE"/>
    <w:rsid w:val="005224EE"/>
    <w:rsid w:val="00523BB1"/>
    <w:rsid w:val="005242CF"/>
    <w:rsid w:val="00524401"/>
    <w:rsid w:val="0052451A"/>
    <w:rsid w:val="00524737"/>
    <w:rsid w:val="005253E7"/>
    <w:rsid w:val="005258DF"/>
    <w:rsid w:val="00526265"/>
    <w:rsid w:val="0052652D"/>
    <w:rsid w:val="0052655D"/>
    <w:rsid w:val="005265E0"/>
    <w:rsid w:val="00526930"/>
    <w:rsid w:val="00526BC3"/>
    <w:rsid w:val="00530F9E"/>
    <w:rsid w:val="00531A72"/>
    <w:rsid w:val="0053274E"/>
    <w:rsid w:val="0053358A"/>
    <w:rsid w:val="00534668"/>
    <w:rsid w:val="00534D38"/>
    <w:rsid w:val="00534DDD"/>
    <w:rsid w:val="00535291"/>
    <w:rsid w:val="00535295"/>
    <w:rsid w:val="00535A94"/>
    <w:rsid w:val="00537874"/>
    <w:rsid w:val="00537909"/>
    <w:rsid w:val="00540204"/>
    <w:rsid w:val="00540578"/>
    <w:rsid w:val="005407D2"/>
    <w:rsid w:val="00540808"/>
    <w:rsid w:val="0054080E"/>
    <w:rsid w:val="005408B4"/>
    <w:rsid w:val="00540EA1"/>
    <w:rsid w:val="005423B1"/>
    <w:rsid w:val="0054358E"/>
    <w:rsid w:val="00543AF4"/>
    <w:rsid w:val="00544191"/>
    <w:rsid w:val="00544F39"/>
    <w:rsid w:val="00547EFB"/>
    <w:rsid w:val="005531DF"/>
    <w:rsid w:val="00553874"/>
    <w:rsid w:val="00553ACC"/>
    <w:rsid w:val="00554AD8"/>
    <w:rsid w:val="00554F78"/>
    <w:rsid w:val="005556A5"/>
    <w:rsid w:val="005561F0"/>
    <w:rsid w:val="00556BF7"/>
    <w:rsid w:val="00560838"/>
    <w:rsid w:val="00560DB5"/>
    <w:rsid w:val="00562149"/>
    <w:rsid w:val="005630D8"/>
    <w:rsid w:val="00563FFD"/>
    <w:rsid w:val="00565855"/>
    <w:rsid w:val="005667C2"/>
    <w:rsid w:val="005677CE"/>
    <w:rsid w:val="00567B5D"/>
    <w:rsid w:val="00570445"/>
    <w:rsid w:val="00572E9A"/>
    <w:rsid w:val="00573733"/>
    <w:rsid w:val="005739F5"/>
    <w:rsid w:val="00574064"/>
    <w:rsid w:val="00574554"/>
    <w:rsid w:val="00576089"/>
    <w:rsid w:val="005764B1"/>
    <w:rsid w:val="00576A0D"/>
    <w:rsid w:val="00576A56"/>
    <w:rsid w:val="00576D06"/>
    <w:rsid w:val="005777CA"/>
    <w:rsid w:val="005779E4"/>
    <w:rsid w:val="00580AC5"/>
    <w:rsid w:val="005815E5"/>
    <w:rsid w:val="0058289C"/>
    <w:rsid w:val="00582C35"/>
    <w:rsid w:val="00582DC6"/>
    <w:rsid w:val="005836C7"/>
    <w:rsid w:val="0058408E"/>
    <w:rsid w:val="00585374"/>
    <w:rsid w:val="005876DF"/>
    <w:rsid w:val="0058789A"/>
    <w:rsid w:val="00590B77"/>
    <w:rsid w:val="005913A3"/>
    <w:rsid w:val="00591DCD"/>
    <w:rsid w:val="00594A7B"/>
    <w:rsid w:val="00594AFA"/>
    <w:rsid w:val="0059580E"/>
    <w:rsid w:val="00596A6F"/>
    <w:rsid w:val="005976E1"/>
    <w:rsid w:val="005A0541"/>
    <w:rsid w:val="005A0C8D"/>
    <w:rsid w:val="005A0D64"/>
    <w:rsid w:val="005A1525"/>
    <w:rsid w:val="005A1EC3"/>
    <w:rsid w:val="005A252B"/>
    <w:rsid w:val="005A2A71"/>
    <w:rsid w:val="005A3204"/>
    <w:rsid w:val="005A32B6"/>
    <w:rsid w:val="005A3341"/>
    <w:rsid w:val="005A46EC"/>
    <w:rsid w:val="005A47AA"/>
    <w:rsid w:val="005A4847"/>
    <w:rsid w:val="005A494F"/>
    <w:rsid w:val="005B0160"/>
    <w:rsid w:val="005B0185"/>
    <w:rsid w:val="005B07EC"/>
    <w:rsid w:val="005B09D8"/>
    <w:rsid w:val="005B24F3"/>
    <w:rsid w:val="005B28A1"/>
    <w:rsid w:val="005B2B11"/>
    <w:rsid w:val="005B2E00"/>
    <w:rsid w:val="005B370E"/>
    <w:rsid w:val="005B4DA3"/>
    <w:rsid w:val="005B5B71"/>
    <w:rsid w:val="005B5BEE"/>
    <w:rsid w:val="005B7784"/>
    <w:rsid w:val="005B77D2"/>
    <w:rsid w:val="005C019B"/>
    <w:rsid w:val="005C144E"/>
    <w:rsid w:val="005C1625"/>
    <w:rsid w:val="005C2D0A"/>
    <w:rsid w:val="005C30F5"/>
    <w:rsid w:val="005C357E"/>
    <w:rsid w:val="005C3604"/>
    <w:rsid w:val="005C51A5"/>
    <w:rsid w:val="005C5403"/>
    <w:rsid w:val="005C557A"/>
    <w:rsid w:val="005C5A03"/>
    <w:rsid w:val="005C61DD"/>
    <w:rsid w:val="005C6438"/>
    <w:rsid w:val="005C6B8B"/>
    <w:rsid w:val="005D02E3"/>
    <w:rsid w:val="005D1F34"/>
    <w:rsid w:val="005D2529"/>
    <w:rsid w:val="005D25BF"/>
    <w:rsid w:val="005D2C1F"/>
    <w:rsid w:val="005D34B2"/>
    <w:rsid w:val="005D3B54"/>
    <w:rsid w:val="005D40CD"/>
    <w:rsid w:val="005D6B59"/>
    <w:rsid w:val="005D7037"/>
    <w:rsid w:val="005E03E4"/>
    <w:rsid w:val="005E0454"/>
    <w:rsid w:val="005E171D"/>
    <w:rsid w:val="005E34C2"/>
    <w:rsid w:val="005E35C6"/>
    <w:rsid w:val="005E3711"/>
    <w:rsid w:val="005E3AF9"/>
    <w:rsid w:val="005E5099"/>
    <w:rsid w:val="005E5B01"/>
    <w:rsid w:val="005E7933"/>
    <w:rsid w:val="005E7E0B"/>
    <w:rsid w:val="005F009E"/>
    <w:rsid w:val="005F080C"/>
    <w:rsid w:val="005F0A88"/>
    <w:rsid w:val="005F0DF1"/>
    <w:rsid w:val="005F1516"/>
    <w:rsid w:val="005F229E"/>
    <w:rsid w:val="005F2564"/>
    <w:rsid w:val="005F3822"/>
    <w:rsid w:val="005F3E0B"/>
    <w:rsid w:val="005F4D16"/>
    <w:rsid w:val="005F4E52"/>
    <w:rsid w:val="005F5967"/>
    <w:rsid w:val="005F77C8"/>
    <w:rsid w:val="0060058E"/>
    <w:rsid w:val="00602A3C"/>
    <w:rsid w:val="00602EA4"/>
    <w:rsid w:val="00603EFD"/>
    <w:rsid w:val="006041DF"/>
    <w:rsid w:val="0060475B"/>
    <w:rsid w:val="00604FB6"/>
    <w:rsid w:val="00604FD6"/>
    <w:rsid w:val="00605387"/>
    <w:rsid w:val="00606302"/>
    <w:rsid w:val="006072EF"/>
    <w:rsid w:val="006076FD"/>
    <w:rsid w:val="00607BA3"/>
    <w:rsid w:val="00610CAA"/>
    <w:rsid w:val="00610FD1"/>
    <w:rsid w:val="0061143F"/>
    <w:rsid w:val="006114D8"/>
    <w:rsid w:val="00611585"/>
    <w:rsid w:val="00612931"/>
    <w:rsid w:val="00613601"/>
    <w:rsid w:val="00613791"/>
    <w:rsid w:val="00613AAB"/>
    <w:rsid w:val="006148C7"/>
    <w:rsid w:val="006150D6"/>
    <w:rsid w:val="006166A3"/>
    <w:rsid w:val="00617EEE"/>
    <w:rsid w:val="006210FE"/>
    <w:rsid w:val="00622811"/>
    <w:rsid w:val="00622878"/>
    <w:rsid w:val="00622894"/>
    <w:rsid w:val="00622BB7"/>
    <w:rsid w:val="00622F3B"/>
    <w:rsid w:val="00623130"/>
    <w:rsid w:val="00623389"/>
    <w:rsid w:val="0062352A"/>
    <w:rsid w:val="00625E45"/>
    <w:rsid w:val="006265C4"/>
    <w:rsid w:val="00626DB1"/>
    <w:rsid w:val="00627383"/>
    <w:rsid w:val="00627733"/>
    <w:rsid w:val="006301BB"/>
    <w:rsid w:val="00632605"/>
    <w:rsid w:val="00633F8D"/>
    <w:rsid w:val="006341EF"/>
    <w:rsid w:val="00634BED"/>
    <w:rsid w:val="00635A4A"/>
    <w:rsid w:val="00635F1C"/>
    <w:rsid w:val="00635FB9"/>
    <w:rsid w:val="006366A6"/>
    <w:rsid w:val="00636765"/>
    <w:rsid w:val="00637774"/>
    <w:rsid w:val="0064024C"/>
    <w:rsid w:val="00640291"/>
    <w:rsid w:val="00641CED"/>
    <w:rsid w:val="00641FAC"/>
    <w:rsid w:val="0064262E"/>
    <w:rsid w:val="006432A5"/>
    <w:rsid w:val="00643664"/>
    <w:rsid w:val="00643CAA"/>
    <w:rsid w:val="0064448B"/>
    <w:rsid w:val="00647B97"/>
    <w:rsid w:val="00651874"/>
    <w:rsid w:val="00652137"/>
    <w:rsid w:val="00652680"/>
    <w:rsid w:val="00652A09"/>
    <w:rsid w:val="006530A1"/>
    <w:rsid w:val="0065371D"/>
    <w:rsid w:val="00653CDE"/>
    <w:rsid w:val="006540B4"/>
    <w:rsid w:val="0065636A"/>
    <w:rsid w:val="00656C3C"/>
    <w:rsid w:val="00657003"/>
    <w:rsid w:val="00657126"/>
    <w:rsid w:val="006572C1"/>
    <w:rsid w:val="00660238"/>
    <w:rsid w:val="006602EF"/>
    <w:rsid w:val="00661277"/>
    <w:rsid w:val="006616FE"/>
    <w:rsid w:val="00661717"/>
    <w:rsid w:val="006619D1"/>
    <w:rsid w:val="006628AD"/>
    <w:rsid w:val="00663FEA"/>
    <w:rsid w:val="00664253"/>
    <w:rsid w:val="00664803"/>
    <w:rsid w:val="006661A4"/>
    <w:rsid w:val="006670E0"/>
    <w:rsid w:val="00667532"/>
    <w:rsid w:val="006704FD"/>
    <w:rsid w:val="00670F3A"/>
    <w:rsid w:val="006715E6"/>
    <w:rsid w:val="0067294B"/>
    <w:rsid w:val="006736BB"/>
    <w:rsid w:val="00673AA4"/>
    <w:rsid w:val="00674066"/>
    <w:rsid w:val="00674187"/>
    <w:rsid w:val="0067508F"/>
    <w:rsid w:val="00675349"/>
    <w:rsid w:val="00675E7E"/>
    <w:rsid w:val="0068051E"/>
    <w:rsid w:val="00680B9D"/>
    <w:rsid w:val="00681F13"/>
    <w:rsid w:val="0068231C"/>
    <w:rsid w:val="00682344"/>
    <w:rsid w:val="00682E78"/>
    <w:rsid w:val="00682F28"/>
    <w:rsid w:val="00683D1D"/>
    <w:rsid w:val="00684842"/>
    <w:rsid w:val="00685BD6"/>
    <w:rsid w:val="00686167"/>
    <w:rsid w:val="00686433"/>
    <w:rsid w:val="006878A6"/>
    <w:rsid w:val="00690437"/>
    <w:rsid w:val="00690E65"/>
    <w:rsid w:val="0069188E"/>
    <w:rsid w:val="00691974"/>
    <w:rsid w:val="00691A3F"/>
    <w:rsid w:val="00692CE6"/>
    <w:rsid w:val="00692DA8"/>
    <w:rsid w:val="00693B6C"/>
    <w:rsid w:val="006942AE"/>
    <w:rsid w:val="0069483C"/>
    <w:rsid w:val="00695421"/>
    <w:rsid w:val="00695AE4"/>
    <w:rsid w:val="00696D4B"/>
    <w:rsid w:val="006977A8"/>
    <w:rsid w:val="00697BD3"/>
    <w:rsid w:val="00697DFA"/>
    <w:rsid w:val="006A10F3"/>
    <w:rsid w:val="006A16D5"/>
    <w:rsid w:val="006A1772"/>
    <w:rsid w:val="006A1780"/>
    <w:rsid w:val="006A1917"/>
    <w:rsid w:val="006A25A5"/>
    <w:rsid w:val="006A2747"/>
    <w:rsid w:val="006A2790"/>
    <w:rsid w:val="006A3CEC"/>
    <w:rsid w:val="006A3F75"/>
    <w:rsid w:val="006A4838"/>
    <w:rsid w:val="006A4FB3"/>
    <w:rsid w:val="006A5A3E"/>
    <w:rsid w:val="006A5BAB"/>
    <w:rsid w:val="006A6CA7"/>
    <w:rsid w:val="006A703E"/>
    <w:rsid w:val="006A7BE3"/>
    <w:rsid w:val="006B01D1"/>
    <w:rsid w:val="006B16EA"/>
    <w:rsid w:val="006B1780"/>
    <w:rsid w:val="006B224E"/>
    <w:rsid w:val="006B362D"/>
    <w:rsid w:val="006B376E"/>
    <w:rsid w:val="006B4589"/>
    <w:rsid w:val="006B6805"/>
    <w:rsid w:val="006B6BBE"/>
    <w:rsid w:val="006B6DE0"/>
    <w:rsid w:val="006B7D5F"/>
    <w:rsid w:val="006C0FCC"/>
    <w:rsid w:val="006C2D83"/>
    <w:rsid w:val="006C32F4"/>
    <w:rsid w:val="006C3382"/>
    <w:rsid w:val="006C3C54"/>
    <w:rsid w:val="006C40F4"/>
    <w:rsid w:val="006C427B"/>
    <w:rsid w:val="006C4F9F"/>
    <w:rsid w:val="006C5019"/>
    <w:rsid w:val="006C5778"/>
    <w:rsid w:val="006C61AB"/>
    <w:rsid w:val="006C650D"/>
    <w:rsid w:val="006C686A"/>
    <w:rsid w:val="006C7479"/>
    <w:rsid w:val="006C748D"/>
    <w:rsid w:val="006D0C1D"/>
    <w:rsid w:val="006D0CE1"/>
    <w:rsid w:val="006D2004"/>
    <w:rsid w:val="006D2A8C"/>
    <w:rsid w:val="006D2E9D"/>
    <w:rsid w:val="006D32EB"/>
    <w:rsid w:val="006D4C1E"/>
    <w:rsid w:val="006D4C42"/>
    <w:rsid w:val="006D5809"/>
    <w:rsid w:val="006D630A"/>
    <w:rsid w:val="006D668D"/>
    <w:rsid w:val="006D7363"/>
    <w:rsid w:val="006D74F2"/>
    <w:rsid w:val="006E04C8"/>
    <w:rsid w:val="006E061F"/>
    <w:rsid w:val="006E0712"/>
    <w:rsid w:val="006E0754"/>
    <w:rsid w:val="006E2668"/>
    <w:rsid w:val="006E2D39"/>
    <w:rsid w:val="006E32B0"/>
    <w:rsid w:val="006E36D8"/>
    <w:rsid w:val="006E396A"/>
    <w:rsid w:val="006E3A73"/>
    <w:rsid w:val="006E5825"/>
    <w:rsid w:val="006E5DD8"/>
    <w:rsid w:val="006E5EA1"/>
    <w:rsid w:val="006E6A4C"/>
    <w:rsid w:val="006E7ABC"/>
    <w:rsid w:val="006F0760"/>
    <w:rsid w:val="006F0FF1"/>
    <w:rsid w:val="006F11E2"/>
    <w:rsid w:val="006F12F5"/>
    <w:rsid w:val="006F2574"/>
    <w:rsid w:val="006F3231"/>
    <w:rsid w:val="006F3582"/>
    <w:rsid w:val="006F3DE3"/>
    <w:rsid w:val="006F4C05"/>
    <w:rsid w:val="006F511F"/>
    <w:rsid w:val="006F61D8"/>
    <w:rsid w:val="006F62B7"/>
    <w:rsid w:val="006F70BC"/>
    <w:rsid w:val="006F713A"/>
    <w:rsid w:val="006F76BF"/>
    <w:rsid w:val="006F7C48"/>
    <w:rsid w:val="00702631"/>
    <w:rsid w:val="00705161"/>
    <w:rsid w:val="007066A4"/>
    <w:rsid w:val="00706F37"/>
    <w:rsid w:val="00707D09"/>
    <w:rsid w:val="00710760"/>
    <w:rsid w:val="00711A00"/>
    <w:rsid w:val="0071209F"/>
    <w:rsid w:val="007125A2"/>
    <w:rsid w:val="00713F79"/>
    <w:rsid w:val="007148A8"/>
    <w:rsid w:val="00715A9B"/>
    <w:rsid w:val="00716125"/>
    <w:rsid w:val="00716C9F"/>
    <w:rsid w:val="007171E0"/>
    <w:rsid w:val="0071740B"/>
    <w:rsid w:val="00717C40"/>
    <w:rsid w:val="0072033C"/>
    <w:rsid w:val="00720B1B"/>
    <w:rsid w:val="00721062"/>
    <w:rsid w:val="00721A4E"/>
    <w:rsid w:val="00721E5D"/>
    <w:rsid w:val="007229D4"/>
    <w:rsid w:val="007230F8"/>
    <w:rsid w:val="007233F4"/>
    <w:rsid w:val="00723646"/>
    <w:rsid w:val="00724044"/>
    <w:rsid w:val="007244E1"/>
    <w:rsid w:val="007248D3"/>
    <w:rsid w:val="00725137"/>
    <w:rsid w:val="00725C63"/>
    <w:rsid w:val="007263ED"/>
    <w:rsid w:val="0072653B"/>
    <w:rsid w:val="00726C9E"/>
    <w:rsid w:val="00727A43"/>
    <w:rsid w:val="00727FF2"/>
    <w:rsid w:val="007323E0"/>
    <w:rsid w:val="007324ED"/>
    <w:rsid w:val="00733791"/>
    <w:rsid w:val="00733857"/>
    <w:rsid w:val="00733DE2"/>
    <w:rsid w:val="00734328"/>
    <w:rsid w:val="007346E7"/>
    <w:rsid w:val="007352EA"/>
    <w:rsid w:val="0073588C"/>
    <w:rsid w:val="00735B08"/>
    <w:rsid w:val="00736032"/>
    <w:rsid w:val="007364E5"/>
    <w:rsid w:val="0073792F"/>
    <w:rsid w:val="00737C48"/>
    <w:rsid w:val="007409CA"/>
    <w:rsid w:val="00740DA6"/>
    <w:rsid w:val="00741A0E"/>
    <w:rsid w:val="00741D1E"/>
    <w:rsid w:val="00741EE2"/>
    <w:rsid w:val="00742367"/>
    <w:rsid w:val="00742EAA"/>
    <w:rsid w:val="00743818"/>
    <w:rsid w:val="007439E2"/>
    <w:rsid w:val="00743E9C"/>
    <w:rsid w:val="007441FB"/>
    <w:rsid w:val="00744517"/>
    <w:rsid w:val="00744810"/>
    <w:rsid w:val="00747079"/>
    <w:rsid w:val="00747DD4"/>
    <w:rsid w:val="00747DE2"/>
    <w:rsid w:val="007504BF"/>
    <w:rsid w:val="007506CD"/>
    <w:rsid w:val="007525DB"/>
    <w:rsid w:val="0075267F"/>
    <w:rsid w:val="007526EC"/>
    <w:rsid w:val="0075310C"/>
    <w:rsid w:val="00753347"/>
    <w:rsid w:val="00753C48"/>
    <w:rsid w:val="007545C1"/>
    <w:rsid w:val="00754C97"/>
    <w:rsid w:val="00754FE4"/>
    <w:rsid w:val="00755538"/>
    <w:rsid w:val="00755971"/>
    <w:rsid w:val="00756236"/>
    <w:rsid w:val="00756271"/>
    <w:rsid w:val="00756521"/>
    <w:rsid w:val="00756AB7"/>
    <w:rsid w:val="0075745C"/>
    <w:rsid w:val="00757BCE"/>
    <w:rsid w:val="00760477"/>
    <w:rsid w:val="007615CE"/>
    <w:rsid w:val="00761AF4"/>
    <w:rsid w:val="00762071"/>
    <w:rsid w:val="007623FB"/>
    <w:rsid w:val="0076376A"/>
    <w:rsid w:val="0076500F"/>
    <w:rsid w:val="0076504E"/>
    <w:rsid w:val="00765D24"/>
    <w:rsid w:val="00765E6A"/>
    <w:rsid w:val="007664E0"/>
    <w:rsid w:val="00767EA0"/>
    <w:rsid w:val="0077068F"/>
    <w:rsid w:val="007710F8"/>
    <w:rsid w:val="007711EA"/>
    <w:rsid w:val="00771870"/>
    <w:rsid w:val="0077408D"/>
    <w:rsid w:val="007741CF"/>
    <w:rsid w:val="00774270"/>
    <w:rsid w:val="00775679"/>
    <w:rsid w:val="00775803"/>
    <w:rsid w:val="007761F1"/>
    <w:rsid w:val="00777B32"/>
    <w:rsid w:val="0078051E"/>
    <w:rsid w:val="00781FDD"/>
    <w:rsid w:val="00782A9F"/>
    <w:rsid w:val="00784330"/>
    <w:rsid w:val="0078508A"/>
    <w:rsid w:val="00786D5C"/>
    <w:rsid w:val="00786E96"/>
    <w:rsid w:val="00787F93"/>
    <w:rsid w:val="00790684"/>
    <w:rsid w:val="007907CA"/>
    <w:rsid w:val="00791170"/>
    <w:rsid w:val="00791E6D"/>
    <w:rsid w:val="007928DC"/>
    <w:rsid w:val="00792CB3"/>
    <w:rsid w:val="00792E53"/>
    <w:rsid w:val="007933DF"/>
    <w:rsid w:val="0079384D"/>
    <w:rsid w:val="007939CC"/>
    <w:rsid w:val="00795A0F"/>
    <w:rsid w:val="00796FB8"/>
    <w:rsid w:val="007A11C2"/>
    <w:rsid w:val="007A2367"/>
    <w:rsid w:val="007A41BF"/>
    <w:rsid w:val="007A490A"/>
    <w:rsid w:val="007A581D"/>
    <w:rsid w:val="007A7B95"/>
    <w:rsid w:val="007B0297"/>
    <w:rsid w:val="007B0F53"/>
    <w:rsid w:val="007B1DD8"/>
    <w:rsid w:val="007B21AE"/>
    <w:rsid w:val="007B2570"/>
    <w:rsid w:val="007B2C31"/>
    <w:rsid w:val="007B3113"/>
    <w:rsid w:val="007B3304"/>
    <w:rsid w:val="007B332B"/>
    <w:rsid w:val="007B394D"/>
    <w:rsid w:val="007B53FA"/>
    <w:rsid w:val="007B6423"/>
    <w:rsid w:val="007B7490"/>
    <w:rsid w:val="007B774A"/>
    <w:rsid w:val="007C0525"/>
    <w:rsid w:val="007C0B56"/>
    <w:rsid w:val="007C13F7"/>
    <w:rsid w:val="007C218D"/>
    <w:rsid w:val="007C2D28"/>
    <w:rsid w:val="007C3E22"/>
    <w:rsid w:val="007C67C6"/>
    <w:rsid w:val="007C707A"/>
    <w:rsid w:val="007C7E59"/>
    <w:rsid w:val="007D0A39"/>
    <w:rsid w:val="007D0B91"/>
    <w:rsid w:val="007D1452"/>
    <w:rsid w:val="007D1E29"/>
    <w:rsid w:val="007D460C"/>
    <w:rsid w:val="007D484A"/>
    <w:rsid w:val="007D4AD3"/>
    <w:rsid w:val="007D4C8D"/>
    <w:rsid w:val="007D5D19"/>
    <w:rsid w:val="007D5FDC"/>
    <w:rsid w:val="007D6D68"/>
    <w:rsid w:val="007E01DA"/>
    <w:rsid w:val="007E0ADB"/>
    <w:rsid w:val="007E1603"/>
    <w:rsid w:val="007E2E85"/>
    <w:rsid w:val="007E32DA"/>
    <w:rsid w:val="007E3896"/>
    <w:rsid w:val="007E38A6"/>
    <w:rsid w:val="007E3FFB"/>
    <w:rsid w:val="007E4998"/>
    <w:rsid w:val="007E4A9C"/>
    <w:rsid w:val="007E4B2B"/>
    <w:rsid w:val="007E584E"/>
    <w:rsid w:val="007E6914"/>
    <w:rsid w:val="007E7F78"/>
    <w:rsid w:val="007F0C8B"/>
    <w:rsid w:val="007F1517"/>
    <w:rsid w:val="007F1D44"/>
    <w:rsid w:val="007F23A5"/>
    <w:rsid w:val="007F267F"/>
    <w:rsid w:val="007F2C13"/>
    <w:rsid w:val="007F2CEC"/>
    <w:rsid w:val="007F4949"/>
    <w:rsid w:val="007F55DE"/>
    <w:rsid w:val="007F5605"/>
    <w:rsid w:val="007F6147"/>
    <w:rsid w:val="007F78FF"/>
    <w:rsid w:val="00800F6C"/>
    <w:rsid w:val="008025BE"/>
    <w:rsid w:val="0080381C"/>
    <w:rsid w:val="00804C86"/>
    <w:rsid w:val="008051FC"/>
    <w:rsid w:val="008055A9"/>
    <w:rsid w:val="008070EB"/>
    <w:rsid w:val="00807376"/>
    <w:rsid w:val="00810B0E"/>
    <w:rsid w:val="00810B14"/>
    <w:rsid w:val="00810E8E"/>
    <w:rsid w:val="0081142D"/>
    <w:rsid w:val="00812462"/>
    <w:rsid w:val="008126E2"/>
    <w:rsid w:val="008133A5"/>
    <w:rsid w:val="0081481D"/>
    <w:rsid w:val="00814BE8"/>
    <w:rsid w:val="00814F6E"/>
    <w:rsid w:val="0081565F"/>
    <w:rsid w:val="00815B84"/>
    <w:rsid w:val="00821A3D"/>
    <w:rsid w:val="00821B06"/>
    <w:rsid w:val="00822037"/>
    <w:rsid w:val="00822634"/>
    <w:rsid w:val="00823FC6"/>
    <w:rsid w:val="00823FFC"/>
    <w:rsid w:val="00824811"/>
    <w:rsid w:val="00825418"/>
    <w:rsid w:val="00825C74"/>
    <w:rsid w:val="00826AB9"/>
    <w:rsid w:val="00826E0E"/>
    <w:rsid w:val="0082731F"/>
    <w:rsid w:val="00827D11"/>
    <w:rsid w:val="00827E0F"/>
    <w:rsid w:val="00827F6E"/>
    <w:rsid w:val="00831758"/>
    <w:rsid w:val="00831977"/>
    <w:rsid w:val="0083279F"/>
    <w:rsid w:val="00833B7F"/>
    <w:rsid w:val="00834906"/>
    <w:rsid w:val="0083566A"/>
    <w:rsid w:val="00835A99"/>
    <w:rsid w:val="00836075"/>
    <w:rsid w:val="00836417"/>
    <w:rsid w:val="008377F7"/>
    <w:rsid w:val="008411F9"/>
    <w:rsid w:val="008413AB"/>
    <w:rsid w:val="00842D10"/>
    <w:rsid w:val="0084322B"/>
    <w:rsid w:val="00843B93"/>
    <w:rsid w:val="00843C08"/>
    <w:rsid w:val="00843F81"/>
    <w:rsid w:val="00844087"/>
    <w:rsid w:val="0084519E"/>
    <w:rsid w:val="00846370"/>
    <w:rsid w:val="00847C2B"/>
    <w:rsid w:val="00851256"/>
    <w:rsid w:val="00851A7C"/>
    <w:rsid w:val="00852438"/>
    <w:rsid w:val="0085270D"/>
    <w:rsid w:val="008532BF"/>
    <w:rsid w:val="00853BF4"/>
    <w:rsid w:val="00854294"/>
    <w:rsid w:val="008555FB"/>
    <w:rsid w:val="0085788B"/>
    <w:rsid w:val="00857941"/>
    <w:rsid w:val="00857A9E"/>
    <w:rsid w:val="00857DE2"/>
    <w:rsid w:val="00863E7D"/>
    <w:rsid w:val="0086407F"/>
    <w:rsid w:val="00864548"/>
    <w:rsid w:val="00864D9C"/>
    <w:rsid w:val="00864E79"/>
    <w:rsid w:val="00866111"/>
    <w:rsid w:val="0086661F"/>
    <w:rsid w:val="00866A0D"/>
    <w:rsid w:val="00866DB5"/>
    <w:rsid w:val="0086784E"/>
    <w:rsid w:val="00867AF1"/>
    <w:rsid w:val="00870EE1"/>
    <w:rsid w:val="00871D7D"/>
    <w:rsid w:val="008720B3"/>
    <w:rsid w:val="00872118"/>
    <w:rsid w:val="008727CE"/>
    <w:rsid w:val="00872827"/>
    <w:rsid w:val="00872A32"/>
    <w:rsid w:val="00874ECA"/>
    <w:rsid w:val="00875D0E"/>
    <w:rsid w:val="00876EAE"/>
    <w:rsid w:val="00880F95"/>
    <w:rsid w:val="00881F68"/>
    <w:rsid w:val="00882B44"/>
    <w:rsid w:val="00882FE5"/>
    <w:rsid w:val="008859E3"/>
    <w:rsid w:val="00886138"/>
    <w:rsid w:val="00886E66"/>
    <w:rsid w:val="008871B0"/>
    <w:rsid w:val="008912F5"/>
    <w:rsid w:val="008915A7"/>
    <w:rsid w:val="008918EB"/>
    <w:rsid w:val="0089217C"/>
    <w:rsid w:val="008928A1"/>
    <w:rsid w:val="00893671"/>
    <w:rsid w:val="00895838"/>
    <w:rsid w:val="00895A72"/>
    <w:rsid w:val="00895CDF"/>
    <w:rsid w:val="008968C7"/>
    <w:rsid w:val="00896AFD"/>
    <w:rsid w:val="00897A55"/>
    <w:rsid w:val="008A0154"/>
    <w:rsid w:val="008A0FC9"/>
    <w:rsid w:val="008A1956"/>
    <w:rsid w:val="008A40D3"/>
    <w:rsid w:val="008A469C"/>
    <w:rsid w:val="008A484A"/>
    <w:rsid w:val="008A5877"/>
    <w:rsid w:val="008A6539"/>
    <w:rsid w:val="008A701C"/>
    <w:rsid w:val="008B05DD"/>
    <w:rsid w:val="008B17E8"/>
    <w:rsid w:val="008B266C"/>
    <w:rsid w:val="008B2D03"/>
    <w:rsid w:val="008B2E7C"/>
    <w:rsid w:val="008B3703"/>
    <w:rsid w:val="008B42AB"/>
    <w:rsid w:val="008B45A7"/>
    <w:rsid w:val="008B4A70"/>
    <w:rsid w:val="008B502F"/>
    <w:rsid w:val="008B5142"/>
    <w:rsid w:val="008B6661"/>
    <w:rsid w:val="008B67CB"/>
    <w:rsid w:val="008B6A63"/>
    <w:rsid w:val="008B6AFE"/>
    <w:rsid w:val="008B6B83"/>
    <w:rsid w:val="008B7034"/>
    <w:rsid w:val="008B7227"/>
    <w:rsid w:val="008C03DD"/>
    <w:rsid w:val="008C191C"/>
    <w:rsid w:val="008C1DA4"/>
    <w:rsid w:val="008C2CD5"/>
    <w:rsid w:val="008C2E29"/>
    <w:rsid w:val="008C32B7"/>
    <w:rsid w:val="008C360C"/>
    <w:rsid w:val="008C3618"/>
    <w:rsid w:val="008C3F20"/>
    <w:rsid w:val="008C43AD"/>
    <w:rsid w:val="008C4B6C"/>
    <w:rsid w:val="008C59FB"/>
    <w:rsid w:val="008C619E"/>
    <w:rsid w:val="008C6687"/>
    <w:rsid w:val="008C68F0"/>
    <w:rsid w:val="008C6F92"/>
    <w:rsid w:val="008C731F"/>
    <w:rsid w:val="008C74D9"/>
    <w:rsid w:val="008C79C3"/>
    <w:rsid w:val="008C7A47"/>
    <w:rsid w:val="008D0170"/>
    <w:rsid w:val="008D1052"/>
    <w:rsid w:val="008D124C"/>
    <w:rsid w:val="008D1983"/>
    <w:rsid w:val="008D1BB3"/>
    <w:rsid w:val="008D1C32"/>
    <w:rsid w:val="008D22AE"/>
    <w:rsid w:val="008D234A"/>
    <w:rsid w:val="008D238C"/>
    <w:rsid w:val="008D566C"/>
    <w:rsid w:val="008D58D9"/>
    <w:rsid w:val="008D5EB0"/>
    <w:rsid w:val="008D64F5"/>
    <w:rsid w:val="008D66EA"/>
    <w:rsid w:val="008D6E59"/>
    <w:rsid w:val="008D6F92"/>
    <w:rsid w:val="008D7155"/>
    <w:rsid w:val="008D7DE4"/>
    <w:rsid w:val="008E09B3"/>
    <w:rsid w:val="008E141A"/>
    <w:rsid w:val="008E1A44"/>
    <w:rsid w:val="008E28E6"/>
    <w:rsid w:val="008E2B60"/>
    <w:rsid w:val="008E3232"/>
    <w:rsid w:val="008E3674"/>
    <w:rsid w:val="008E3B6C"/>
    <w:rsid w:val="008E41A8"/>
    <w:rsid w:val="008E575D"/>
    <w:rsid w:val="008E688C"/>
    <w:rsid w:val="008E68BB"/>
    <w:rsid w:val="008E6C9B"/>
    <w:rsid w:val="008E77D4"/>
    <w:rsid w:val="008F0981"/>
    <w:rsid w:val="008F0AFD"/>
    <w:rsid w:val="008F1287"/>
    <w:rsid w:val="008F17B2"/>
    <w:rsid w:val="008F28EE"/>
    <w:rsid w:val="008F357B"/>
    <w:rsid w:val="008F44CA"/>
    <w:rsid w:val="008F49B9"/>
    <w:rsid w:val="008F49D3"/>
    <w:rsid w:val="008F5081"/>
    <w:rsid w:val="008F6519"/>
    <w:rsid w:val="008F68DC"/>
    <w:rsid w:val="008F7012"/>
    <w:rsid w:val="008F7B17"/>
    <w:rsid w:val="00900042"/>
    <w:rsid w:val="0090034B"/>
    <w:rsid w:val="00902623"/>
    <w:rsid w:val="00902890"/>
    <w:rsid w:val="00904778"/>
    <w:rsid w:val="00904BE4"/>
    <w:rsid w:val="0090504A"/>
    <w:rsid w:val="00905D7E"/>
    <w:rsid w:val="009063B7"/>
    <w:rsid w:val="00907037"/>
    <w:rsid w:val="00907BD4"/>
    <w:rsid w:val="0091160A"/>
    <w:rsid w:val="00912838"/>
    <w:rsid w:val="00913258"/>
    <w:rsid w:val="00913883"/>
    <w:rsid w:val="0091564D"/>
    <w:rsid w:val="009156DA"/>
    <w:rsid w:val="00915CF3"/>
    <w:rsid w:val="00916BC5"/>
    <w:rsid w:val="0091726A"/>
    <w:rsid w:val="00920184"/>
    <w:rsid w:val="00920EA4"/>
    <w:rsid w:val="00921792"/>
    <w:rsid w:val="00921BEA"/>
    <w:rsid w:val="00922DB0"/>
    <w:rsid w:val="00923998"/>
    <w:rsid w:val="00923DB4"/>
    <w:rsid w:val="0092430E"/>
    <w:rsid w:val="0092625F"/>
    <w:rsid w:val="009268A9"/>
    <w:rsid w:val="00927B37"/>
    <w:rsid w:val="009301B2"/>
    <w:rsid w:val="0093065F"/>
    <w:rsid w:val="00931215"/>
    <w:rsid w:val="009313DD"/>
    <w:rsid w:val="00931BDE"/>
    <w:rsid w:val="009321B1"/>
    <w:rsid w:val="00932ED7"/>
    <w:rsid w:val="0093357E"/>
    <w:rsid w:val="0093422D"/>
    <w:rsid w:val="00934DD7"/>
    <w:rsid w:val="009369A9"/>
    <w:rsid w:val="00936CF7"/>
    <w:rsid w:val="00937201"/>
    <w:rsid w:val="0093734A"/>
    <w:rsid w:val="00937783"/>
    <w:rsid w:val="009377C3"/>
    <w:rsid w:val="00937D89"/>
    <w:rsid w:val="00940515"/>
    <w:rsid w:val="0094059D"/>
    <w:rsid w:val="009409B4"/>
    <w:rsid w:val="00940FE1"/>
    <w:rsid w:val="00942306"/>
    <w:rsid w:val="009424B8"/>
    <w:rsid w:val="009433A4"/>
    <w:rsid w:val="0094435B"/>
    <w:rsid w:val="00944668"/>
    <w:rsid w:val="00944DC6"/>
    <w:rsid w:val="0094537D"/>
    <w:rsid w:val="0094573F"/>
    <w:rsid w:val="009458B0"/>
    <w:rsid w:val="00945B52"/>
    <w:rsid w:val="00945DC0"/>
    <w:rsid w:val="00945F05"/>
    <w:rsid w:val="00946348"/>
    <w:rsid w:val="009471AD"/>
    <w:rsid w:val="00947233"/>
    <w:rsid w:val="009478A2"/>
    <w:rsid w:val="0095053B"/>
    <w:rsid w:val="0095074A"/>
    <w:rsid w:val="009512AB"/>
    <w:rsid w:val="00951474"/>
    <w:rsid w:val="00952DE9"/>
    <w:rsid w:val="00955643"/>
    <w:rsid w:val="00955FBB"/>
    <w:rsid w:val="0095694B"/>
    <w:rsid w:val="00956BD5"/>
    <w:rsid w:val="00957295"/>
    <w:rsid w:val="009574BB"/>
    <w:rsid w:val="009577B5"/>
    <w:rsid w:val="009608E6"/>
    <w:rsid w:val="009609E4"/>
    <w:rsid w:val="00961779"/>
    <w:rsid w:val="00962D00"/>
    <w:rsid w:val="00962EB1"/>
    <w:rsid w:val="0096612A"/>
    <w:rsid w:val="00966522"/>
    <w:rsid w:val="00967D3F"/>
    <w:rsid w:val="00967E78"/>
    <w:rsid w:val="00970D7E"/>
    <w:rsid w:val="00970F18"/>
    <w:rsid w:val="00971CF1"/>
    <w:rsid w:val="009721E9"/>
    <w:rsid w:val="00972A58"/>
    <w:rsid w:val="00973772"/>
    <w:rsid w:val="0097451E"/>
    <w:rsid w:val="00975598"/>
    <w:rsid w:val="00975E1E"/>
    <w:rsid w:val="00975E70"/>
    <w:rsid w:val="00977B8F"/>
    <w:rsid w:val="00977CD6"/>
    <w:rsid w:val="00980162"/>
    <w:rsid w:val="00981D18"/>
    <w:rsid w:val="00982481"/>
    <w:rsid w:val="00982D26"/>
    <w:rsid w:val="0098330E"/>
    <w:rsid w:val="00983CB2"/>
    <w:rsid w:val="009849E9"/>
    <w:rsid w:val="00985F96"/>
    <w:rsid w:val="00987812"/>
    <w:rsid w:val="00990225"/>
    <w:rsid w:val="00990DF5"/>
    <w:rsid w:val="00991622"/>
    <w:rsid w:val="0099244B"/>
    <w:rsid w:val="009935B6"/>
    <w:rsid w:val="009947B6"/>
    <w:rsid w:val="00995150"/>
    <w:rsid w:val="009957F3"/>
    <w:rsid w:val="00995D67"/>
    <w:rsid w:val="009970BF"/>
    <w:rsid w:val="00997148"/>
    <w:rsid w:val="009A013B"/>
    <w:rsid w:val="009A02F4"/>
    <w:rsid w:val="009A0348"/>
    <w:rsid w:val="009A1F12"/>
    <w:rsid w:val="009A2494"/>
    <w:rsid w:val="009A26CA"/>
    <w:rsid w:val="009A36F2"/>
    <w:rsid w:val="009A47CC"/>
    <w:rsid w:val="009A5749"/>
    <w:rsid w:val="009A57D0"/>
    <w:rsid w:val="009A6559"/>
    <w:rsid w:val="009A68FC"/>
    <w:rsid w:val="009A6D4F"/>
    <w:rsid w:val="009A7514"/>
    <w:rsid w:val="009A7E7A"/>
    <w:rsid w:val="009B1584"/>
    <w:rsid w:val="009B2469"/>
    <w:rsid w:val="009B314F"/>
    <w:rsid w:val="009B439C"/>
    <w:rsid w:val="009B4A6C"/>
    <w:rsid w:val="009B5777"/>
    <w:rsid w:val="009B5779"/>
    <w:rsid w:val="009B6753"/>
    <w:rsid w:val="009B6A26"/>
    <w:rsid w:val="009C079D"/>
    <w:rsid w:val="009C0D70"/>
    <w:rsid w:val="009C13D1"/>
    <w:rsid w:val="009C2913"/>
    <w:rsid w:val="009C3008"/>
    <w:rsid w:val="009C365F"/>
    <w:rsid w:val="009C45E5"/>
    <w:rsid w:val="009C5AFE"/>
    <w:rsid w:val="009C6606"/>
    <w:rsid w:val="009C6CE5"/>
    <w:rsid w:val="009C6D50"/>
    <w:rsid w:val="009C72B6"/>
    <w:rsid w:val="009C7547"/>
    <w:rsid w:val="009D1678"/>
    <w:rsid w:val="009D1693"/>
    <w:rsid w:val="009D1C49"/>
    <w:rsid w:val="009D2721"/>
    <w:rsid w:val="009D2F60"/>
    <w:rsid w:val="009D3299"/>
    <w:rsid w:val="009D338C"/>
    <w:rsid w:val="009D39A2"/>
    <w:rsid w:val="009D3D0D"/>
    <w:rsid w:val="009D4944"/>
    <w:rsid w:val="009D5BAC"/>
    <w:rsid w:val="009D64BD"/>
    <w:rsid w:val="009D7B2F"/>
    <w:rsid w:val="009D7B6C"/>
    <w:rsid w:val="009D7F83"/>
    <w:rsid w:val="009E0D0A"/>
    <w:rsid w:val="009E0D1A"/>
    <w:rsid w:val="009E153F"/>
    <w:rsid w:val="009E2D6C"/>
    <w:rsid w:val="009E388B"/>
    <w:rsid w:val="009E393E"/>
    <w:rsid w:val="009E444E"/>
    <w:rsid w:val="009E45AF"/>
    <w:rsid w:val="009E4968"/>
    <w:rsid w:val="009E52F1"/>
    <w:rsid w:val="009E663C"/>
    <w:rsid w:val="009E6BB1"/>
    <w:rsid w:val="009F0092"/>
    <w:rsid w:val="009F0CD9"/>
    <w:rsid w:val="009F1A79"/>
    <w:rsid w:val="009F1F57"/>
    <w:rsid w:val="009F2E26"/>
    <w:rsid w:val="009F4FCF"/>
    <w:rsid w:val="009F5DE2"/>
    <w:rsid w:val="009F65F4"/>
    <w:rsid w:val="009F676B"/>
    <w:rsid w:val="009F6A30"/>
    <w:rsid w:val="009F74FE"/>
    <w:rsid w:val="00A004DF"/>
    <w:rsid w:val="00A00D29"/>
    <w:rsid w:val="00A00FD5"/>
    <w:rsid w:val="00A019A8"/>
    <w:rsid w:val="00A01B03"/>
    <w:rsid w:val="00A02C66"/>
    <w:rsid w:val="00A03861"/>
    <w:rsid w:val="00A0464C"/>
    <w:rsid w:val="00A054E0"/>
    <w:rsid w:val="00A0663F"/>
    <w:rsid w:val="00A066CE"/>
    <w:rsid w:val="00A0740B"/>
    <w:rsid w:val="00A07427"/>
    <w:rsid w:val="00A075A9"/>
    <w:rsid w:val="00A077E2"/>
    <w:rsid w:val="00A1080F"/>
    <w:rsid w:val="00A11042"/>
    <w:rsid w:val="00A133D8"/>
    <w:rsid w:val="00A14E97"/>
    <w:rsid w:val="00A17A9D"/>
    <w:rsid w:val="00A20069"/>
    <w:rsid w:val="00A20280"/>
    <w:rsid w:val="00A2163F"/>
    <w:rsid w:val="00A2244D"/>
    <w:rsid w:val="00A2253D"/>
    <w:rsid w:val="00A22AEC"/>
    <w:rsid w:val="00A2418A"/>
    <w:rsid w:val="00A247B8"/>
    <w:rsid w:val="00A24D39"/>
    <w:rsid w:val="00A24D8F"/>
    <w:rsid w:val="00A25B8B"/>
    <w:rsid w:val="00A269C3"/>
    <w:rsid w:val="00A26ECA"/>
    <w:rsid w:val="00A27374"/>
    <w:rsid w:val="00A309F1"/>
    <w:rsid w:val="00A30F68"/>
    <w:rsid w:val="00A317A5"/>
    <w:rsid w:val="00A323A3"/>
    <w:rsid w:val="00A324C1"/>
    <w:rsid w:val="00A337DB"/>
    <w:rsid w:val="00A3467F"/>
    <w:rsid w:val="00A34D34"/>
    <w:rsid w:val="00A3551A"/>
    <w:rsid w:val="00A373F4"/>
    <w:rsid w:val="00A376E8"/>
    <w:rsid w:val="00A37E69"/>
    <w:rsid w:val="00A37F8E"/>
    <w:rsid w:val="00A40979"/>
    <w:rsid w:val="00A41737"/>
    <w:rsid w:val="00A42B8F"/>
    <w:rsid w:val="00A43254"/>
    <w:rsid w:val="00A43896"/>
    <w:rsid w:val="00A43A26"/>
    <w:rsid w:val="00A447A0"/>
    <w:rsid w:val="00A457B2"/>
    <w:rsid w:val="00A459F5"/>
    <w:rsid w:val="00A45FC0"/>
    <w:rsid w:val="00A46B32"/>
    <w:rsid w:val="00A46EB8"/>
    <w:rsid w:val="00A478D2"/>
    <w:rsid w:val="00A47ECC"/>
    <w:rsid w:val="00A5008C"/>
    <w:rsid w:val="00A50171"/>
    <w:rsid w:val="00A5102E"/>
    <w:rsid w:val="00A51083"/>
    <w:rsid w:val="00A5132E"/>
    <w:rsid w:val="00A51533"/>
    <w:rsid w:val="00A51A4D"/>
    <w:rsid w:val="00A51E68"/>
    <w:rsid w:val="00A52F3B"/>
    <w:rsid w:val="00A531D4"/>
    <w:rsid w:val="00A55ACD"/>
    <w:rsid w:val="00A55CFA"/>
    <w:rsid w:val="00A5613B"/>
    <w:rsid w:val="00A575B8"/>
    <w:rsid w:val="00A647B1"/>
    <w:rsid w:val="00A64DEF"/>
    <w:rsid w:val="00A64F9E"/>
    <w:rsid w:val="00A657E1"/>
    <w:rsid w:val="00A65E4E"/>
    <w:rsid w:val="00A665DF"/>
    <w:rsid w:val="00A67F1B"/>
    <w:rsid w:val="00A67FCC"/>
    <w:rsid w:val="00A709F3"/>
    <w:rsid w:val="00A716DC"/>
    <w:rsid w:val="00A720AF"/>
    <w:rsid w:val="00A7217B"/>
    <w:rsid w:val="00A7293E"/>
    <w:rsid w:val="00A72EE4"/>
    <w:rsid w:val="00A73067"/>
    <w:rsid w:val="00A737C4"/>
    <w:rsid w:val="00A739A6"/>
    <w:rsid w:val="00A73C3B"/>
    <w:rsid w:val="00A75EF9"/>
    <w:rsid w:val="00A7627C"/>
    <w:rsid w:val="00A76BC9"/>
    <w:rsid w:val="00A77566"/>
    <w:rsid w:val="00A77956"/>
    <w:rsid w:val="00A80563"/>
    <w:rsid w:val="00A8311C"/>
    <w:rsid w:val="00A84310"/>
    <w:rsid w:val="00A84BC8"/>
    <w:rsid w:val="00A84C5F"/>
    <w:rsid w:val="00A85D91"/>
    <w:rsid w:val="00A86973"/>
    <w:rsid w:val="00A8721F"/>
    <w:rsid w:val="00A8740B"/>
    <w:rsid w:val="00A87519"/>
    <w:rsid w:val="00A905A2"/>
    <w:rsid w:val="00A9246D"/>
    <w:rsid w:val="00A93644"/>
    <w:rsid w:val="00A93BD0"/>
    <w:rsid w:val="00A944A1"/>
    <w:rsid w:val="00A95D69"/>
    <w:rsid w:val="00A97122"/>
    <w:rsid w:val="00A975A4"/>
    <w:rsid w:val="00A977B3"/>
    <w:rsid w:val="00A97DC8"/>
    <w:rsid w:val="00AA1418"/>
    <w:rsid w:val="00AA1C43"/>
    <w:rsid w:val="00AA2001"/>
    <w:rsid w:val="00AA2B5C"/>
    <w:rsid w:val="00AA4E59"/>
    <w:rsid w:val="00AA5328"/>
    <w:rsid w:val="00AA5393"/>
    <w:rsid w:val="00AA63D4"/>
    <w:rsid w:val="00AA6767"/>
    <w:rsid w:val="00AA790B"/>
    <w:rsid w:val="00AB03FD"/>
    <w:rsid w:val="00AB1412"/>
    <w:rsid w:val="00AB38CB"/>
    <w:rsid w:val="00AB3BEC"/>
    <w:rsid w:val="00AB44E4"/>
    <w:rsid w:val="00AB4AEB"/>
    <w:rsid w:val="00AB5352"/>
    <w:rsid w:val="00AB56AE"/>
    <w:rsid w:val="00AB62D5"/>
    <w:rsid w:val="00AB65B5"/>
    <w:rsid w:val="00AB6DCD"/>
    <w:rsid w:val="00AB6EE0"/>
    <w:rsid w:val="00AB7579"/>
    <w:rsid w:val="00AC2DFD"/>
    <w:rsid w:val="00AC352D"/>
    <w:rsid w:val="00AC40B7"/>
    <w:rsid w:val="00AC5122"/>
    <w:rsid w:val="00AC531F"/>
    <w:rsid w:val="00AC59A1"/>
    <w:rsid w:val="00AC6121"/>
    <w:rsid w:val="00AC626D"/>
    <w:rsid w:val="00AC64BF"/>
    <w:rsid w:val="00AC6CB1"/>
    <w:rsid w:val="00AC79DA"/>
    <w:rsid w:val="00AD0091"/>
    <w:rsid w:val="00AD0843"/>
    <w:rsid w:val="00AD23D8"/>
    <w:rsid w:val="00AD23EF"/>
    <w:rsid w:val="00AD2F0F"/>
    <w:rsid w:val="00AD307B"/>
    <w:rsid w:val="00AD31F9"/>
    <w:rsid w:val="00AD41B3"/>
    <w:rsid w:val="00AD456B"/>
    <w:rsid w:val="00AD4B31"/>
    <w:rsid w:val="00AD4C48"/>
    <w:rsid w:val="00AD57AF"/>
    <w:rsid w:val="00AD6267"/>
    <w:rsid w:val="00AD6292"/>
    <w:rsid w:val="00AD7317"/>
    <w:rsid w:val="00AD754C"/>
    <w:rsid w:val="00AE01A8"/>
    <w:rsid w:val="00AE069F"/>
    <w:rsid w:val="00AE0789"/>
    <w:rsid w:val="00AE0CBD"/>
    <w:rsid w:val="00AE123A"/>
    <w:rsid w:val="00AE1A1E"/>
    <w:rsid w:val="00AE2591"/>
    <w:rsid w:val="00AE28A7"/>
    <w:rsid w:val="00AE33A6"/>
    <w:rsid w:val="00AE36D5"/>
    <w:rsid w:val="00AE3715"/>
    <w:rsid w:val="00AE3729"/>
    <w:rsid w:val="00AE55B2"/>
    <w:rsid w:val="00AE5C6A"/>
    <w:rsid w:val="00AE65F7"/>
    <w:rsid w:val="00AE7280"/>
    <w:rsid w:val="00AF033A"/>
    <w:rsid w:val="00AF1699"/>
    <w:rsid w:val="00AF3896"/>
    <w:rsid w:val="00AF3CEE"/>
    <w:rsid w:val="00AF5706"/>
    <w:rsid w:val="00AF6479"/>
    <w:rsid w:val="00AF6C33"/>
    <w:rsid w:val="00B0098A"/>
    <w:rsid w:val="00B00A5F"/>
    <w:rsid w:val="00B0225F"/>
    <w:rsid w:val="00B029B8"/>
    <w:rsid w:val="00B02F60"/>
    <w:rsid w:val="00B032B8"/>
    <w:rsid w:val="00B03ABB"/>
    <w:rsid w:val="00B04B46"/>
    <w:rsid w:val="00B05050"/>
    <w:rsid w:val="00B0534D"/>
    <w:rsid w:val="00B06368"/>
    <w:rsid w:val="00B06FC6"/>
    <w:rsid w:val="00B07163"/>
    <w:rsid w:val="00B07429"/>
    <w:rsid w:val="00B11847"/>
    <w:rsid w:val="00B12DF9"/>
    <w:rsid w:val="00B12FE6"/>
    <w:rsid w:val="00B1303F"/>
    <w:rsid w:val="00B1364A"/>
    <w:rsid w:val="00B13D3C"/>
    <w:rsid w:val="00B14075"/>
    <w:rsid w:val="00B1525C"/>
    <w:rsid w:val="00B16715"/>
    <w:rsid w:val="00B17910"/>
    <w:rsid w:val="00B2041B"/>
    <w:rsid w:val="00B20F18"/>
    <w:rsid w:val="00B21516"/>
    <w:rsid w:val="00B22CE0"/>
    <w:rsid w:val="00B23738"/>
    <w:rsid w:val="00B23BEF"/>
    <w:rsid w:val="00B247BB"/>
    <w:rsid w:val="00B25C11"/>
    <w:rsid w:val="00B25EDF"/>
    <w:rsid w:val="00B25EE6"/>
    <w:rsid w:val="00B27BC0"/>
    <w:rsid w:val="00B3115A"/>
    <w:rsid w:val="00B31A5C"/>
    <w:rsid w:val="00B33C19"/>
    <w:rsid w:val="00B33F84"/>
    <w:rsid w:val="00B3433E"/>
    <w:rsid w:val="00B34861"/>
    <w:rsid w:val="00B34B77"/>
    <w:rsid w:val="00B363BD"/>
    <w:rsid w:val="00B36844"/>
    <w:rsid w:val="00B369F7"/>
    <w:rsid w:val="00B36A99"/>
    <w:rsid w:val="00B37537"/>
    <w:rsid w:val="00B41B81"/>
    <w:rsid w:val="00B42980"/>
    <w:rsid w:val="00B434B2"/>
    <w:rsid w:val="00B434C7"/>
    <w:rsid w:val="00B43580"/>
    <w:rsid w:val="00B43D45"/>
    <w:rsid w:val="00B44771"/>
    <w:rsid w:val="00B4650E"/>
    <w:rsid w:val="00B468F2"/>
    <w:rsid w:val="00B46B45"/>
    <w:rsid w:val="00B46D3D"/>
    <w:rsid w:val="00B46F6B"/>
    <w:rsid w:val="00B47286"/>
    <w:rsid w:val="00B47894"/>
    <w:rsid w:val="00B47DDE"/>
    <w:rsid w:val="00B50234"/>
    <w:rsid w:val="00B51BF4"/>
    <w:rsid w:val="00B51F4B"/>
    <w:rsid w:val="00B52C68"/>
    <w:rsid w:val="00B542FE"/>
    <w:rsid w:val="00B551CE"/>
    <w:rsid w:val="00B55A1B"/>
    <w:rsid w:val="00B561DB"/>
    <w:rsid w:val="00B57494"/>
    <w:rsid w:val="00B61DCE"/>
    <w:rsid w:val="00B62188"/>
    <w:rsid w:val="00B62467"/>
    <w:rsid w:val="00B624C8"/>
    <w:rsid w:val="00B62F79"/>
    <w:rsid w:val="00B62F82"/>
    <w:rsid w:val="00B648FA"/>
    <w:rsid w:val="00B662FF"/>
    <w:rsid w:val="00B708C2"/>
    <w:rsid w:val="00B72C80"/>
    <w:rsid w:val="00B730B4"/>
    <w:rsid w:val="00B74340"/>
    <w:rsid w:val="00B744E0"/>
    <w:rsid w:val="00B7481A"/>
    <w:rsid w:val="00B74F2F"/>
    <w:rsid w:val="00B756FB"/>
    <w:rsid w:val="00B762CA"/>
    <w:rsid w:val="00B769BC"/>
    <w:rsid w:val="00B77349"/>
    <w:rsid w:val="00B7761E"/>
    <w:rsid w:val="00B80A37"/>
    <w:rsid w:val="00B80A3D"/>
    <w:rsid w:val="00B81902"/>
    <w:rsid w:val="00B823E0"/>
    <w:rsid w:val="00B82B78"/>
    <w:rsid w:val="00B84662"/>
    <w:rsid w:val="00B853D8"/>
    <w:rsid w:val="00B85402"/>
    <w:rsid w:val="00B864A3"/>
    <w:rsid w:val="00B86C2A"/>
    <w:rsid w:val="00B877F1"/>
    <w:rsid w:val="00B902A5"/>
    <w:rsid w:val="00B90420"/>
    <w:rsid w:val="00B913E4"/>
    <w:rsid w:val="00B91DB9"/>
    <w:rsid w:val="00B93487"/>
    <w:rsid w:val="00B93A82"/>
    <w:rsid w:val="00B93EFE"/>
    <w:rsid w:val="00B94956"/>
    <w:rsid w:val="00B94C7F"/>
    <w:rsid w:val="00B956B5"/>
    <w:rsid w:val="00B95C3A"/>
    <w:rsid w:val="00B95FCE"/>
    <w:rsid w:val="00B96CD3"/>
    <w:rsid w:val="00B9798B"/>
    <w:rsid w:val="00BA0D44"/>
    <w:rsid w:val="00BA0E26"/>
    <w:rsid w:val="00BA1E52"/>
    <w:rsid w:val="00BA31BF"/>
    <w:rsid w:val="00BA3EBF"/>
    <w:rsid w:val="00BA43FC"/>
    <w:rsid w:val="00BA478B"/>
    <w:rsid w:val="00BA5224"/>
    <w:rsid w:val="00BA5BDE"/>
    <w:rsid w:val="00BA70B3"/>
    <w:rsid w:val="00BA7B27"/>
    <w:rsid w:val="00BA7E3B"/>
    <w:rsid w:val="00BB079C"/>
    <w:rsid w:val="00BB2B56"/>
    <w:rsid w:val="00BB39C1"/>
    <w:rsid w:val="00BB4901"/>
    <w:rsid w:val="00BB5D16"/>
    <w:rsid w:val="00BB6180"/>
    <w:rsid w:val="00BB69E6"/>
    <w:rsid w:val="00BB710D"/>
    <w:rsid w:val="00BB7D2A"/>
    <w:rsid w:val="00BC0760"/>
    <w:rsid w:val="00BC1B7A"/>
    <w:rsid w:val="00BC2BC7"/>
    <w:rsid w:val="00BC2C17"/>
    <w:rsid w:val="00BC2F6A"/>
    <w:rsid w:val="00BC3ACD"/>
    <w:rsid w:val="00BC3C33"/>
    <w:rsid w:val="00BC66D7"/>
    <w:rsid w:val="00BC6E73"/>
    <w:rsid w:val="00BD0014"/>
    <w:rsid w:val="00BD01D8"/>
    <w:rsid w:val="00BD0CBE"/>
    <w:rsid w:val="00BD121F"/>
    <w:rsid w:val="00BD2512"/>
    <w:rsid w:val="00BD255F"/>
    <w:rsid w:val="00BD383D"/>
    <w:rsid w:val="00BD4236"/>
    <w:rsid w:val="00BD575B"/>
    <w:rsid w:val="00BD5CCA"/>
    <w:rsid w:val="00BD5CD4"/>
    <w:rsid w:val="00BD6652"/>
    <w:rsid w:val="00BD6EF9"/>
    <w:rsid w:val="00BD77DD"/>
    <w:rsid w:val="00BD7D7A"/>
    <w:rsid w:val="00BE0475"/>
    <w:rsid w:val="00BE0ACB"/>
    <w:rsid w:val="00BE0E74"/>
    <w:rsid w:val="00BE1A90"/>
    <w:rsid w:val="00BE3537"/>
    <w:rsid w:val="00BE360F"/>
    <w:rsid w:val="00BE50FD"/>
    <w:rsid w:val="00BE51CA"/>
    <w:rsid w:val="00BE5E5A"/>
    <w:rsid w:val="00BE6D47"/>
    <w:rsid w:val="00BE7032"/>
    <w:rsid w:val="00BE7330"/>
    <w:rsid w:val="00BF01C5"/>
    <w:rsid w:val="00BF0321"/>
    <w:rsid w:val="00BF066A"/>
    <w:rsid w:val="00BF361C"/>
    <w:rsid w:val="00BF4342"/>
    <w:rsid w:val="00BF5050"/>
    <w:rsid w:val="00BF5422"/>
    <w:rsid w:val="00BF54CF"/>
    <w:rsid w:val="00BF59B1"/>
    <w:rsid w:val="00BF6A78"/>
    <w:rsid w:val="00BF6E19"/>
    <w:rsid w:val="00BF79B4"/>
    <w:rsid w:val="00C01427"/>
    <w:rsid w:val="00C016A1"/>
    <w:rsid w:val="00C04C49"/>
    <w:rsid w:val="00C0508D"/>
    <w:rsid w:val="00C058AF"/>
    <w:rsid w:val="00C07827"/>
    <w:rsid w:val="00C11AAA"/>
    <w:rsid w:val="00C124C1"/>
    <w:rsid w:val="00C128AE"/>
    <w:rsid w:val="00C1300C"/>
    <w:rsid w:val="00C136D6"/>
    <w:rsid w:val="00C13D5B"/>
    <w:rsid w:val="00C16047"/>
    <w:rsid w:val="00C17AE2"/>
    <w:rsid w:val="00C20F27"/>
    <w:rsid w:val="00C214D1"/>
    <w:rsid w:val="00C215CF"/>
    <w:rsid w:val="00C223F8"/>
    <w:rsid w:val="00C2244B"/>
    <w:rsid w:val="00C22B0D"/>
    <w:rsid w:val="00C22F55"/>
    <w:rsid w:val="00C240C1"/>
    <w:rsid w:val="00C250D0"/>
    <w:rsid w:val="00C252AC"/>
    <w:rsid w:val="00C255AB"/>
    <w:rsid w:val="00C264F0"/>
    <w:rsid w:val="00C27214"/>
    <w:rsid w:val="00C27597"/>
    <w:rsid w:val="00C30382"/>
    <w:rsid w:val="00C30D6F"/>
    <w:rsid w:val="00C31063"/>
    <w:rsid w:val="00C31B7E"/>
    <w:rsid w:val="00C32217"/>
    <w:rsid w:val="00C3242A"/>
    <w:rsid w:val="00C32AE2"/>
    <w:rsid w:val="00C33201"/>
    <w:rsid w:val="00C332C4"/>
    <w:rsid w:val="00C33C3C"/>
    <w:rsid w:val="00C35857"/>
    <w:rsid w:val="00C360B3"/>
    <w:rsid w:val="00C3679B"/>
    <w:rsid w:val="00C36E63"/>
    <w:rsid w:val="00C37027"/>
    <w:rsid w:val="00C3778D"/>
    <w:rsid w:val="00C405A3"/>
    <w:rsid w:val="00C40B70"/>
    <w:rsid w:val="00C42752"/>
    <w:rsid w:val="00C42973"/>
    <w:rsid w:val="00C44F9C"/>
    <w:rsid w:val="00C4730E"/>
    <w:rsid w:val="00C47ED3"/>
    <w:rsid w:val="00C5019C"/>
    <w:rsid w:val="00C5034F"/>
    <w:rsid w:val="00C52479"/>
    <w:rsid w:val="00C5291F"/>
    <w:rsid w:val="00C52C59"/>
    <w:rsid w:val="00C5349E"/>
    <w:rsid w:val="00C5354B"/>
    <w:rsid w:val="00C54467"/>
    <w:rsid w:val="00C54D3D"/>
    <w:rsid w:val="00C55116"/>
    <w:rsid w:val="00C55A30"/>
    <w:rsid w:val="00C57C58"/>
    <w:rsid w:val="00C6028F"/>
    <w:rsid w:val="00C6046F"/>
    <w:rsid w:val="00C608F1"/>
    <w:rsid w:val="00C631E1"/>
    <w:rsid w:val="00C637E8"/>
    <w:rsid w:val="00C638D8"/>
    <w:rsid w:val="00C63C84"/>
    <w:rsid w:val="00C63D26"/>
    <w:rsid w:val="00C641EB"/>
    <w:rsid w:val="00C65053"/>
    <w:rsid w:val="00C65BD9"/>
    <w:rsid w:val="00C66061"/>
    <w:rsid w:val="00C66D97"/>
    <w:rsid w:val="00C66F69"/>
    <w:rsid w:val="00C67223"/>
    <w:rsid w:val="00C67CFF"/>
    <w:rsid w:val="00C707B8"/>
    <w:rsid w:val="00C7084B"/>
    <w:rsid w:val="00C71C15"/>
    <w:rsid w:val="00C71F3D"/>
    <w:rsid w:val="00C72F53"/>
    <w:rsid w:val="00C74035"/>
    <w:rsid w:val="00C76FF4"/>
    <w:rsid w:val="00C77818"/>
    <w:rsid w:val="00C77AE3"/>
    <w:rsid w:val="00C8063F"/>
    <w:rsid w:val="00C81549"/>
    <w:rsid w:val="00C829A1"/>
    <w:rsid w:val="00C83B36"/>
    <w:rsid w:val="00C84F8A"/>
    <w:rsid w:val="00C84FDF"/>
    <w:rsid w:val="00C85209"/>
    <w:rsid w:val="00C8618F"/>
    <w:rsid w:val="00C90372"/>
    <w:rsid w:val="00C9041F"/>
    <w:rsid w:val="00C90AD1"/>
    <w:rsid w:val="00C9138F"/>
    <w:rsid w:val="00C91A45"/>
    <w:rsid w:val="00C91ED2"/>
    <w:rsid w:val="00C91FB4"/>
    <w:rsid w:val="00C9364F"/>
    <w:rsid w:val="00C95745"/>
    <w:rsid w:val="00C962E3"/>
    <w:rsid w:val="00C965BD"/>
    <w:rsid w:val="00C97997"/>
    <w:rsid w:val="00CA08FE"/>
    <w:rsid w:val="00CA0FAC"/>
    <w:rsid w:val="00CA25C0"/>
    <w:rsid w:val="00CA2697"/>
    <w:rsid w:val="00CA3451"/>
    <w:rsid w:val="00CA4948"/>
    <w:rsid w:val="00CA52F9"/>
    <w:rsid w:val="00CA568B"/>
    <w:rsid w:val="00CA74D4"/>
    <w:rsid w:val="00CA7500"/>
    <w:rsid w:val="00CB1239"/>
    <w:rsid w:val="00CB178B"/>
    <w:rsid w:val="00CB19FE"/>
    <w:rsid w:val="00CB23C2"/>
    <w:rsid w:val="00CB304C"/>
    <w:rsid w:val="00CB53E8"/>
    <w:rsid w:val="00CB593E"/>
    <w:rsid w:val="00CB594A"/>
    <w:rsid w:val="00CB5CB2"/>
    <w:rsid w:val="00CB6979"/>
    <w:rsid w:val="00CB74EC"/>
    <w:rsid w:val="00CC0A3D"/>
    <w:rsid w:val="00CC2373"/>
    <w:rsid w:val="00CC3C6A"/>
    <w:rsid w:val="00CC3D24"/>
    <w:rsid w:val="00CC3F91"/>
    <w:rsid w:val="00CC4B0A"/>
    <w:rsid w:val="00CC544A"/>
    <w:rsid w:val="00CC57EA"/>
    <w:rsid w:val="00CC5954"/>
    <w:rsid w:val="00CC6C4E"/>
    <w:rsid w:val="00CC7024"/>
    <w:rsid w:val="00CD05A2"/>
    <w:rsid w:val="00CD19DA"/>
    <w:rsid w:val="00CD233D"/>
    <w:rsid w:val="00CD29D4"/>
    <w:rsid w:val="00CD38F5"/>
    <w:rsid w:val="00CD3ABE"/>
    <w:rsid w:val="00CD400F"/>
    <w:rsid w:val="00CD437E"/>
    <w:rsid w:val="00CD572E"/>
    <w:rsid w:val="00CD5A89"/>
    <w:rsid w:val="00CD5DAD"/>
    <w:rsid w:val="00CD72C5"/>
    <w:rsid w:val="00CD77A2"/>
    <w:rsid w:val="00CD79A7"/>
    <w:rsid w:val="00CE0789"/>
    <w:rsid w:val="00CE13FE"/>
    <w:rsid w:val="00CE1A03"/>
    <w:rsid w:val="00CE2346"/>
    <w:rsid w:val="00CE3529"/>
    <w:rsid w:val="00CE35C8"/>
    <w:rsid w:val="00CE3962"/>
    <w:rsid w:val="00CE5105"/>
    <w:rsid w:val="00CE56BD"/>
    <w:rsid w:val="00CE5EC0"/>
    <w:rsid w:val="00CE6F9F"/>
    <w:rsid w:val="00CE773B"/>
    <w:rsid w:val="00CE781A"/>
    <w:rsid w:val="00CE7B3A"/>
    <w:rsid w:val="00CF10D4"/>
    <w:rsid w:val="00CF1D74"/>
    <w:rsid w:val="00CF2BE2"/>
    <w:rsid w:val="00CF31C0"/>
    <w:rsid w:val="00CF3839"/>
    <w:rsid w:val="00CF3F0F"/>
    <w:rsid w:val="00CF42DE"/>
    <w:rsid w:val="00CF55F9"/>
    <w:rsid w:val="00CF56F1"/>
    <w:rsid w:val="00CF59DF"/>
    <w:rsid w:val="00CF71A6"/>
    <w:rsid w:val="00CF7495"/>
    <w:rsid w:val="00CF7671"/>
    <w:rsid w:val="00D01CF9"/>
    <w:rsid w:val="00D02589"/>
    <w:rsid w:val="00D0334D"/>
    <w:rsid w:val="00D0374D"/>
    <w:rsid w:val="00D05A76"/>
    <w:rsid w:val="00D06121"/>
    <w:rsid w:val="00D075F8"/>
    <w:rsid w:val="00D0790C"/>
    <w:rsid w:val="00D07F1D"/>
    <w:rsid w:val="00D10558"/>
    <w:rsid w:val="00D1203E"/>
    <w:rsid w:val="00D12886"/>
    <w:rsid w:val="00D13D03"/>
    <w:rsid w:val="00D13E70"/>
    <w:rsid w:val="00D140B5"/>
    <w:rsid w:val="00D16136"/>
    <w:rsid w:val="00D16C58"/>
    <w:rsid w:val="00D17019"/>
    <w:rsid w:val="00D170C1"/>
    <w:rsid w:val="00D21168"/>
    <w:rsid w:val="00D235C8"/>
    <w:rsid w:val="00D2438C"/>
    <w:rsid w:val="00D25264"/>
    <w:rsid w:val="00D25DFA"/>
    <w:rsid w:val="00D26C3F"/>
    <w:rsid w:val="00D27185"/>
    <w:rsid w:val="00D271E2"/>
    <w:rsid w:val="00D278A6"/>
    <w:rsid w:val="00D27C40"/>
    <w:rsid w:val="00D31E78"/>
    <w:rsid w:val="00D32B84"/>
    <w:rsid w:val="00D337AE"/>
    <w:rsid w:val="00D33AB3"/>
    <w:rsid w:val="00D33D54"/>
    <w:rsid w:val="00D33F24"/>
    <w:rsid w:val="00D346B7"/>
    <w:rsid w:val="00D346B8"/>
    <w:rsid w:val="00D3566B"/>
    <w:rsid w:val="00D35AC8"/>
    <w:rsid w:val="00D35D34"/>
    <w:rsid w:val="00D36F87"/>
    <w:rsid w:val="00D37E4E"/>
    <w:rsid w:val="00D426F4"/>
    <w:rsid w:val="00D42E6C"/>
    <w:rsid w:val="00D43218"/>
    <w:rsid w:val="00D43B80"/>
    <w:rsid w:val="00D44236"/>
    <w:rsid w:val="00D442B9"/>
    <w:rsid w:val="00D45B1E"/>
    <w:rsid w:val="00D45BA4"/>
    <w:rsid w:val="00D46CA8"/>
    <w:rsid w:val="00D46E77"/>
    <w:rsid w:val="00D471AF"/>
    <w:rsid w:val="00D4724F"/>
    <w:rsid w:val="00D47EC8"/>
    <w:rsid w:val="00D50519"/>
    <w:rsid w:val="00D516A5"/>
    <w:rsid w:val="00D5264C"/>
    <w:rsid w:val="00D5289A"/>
    <w:rsid w:val="00D537FE"/>
    <w:rsid w:val="00D538F0"/>
    <w:rsid w:val="00D54A6A"/>
    <w:rsid w:val="00D54BF8"/>
    <w:rsid w:val="00D54D7C"/>
    <w:rsid w:val="00D55951"/>
    <w:rsid w:val="00D56316"/>
    <w:rsid w:val="00D572BE"/>
    <w:rsid w:val="00D57EB6"/>
    <w:rsid w:val="00D60ED7"/>
    <w:rsid w:val="00D62B20"/>
    <w:rsid w:val="00D63586"/>
    <w:rsid w:val="00D638F5"/>
    <w:rsid w:val="00D664BF"/>
    <w:rsid w:val="00D66D8B"/>
    <w:rsid w:val="00D71BC1"/>
    <w:rsid w:val="00D72A1C"/>
    <w:rsid w:val="00D73580"/>
    <w:rsid w:val="00D73802"/>
    <w:rsid w:val="00D73868"/>
    <w:rsid w:val="00D73C2C"/>
    <w:rsid w:val="00D73D52"/>
    <w:rsid w:val="00D742A0"/>
    <w:rsid w:val="00D745E7"/>
    <w:rsid w:val="00D74BD9"/>
    <w:rsid w:val="00D75FF0"/>
    <w:rsid w:val="00D77495"/>
    <w:rsid w:val="00D774ED"/>
    <w:rsid w:val="00D7778F"/>
    <w:rsid w:val="00D777F6"/>
    <w:rsid w:val="00D77F88"/>
    <w:rsid w:val="00D8044C"/>
    <w:rsid w:val="00D81EAA"/>
    <w:rsid w:val="00D8259F"/>
    <w:rsid w:val="00D825F2"/>
    <w:rsid w:val="00D828B1"/>
    <w:rsid w:val="00D84461"/>
    <w:rsid w:val="00D84F27"/>
    <w:rsid w:val="00D850D4"/>
    <w:rsid w:val="00D862D1"/>
    <w:rsid w:val="00D873C6"/>
    <w:rsid w:val="00D91027"/>
    <w:rsid w:val="00D937E0"/>
    <w:rsid w:val="00D94C7D"/>
    <w:rsid w:val="00D94CA4"/>
    <w:rsid w:val="00D94FB4"/>
    <w:rsid w:val="00D95E99"/>
    <w:rsid w:val="00DA098C"/>
    <w:rsid w:val="00DA0BF8"/>
    <w:rsid w:val="00DA0FFB"/>
    <w:rsid w:val="00DA1A3A"/>
    <w:rsid w:val="00DA2C65"/>
    <w:rsid w:val="00DA395D"/>
    <w:rsid w:val="00DA3A34"/>
    <w:rsid w:val="00DA44EB"/>
    <w:rsid w:val="00DA4B0F"/>
    <w:rsid w:val="00DB16B8"/>
    <w:rsid w:val="00DB1D52"/>
    <w:rsid w:val="00DB1F62"/>
    <w:rsid w:val="00DB2E03"/>
    <w:rsid w:val="00DB3742"/>
    <w:rsid w:val="00DB3F4B"/>
    <w:rsid w:val="00DB61A4"/>
    <w:rsid w:val="00DB67C1"/>
    <w:rsid w:val="00DB70CD"/>
    <w:rsid w:val="00DB70F4"/>
    <w:rsid w:val="00DC1056"/>
    <w:rsid w:val="00DC16DA"/>
    <w:rsid w:val="00DC211E"/>
    <w:rsid w:val="00DC21D8"/>
    <w:rsid w:val="00DC2369"/>
    <w:rsid w:val="00DC282A"/>
    <w:rsid w:val="00DC34DC"/>
    <w:rsid w:val="00DC3CC6"/>
    <w:rsid w:val="00DC514A"/>
    <w:rsid w:val="00DC64EC"/>
    <w:rsid w:val="00DC67B1"/>
    <w:rsid w:val="00DC7833"/>
    <w:rsid w:val="00DC7B22"/>
    <w:rsid w:val="00DD132B"/>
    <w:rsid w:val="00DD1725"/>
    <w:rsid w:val="00DD21B9"/>
    <w:rsid w:val="00DD2427"/>
    <w:rsid w:val="00DD2A18"/>
    <w:rsid w:val="00DD377A"/>
    <w:rsid w:val="00DD3ECA"/>
    <w:rsid w:val="00DD5AB3"/>
    <w:rsid w:val="00DD5B1A"/>
    <w:rsid w:val="00DD61E8"/>
    <w:rsid w:val="00DD62C0"/>
    <w:rsid w:val="00DD6773"/>
    <w:rsid w:val="00DD7859"/>
    <w:rsid w:val="00DE03AC"/>
    <w:rsid w:val="00DE0A1D"/>
    <w:rsid w:val="00DE15B2"/>
    <w:rsid w:val="00DE1826"/>
    <w:rsid w:val="00DE1A9A"/>
    <w:rsid w:val="00DE23B5"/>
    <w:rsid w:val="00DE2494"/>
    <w:rsid w:val="00DE3D2C"/>
    <w:rsid w:val="00DE43D0"/>
    <w:rsid w:val="00DE5E82"/>
    <w:rsid w:val="00DE5FA6"/>
    <w:rsid w:val="00DE6494"/>
    <w:rsid w:val="00DE6AA1"/>
    <w:rsid w:val="00DE6C57"/>
    <w:rsid w:val="00DE74D7"/>
    <w:rsid w:val="00DE7DCC"/>
    <w:rsid w:val="00DE7EF7"/>
    <w:rsid w:val="00DF1185"/>
    <w:rsid w:val="00DF1299"/>
    <w:rsid w:val="00DF164F"/>
    <w:rsid w:val="00DF1A70"/>
    <w:rsid w:val="00DF23A8"/>
    <w:rsid w:val="00DF2F27"/>
    <w:rsid w:val="00DF6CCC"/>
    <w:rsid w:val="00DF6D0C"/>
    <w:rsid w:val="00DF6F64"/>
    <w:rsid w:val="00DF721E"/>
    <w:rsid w:val="00DF7C87"/>
    <w:rsid w:val="00E009B0"/>
    <w:rsid w:val="00E0345F"/>
    <w:rsid w:val="00E03D5C"/>
    <w:rsid w:val="00E04053"/>
    <w:rsid w:val="00E043AC"/>
    <w:rsid w:val="00E043E9"/>
    <w:rsid w:val="00E046A9"/>
    <w:rsid w:val="00E04C0F"/>
    <w:rsid w:val="00E0570B"/>
    <w:rsid w:val="00E057B2"/>
    <w:rsid w:val="00E05996"/>
    <w:rsid w:val="00E10B41"/>
    <w:rsid w:val="00E10B87"/>
    <w:rsid w:val="00E1478B"/>
    <w:rsid w:val="00E14FAC"/>
    <w:rsid w:val="00E15007"/>
    <w:rsid w:val="00E16EC7"/>
    <w:rsid w:val="00E1714F"/>
    <w:rsid w:val="00E2026B"/>
    <w:rsid w:val="00E21576"/>
    <w:rsid w:val="00E2197E"/>
    <w:rsid w:val="00E219CE"/>
    <w:rsid w:val="00E21CAB"/>
    <w:rsid w:val="00E21E23"/>
    <w:rsid w:val="00E23961"/>
    <w:rsid w:val="00E24071"/>
    <w:rsid w:val="00E24EBC"/>
    <w:rsid w:val="00E2522C"/>
    <w:rsid w:val="00E2599B"/>
    <w:rsid w:val="00E27383"/>
    <w:rsid w:val="00E2793D"/>
    <w:rsid w:val="00E31AFA"/>
    <w:rsid w:val="00E3203D"/>
    <w:rsid w:val="00E32128"/>
    <w:rsid w:val="00E324EE"/>
    <w:rsid w:val="00E34296"/>
    <w:rsid w:val="00E359FF"/>
    <w:rsid w:val="00E36AA7"/>
    <w:rsid w:val="00E36E39"/>
    <w:rsid w:val="00E36F0C"/>
    <w:rsid w:val="00E405F1"/>
    <w:rsid w:val="00E41FC7"/>
    <w:rsid w:val="00E43054"/>
    <w:rsid w:val="00E434C4"/>
    <w:rsid w:val="00E44FE4"/>
    <w:rsid w:val="00E453FC"/>
    <w:rsid w:val="00E45D30"/>
    <w:rsid w:val="00E46013"/>
    <w:rsid w:val="00E4654B"/>
    <w:rsid w:val="00E477C3"/>
    <w:rsid w:val="00E50148"/>
    <w:rsid w:val="00E5048D"/>
    <w:rsid w:val="00E504BB"/>
    <w:rsid w:val="00E50AC4"/>
    <w:rsid w:val="00E50E2C"/>
    <w:rsid w:val="00E51077"/>
    <w:rsid w:val="00E5132D"/>
    <w:rsid w:val="00E51741"/>
    <w:rsid w:val="00E51E16"/>
    <w:rsid w:val="00E52051"/>
    <w:rsid w:val="00E52151"/>
    <w:rsid w:val="00E53730"/>
    <w:rsid w:val="00E53C46"/>
    <w:rsid w:val="00E54134"/>
    <w:rsid w:val="00E54511"/>
    <w:rsid w:val="00E55DC3"/>
    <w:rsid w:val="00E55E88"/>
    <w:rsid w:val="00E57577"/>
    <w:rsid w:val="00E601DE"/>
    <w:rsid w:val="00E62043"/>
    <w:rsid w:val="00E626B9"/>
    <w:rsid w:val="00E627C9"/>
    <w:rsid w:val="00E630F3"/>
    <w:rsid w:val="00E64E10"/>
    <w:rsid w:val="00E650E0"/>
    <w:rsid w:val="00E65198"/>
    <w:rsid w:val="00E65DE9"/>
    <w:rsid w:val="00E664FB"/>
    <w:rsid w:val="00E66F0D"/>
    <w:rsid w:val="00E672F9"/>
    <w:rsid w:val="00E67345"/>
    <w:rsid w:val="00E70615"/>
    <w:rsid w:val="00E71A5E"/>
    <w:rsid w:val="00E7207B"/>
    <w:rsid w:val="00E7347A"/>
    <w:rsid w:val="00E75325"/>
    <w:rsid w:val="00E759FB"/>
    <w:rsid w:val="00E75A47"/>
    <w:rsid w:val="00E75D8C"/>
    <w:rsid w:val="00E77771"/>
    <w:rsid w:val="00E777F2"/>
    <w:rsid w:val="00E779ED"/>
    <w:rsid w:val="00E802C9"/>
    <w:rsid w:val="00E80EDD"/>
    <w:rsid w:val="00E80F0A"/>
    <w:rsid w:val="00E81A6A"/>
    <w:rsid w:val="00E8291B"/>
    <w:rsid w:val="00E82D2C"/>
    <w:rsid w:val="00E82FBC"/>
    <w:rsid w:val="00E8395F"/>
    <w:rsid w:val="00E8473F"/>
    <w:rsid w:val="00E84DD1"/>
    <w:rsid w:val="00E85E41"/>
    <w:rsid w:val="00E85EA1"/>
    <w:rsid w:val="00E873F7"/>
    <w:rsid w:val="00E91044"/>
    <w:rsid w:val="00E910D3"/>
    <w:rsid w:val="00E923CF"/>
    <w:rsid w:val="00E9335F"/>
    <w:rsid w:val="00E95111"/>
    <w:rsid w:val="00E96473"/>
    <w:rsid w:val="00E9760C"/>
    <w:rsid w:val="00EA048D"/>
    <w:rsid w:val="00EA061E"/>
    <w:rsid w:val="00EA06B2"/>
    <w:rsid w:val="00EA08DE"/>
    <w:rsid w:val="00EA14C8"/>
    <w:rsid w:val="00EA19D3"/>
    <w:rsid w:val="00EA2296"/>
    <w:rsid w:val="00EA2C8D"/>
    <w:rsid w:val="00EA6649"/>
    <w:rsid w:val="00EB05D0"/>
    <w:rsid w:val="00EB07C5"/>
    <w:rsid w:val="00EB1D49"/>
    <w:rsid w:val="00EB42DD"/>
    <w:rsid w:val="00EB559F"/>
    <w:rsid w:val="00EB5F3D"/>
    <w:rsid w:val="00EB6900"/>
    <w:rsid w:val="00EB6EC2"/>
    <w:rsid w:val="00EC1CEB"/>
    <w:rsid w:val="00EC21A7"/>
    <w:rsid w:val="00EC268C"/>
    <w:rsid w:val="00EC3747"/>
    <w:rsid w:val="00EC3753"/>
    <w:rsid w:val="00EC3CB8"/>
    <w:rsid w:val="00EC3D46"/>
    <w:rsid w:val="00EC4E71"/>
    <w:rsid w:val="00EC6667"/>
    <w:rsid w:val="00EC783E"/>
    <w:rsid w:val="00ED0365"/>
    <w:rsid w:val="00ED0865"/>
    <w:rsid w:val="00ED094F"/>
    <w:rsid w:val="00ED16B6"/>
    <w:rsid w:val="00ED1C60"/>
    <w:rsid w:val="00ED2EB9"/>
    <w:rsid w:val="00ED3F1F"/>
    <w:rsid w:val="00ED4469"/>
    <w:rsid w:val="00ED5F23"/>
    <w:rsid w:val="00ED675F"/>
    <w:rsid w:val="00ED6DC0"/>
    <w:rsid w:val="00ED79CE"/>
    <w:rsid w:val="00ED7A7A"/>
    <w:rsid w:val="00EE038C"/>
    <w:rsid w:val="00EE040B"/>
    <w:rsid w:val="00EE168A"/>
    <w:rsid w:val="00EE47C5"/>
    <w:rsid w:val="00EE490C"/>
    <w:rsid w:val="00EE613B"/>
    <w:rsid w:val="00EE65D6"/>
    <w:rsid w:val="00EE7D60"/>
    <w:rsid w:val="00EE7E17"/>
    <w:rsid w:val="00EF2C8E"/>
    <w:rsid w:val="00EF3174"/>
    <w:rsid w:val="00EF3303"/>
    <w:rsid w:val="00EF37AB"/>
    <w:rsid w:val="00EF3A0D"/>
    <w:rsid w:val="00EF3CEB"/>
    <w:rsid w:val="00EF3FAE"/>
    <w:rsid w:val="00EF41A8"/>
    <w:rsid w:val="00EF44FB"/>
    <w:rsid w:val="00EF4D3C"/>
    <w:rsid w:val="00EF51CA"/>
    <w:rsid w:val="00EF5554"/>
    <w:rsid w:val="00EF5AD8"/>
    <w:rsid w:val="00EF5D2F"/>
    <w:rsid w:val="00EF63F5"/>
    <w:rsid w:val="00EF6758"/>
    <w:rsid w:val="00EF69B1"/>
    <w:rsid w:val="00EF6B90"/>
    <w:rsid w:val="00EF70AE"/>
    <w:rsid w:val="00EF79F7"/>
    <w:rsid w:val="00F00418"/>
    <w:rsid w:val="00F006C0"/>
    <w:rsid w:val="00F009BB"/>
    <w:rsid w:val="00F019AA"/>
    <w:rsid w:val="00F0267E"/>
    <w:rsid w:val="00F02686"/>
    <w:rsid w:val="00F03D99"/>
    <w:rsid w:val="00F0459B"/>
    <w:rsid w:val="00F04E15"/>
    <w:rsid w:val="00F05DF3"/>
    <w:rsid w:val="00F0641B"/>
    <w:rsid w:val="00F069EA"/>
    <w:rsid w:val="00F07B6E"/>
    <w:rsid w:val="00F07DF8"/>
    <w:rsid w:val="00F11461"/>
    <w:rsid w:val="00F11675"/>
    <w:rsid w:val="00F1182D"/>
    <w:rsid w:val="00F12557"/>
    <w:rsid w:val="00F12D4D"/>
    <w:rsid w:val="00F13A8F"/>
    <w:rsid w:val="00F144F8"/>
    <w:rsid w:val="00F14DF8"/>
    <w:rsid w:val="00F164A3"/>
    <w:rsid w:val="00F17AD9"/>
    <w:rsid w:val="00F17F74"/>
    <w:rsid w:val="00F202C2"/>
    <w:rsid w:val="00F209D5"/>
    <w:rsid w:val="00F22756"/>
    <w:rsid w:val="00F23890"/>
    <w:rsid w:val="00F2447A"/>
    <w:rsid w:val="00F24638"/>
    <w:rsid w:val="00F2504D"/>
    <w:rsid w:val="00F25C6C"/>
    <w:rsid w:val="00F2637F"/>
    <w:rsid w:val="00F263A8"/>
    <w:rsid w:val="00F268F7"/>
    <w:rsid w:val="00F3053D"/>
    <w:rsid w:val="00F30BDB"/>
    <w:rsid w:val="00F30CF8"/>
    <w:rsid w:val="00F31633"/>
    <w:rsid w:val="00F31EDF"/>
    <w:rsid w:val="00F32CDE"/>
    <w:rsid w:val="00F32D4C"/>
    <w:rsid w:val="00F34811"/>
    <w:rsid w:val="00F34B14"/>
    <w:rsid w:val="00F36A6A"/>
    <w:rsid w:val="00F40101"/>
    <w:rsid w:val="00F404F7"/>
    <w:rsid w:val="00F40B17"/>
    <w:rsid w:val="00F40CCA"/>
    <w:rsid w:val="00F41521"/>
    <w:rsid w:val="00F42D97"/>
    <w:rsid w:val="00F43F09"/>
    <w:rsid w:val="00F45A72"/>
    <w:rsid w:val="00F46723"/>
    <w:rsid w:val="00F46EB9"/>
    <w:rsid w:val="00F50016"/>
    <w:rsid w:val="00F50647"/>
    <w:rsid w:val="00F5118A"/>
    <w:rsid w:val="00F5165C"/>
    <w:rsid w:val="00F51A21"/>
    <w:rsid w:val="00F5276E"/>
    <w:rsid w:val="00F529F9"/>
    <w:rsid w:val="00F52E9F"/>
    <w:rsid w:val="00F53304"/>
    <w:rsid w:val="00F53D37"/>
    <w:rsid w:val="00F53D40"/>
    <w:rsid w:val="00F545ED"/>
    <w:rsid w:val="00F5687F"/>
    <w:rsid w:val="00F56FA5"/>
    <w:rsid w:val="00F5727D"/>
    <w:rsid w:val="00F575C7"/>
    <w:rsid w:val="00F60305"/>
    <w:rsid w:val="00F61B12"/>
    <w:rsid w:val="00F620C5"/>
    <w:rsid w:val="00F62398"/>
    <w:rsid w:val="00F626C5"/>
    <w:rsid w:val="00F631E8"/>
    <w:rsid w:val="00F63223"/>
    <w:rsid w:val="00F63264"/>
    <w:rsid w:val="00F6379E"/>
    <w:rsid w:val="00F676EC"/>
    <w:rsid w:val="00F70799"/>
    <w:rsid w:val="00F70906"/>
    <w:rsid w:val="00F70A8B"/>
    <w:rsid w:val="00F724FB"/>
    <w:rsid w:val="00F72578"/>
    <w:rsid w:val="00F72A26"/>
    <w:rsid w:val="00F733C3"/>
    <w:rsid w:val="00F756DD"/>
    <w:rsid w:val="00F75DB3"/>
    <w:rsid w:val="00F77C37"/>
    <w:rsid w:val="00F80047"/>
    <w:rsid w:val="00F8063D"/>
    <w:rsid w:val="00F8104D"/>
    <w:rsid w:val="00F81587"/>
    <w:rsid w:val="00F82571"/>
    <w:rsid w:val="00F83706"/>
    <w:rsid w:val="00F85258"/>
    <w:rsid w:val="00F85B72"/>
    <w:rsid w:val="00F8766F"/>
    <w:rsid w:val="00F9104C"/>
    <w:rsid w:val="00F91082"/>
    <w:rsid w:val="00F91A9A"/>
    <w:rsid w:val="00F920A7"/>
    <w:rsid w:val="00F93ABB"/>
    <w:rsid w:val="00F94D79"/>
    <w:rsid w:val="00F971DD"/>
    <w:rsid w:val="00F975D3"/>
    <w:rsid w:val="00F97F42"/>
    <w:rsid w:val="00FA118A"/>
    <w:rsid w:val="00FA11CD"/>
    <w:rsid w:val="00FA1B7E"/>
    <w:rsid w:val="00FA31C7"/>
    <w:rsid w:val="00FA472D"/>
    <w:rsid w:val="00FA7254"/>
    <w:rsid w:val="00FB0214"/>
    <w:rsid w:val="00FB080C"/>
    <w:rsid w:val="00FB18F6"/>
    <w:rsid w:val="00FB2A52"/>
    <w:rsid w:val="00FB2F13"/>
    <w:rsid w:val="00FB377E"/>
    <w:rsid w:val="00FB6232"/>
    <w:rsid w:val="00FB6E19"/>
    <w:rsid w:val="00FB71F6"/>
    <w:rsid w:val="00FC0016"/>
    <w:rsid w:val="00FC1483"/>
    <w:rsid w:val="00FC1C47"/>
    <w:rsid w:val="00FC2EF2"/>
    <w:rsid w:val="00FC39ED"/>
    <w:rsid w:val="00FC4419"/>
    <w:rsid w:val="00FC47E2"/>
    <w:rsid w:val="00FC4AA5"/>
    <w:rsid w:val="00FC5148"/>
    <w:rsid w:val="00FC6590"/>
    <w:rsid w:val="00FC7523"/>
    <w:rsid w:val="00FC75AC"/>
    <w:rsid w:val="00FC75CB"/>
    <w:rsid w:val="00FC7E95"/>
    <w:rsid w:val="00FD01BF"/>
    <w:rsid w:val="00FD0525"/>
    <w:rsid w:val="00FD0D4F"/>
    <w:rsid w:val="00FD297D"/>
    <w:rsid w:val="00FD2D13"/>
    <w:rsid w:val="00FD3D26"/>
    <w:rsid w:val="00FD4789"/>
    <w:rsid w:val="00FD54A5"/>
    <w:rsid w:val="00FD6071"/>
    <w:rsid w:val="00FE0794"/>
    <w:rsid w:val="00FE1041"/>
    <w:rsid w:val="00FE24CB"/>
    <w:rsid w:val="00FE3166"/>
    <w:rsid w:val="00FE3320"/>
    <w:rsid w:val="00FE3473"/>
    <w:rsid w:val="00FE353B"/>
    <w:rsid w:val="00FE4049"/>
    <w:rsid w:val="00FE4794"/>
    <w:rsid w:val="00FE5DF7"/>
    <w:rsid w:val="00FE5F72"/>
    <w:rsid w:val="00FE7B6B"/>
    <w:rsid w:val="00FF0231"/>
    <w:rsid w:val="00FF1C9B"/>
    <w:rsid w:val="00FF1D49"/>
    <w:rsid w:val="00FF2562"/>
    <w:rsid w:val="00FF2CE1"/>
    <w:rsid w:val="00FF3A41"/>
    <w:rsid w:val="00FF3E5B"/>
    <w:rsid w:val="00FF52BE"/>
    <w:rsid w:val="00FF544F"/>
    <w:rsid w:val="00FF57E4"/>
    <w:rsid w:val="00FF77F8"/>
    <w:rsid w:val="00FF78E5"/>
    <w:rsid w:val="01DF6ED8"/>
    <w:rsid w:val="02511F9D"/>
    <w:rsid w:val="02AB4E64"/>
    <w:rsid w:val="02FB5866"/>
    <w:rsid w:val="03056ED3"/>
    <w:rsid w:val="032C3F6C"/>
    <w:rsid w:val="0334104D"/>
    <w:rsid w:val="034E5B8A"/>
    <w:rsid w:val="03934617"/>
    <w:rsid w:val="03A314B8"/>
    <w:rsid w:val="03D82B98"/>
    <w:rsid w:val="03F83E8B"/>
    <w:rsid w:val="05B257EC"/>
    <w:rsid w:val="05F62CE0"/>
    <w:rsid w:val="06AE10AC"/>
    <w:rsid w:val="07AB1DBE"/>
    <w:rsid w:val="07B72767"/>
    <w:rsid w:val="08077E72"/>
    <w:rsid w:val="09AB1EA0"/>
    <w:rsid w:val="09CC2AAC"/>
    <w:rsid w:val="09D820EE"/>
    <w:rsid w:val="0A0C1A9C"/>
    <w:rsid w:val="0A652D3E"/>
    <w:rsid w:val="0B0A4571"/>
    <w:rsid w:val="0B3A48F0"/>
    <w:rsid w:val="0BF64F69"/>
    <w:rsid w:val="0C5C56D6"/>
    <w:rsid w:val="0C92213C"/>
    <w:rsid w:val="0CBA2804"/>
    <w:rsid w:val="0D1D728F"/>
    <w:rsid w:val="0D3B1B72"/>
    <w:rsid w:val="0D4F221D"/>
    <w:rsid w:val="0D84032B"/>
    <w:rsid w:val="0E121122"/>
    <w:rsid w:val="0EDC457F"/>
    <w:rsid w:val="0F011985"/>
    <w:rsid w:val="0F286944"/>
    <w:rsid w:val="0F4F4353"/>
    <w:rsid w:val="0FDC6CEF"/>
    <w:rsid w:val="10A27F31"/>
    <w:rsid w:val="10CA487C"/>
    <w:rsid w:val="11927058"/>
    <w:rsid w:val="12133FB0"/>
    <w:rsid w:val="12176643"/>
    <w:rsid w:val="122B1C43"/>
    <w:rsid w:val="12510966"/>
    <w:rsid w:val="12A055F5"/>
    <w:rsid w:val="12A5223C"/>
    <w:rsid w:val="12A604D9"/>
    <w:rsid w:val="130D4243"/>
    <w:rsid w:val="1387148A"/>
    <w:rsid w:val="13AF4F03"/>
    <w:rsid w:val="13B10A95"/>
    <w:rsid w:val="145E6EE8"/>
    <w:rsid w:val="14736E66"/>
    <w:rsid w:val="148937C0"/>
    <w:rsid w:val="149B6AC2"/>
    <w:rsid w:val="15264037"/>
    <w:rsid w:val="15293653"/>
    <w:rsid w:val="1534169A"/>
    <w:rsid w:val="15C03E03"/>
    <w:rsid w:val="162A25EB"/>
    <w:rsid w:val="16964761"/>
    <w:rsid w:val="16CB33E9"/>
    <w:rsid w:val="16FD2A55"/>
    <w:rsid w:val="17366761"/>
    <w:rsid w:val="177C01F0"/>
    <w:rsid w:val="17CE6630"/>
    <w:rsid w:val="19304EC9"/>
    <w:rsid w:val="19820BA0"/>
    <w:rsid w:val="1AFA16D5"/>
    <w:rsid w:val="1B4F19F8"/>
    <w:rsid w:val="1B7725C5"/>
    <w:rsid w:val="1BB73822"/>
    <w:rsid w:val="1BD92184"/>
    <w:rsid w:val="1C5170A2"/>
    <w:rsid w:val="1D23361F"/>
    <w:rsid w:val="1D4061A8"/>
    <w:rsid w:val="1D85210B"/>
    <w:rsid w:val="1E4A2E9F"/>
    <w:rsid w:val="1E9B4F4B"/>
    <w:rsid w:val="1EEE23EF"/>
    <w:rsid w:val="1F063325"/>
    <w:rsid w:val="1FA2402F"/>
    <w:rsid w:val="1FBC5DF5"/>
    <w:rsid w:val="1FC55574"/>
    <w:rsid w:val="202075C8"/>
    <w:rsid w:val="203D099C"/>
    <w:rsid w:val="20781442"/>
    <w:rsid w:val="21B83F86"/>
    <w:rsid w:val="21E55E66"/>
    <w:rsid w:val="221178A8"/>
    <w:rsid w:val="221213CF"/>
    <w:rsid w:val="22327A92"/>
    <w:rsid w:val="22501E48"/>
    <w:rsid w:val="22965435"/>
    <w:rsid w:val="22AB3754"/>
    <w:rsid w:val="22BD6F35"/>
    <w:rsid w:val="231D53A2"/>
    <w:rsid w:val="23B7504C"/>
    <w:rsid w:val="24571307"/>
    <w:rsid w:val="24BA2984"/>
    <w:rsid w:val="25126E09"/>
    <w:rsid w:val="25246333"/>
    <w:rsid w:val="25C14636"/>
    <w:rsid w:val="26446DE3"/>
    <w:rsid w:val="264D165B"/>
    <w:rsid w:val="265F3538"/>
    <w:rsid w:val="26835926"/>
    <w:rsid w:val="26CD1617"/>
    <w:rsid w:val="26D7699F"/>
    <w:rsid w:val="27234AD7"/>
    <w:rsid w:val="274A5E17"/>
    <w:rsid w:val="279A2132"/>
    <w:rsid w:val="27FB6C3E"/>
    <w:rsid w:val="284D08E4"/>
    <w:rsid w:val="2912495F"/>
    <w:rsid w:val="29531C35"/>
    <w:rsid w:val="29E17ECF"/>
    <w:rsid w:val="2A093FC0"/>
    <w:rsid w:val="2A2D3BAD"/>
    <w:rsid w:val="2A5A691B"/>
    <w:rsid w:val="2A9511E5"/>
    <w:rsid w:val="2B09065E"/>
    <w:rsid w:val="2B774624"/>
    <w:rsid w:val="2C7A72BE"/>
    <w:rsid w:val="2CB04084"/>
    <w:rsid w:val="2CE1294E"/>
    <w:rsid w:val="2E3777C8"/>
    <w:rsid w:val="2EEB5D26"/>
    <w:rsid w:val="2F013AAD"/>
    <w:rsid w:val="2F401D3C"/>
    <w:rsid w:val="2F436F36"/>
    <w:rsid w:val="2F70241B"/>
    <w:rsid w:val="2FA95C88"/>
    <w:rsid w:val="3041370F"/>
    <w:rsid w:val="308D3B08"/>
    <w:rsid w:val="30F06C49"/>
    <w:rsid w:val="31083A05"/>
    <w:rsid w:val="3180356E"/>
    <w:rsid w:val="31E35A37"/>
    <w:rsid w:val="32453A27"/>
    <w:rsid w:val="3263064A"/>
    <w:rsid w:val="32AC0C06"/>
    <w:rsid w:val="32D2322E"/>
    <w:rsid w:val="33236981"/>
    <w:rsid w:val="33FA1CBC"/>
    <w:rsid w:val="342866FA"/>
    <w:rsid w:val="34CA3F9D"/>
    <w:rsid w:val="35304278"/>
    <w:rsid w:val="3537750C"/>
    <w:rsid w:val="3537798C"/>
    <w:rsid w:val="357F7ED5"/>
    <w:rsid w:val="35C13FC9"/>
    <w:rsid w:val="362E6D87"/>
    <w:rsid w:val="364257B6"/>
    <w:rsid w:val="367B3D86"/>
    <w:rsid w:val="36F834D1"/>
    <w:rsid w:val="374264D3"/>
    <w:rsid w:val="37A75B88"/>
    <w:rsid w:val="37C1661D"/>
    <w:rsid w:val="37DB7874"/>
    <w:rsid w:val="37E961A0"/>
    <w:rsid w:val="37EA5922"/>
    <w:rsid w:val="3809405A"/>
    <w:rsid w:val="38276B93"/>
    <w:rsid w:val="388F7B77"/>
    <w:rsid w:val="3A0B64A7"/>
    <w:rsid w:val="3A4A48F1"/>
    <w:rsid w:val="3A7038BB"/>
    <w:rsid w:val="3AF74C02"/>
    <w:rsid w:val="3B714E2B"/>
    <w:rsid w:val="3BC6658C"/>
    <w:rsid w:val="3C0059A5"/>
    <w:rsid w:val="3C134E78"/>
    <w:rsid w:val="3C301B5F"/>
    <w:rsid w:val="3CAB1AFC"/>
    <w:rsid w:val="3D05582A"/>
    <w:rsid w:val="3D7212EC"/>
    <w:rsid w:val="3DF6345D"/>
    <w:rsid w:val="3EE13701"/>
    <w:rsid w:val="3EFA9C1A"/>
    <w:rsid w:val="3F1A4BB3"/>
    <w:rsid w:val="40192BA6"/>
    <w:rsid w:val="409C1193"/>
    <w:rsid w:val="40E4427F"/>
    <w:rsid w:val="42550A18"/>
    <w:rsid w:val="425600A9"/>
    <w:rsid w:val="42CE7B4B"/>
    <w:rsid w:val="42D114D2"/>
    <w:rsid w:val="42F473A1"/>
    <w:rsid w:val="432D04A7"/>
    <w:rsid w:val="4416031D"/>
    <w:rsid w:val="441E62C0"/>
    <w:rsid w:val="44274ACD"/>
    <w:rsid w:val="44902C34"/>
    <w:rsid w:val="44FF6E0B"/>
    <w:rsid w:val="45811C7C"/>
    <w:rsid w:val="45AA78B4"/>
    <w:rsid w:val="468B3EFB"/>
    <w:rsid w:val="46F851C7"/>
    <w:rsid w:val="46F9547C"/>
    <w:rsid w:val="470A6193"/>
    <w:rsid w:val="47333834"/>
    <w:rsid w:val="47AA339A"/>
    <w:rsid w:val="47DC4F5C"/>
    <w:rsid w:val="48A04659"/>
    <w:rsid w:val="48B40671"/>
    <w:rsid w:val="49920434"/>
    <w:rsid w:val="499B5738"/>
    <w:rsid w:val="499F244D"/>
    <w:rsid w:val="49E634D1"/>
    <w:rsid w:val="4A0F309F"/>
    <w:rsid w:val="4A8F58C2"/>
    <w:rsid w:val="4AF96BC7"/>
    <w:rsid w:val="4B38326F"/>
    <w:rsid w:val="4B842132"/>
    <w:rsid w:val="4BFB4050"/>
    <w:rsid w:val="4CEF36E2"/>
    <w:rsid w:val="4D3B1120"/>
    <w:rsid w:val="4DAF4CC1"/>
    <w:rsid w:val="4E676345"/>
    <w:rsid w:val="4EA8070C"/>
    <w:rsid w:val="4EE911C5"/>
    <w:rsid w:val="4F372FFB"/>
    <w:rsid w:val="4FA76FA4"/>
    <w:rsid w:val="5044725D"/>
    <w:rsid w:val="513F391C"/>
    <w:rsid w:val="51564E44"/>
    <w:rsid w:val="52282C57"/>
    <w:rsid w:val="52C10D75"/>
    <w:rsid w:val="52E70BE6"/>
    <w:rsid w:val="53C125EB"/>
    <w:rsid w:val="54602637"/>
    <w:rsid w:val="548D4D9B"/>
    <w:rsid w:val="54C53DC5"/>
    <w:rsid w:val="550C4BD7"/>
    <w:rsid w:val="55572986"/>
    <w:rsid w:val="55A14ACC"/>
    <w:rsid w:val="562B20BF"/>
    <w:rsid w:val="569E7770"/>
    <w:rsid w:val="56D04C17"/>
    <w:rsid w:val="57C739B1"/>
    <w:rsid w:val="5884764A"/>
    <w:rsid w:val="59283EA4"/>
    <w:rsid w:val="596A0F61"/>
    <w:rsid w:val="5A3D4CF5"/>
    <w:rsid w:val="5A766AF8"/>
    <w:rsid w:val="5A957D93"/>
    <w:rsid w:val="5AFD311B"/>
    <w:rsid w:val="5B3760D9"/>
    <w:rsid w:val="5B86261A"/>
    <w:rsid w:val="5BE014E5"/>
    <w:rsid w:val="5BEC760C"/>
    <w:rsid w:val="5CA8756B"/>
    <w:rsid w:val="5DF9063C"/>
    <w:rsid w:val="5E1B2389"/>
    <w:rsid w:val="5EC1512D"/>
    <w:rsid w:val="5F12674D"/>
    <w:rsid w:val="5F80710D"/>
    <w:rsid w:val="5FDF74DA"/>
    <w:rsid w:val="606007BB"/>
    <w:rsid w:val="60A7347D"/>
    <w:rsid w:val="60AC7F66"/>
    <w:rsid w:val="60B85EAB"/>
    <w:rsid w:val="61706794"/>
    <w:rsid w:val="618835DC"/>
    <w:rsid w:val="61BF10D9"/>
    <w:rsid w:val="629F7BDB"/>
    <w:rsid w:val="631928DF"/>
    <w:rsid w:val="63475A0F"/>
    <w:rsid w:val="639F09A2"/>
    <w:rsid w:val="6405479F"/>
    <w:rsid w:val="640C7C21"/>
    <w:rsid w:val="64E45EF7"/>
    <w:rsid w:val="654B02D7"/>
    <w:rsid w:val="655A9E13"/>
    <w:rsid w:val="66481DA7"/>
    <w:rsid w:val="66A575B3"/>
    <w:rsid w:val="66A57729"/>
    <w:rsid w:val="670F748C"/>
    <w:rsid w:val="6736338C"/>
    <w:rsid w:val="677435B2"/>
    <w:rsid w:val="67EF75F1"/>
    <w:rsid w:val="681C76FB"/>
    <w:rsid w:val="683851C9"/>
    <w:rsid w:val="68774BE5"/>
    <w:rsid w:val="68B87030"/>
    <w:rsid w:val="69124F16"/>
    <w:rsid w:val="69C64B0E"/>
    <w:rsid w:val="69CD5C14"/>
    <w:rsid w:val="69CF0D33"/>
    <w:rsid w:val="69E44896"/>
    <w:rsid w:val="6A1B5E6A"/>
    <w:rsid w:val="6A9675C2"/>
    <w:rsid w:val="6AB24495"/>
    <w:rsid w:val="6B9946B3"/>
    <w:rsid w:val="6BE77A3E"/>
    <w:rsid w:val="6C310D11"/>
    <w:rsid w:val="6C630D16"/>
    <w:rsid w:val="6C921AAA"/>
    <w:rsid w:val="6D1837C6"/>
    <w:rsid w:val="6DE76850"/>
    <w:rsid w:val="6E336FB7"/>
    <w:rsid w:val="6E3B7F3B"/>
    <w:rsid w:val="6E6455BA"/>
    <w:rsid w:val="6E9A1018"/>
    <w:rsid w:val="6F3B11E4"/>
    <w:rsid w:val="6FB20BD4"/>
    <w:rsid w:val="6FBA59BE"/>
    <w:rsid w:val="70296B3E"/>
    <w:rsid w:val="703A2BF0"/>
    <w:rsid w:val="705758CA"/>
    <w:rsid w:val="70611204"/>
    <w:rsid w:val="70F17BCE"/>
    <w:rsid w:val="71D1262F"/>
    <w:rsid w:val="7234593E"/>
    <w:rsid w:val="72983CD3"/>
    <w:rsid w:val="72EF4CB6"/>
    <w:rsid w:val="743B2F14"/>
    <w:rsid w:val="746A24BE"/>
    <w:rsid w:val="749F1040"/>
    <w:rsid w:val="74CE5F27"/>
    <w:rsid w:val="74FA2C30"/>
    <w:rsid w:val="76250197"/>
    <w:rsid w:val="76BC49EB"/>
    <w:rsid w:val="77000DA2"/>
    <w:rsid w:val="781E69D1"/>
    <w:rsid w:val="78340059"/>
    <w:rsid w:val="78F0363E"/>
    <w:rsid w:val="79BE1CAB"/>
    <w:rsid w:val="7ADD0453"/>
    <w:rsid w:val="7AF46346"/>
    <w:rsid w:val="7B0F5EBF"/>
    <w:rsid w:val="7B130FB9"/>
    <w:rsid w:val="7BDE0625"/>
    <w:rsid w:val="7BF64EDE"/>
    <w:rsid w:val="7C400C1E"/>
    <w:rsid w:val="7C6C6CCE"/>
    <w:rsid w:val="7C773348"/>
    <w:rsid w:val="7C9C1906"/>
    <w:rsid w:val="7CB0484C"/>
    <w:rsid w:val="7D422E99"/>
    <w:rsid w:val="7DD11708"/>
    <w:rsid w:val="7DD83ECB"/>
    <w:rsid w:val="7DF46F4A"/>
    <w:rsid w:val="7E3D4C74"/>
    <w:rsid w:val="7E896766"/>
    <w:rsid w:val="7EBC46EA"/>
    <w:rsid w:val="7EC167BD"/>
    <w:rsid w:val="7FCA72CB"/>
    <w:rsid w:val="7FCB062D"/>
    <w:rsid w:val="7FF82C26"/>
    <w:rsid w:val="EF6DC4F0"/>
    <w:rsid w:val="FFF6D50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9" w:name="heading 3"/>
    <w:lsdException w:qFormat="1" w:unhideWhenUsed="0" w:uiPriority="0" w:semiHidden="0"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qFormat="1" w:uiPriority="99" w:semiHidden="0" w:name="Body Text 3"/>
    <w:lsdException w:uiPriority="99" w:name="Body Text Indent 2"/>
    <w:lsdException w:uiPriority="99" w:name="Body Text Indent 3"/>
    <w:lsdException w:qFormat="1" w:unhideWhenUsed="0" w:uiPriority="0" w:semiHidden="0"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4"/>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5"/>
    <w:qFormat/>
    <w:uiPriority w:val="9"/>
    <w:pPr>
      <w:keepNext/>
      <w:keepLines/>
      <w:spacing w:before="260" w:after="260" w:line="416" w:lineRule="auto"/>
      <w:outlineLvl w:val="1"/>
    </w:pPr>
    <w:rPr>
      <w:rFonts w:ascii="Cambria" w:hAnsi="Cambria"/>
      <w:b/>
      <w:bCs/>
      <w:sz w:val="32"/>
      <w:szCs w:val="32"/>
    </w:rPr>
  </w:style>
  <w:style w:type="paragraph" w:styleId="4">
    <w:name w:val="heading 4"/>
    <w:basedOn w:val="1"/>
    <w:next w:val="1"/>
    <w:qFormat/>
    <w:uiPriority w:val="0"/>
    <w:pPr>
      <w:keepNext/>
      <w:keepLines/>
      <w:widowControl/>
      <w:spacing w:before="120" w:after="120" w:line="360" w:lineRule="auto"/>
      <w:jc w:val="center"/>
      <w:outlineLvl w:val="3"/>
    </w:pPr>
    <w:rPr>
      <w:rFonts w:ascii="Arial" w:hAnsi="Arial" w:eastAsia="黑体"/>
      <w:kern w:val="0"/>
      <w:sz w:val="28"/>
      <w:szCs w:val="20"/>
    </w:rPr>
  </w:style>
  <w:style w:type="paragraph" w:styleId="5">
    <w:name w:val="heading 5"/>
    <w:basedOn w:val="1"/>
    <w:next w:val="6"/>
    <w:link w:val="36"/>
    <w:qFormat/>
    <w:uiPriority w:val="9"/>
    <w:pPr>
      <w:keepNext/>
      <w:keepLines/>
      <w:spacing w:before="280" w:after="290" w:line="376" w:lineRule="auto"/>
      <w:outlineLvl w:val="4"/>
    </w:pPr>
    <w:rPr>
      <w:b/>
      <w:bCs/>
      <w:sz w:val="28"/>
      <w:szCs w:val="28"/>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pPr>
    <w:rPr>
      <w:szCs w:val="20"/>
    </w:rPr>
  </w:style>
  <w:style w:type="paragraph" w:styleId="7">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8">
    <w:name w:val="annotation text"/>
    <w:basedOn w:val="1"/>
    <w:link w:val="37"/>
    <w:qFormat/>
    <w:uiPriority w:val="0"/>
    <w:pPr>
      <w:jc w:val="left"/>
    </w:pPr>
  </w:style>
  <w:style w:type="paragraph" w:styleId="9">
    <w:name w:val="Body Text 3"/>
    <w:basedOn w:val="1"/>
    <w:link w:val="38"/>
    <w:unhideWhenUsed/>
    <w:qFormat/>
    <w:uiPriority w:val="99"/>
    <w:pPr>
      <w:spacing w:after="120"/>
    </w:pPr>
    <w:rPr>
      <w:sz w:val="16"/>
      <w:szCs w:val="16"/>
    </w:rPr>
  </w:style>
  <w:style w:type="paragraph" w:styleId="10">
    <w:name w:val="Body Text"/>
    <w:basedOn w:val="1"/>
    <w:next w:val="1"/>
    <w:link w:val="39"/>
    <w:unhideWhenUsed/>
    <w:qFormat/>
    <w:uiPriority w:val="0"/>
    <w:pPr>
      <w:spacing w:after="120"/>
    </w:pPr>
  </w:style>
  <w:style w:type="paragraph" w:styleId="11">
    <w:name w:val="Body Text Indent"/>
    <w:basedOn w:val="1"/>
    <w:link w:val="40"/>
    <w:qFormat/>
    <w:uiPriority w:val="0"/>
    <w:pPr>
      <w:ind w:firstLine="830" w:firstLineChars="352"/>
    </w:pPr>
    <w:rPr>
      <w:rFonts w:ascii="仿宋_GB2312" w:eastAsia="仿宋_GB2312"/>
      <w:kern w:val="0"/>
      <w:sz w:val="32"/>
      <w:szCs w:val="20"/>
    </w:rPr>
  </w:style>
  <w:style w:type="paragraph" w:styleId="12">
    <w:name w:val="List 2"/>
    <w:basedOn w:val="1"/>
    <w:unhideWhenUsed/>
    <w:qFormat/>
    <w:uiPriority w:val="99"/>
    <w:pPr>
      <w:ind w:left="100" w:leftChars="200" w:hanging="200" w:hangingChars="200"/>
      <w:contextualSpacing/>
    </w:pPr>
  </w:style>
  <w:style w:type="paragraph" w:styleId="13">
    <w:name w:val="Block Text"/>
    <w:basedOn w:val="1"/>
    <w:qFormat/>
    <w:uiPriority w:val="0"/>
    <w:pPr>
      <w:tabs>
        <w:tab w:val="left" w:pos="1440"/>
      </w:tabs>
      <w:spacing w:after="100"/>
      <w:ind w:left="3600" w:right="-288" w:hanging="2880"/>
    </w:pPr>
    <w:rPr>
      <w:snapToGrid w:val="0"/>
      <w:kern w:val="0"/>
      <w:sz w:val="22"/>
      <w:szCs w:val="20"/>
      <w:lang w:eastAsia="en-US"/>
    </w:rPr>
  </w:style>
  <w:style w:type="paragraph" w:styleId="14">
    <w:name w:val="Plain Text"/>
    <w:basedOn w:val="1"/>
    <w:next w:val="4"/>
    <w:link w:val="41"/>
    <w:qFormat/>
    <w:uiPriority w:val="0"/>
    <w:rPr>
      <w:rFonts w:ascii="宋体" w:hAnsi="Courier New"/>
      <w:kern w:val="0"/>
      <w:sz w:val="20"/>
      <w:szCs w:val="21"/>
    </w:rPr>
  </w:style>
  <w:style w:type="paragraph" w:styleId="15">
    <w:name w:val="Date"/>
    <w:basedOn w:val="1"/>
    <w:next w:val="1"/>
    <w:link w:val="42"/>
    <w:unhideWhenUsed/>
    <w:qFormat/>
    <w:uiPriority w:val="99"/>
    <w:pPr>
      <w:ind w:left="100" w:leftChars="2500"/>
    </w:pPr>
  </w:style>
  <w:style w:type="paragraph" w:styleId="16">
    <w:name w:val="Balloon Text"/>
    <w:basedOn w:val="1"/>
    <w:semiHidden/>
    <w:qFormat/>
    <w:uiPriority w:val="0"/>
    <w:rPr>
      <w:sz w:val="18"/>
      <w:szCs w:val="18"/>
    </w:rPr>
  </w:style>
  <w:style w:type="paragraph" w:styleId="17">
    <w:name w:val="footer"/>
    <w:basedOn w:val="1"/>
    <w:link w:val="43"/>
    <w:unhideWhenUsed/>
    <w:qFormat/>
    <w:uiPriority w:val="99"/>
    <w:pPr>
      <w:tabs>
        <w:tab w:val="center" w:pos="4153"/>
        <w:tab w:val="right" w:pos="8306"/>
      </w:tabs>
      <w:snapToGrid w:val="0"/>
      <w:jc w:val="left"/>
    </w:pPr>
    <w:rPr>
      <w:kern w:val="0"/>
      <w:sz w:val="18"/>
      <w:szCs w:val="18"/>
    </w:rPr>
  </w:style>
  <w:style w:type="paragraph" w:styleId="18">
    <w:name w:val="header"/>
    <w:basedOn w:val="1"/>
    <w:link w:val="44"/>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9">
    <w:name w:val="toc 1"/>
    <w:basedOn w:val="1"/>
    <w:next w:val="1"/>
    <w:unhideWhenUsed/>
    <w:qFormat/>
    <w:uiPriority w:val="39"/>
  </w:style>
  <w:style w:type="paragraph" w:styleId="20">
    <w:name w:val="toc 2"/>
    <w:basedOn w:val="1"/>
    <w:next w:val="1"/>
    <w:unhideWhenUsed/>
    <w:qFormat/>
    <w:uiPriority w:val="39"/>
    <w:pPr>
      <w:tabs>
        <w:tab w:val="right" w:leader="dot" w:pos="8296"/>
      </w:tabs>
      <w:ind w:left="420" w:leftChars="200"/>
    </w:pPr>
  </w:style>
  <w:style w:type="paragraph" w:styleId="21">
    <w:name w:val="HTML Preformatted"/>
    <w:basedOn w:val="1"/>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kern w:val="0"/>
      <w:sz w:val="24"/>
    </w:rPr>
  </w:style>
  <w:style w:type="paragraph" w:styleId="22">
    <w:name w:val="Normal (Web)"/>
    <w:basedOn w:val="1"/>
    <w:unhideWhenUsed/>
    <w:qFormat/>
    <w:uiPriority w:val="99"/>
    <w:rPr>
      <w:rFonts w:ascii="Calibri" w:hAnsi="Calibri"/>
      <w:kern w:val="0"/>
      <w:sz w:val="24"/>
    </w:rPr>
  </w:style>
  <w:style w:type="paragraph" w:styleId="23">
    <w:name w:val="annotation subject"/>
    <w:basedOn w:val="8"/>
    <w:next w:val="8"/>
    <w:link w:val="45"/>
    <w:qFormat/>
    <w:uiPriority w:val="99"/>
    <w:rPr>
      <w:b/>
      <w:bCs/>
    </w:rPr>
  </w:style>
  <w:style w:type="paragraph" w:styleId="24">
    <w:name w:val="Body Text First Indent"/>
    <w:basedOn w:val="10"/>
    <w:next w:val="1"/>
    <w:qFormat/>
    <w:uiPriority w:val="0"/>
    <w:pPr>
      <w:ind w:firstLine="420" w:firstLineChars="100"/>
    </w:pPr>
  </w:style>
  <w:style w:type="paragraph" w:styleId="25">
    <w:name w:val="Body Text First Indent 2"/>
    <w:basedOn w:val="11"/>
    <w:next w:val="1"/>
    <w:qFormat/>
    <w:uiPriority w:val="0"/>
    <w:pPr>
      <w:spacing w:after="120"/>
      <w:ind w:left="420" w:leftChars="200" w:firstLine="420" w:firstLineChars="200"/>
    </w:pPr>
    <w:rPr>
      <w:szCs w:val="24"/>
    </w:rPr>
  </w:style>
  <w:style w:type="table" w:styleId="27">
    <w:name w:val="Table Grid"/>
    <w:basedOn w:val="26"/>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9">
    <w:name w:val="Strong"/>
    <w:basedOn w:val="28"/>
    <w:qFormat/>
    <w:uiPriority w:val="22"/>
    <w:rPr>
      <w:b/>
    </w:rPr>
  </w:style>
  <w:style w:type="character" w:styleId="30">
    <w:name w:val="page number"/>
    <w:qFormat/>
    <w:uiPriority w:val="0"/>
  </w:style>
  <w:style w:type="character" w:styleId="31">
    <w:name w:val="Hyperlink"/>
    <w:unhideWhenUsed/>
    <w:qFormat/>
    <w:uiPriority w:val="99"/>
    <w:rPr>
      <w:color w:val="0000FF"/>
      <w:u w:val="single"/>
    </w:rPr>
  </w:style>
  <w:style w:type="character" w:styleId="32">
    <w:name w:val="annotation reference"/>
    <w:basedOn w:val="28"/>
    <w:qFormat/>
    <w:uiPriority w:val="0"/>
    <w:rPr>
      <w:sz w:val="21"/>
      <w:szCs w:val="21"/>
    </w:rPr>
  </w:style>
  <w:style w:type="paragraph" w:customStyle="1" w:styleId="33">
    <w:name w:val="无间隔1"/>
    <w:qFormat/>
    <w:uiPriority w:val="99"/>
    <w:pPr>
      <w:widowControl w:val="0"/>
      <w:jc w:val="both"/>
    </w:pPr>
    <w:rPr>
      <w:rFonts w:ascii="Times New Roman" w:hAnsi="Times New Roman" w:eastAsia="宋体" w:cs="Times New Roman"/>
      <w:kern w:val="2"/>
      <w:sz w:val="21"/>
      <w:szCs w:val="22"/>
      <w:lang w:val="en-US" w:eastAsia="zh-CN" w:bidi="ar-SA"/>
    </w:rPr>
  </w:style>
  <w:style w:type="character" w:customStyle="1" w:styleId="34">
    <w:name w:val="标题 1 字符1"/>
    <w:link w:val="2"/>
    <w:qFormat/>
    <w:uiPriority w:val="0"/>
    <w:rPr>
      <w:b/>
      <w:bCs/>
      <w:kern w:val="44"/>
      <w:sz w:val="44"/>
      <w:szCs w:val="44"/>
    </w:rPr>
  </w:style>
  <w:style w:type="character" w:customStyle="1" w:styleId="35">
    <w:name w:val="标题 2 字符"/>
    <w:link w:val="3"/>
    <w:qFormat/>
    <w:uiPriority w:val="9"/>
    <w:rPr>
      <w:rFonts w:ascii="Cambria" w:hAnsi="Cambria" w:eastAsia="宋体" w:cs="Times New Roman"/>
      <w:b/>
      <w:bCs/>
      <w:kern w:val="2"/>
      <w:sz w:val="32"/>
      <w:szCs w:val="32"/>
    </w:rPr>
  </w:style>
  <w:style w:type="character" w:customStyle="1" w:styleId="36">
    <w:name w:val="标题 5 字符"/>
    <w:link w:val="5"/>
    <w:semiHidden/>
    <w:qFormat/>
    <w:uiPriority w:val="9"/>
    <w:rPr>
      <w:rFonts w:ascii="Times New Roman" w:hAnsi="Times New Roman"/>
      <w:b/>
      <w:bCs/>
      <w:kern w:val="2"/>
      <w:sz w:val="28"/>
      <w:szCs w:val="28"/>
    </w:rPr>
  </w:style>
  <w:style w:type="character" w:customStyle="1" w:styleId="37">
    <w:name w:val="批注文字 字符"/>
    <w:link w:val="8"/>
    <w:qFormat/>
    <w:uiPriority w:val="0"/>
    <w:rPr>
      <w:rFonts w:ascii="Times New Roman" w:hAnsi="Times New Roman"/>
      <w:kern w:val="2"/>
      <w:sz w:val="21"/>
      <w:szCs w:val="24"/>
    </w:rPr>
  </w:style>
  <w:style w:type="character" w:customStyle="1" w:styleId="38">
    <w:name w:val="正文文本 3 字符"/>
    <w:link w:val="9"/>
    <w:semiHidden/>
    <w:qFormat/>
    <w:uiPriority w:val="99"/>
    <w:rPr>
      <w:rFonts w:ascii="Times New Roman" w:hAnsi="Times New Roman"/>
      <w:kern w:val="2"/>
      <w:sz w:val="16"/>
      <w:szCs w:val="16"/>
    </w:rPr>
  </w:style>
  <w:style w:type="character" w:customStyle="1" w:styleId="39">
    <w:name w:val="正文文本 字符"/>
    <w:link w:val="10"/>
    <w:qFormat/>
    <w:uiPriority w:val="0"/>
    <w:rPr>
      <w:rFonts w:ascii="Times New Roman" w:hAnsi="Times New Roman"/>
      <w:kern w:val="2"/>
      <w:sz w:val="21"/>
      <w:szCs w:val="24"/>
    </w:rPr>
  </w:style>
  <w:style w:type="character" w:customStyle="1" w:styleId="40">
    <w:name w:val="正文文本缩进 字符"/>
    <w:link w:val="11"/>
    <w:qFormat/>
    <w:uiPriority w:val="0"/>
    <w:rPr>
      <w:rFonts w:ascii="仿宋_GB2312" w:hAnsi="Times New Roman" w:eastAsia="仿宋_GB2312" w:cs="Times New Roman"/>
      <w:sz w:val="32"/>
      <w:szCs w:val="20"/>
    </w:rPr>
  </w:style>
  <w:style w:type="character" w:customStyle="1" w:styleId="41">
    <w:name w:val="纯文本 字符"/>
    <w:link w:val="14"/>
    <w:qFormat/>
    <w:uiPriority w:val="0"/>
    <w:rPr>
      <w:rFonts w:ascii="宋体" w:hAnsi="Courier New" w:eastAsia="宋体" w:cs="Courier New"/>
      <w:szCs w:val="21"/>
    </w:rPr>
  </w:style>
  <w:style w:type="character" w:customStyle="1" w:styleId="42">
    <w:name w:val="日期 字符"/>
    <w:link w:val="15"/>
    <w:semiHidden/>
    <w:qFormat/>
    <w:uiPriority w:val="99"/>
    <w:rPr>
      <w:rFonts w:ascii="Times New Roman" w:hAnsi="Times New Roman"/>
      <w:kern w:val="2"/>
      <w:sz w:val="21"/>
      <w:szCs w:val="24"/>
    </w:rPr>
  </w:style>
  <w:style w:type="character" w:customStyle="1" w:styleId="43">
    <w:name w:val="页脚 字符"/>
    <w:link w:val="17"/>
    <w:qFormat/>
    <w:uiPriority w:val="99"/>
    <w:rPr>
      <w:sz w:val="18"/>
      <w:szCs w:val="18"/>
    </w:rPr>
  </w:style>
  <w:style w:type="character" w:customStyle="1" w:styleId="44">
    <w:name w:val="页眉 字符"/>
    <w:link w:val="18"/>
    <w:qFormat/>
    <w:uiPriority w:val="99"/>
    <w:rPr>
      <w:sz w:val="18"/>
      <w:szCs w:val="18"/>
    </w:rPr>
  </w:style>
  <w:style w:type="character" w:customStyle="1" w:styleId="45">
    <w:name w:val="批注主题 字符"/>
    <w:link w:val="23"/>
    <w:qFormat/>
    <w:uiPriority w:val="99"/>
    <w:rPr>
      <w:rFonts w:ascii="Times New Roman" w:hAnsi="Times New Roman"/>
      <w:b/>
      <w:bCs/>
      <w:kern w:val="2"/>
      <w:sz w:val="21"/>
      <w:szCs w:val="24"/>
    </w:rPr>
  </w:style>
  <w:style w:type="character" w:customStyle="1" w:styleId="46">
    <w:name w:val="正文文本缩进 字符1"/>
    <w:qFormat/>
    <w:uiPriority w:val="0"/>
    <w:rPr>
      <w:rFonts w:ascii="仿宋_GB2312" w:hAnsi="Times New Roman" w:eastAsia="仿宋_GB2312" w:cs="Times New Roman"/>
      <w:sz w:val="32"/>
      <w:szCs w:val="20"/>
    </w:rPr>
  </w:style>
  <w:style w:type="character" w:customStyle="1" w:styleId="47">
    <w:name w:val="apple-style-span"/>
    <w:qFormat/>
    <w:uiPriority w:val="0"/>
  </w:style>
  <w:style w:type="character" w:customStyle="1" w:styleId="48">
    <w:name w:val="标题 1 字符"/>
    <w:qFormat/>
    <w:uiPriority w:val="9"/>
    <w:rPr>
      <w:b/>
      <w:bCs/>
      <w:kern w:val="44"/>
      <w:sz w:val="44"/>
      <w:szCs w:val="44"/>
    </w:rPr>
  </w:style>
  <w:style w:type="character" w:customStyle="1" w:styleId="49">
    <w:name w:val="textcontents"/>
    <w:qFormat/>
    <w:uiPriority w:val="0"/>
  </w:style>
  <w:style w:type="character" w:customStyle="1" w:styleId="50">
    <w:name w:val="纯文本 字符1"/>
    <w:qFormat/>
    <w:uiPriority w:val="0"/>
    <w:rPr>
      <w:rFonts w:ascii="宋体" w:hAnsi="Courier New"/>
    </w:rPr>
  </w:style>
  <w:style w:type="character" w:customStyle="1" w:styleId="51">
    <w:name w:val="批注文字 字符1"/>
    <w:qFormat/>
    <w:uiPriority w:val="0"/>
    <w:rPr>
      <w:kern w:val="2"/>
      <w:sz w:val="21"/>
      <w:szCs w:val="24"/>
    </w:rPr>
  </w:style>
  <w:style w:type="character" w:customStyle="1" w:styleId="52">
    <w:name w:val="纯文本 字符2"/>
    <w:qFormat/>
    <w:uiPriority w:val="0"/>
    <w:rPr>
      <w:rFonts w:ascii="宋体" w:hAnsi="Courier New" w:eastAsia="宋体" w:cs="Courier New"/>
      <w:szCs w:val="21"/>
    </w:rPr>
  </w:style>
  <w:style w:type="character" w:customStyle="1" w:styleId="53">
    <w:name w:val="页脚 Char"/>
    <w:qFormat/>
    <w:uiPriority w:val="99"/>
    <w:rPr>
      <w:lang w:eastAsia="zh-CN"/>
    </w:rPr>
  </w:style>
  <w:style w:type="paragraph" w:customStyle="1" w:styleId="54">
    <w:name w:val="默认段落字体 Para Char Char Char Char Char Char Char Char Char1 Char Char Char Char"/>
    <w:basedOn w:val="1"/>
    <w:qFormat/>
    <w:uiPriority w:val="0"/>
    <w:rPr>
      <w:rFonts w:ascii="Tahoma" w:hAnsi="Tahoma"/>
      <w:sz w:val="24"/>
      <w:szCs w:val="20"/>
    </w:rPr>
  </w:style>
  <w:style w:type="paragraph" w:customStyle="1" w:styleId="55">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56">
    <w:name w:val="列出段落1"/>
    <w:basedOn w:val="1"/>
    <w:qFormat/>
    <w:uiPriority w:val="34"/>
    <w:pPr>
      <w:ind w:firstLine="420" w:firstLineChars="200"/>
    </w:pPr>
  </w:style>
  <w:style w:type="paragraph" w:customStyle="1" w:styleId="57">
    <w:name w:val="Table Paragraph"/>
    <w:basedOn w:val="1"/>
    <w:qFormat/>
    <w:uiPriority w:val="1"/>
    <w:pPr>
      <w:jc w:val="left"/>
    </w:pPr>
    <w:rPr>
      <w:rFonts w:ascii="Calibri" w:hAnsi="Calibri"/>
      <w:kern w:val="0"/>
      <w:sz w:val="22"/>
      <w:szCs w:val="22"/>
      <w:lang w:eastAsia="en-US"/>
    </w:rPr>
  </w:style>
  <w:style w:type="character" w:customStyle="1" w:styleId="58">
    <w:name w:val="批注文字 Char1"/>
    <w:qFormat/>
    <w:uiPriority w:val="0"/>
    <w:rPr>
      <w:rFonts w:ascii="Times New Roman" w:hAnsi="Times New Roman"/>
      <w:kern w:val="2"/>
      <w:sz w:val="21"/>
      <w:szCs w:val="24"/>
    </w:rPr>
  </w:style>
  <w:style w:type="character" w:customStyle="1" w:styleId="59">
    <w:name w:val="批注文字 字符2"/>
    <w:qFormat/>
    <w:uiPriority w:val="0"/>
    <w:rPr>
      <w:rFonts w:ascii="Times New Roman" w:hAnsi="Times New Roman"/>
      <w:kern w:val="2"/>
      <w:sz w:val="21"/>
      <w:szCs w:val="24"/>
    </w:rPr>
  </w:style>
  <w:style w:type="character" w:customStyle="1" w:styleId="60">
    <w:name w:val="正文文本 (26) + 间距 0 pt"/>
    <w:qFormat/>
    <w:uiPriority w:val="0"/>
    <w:rPr>
      <w:rFonts w:hint="eastAsia" w:ascii="宋体" w:hAnsi="宋体" w:eastAsia="宋体" w:cs="宋体"/>
      <w:color w:val="000000"/>
      <w:spacing w:val="0"/>
      <w:w w:val="100"/>
      <w:position w:val="0"/>
      <w:sz w:val="22"/>
      <w:szCs w:val="22"/>
      <w:u w:val="none"/>
      <w:lang w:val="zh-CN" w:eastAsia="zh-CN" w:bidi="zh-CN"/>
    </w:rPr>
  </w:style>
  <w:style w:type="character" w:customStyle="1" w:styleId="61">
    <w:name w:val="纯文本 Char1"/>
    <w:qFormat/>
    <w:uiPriority w:val="0"/>
    <w:rPr>
      <w:rFonts w:ascii="宋体" w:hAnsi="Courier New" w:eastAsia="宋体" w:cs="Courier New"/>
      <w:szCs w:val="21"/>
    </w:rPr>
  </w:style>
  <w:style w:type="character" w:customStyle="1" w:styleId="62">
    <w:name w:val="批注文字 Char2"/>
    <w:qFormat/>
    <w:uiPriority w:val="0"/>
    <w:rPr>
      <w:rFonts w:ascii="Times New Roman" w:hAnsi="Times New Roman"/>
      <w:kern w:val="2"/>
      <w:sz w:val="21"/>
      <w:szCs w:val="24"/>
    </w:rPr>
  </w:style>
  <w:style w:type="character" w:customStyle="1" w:styleId="63">
    <w:name w:val="font11"/>
    <w:basedOn w:val="28"/>
    <w:qFormat/>
    <w:uiPriority w:val="0"/>
    <w:rPr>
      <w:rFonts w:hint="eastAsia" w:ascii="宋体" w:hAnsi="宋体" w:eastAsia="宋体" w:cs="宋体"/>
      <w:color w:val="000000"/>
      <w:sz w:val="20"/>
      <w:szCs w:val="20"/>
      <w:u w:val="none"/>
    </w:rPr>
  </w:style>
  <w:style w:type="character" w:customStyle="1" w:styleId="64">
    <w:name w:val="font41"/>
    <w:qFormat/>
    <w:uiPriority w:val="0"/>
    <w:rPr>
      <w:rFonts w:ascii="宋体" w:hAnsi="宋体" w:eastAsia="宋体" w:cs="宋体"/>
      <w:color w:val="000000"/>
      <w:sz w:val="20"/>
      <w:szCs w:val="20"/>
      <w:u w:val="none"/>
    </w:rPr>
  </w:style>
  <w:style w:type="character" w:customStyle="1" w:styleId="65">
    <w:name w:val="font31"/>
    <w:qFormat/>
    <w:uiPriority w:val="0"/>
    <w:rPr>
      <w:rFonts w:ascii="方正书宋_GBK" w:hAnsi="方正书宋_GBK" w:eastAsia="方正书宋_GBK" w:cs="方正书宋_GBK"/>
      <w:color w:val="000000"/>
      <w:sz w:val="21"/>
      <w:szCs w:val="21"/>
      <w:u w:val="none"/>
    </w:rPr>
  </w:style>
  <w:style w:type="character" w:customStyle="1" w:styleId="66">
    <w:name w:val="font61"/>
    <w:basedOn w:val="28"/>
    <w:qFormat/>
    <w:uiPriority w:val="0"/>
    <w:rPr>
      <w:rFonts w:hint="default" w:ascii="Times New Roman" w:hAnsi="Times New Roman" w:cs="Times New Roman"/>
      <w:color w:val="000000"/>
      <w:sz w:val="21"/>
      <w:szCs w:val="21"/>
      <w:u w:val="none"/>
    </w:rPr>
  </w:style>
  <w:style w:type="character" w:customStyle="1" w:styleId="67">
    <w:name w:val="font71"/>
    <w:basedOn w:val="28"/>
    <w:qFormat/>
    <w:uiPriority w:val="0"/>
    <w:rPr>
      <w:rFonts w:hint="eastAsia" w:ascii="宋体" w:hAnsi="宋体" w:eastAsia="宋体" w:cs="宋体"/>
      <w:b/>
      <w:bCs/>
      <w:color w:val="000000"/>
      <w:sz w:val="18"/>
      <w:szCs w:val="18"/>
      <w:u w:val="none"/>
    </w:rPr>
  </w:style>
  <w:style w:type="character" w:customStyle="1" w:styleId="68">
    <w:name w:val="font81"/>
    <w:basedOn w:val="28"/>
    <w:qFormat/>
    <w:uiPriority w:val="0"/>
    <w:rPr>
      <w:rFonts w:hint="eastAsia" w:ascii="宋体" w:hAnsi="宋体" w:eastAsia="宋体" w:cs="宋体"/>
      <w:color w:val="000000"/>
      <w:sz w:val="18"/>
      <w:szCs w:val="18"/>
      <w:u w:val="none"/>
    </w:rPr>
  </w:style>
  <w:style w:type="character" w:customStyle="1" w:styleId="69">
    <w:name w:val="font01"/>
    <w:basedOn w:val="28"/>
    <w:qFormat/>
    <w:uiPriority w:val="0"/>
    <w:rPr>
      <w:rFonts w:hint="default" w:ascii="Arial" w:hAnsi="Arial" w:cs="Arial"/>
      <w:color w:val="000000"/>
      <w:sz w:val="18"/>
      <w:szCs w:val="18"/>
      <w:u w:val="none"/>
    </w:rPr>
  </w:style>
  <w:style w:type="character" w:customStyle="1" w:styleId="70">
    <w:name w:val="font91"/>
    <w:basedOn w:val="28"/>
    <w:qFormat/>
    <w:uiPriority w:val="0"/>
    <w:rPr>
      <w:rFonts w:hint="eastAsia" w:ascii="宋体" w:hAnsi="宋体" w:eastAsia="宋体" w:cs="宋体"/>
      <w:color w:val="000000"/>
      <w:sz w:val="18"/>
      <w:szCs w:val="18"/>
      <w:u w:val="none"/>
    </w:rPr>
  </w:style>
  <w:style w:type="character" w:customStyle="1" w:styleId="71">
    <w:name w:val="font51"/>
    <w:qFormat/>
    <w:uiPriority w:val="0"/>
    <w:rPr>
      <w:rFonts w:hint="default" w:ascii="Times New Roman" w:hAnsi="Times New Roman" w:cs="Times New Roman"/>
      <w:b/>
      <w:color w:val="000000"/>
      <w:sz w:val="18"/>
      <w:szCs w:val="18"/>
      <w:u w:val="none"/>
    </w:rPr>
  </w:style>
  <w:style w:type="paragraph" w:styleId="72">
    <w:name w:val="List Paragraph"/>
    <w:basedOn w:val="1"/>
    <w:qFormat/>
    <w:uiPriority w:val="34"/>
    <w:pPr>
      <w:ind w:firstLine="420" w:firstLineChars="200"/>
    </w:pPr>
  </w:style>
  <w:style w:type="paragraph" w:customStyle="1" w:styleId="73">
    <w:name w:val="Default"/>
    <w:qFormat/>
    <w:uiPriority w:val="0"/>
    <w:pPr>
      <w:widowControl w:val="0"/>
      <w:autoSpaceDE w:val="0"/>
      <w:autoSpaceDN w:val="0"/>
      <w:adjustRightInd w:val="0"/>
    </w:pPr>
    <w:rPr>
      <w:rFonts w:ascii="Calibri" w:hAnsi="Calibri" w:eastAsia="宋体" w:cs="Calibri"/>
      <w:color w:val="000000"/>
      <w:sz w:val="24"/>
      <w:szCs w:val="24"/>
      <w:lang w:val="en-US" w:eastAsia="zh-CN" w:bidi="ar-SA"/>
    </w:rPr>
  </w:style>
  <w:style w:type="paragraph" w:customStyle="1" w:styleId="74">
    <w:name w:val="Title1"/>
    <w:basedOn w:val="1"/>
    <w:next w:val="1"/>
    <w:qFormat/>
    <w:uiPriority w:val="0"/>
    <w:pPr>
      <w:jc w:val="center"/>
      <w:outlineLvl w:val="0"/>
    </w:pPr>
    <w:rPr>
      <w:rFonts w:ascii="Calibri Light" w:hAnsi="Calibri Light" w:eastAsia="Arial Unicode MS"/>
      <w:b/>
    </w:rPr>
  </w:style>
  <w:style w:type="paragraph" w:customStyle="1" w:styleId="75">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76">
    <w:name w:val="未处理的提及1"/>
    <w:basedOn w:val="28"/>
    <w:semiHidden/>
    <w:unhideWhenUsed/>
    <w:qFormat/>
    <w:uiPriority w:val="99"/>
    <w:rPr>
      <w:color w:val="605E5C"/>
      <w:shd w:val="clear" w:color="auto" w:fill="E1DFDD"/>
    </w:rPr>
  </w:style>
  <w:style w:type="paragraph" w:customStyle="1" w:styleId="77">
    <w:name w:val="修订2"/>
    <w:hidden/>
    <w:unhideWhenUsed/>
    <w:qFormat/>
    <w:uiPriority w:val="99"/>
    <w:rPr>
      <w:rFonts w:ascii="Times New Roman" w:hAnsi="Times New Roman" w:eastAsia="宋体" w:cs="Times New Roman"/>
      <w:kern w:val="2"/>
      <w:sz w:val="21"/>
      <w:szCs w:val="24"/>
      <w:lang w:val="en-US" w:eastAsia="zh-CN" w:bidi="ar-SA"/>
    </w:rPr>
  </w:style>
  <w:style w:type="paragraph" w:customStyle="1" w:styleId="78">
    <w:name w:val="修订3"/>
    <w:hidden/>
    <w:unhideWhenUsed/>
    <w:qFormat/>
    <w:uiPriority w:val="99"/>
    <w:rPr>
      <w:rFonts w:ascii="Times New Roman" w:hAnsi="Times New Roman" w:eastAsia="宋体" w:cs="Times New Roman"/>
      <w:kern w:val="2"/>
      <w:sz w:val="21"/>
      <w:szCs w:val="24"/>
      <w:lang w:val="en-US" w:eastAsia="zh-CN" w:bidi="ar-SA"/>
    </w:rPr>
  </w:style>
  <w:style w:type="paragraph" w:customStyle="1" w:styleId="79">
    <w:name w:val="修订4"/>
    <w:hidden/>
    <w:unhideWhenUsed/>
    <w:qFormat/>
    <w:uiPriority w:val="99"/>
    <w:rPr>
      <w:rFonts w:ascii="Times New Roman" w:hAnsi="Times New Roman" w:eastAsia="宋体" w:cs="Times New Roman"/>
      <w:kern w:val="2"/>
      <w:sz w:val="21"/>
      <w:szCs w:val="24"/>
      <w:lang w:val="en-US" w:eastAsia="zh-CN" w:bidi="ar-SA"/>
    </w:rPr>
  </w:style>
  <w:style w:type="paragraph" w:customStyle="1" w:styleId="80">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KWZB;</Company>
  <Pages>97</Pages>
  <Words>18531</Words>
  <Characters>20953</Characters>
  <Lines>570</Lines>
  <Paragraphs>160</Paragraphs>
  <TotalTime>9</TotalTime>
  <ScaleCrop>false</ScaleCrop>
  <LinksUpToDate>false</LinksUpToDate>
  <CharactersWithSpaces>21135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2026-09-03T03:10:00Z</dcterms:created>
  <dc:creator>KWZB</dc:creator>
  <cp:lastModifiedBy>代理机构</cp:lastModifiedBy>
  <cp:lastPrinted>2020-04-03T00:20:00Z</cp:lastPrinted>
  <dcterms:modified xsi:type="dcterms:W3CDTF">2026-09-09T07:56:53Z</dcterms:modified>
  <dc:title>竞争性谈判文件规范</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57C1F0A681A845C889786FCA698C7EB6_13</vt:lpwstr>
  </property>
  <property fmtid="{D5CDD505-2E9C-101B-9397-08002B2CF9AE}" pid="4" name="KSOTemplateDocerSaveRecord">
    <vt:lpwstr>eyJoZGlkIjoiMWM0Y2ZlNTgyZDc5YzA2ODUyZDRlMzI4MjQ3YTNkZWQiLCJ1c2VySWQiOiIzMTU2NzE5NzIifQ==</vt:lpwstr>
  </property>
</Properties>
</file>