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A07DB0">
      <w:pPr>
        <w:widowControl/>
        <w:jc w:val="center"/>
        <w:rPr>
          <w:b/>
          <w:kern w:val="0"/>
          <w:sz w:val="36"/>
          <w:szCs w:val="36"/>
          <w:lang w:bidi="ar"/>
        </w:rPr>
      </w:pPr>
      <w:r>
        <w:rPr>
          <w:rFonts w:hint="eastAsia"/>
          <w:b/>
          <w:kern w:val="0"/>
          <w:sz w:val="36"/>
          <w:szCs w:val="36"/>
          <w:lang w:bidi="ar"/>
        </w:rPr>
        <w:t>广西壮族自治区公共资源交易中心</w:t>
      </w:r>
    </w:p>
    <w:p w14:paraId="13ED10DF">
      <w:pPr>
        <w:widowControl/>
        <w:jc w:val="center"/>
        <w:rPr>
          <w:rFonts w:hint="eastAsia"/>
          <w:b/>
          <w:kern w:val="0"/>
          <w:sz w:val="36"/>
          <w:szCs w:val="36"/>
          <w:lang w:bidi="ar"/>
        </w:rPr>
      </w:pPr>
      <w:r>
        <w:rPr>
          <w:rFonts w:hint="eastAsia"/>
          <w:b/>
          <w:kern w:val="0"/>
          <w:sz w:val="36"/>
          <w:szCs w:val="36"/>
          <w:lang w:bidi="ar"/>
        </w:rPr>
        <w:t>2026年广西大型医用设备（医用血管造影X射线机）</w:t>
      </w:r>
    </w:p>
    <w:p w14:paraId="4CC20C37">
      <w:pPr>
        <w:widowControl/>
        <w:jc w:val="center"/>
        <w:rPr>
          <w:b/>
          <w:kern w:val="0"/>
          <w:sz w:val="36"/>
          <w:szCs w:val="36"/>
          <w:lang w:bidi="ar"/>
        </w:rPr>
      </w:pPr>
      <w:r>
        <w:rPr>
          <w:rFonts w:hint="eastAsia"/>
          <w:b/>
          <w:kern w:val="0"/>
          <w:sz w:val="36"/>
          <w:szCs w:val="36"/>
          <w:lang w:bidi="ar"/>
        </w:rPr>
        <w:t>集中采购（GXZC2026-G</w:t>
      </w:r>
      <w:r>
        <w:rPr>
          <w:rFonts w:hint="eastAsia"/>
          <w:b/>
          <w:kern w:val="0"/>
          <w:sz w:val="36"/>
          <w:szCs w:val="36"/>
          <w:highlight w:val="none"/>
          <w:lang w:bidi="ar"/>
        </w:rPr>
        <w:t>1-00</w:t>
      </w:r>
      <w:r>
        <w:rPr>
          <w:rFonts w:hint="eastAsia"/>
          <w:b/>
          <w:kern w:val="0"/>
          <w:sz w:val="36"/>
          <w:szCs w:val="36"/>
          <w:highlight w:val="none"/>
          <w:lang w:val="en-US" w:eastAsia="zh-CN" w:bidi="ar"/>
        </w:rPr>
        <w:t>5001</w:t>
      </w:r>
      <w:r>
        <w:rPr>
          <w:rFonts w:hint="eastAsia"/>
          <w:b/>
          <w:kern w:val="0"/>
          <w:sz w:val="36"/>
          <w:szCs w:val="36"/>
          <w:highlight w:val="none"/>
          <w:lang w:bidi="ar"/>
        </w:rPr>
        <w:t>-JYZX）</w:t>
      </w:r>
      <w:r>
        <w:rPr>
          <w:b/>
          <w:kern w:val="0"/>
          <w:sz w:val="36"/>
          <w:szCs w:val="36"/>
          <w:highlight w:val="none"/>
          <w:lang w:bidi="ar"/>
        </w:rPr>
        <w:t xml:space="preserve"> </w:t>
      </w:r>
    </w:p>
    <w:p w14:paraId="70DD695F">
      <w:pPr>
        <w:widowControl/>
        <w:jc w:val="center"/>
        <w:rPr>
          <w:sz w:val="36"/>
          <w:szCs w:val="36"/>
        </w:rPr>
      </w:pPr>
      <w:r>
        <w:rPr>
          <w:b/>
          <w:kern w:val="0"/>
          <w:sz w:val="36"/>
          <w:szCs w:val="36"/>
          <w:lang w:bidi="ar"/>
        </w:rPr>
        <w:t>公开招标文件预公示</w:t>
      </w:r>
    </w:p>
    <w:p w14:paraId="58E5CFE7"/>
    <w:p w14:paraId="649718E0">
      <w:pPr>
        <w:pStyle w:val="50"/>
        <w:wordWrap w:val="0"/>
        <w:spacing w:before="75" w:beforeAutospacing="0" w:after="75" w:afterAutospacing="0" w:line="540" w:lineRule="atLeast"/>
        <w:jc w:val="both"/>
        <w:rPr>
          <w:rFonts w:ascii="Times New Roman" w:hAnsi="Times New Roman"/>
          <w:sz w:val="32"/>
          <w:szCs w:val="32"/>
        </w:rPr>
      </w:pPr>
      <w:r>
        <w:rPr>
          <w:rFonts w:hint="eastAsia" w:cs="宋体"/>
          <w:sz w:val="32"/>
          <w:szCs w:val="32"/>
        </w:rPr>
        <w:t>各有关供应商：</w:t>
      </w:r>
    </w:p>
    <w:p w14:paraId="423446F9">
      <w:pPr>
        <w:pStyle w:val="50"/>
        <w:wordWrap w:val="0"/>
        <w:spacing w:before="75" w:beforeAutospacing="0" w:after="75" w:afterAutospacing="0" w:line="540" w:lineRule="atLeast"/>
        <w:ind w:firstLine="640" w:firstLineChars="200"/>
        <w:jc w:val="both"/>
        <w:rPr>
          <w:rFonts w:ascii="Times New Roman" w:hAnsi="Times New Roman"/>
          <w:sz w:val="32"/>
          <w:szCs w:val="32"/>
        </w:rPr>
      </w:pPr>
      <w:r>
        <w:rPr>
          <w:rFonts w:hint="eastAsia" w:cs="宋体"/>
          <w:sz w:val="32"/>
          <w:szCs w:val="32"/>
        </w:rPr>
        <w:t>我中心受</w:t>
      </w:r>
      <w:r>
        <w:rPr>
          <w:rFonts w:hint="eastAsia"/>
          <w:sz w:val="32"/>
          <w:szCs w:val="32"/>
        </w:rPr>
        <w:t>采购单位</w:t>
      </w:r>
      <w:r>
        <w:rPr>
          <w:rFonts w:hint="eastAsia" w:cs="宋体"/>
          <w:sz w:val="32"/>
          <w:szCs w:val="32"/>
        </w:rPr>
        <w:t>委托，拟对</w:t>
      </w:r>
      <w:r>
        <w:rPr>
          <w:rFonts w:ascii="Times New Roman" w:hAnsi="Times New Roman"/>
          <w:sz w:val="32"/>
          <w:szCs w:val="32"/>
        </w:rPr>
        <w:t>202</w:t>
      </w:r>
      <w:r>
        <w:rPr>
          <w:rFonts w:hint="eastAsia" w:ascii="Times New Roman" w:hAnsi="Times New Roman"/>
          <w:sz w:val="32"/>
          <w:szCs w:val="32"/>
        </w:rPr>
        <w:t>6</w:t>
      </w:r>
      <w:r>
        <w:rPr>
          <w:rFonts w:hint="eastAsia" w:cs="宋体"/>
          <w:sz w:val="32"/>
          <w:szCs w:val="32"/>
        </w:rPr>
        <w:t>年广西大型医用设备（医用血管造影X射线机）集中采购（</w:t>
      </w:r>
      <w:r>
        <w:rPr>
          <w:rFonts w:hint="eastAsia" w:ascii="Times New Roman" w:hAnsi="Times New Roman"/>
          <w:sz w:val="32"/>
          <w:szCs w:val="32"/>
        </w:rPr>
        <w:t>GXZC2026-G1-</w:t>
      </w:r>
      <w:r>
        <w:rPr>
          <w:rFonts w:hint="eastAsia" w:ascii="Times New Roman" w:hAnsi="Times New Roman"/>
          <w:sz w:val="32"/>
          <w:szCs w:val="32"/>
          <w:highlight w:val="none"/>
        </w:rPr>
        <w:t>00</w:t>
      </w:r>
      <w:r>
        <w:rPr>
          <w:rFonts w:hint="eastAsia" w:ascii="Times New Roman" w:hAnsi="Times New Roman"/>
          <w:sz w:val="32"/>
          <w:szCs w:val="32"/>
          <w:highlight w:val="none"/>
          <w:lang w:val="en-US" w:eastAsia="zh-CN"/>
        </w:rPr>
        <w:t>5001</w:t>
      </w:r>
      <w:r>
        <w:rPr>
          <w:rFonts w:hint="eastAsia" w:ascii="Times New Roman" w:hAnsi="Times New Roman"/>
          <w:sz w:val="32"/>
          <w:szCs w:val="32"/>
          <w:highlight w:val="none"/>
        </w:rPr>
        <w:t>-JYZX</w:t>
      </w:r>
      <w:r>
        <w:rPr>
          <w:rFonts w:hint="eastAsia" w:cs="宋体"/>
          <w:sz w:val="32"/>
          <w:szCs w:val="32"/>
          <w:highlight w:val="none"/>
        </w:rPr>
        <w:t>）</w:t>
      </w:r>
      <w:r>
        <w:rPr>
          <w:rFonts w:hint="eastAsia" w:cs="宋体"/>
          <w:sz w:val="32"/>
          <w:szCs w:val="32"/>
        </w:rPr>
        <w:t>进行公开招标采购，为了保障政府采购各方当事人合法权益，现对本项目的供应商资格条件要求、技术参数及性能（配置）要求、评标办法及评分标准等内容予以预公示。各有关供应商、专业人员等若认为本项目上述要求存在唯一性或排他性等问题，请于</w:t>
      </w:r>
      <w:r>
        <w:rPr>
          <w:rFonts w:ascii="Times New Roman" w:hAnsi="Times New Roman"/>
          <w:sz w:val="32"/>
          <w:szCs w:val="32"/>
        </w:rPr>
        <w:t>202</w:t>
      </w:r>
      <w:r>
        <w:rPr>
          <w:rFonts w:hint="eastAsia" w:ascii="Times New Roman" w:hAnsi="Times New Roman"/>
          <w:sz w:val="32"/>
          <w:szCs w:val="32"/>
        </w:rPr>
        <w:t>6年09月</w:t>
      </w:r>
      <w:r>
        <w:rPr>
          <w:rFonts w:hint="eastAsia" w:ascii="Times New Roman" w:hAnsi="Times New Roman"/>
          <w:sz w:val="32"/>
          <w:szCs w:val="32"/>
          <w:highlight w:val="none"/>
        </w:rPr>
        <w:t>1</w:t>
      </w:r>
      <w:r>
        <w:rPr>
          <w:rFonts w:hint="eastAsia" w:ascii="Times New Roman" w:hAnsi="Times New Roman"/>
          <w:sz w:val="32"/>
          <w:szCs w:val="32"/>
          <w:highlight w:val="none"/>
          <w:lang w:val="en-US" w:eastAsia="zh-CN"/>
        </w:rPr>
        <w:t>6</w:t>
      </w:r>
      <w:r>
        <w:rPr>
          <w:rFonts w:hint="eastAsia" w:ascii="Times New Roman" w:hAnsi="Times New Roman"/>
          <w:sz w:val="32"/>
          <w:szCs w:val="32"/>
          <w:highlight w:val="none"/>
        </w:rPr>
        <w:t>日</w:t>
      </w:r>
      <w:r>
        <w:rPr>
          <w:rFonts w:hint="eastAsia" w:ascii="Times New Roman" w:hAnsi="Times New Roman"/>
          <w:sz w:val="32"/>
          <w:szCs w:val="32"/>
        </w:rPr>
        <w:t>17</w:t>
      </w:r>
      <w:r>
        <w:rPr>
          <w:rFonts w:hint="eastAsia" w:cs="宋体"/>
          <w:sz w:val="32"/>
          <w:szCs w:val="32"/>
        </w:rPr>
        <w:t>时前以书面形式</w:t>
      </w:r>
      <w:r>
        <w:rPr>
          <w:rFonts w:ascii="Arial" w:hAnsi="Arial" w:cs="Arial"/>
          <w:sz w:val="32"/>
          <w:szCs w:val="32"/>
        </w:rPr>
        <w:t>(</w:t>
      </w:r>
      <w:r>
        <w:rPr>
          <w:rFonts w:hint="eastAsia" w:cs="宋体"/>
          <w:sz w:val="32"/>
          <w:szCs w:val="32"/>
        </w:rPr>
        <w:t>意见函须加盖公章</w:t>
      </w:r>
      <w:r>
        <w:rPr>
          <w:rFonts w:ascii="Arial" w:hAnsi="Arial" w:cs="Arial"/>
          <w:sz w:val="32"/>
          <w:szCs w:val="32"/>
        </w:rPr>
        <w:t>)</w:t>
      </w:r>
      <w:r>
        <w:rPr>
          <w:rFonts w:hint="eastAsia" w:cs="宋体"/>
          <w:sz w:val="32"/>
          <w:szCs w:val="32"/>
        </w:rPr>
        <w:t>向我中心反映，以便我中心完善采购文件。如供应商需提交意见函，请携带企业营业执照（或事业单位法人证书）副本复印件（加盖公章，一份）、经办人身份证原件及复印件（加盖公章，一份）提交意见函原件。意见函应注明联系人和联系方式。专业人员个人请提交意见签名，并附身份证、职称等复印件。</w:t>
      </w:r>
    </w:p>
    <w:p w14:paraId="25D9B58A">
      <w:pPr>
        <w:pStyle w:val="50"/>
        <w:wordWrap w:val="0"/>
        <w:spacing w:before="75" w:beforeAutospacing="0" w:after="75" w:afterAutospacing="0" w:line="540" w:lineRule="atLeast"/>
        <w:ind w:firstLine="640" w:firstLineChars="200"/>
        <w:jc w:val="both"/>
        <w:rPr>
          <w:rFonts w:ascii="Times New Roman" w:hAnsi="Times New Roman"/>
          <w:sz w:val="32"/>
          <w:szCs w:val="32"/>
        </w:rPr>
      </w:pPr>
      <w:r>
        <w:rPr>
          <w:rFonts w:hint="eastAsia" w:cs="宋体"/>
          <w:sz w:val="32"/>
          <w:szCs w:val="32"/>
        </w:rPr>
        <w:t>对各有关供应商、专业人员等逾期送达、匿名送达以及其他不符合上述条件的意见函件我中心不予受理。</w:t>
      </w:r>
    </w:p>
    <w:p w14:paraId="729D7119">
      <w:pPr>
        <w:pStyle w:val="50"/>
        <w:wordWrap w:val="0"/>
        <w:spacing w:before="75" w:beforeAutospacing="0" w:after="75" w:afterAutospacing="0" w:line="540" w:lineRule="atLeast"/>
        <w:ind w:firstLine="540"/>
        <w:jc w:val="both"/>
        <w:rPr>
          <w:rFonts w:ascii="Times New Roman" w:hAnsi="Times New Roman"/>
          <w:sz w:val="32"/>
          <w:szCs w:val="32"/>
        </w:rPr>
      </w:pPr>
    </w:p>
    <w:p w14:paraId="2171ED59">
      <w:pPr>
        <w:pStyle w:val="50"/>
        <w:wordWrap w:val="0"/>
        <w:spacing w:before="75" w:beforeAutospacing="0" w:after="75" w:afterAutospacing="0" w:line="540" w:lineRule="atLeast"/>
        <w:ind w:firstLine="640" w:firstLineChars="200"/>
        <w:jc w:val="both"/>
        <w:rPr>
          <w:rFonts w:ascii="Times New Roman" w:hAnsi="Times New Roman"/>
          <w:sz w:val="32"/>
          <w:szCs w:val="32"/>
        </w:rPr>
      </w:pPr>
      <w:r>
        <w:rPr>
          <w:rFonts w:hint="eastAsia" w:cs="宋体"/>
          <w:sz w:val="32"/>
          <w:szCs w:val="32"/>
        </w:rPr>
        <w:t>联系地址：广西南宁市星湖路</w:t>
      </w:r>
      <w:r>
        <w:rPr>
          <w:rFonts w:ascii="Times New Roman" w:hAnsi="Times New Roman"/>
          <w:sz w:val="32"/>
          <w:szCs w:val="32"/>
        </w:rPr>
        <w:t>22</w:t>
      </w:r>
      <w:r>
        <w:rPr>
          <w:rFonts w:hint="eastAsia" w:cs="宋体"/>
          <w:sz w:val="32"/>
          <w:szCs w:val="32"/>
        </w:rPr>
        <w:t>号广西壮族自治区</w:t>
      </w:r>
      <w:r>
        <w:rPr>
          <w:rFonts w:cs="宋体"/>
          <w:sz w:val="32"/>
          <w:szCs w:val="32"/>
          <w:lang w:val="en"/>
        </w:rPr>
        <w:t>公共资源交易中心</w:t>
      </w:r>
      <w:r>
        <w:rPr>
          <w:rFonts w:hint="eastAsia" w:cs="宋体"/>
          <w:sz w:val="32"/>
          <w:szCs w:val="32"/>
        </w:rPr>
        <w:t>综合楼</w:t>
      </w:r>
      <w:r>
        <w:rPr>
          <w:rFonts w:ascii="Times New Roman" w:hAnsi="Times New Roman"/>
          <w:sz w:val="32"/>
          <w:szCs w:val="32"/>
        </w:rPr>
        <w:t>2</w:t>
      </w:r>
      <w:r>
        <w:rPr>
          <w:rFonts w:hint="eastAsia" w:cs="宋体"/>
          <w:sz w:val="32"/>
          <w:szCs w:val="32"/>
        </w:rPr>
        <w:t>楼</w:t>
      </w:r>
      <w:r>
        <w:rPr>
          <w:rFonts w:hint="eastAsia" w:ascii="Times New Roman" w:hAnsi="Times New Roman"/>
          <w:sz w:val="32"/>
          <w:szCs w:val="32"/>
        </w:rPr>
        <w:t>209</w:t>
      </w:r>
      <w:r>
        <w:rPr>
          <w:rFonts w:hint="eastAsia" w:cs="宋体"/>
          <w:sz w:val="32"/>
          <w:szCs w:val="32"/>
        </w:rPr>
        <w:t>室</w:t>
      </w:r>
    </w:p>
    <w:p w14:paraId="4D4E8BE3">
      <w:pPr>
        <w:pStyle w:val="50"/>
        <w:wordWrap w:val="0"/>
        <w:spacing w:before="75" w:beforeAutospacing="0" w:after="75" w:afterAutospacing="0" w:line="540" w:lineRule="atLeast"/>
        <w:ind w:firstLine="640" w:firstLineChars="200"/>
        <w:jc w:val="both"/>
        <w:rPr>
          <w:rFonts w:hint="eastAsia" w:cs="宋体"/>
          <w:sz w:val="32"/>
          <w:szCs w:val="32"/>
        </w:rPr>
        <w:sectPr>
          <w:footerReference r:id="rId3" w:type="default"/>
          <w:pgSz w:w="11906" w:h="16838"/>
          <w:pgMar w:top="1134" w:right="1134" w:bottom="1134" w:left="1134" w:header="851" w:footer="992" w:gutter="0"/>
          <w:pgNumType w:fmt="decimal"/>
          <w:cols w:space="720" w:num="1"/>
          <w:docGrid w:type="lines" w:linePitch="316" w:charSpace="0"/>
        </w:sectPr>
      </w:pPr>
    </w:p>
    <w:p w14:paraId="4CEAC081">
      <w:pPr>
        <w:pStyle w:val="50"/>
        <w:wordWrap w:val="0"/>
        <w:spacing w:before="75" w:beforeAutospacing="0" w:after="75" w:afterAutospacing="0" w:line="540" w:lineRule="atLeast"/>
        <w:ind w:firstLine="640" w:firstLineChars="200"/>
        <w:jc w:val="both"/>
        <w:rPr>
          <w:rFonts w:ascii="Times New Roman" w:hAnsi="Times New Roman"/>
          <w:sz w:val="32"/>
          <w:szCs w:val="32"/>
        </w:rPr>
      </w:pPr>
      <w:r>
        <w:rPr>
          <w:rFonts w:hint="eastAsia" w:cs="宋体"/>
          <w:sz w:val="32"/>
          <w:szCs w:val="32"/>
        </w:rPr>
        <w:t>联系人：宋静  联系电话</w:t>
      </w:r>
      <w:r>
        <w:rPr>
          <w:rFonts w:hint="eastAsia" w:ascii="Arial" w:hAnsi="Arial" w:cs="Arial"/>
          <w:sz w:val="32"/>
          <w:szCs w:val="32"/>
        </w:rPr>
        <w:t>：</w:t>
      </w:r>
      <w:r>
        <w:rPr>
          <w:rFonts w:ascii="Times New Roman" w:hAnsi="Times New Roman"/>
          <w:sz w:val="32"/>
          <w:szCs w:val="32"/>
          <w:lang w:val="en"/>
        </w:rPr>
        <w:t>0771-</w:t>
      </w:r>
      <w:r>
        <w:rPr>
          <w:rFonts w:ascii="Times New Roman" w:hAnsi="Times New Roman"/>
          <w:sz w:val="32"/>
          <w:szCs w:val="32"/>
        </w:rPr>
        <w:t>8600357</w:t>
      </w:r>
    </w:p>
    <w:p w14:paraId="232D2659">
      <w:pPr>
        <w:pStyle w:val="50"/>
        <w:wordWrap w:val="0"/>
        <w:spacing w:before="75" w:beforeAutospacing="0" w:after="75" w:afterAutospacing="0" w:line="540" w:lineRule="atLeast"/>
        <w:ind w:firstLine="640" w:firstLineChars="200"/>
        <w:jc w:val="both"/>
        <w:rPr>
          <w:rFonts w:ascii="Times New Roman" w:hAnsi="Times New Roman"/>
          <w:sz w:val="32"/>
          <w:szCs w:val="32"/>
        </w:rPr>
      </w:pPr>
    </w:p>
    <w:p w14:paraId="279D3B61">
      <w:pPr>
        <w:pStyle w:val="50"/>
        <w:wordWrap w:val="0"/>
        <w:spacing w:before="75" w:beforeAutospacing="0" w:after="75" w:afterAutospacing="0" w:line="540" w:lineRule="atLeast"/>
        <w:ind w:firstLine="640" w:firstLineChars="200"/>
        <w:jc w:val="both"/>
        <w:rPr>
          <w:rFonts w:ascii="Times New Roman" w:hAnsi="Times New Roman"/>
          <w:sz w:val="32"/>
          <w:szCs w:val="32"/>
        </w:rPr>
      </w:pPr>
      <w:r>
        <w:rPr>
          <w:rFonts w:hint="eastAsia" w:cs="宋体"/>
          <w:sz w:val="32"/>
          <w:szCs w:val="32"/>
        </w:rPr>
        <w:t>附：</w:t>
      </w:r>
      <w:r>
        <w:rPr>
          <w:rFonts w:hint="eastAsia" w:ascii="Times New Roman" w:hAnsi="Times New Roman"/>
          <w:sz w:val="32"/>
          <w:szCs w:val="32"/>
        </w:rPr>
        <w:t>2026</w:t>
      </w:r>
      <w:r>
        <w:rPr>
          <w:rFonts w:hint="eastAsia" w:cs="宋体"/>
          <w:w w:val="95"/>
          <w:sz w:val="32"/>
          <w:szCs w:val="32"/>
        </w:rPr>
        <w:t>年广西大型医用设备（医用血管造影X射线机）集中采购（</w:t>
      </w:r>
      <w:r>
        <w:rPr>
          <w:rFonts w:hint="eastAsia" w:ascii="Times New Roman" w:hAnsi="Times New Roman"/>
          <w:w w:val="95"/>
          <w:sz w:val="32"/>
          <w:szCs w:val="32"/>
        </w:rPr>
        <w:t>GXZC2026-G1</w:t>
      </w:r>
      <w:r>
        <w:rPr>
          <w:rFonts w:hint="eastAsia" w:ascii="Times New Roman" w:hAnsi="Times New Roman"/>
          <w:w w:val="95"/>
          <w:sz w:val="32"/>
          <w:szCs w:val="32"/>
          <w:highlight w:val="none"/>
        </w:rPr>
        <w:t>-00</w:t>
      </w:r>
      <w:r>
        <w:rPr>
          <w:rFonts w:hint="eastAsia" w:ascii="Times New Roman" w:hAnsi="Times New Roman"/>
          <w:w w:val="95"/>
          <w:sz w:val="32"/>
          <w:szCs w:val="32"/>
          <w:highlight w:val="none"/>
          <w:lang w:val="en-US" w:eastAsia="zh-CN"/>
        </w:rPr>
        <w:t>5001</w:t>
      </w:r>
      <w:r>
        <w:rPr>
          <w:rFonts w:hint="eastAsia" w:ascii="Times New Roman" w:hAnsi="Times New Roman"/>
          <w:w w:val="95"/>
          <w:sz w:val="32"/>
          <w:szCs w:val="32"/>
          <w:highlight w:val="none"/>
        </w:rPr>
        <w:t>-JYZX</w:t>
      </w:r>
      <w:r>
        <w:rPr>
          <w:rFonts w:hint="eastAsia" w:cs="宋体"/>
          <w:w w:val="95"/>
          <w:sz w:val="32"/>
          <w:szCs w:val="32"/>
        </w:rPr>
        <w:t>）公开招标文件预公示内容</w:t>
      </w:r>
    </w:p>
    <w:p w14:paraId="400A06A2">
      <w:pPr>
        <w:pStyle w:val="50"/>
        <w:wordWrap w:val="0"/>
        <w:spacing w:before="75" w:beforeAutospacing="0" w:after="75" w:afterAutospacing="0" w:line="540" w:lineRule="atLeast"/>
        <w:ind w:firstLine="540"/>
        <w:jc w:val="both"/>
        <w:rPr>
          <w:rFonts w:ascii="Times New Roman" w:hAnsi="Times New Roman"/>
          <w:sz w:val="32"/>
          <w:szCs w:val="32"/>
        </w:rPr>
      </w:pPr>
    </w:p>
    <w:p w14:paraId="3C2C3CB2">
      <w:pPr>
        <w:pStyle w:val="50"/>
        <w:wordWrap w:val="0"/>
        <w:spacing w:before="75" w:beforeAutospacing="0" w:after="75" w:afterAutospacing="0"/>
        <w:ind w:right="640"/>
        <w:jc w:val="right"/>
        <w:rPr>
          <w:rFonts w:ascii="Times New Roman" w:hAnsi="Times New Roman"/>
          <w:sz w:val="32"/>
          <w:szCs w:val="32"/>
        </w:rPr>
      </w:pPr>
      <w:r>
        <w:rPr>
          <w:rFonts w:cs="宋体"/>
          <w:sz w:val="32"/>
          <w:szCs w:val="32"/>
          <w:lang w:val="en"/>
        </w:rPr>
        <w:t>广西壮族自治区公共资源交易中心</w:t>
      </w:r>
    </w:p>
    <w:p w14:paraId="284A8143">
      <w:pPr>
        <w:pStyle w:val="50"/>
        <w:wordWrap w:val="0"/>
        <w:spacing w:before="75" w:beforeAutospacing="0" w:after="75" w:afterAutospacing="0"/>
        <w:jc w:val="both"/>
        <w:rPr>
          <w:rFonts w:cs="宋体"/>
          <w:sz w:val="32"/>
          <w:szCs w:val="32"/>
        </w:rPr>
        <w:sectPr>
          <w:footerReference r:id="rId4" w:type="default"/>
          <w:pgSz w:w="11906" w:h="16838"/>
          <w:pgMar w:top="1134" w:right="1134" w:bottom="1134" w:left="1134" w:header="851" w:footer="992" w:gutter="0"/>
          <w:pgNumType w:fmt="decimal" w:start="1"/>
          <w:cols w:space="720" w:num="1"/>
          <w:docGrid w:type="lines" w:linePitch="316" w:charSpace="0"/>
        </w:sectPr>
      </w:pPr>
      <w:r>
        <w:rPr>
          <w:rFonts w:ascii="Arial" w:hAnsi="Arial" w:cs="Arial"/>
          <w:sz w:val="32"/>
          <w:szCs w:val="32"/>
        </w:rPr>
        <w:t xml:space="preserve">                                      </w:t>
      </w:r>
      <w:r>
        <w:rPr>
          <w:rFonts w:hint="eastAsia" w:ascii="Arial" w:hAnsi="Arial" w:cs="Arial"/>
          <w:sz w:val="32"/>
          <w:szCs w:val="32"/>
        </w:rPr>
        <w:t xml:space="preserve"> </w:t>
      </w:r>
      <w:r>
        <w:rPr>
          <w:rFonts w:hint="eastAsia" w:ascii="Times New Roman" w:hAnsi="Times New Roman"/>
          <w:sz w:val="32"/>
          <w:szCs w:val="32"/>
        </w:rPr>
        <w:t xml:space="preserve"> </w:t>
      </w:r>
      <w:r>
        <w:rPr>
          <w:rFonts w:ascii="Times New Roman" w:hAnsi="Times New Roman"/>
          <w:sz w:val="32"/>
          <w:szCs w:val="32"/>
        </w:rPr>
        <w:t> 202</w:t>
      </w:r>
      <w:r>
        <w:rPr>
          <w:rFonts w:hint="eastAsia" w:ascii="Times New Roman" w:hAnsi="Times New Roman"/>
          <w:sz w:val="32"/>
          <w:szCs w:val="32"/>
        </w:rPr>
        <w:t>6年09月</w:t>
      </w:r>
      <w:r>
        <w:rPr>
          <w:rFonts w:hint="eastAsia" w:ascii="Times New Roman" w:hAnsi="Times New Roman"/>
          <w:sz w:val="32"/>
          <w:szCs w:val="32"/>
          <w:lang w:val="en-US" w:eastAsia="zh-CN"/>
        </w:rPr>
        <w:t>12</w:t>
      </w:r>
      <w:r>
        <w:rPr>
          <w:rFonts w:hint="eastAsia" w:ascii="Times New Roman" w:hAnsi="Times New Roman"/>
          <w:sz w:val="32"/>
          <w:szCs w:val="32"/>
        </w:rPr>
        <w:t>日</w:t>
      </w:r>
    </w:p>
    <w:p w14:paraId="207B4CB1">
      <w:pPr>
        <w:pStyle w:val="591"/>
        <w:pageBreakBefore/>
        <w:widowControl w:val="0"/>
        <w:spacing w:line="480" w:lineRule="exact"/>
        <w:ind w:firstLine="0" w:firstLineChars="0"/>
        <w:jc w:val="center"/>
        <w:rPr>
          <w:rFonts w:ascii="宋体" w:hAnsi="宋体" w:cs="宋体"/>
          <w:szCs w:val="21"/>
        </w:rPr>
      </w:pPr>
      <w:r>
        <w:rPr>
          <w:rFonts w:hint="eastAsia" w:ascii="黑体" w:hAnsi="宋体" w:eastAsia="黑体"/>
          <w:sz w:val="32"/>
          <w:szCs w:val="32"/>
        </w:rPr>
        <w:t>公开招标公告</w:t>
      </w:r>
      <w:bookmarkStart w:id="0" w:name="_Toc35393790"/>
      <w:bookmarkStart w:id="1" w:name="_Hlk24379207"/>
      <w:bookmarkStart w:id="2" w:name="_Toc28359079"/>
      <w:bookmarkStart w:id="3" w:name="_Toc35393621"/>
      <w:bookmarkStart w:id="4" w:name="_Toc28359002"/>
      <w:r>
        <w:rPr>
          <w:rFonts w:ascii="宋体" w:hAnsi="宋体" w:cs="宋体"/>
          <w:szCs w:val="21"/>
        </w:rPr>
        <w:t xml:space="preserve"> </w:t>
      </w:r>
    </w:p>
    <w:p w14:paraId="745228A2">
      <w:pPr>
        <w:pBdr>
          <w:top w:val="single" w:color="auto" w:sz="4" w:space="1"/>
          <w:left w:val="single" w:color="auto" w:sz="4" w:space="4"/>
          <w:bottom w:val="single" w:color="auto" w:sz="4" w:space="1"/>
          <w:right w:val="single" w:color="auto" w:sz="4" w:space="4"/>
        </w:pBdr>
        <w:adjustRightInd w:val="0"/>
        <w:snapToGrid w:val="0"/>
        <w:spacing w:line="400" w:lineRule="exact"/>
        <w:ind w:firstLine="420" w:firstLineChars="200"/>
        <w:rPr>
          <w:rFonts w:ascii="宋体" w:hAnsi="宋体" w:cs="宋体"/>
          <w:kern w:val="0"/>
          <w:szCs w:val="21"/>
        </w:rPr>
      </w:pPr>
      <w:r>
        <w:rPr>
          <w:rFonts w:hint="eastAsia" w:ascii="宋体" w:hAnsi="宋体" w:cs="宋体"/>
          <w:kern w:val="0"/>
          <w:szCs w:val="21"/>
        </w:rPr>
        <w:t xml:space="preserve"> 项目概况                                                    </w:t>
      </w:r>
    </w:p>
    <w:p w14:paraId="208A3A3F">
      <w:pPr>
        <w:pBdr>
          <w:top w:val="single" w:color="auto" w:sz="4" w:space="1"/>
          <w:left w:val="single" w:color="auto" w:sz="4" w:space="4"/>
          <w:bottom w:val="single" w:color="auto" w:sz="4" w:space="1"/>
          <w:right w:val="single" w:color="auto" w:sz="4" w:space="4"/>
        </w:pBdr>
        <w:adjustRightInd w:val="0"/>
        <w:snapToGrid w:val="0"/>
        <w:spacing w:line="400" w:lineRule="exact"/>
        <w:ind w:firstLine="420" w:firstLineChars="200"/>
        <w:rPr>
          <w:rFonts w:ascii="宋体" w:hAnsi="宋体" w:cs="宋体"/>
          <w:kern w:val="0"/>
          <w:szCs w:val="21"/>
        </w:rPr>
      </w:pPr>
      <w:r>
        <w:rPr>
          <w:rFonts w:ascii="宋体" w:hAnsi="宋体" w:cs="宋体"/>
          <w:szCs w:val="18"/>
          <w:lang w:val="en"/>
        </w:rPr>
        <w:t>202</w:t>
      </w:r>
      <w:r>
        <w:rPr>
          <w:rFonts w:hint="eastAsia" w:ascii="宋体" w:hAnsi="宋体" w:cs="宋体"/>
          <w:szCs w:val="18"/>
          <w:lang w:val="en"/>
        </w:rPr>
        <w:t>6</w:t>
      </w:r>
      <w:r>
        <w:rPr>
          <w:rFonts w:ascii="宋体" w:hAnsi="宋体" w:cs="宋体"/>
          <w:szCs w:val="18"/>
          <w:lang w:val="en"/>
        </w:rPr>
        <w:t>年广西大型医用设备(</w:t>
      </w:r>
      <w:r>
        <w:rPr>
          <w:rFonts w:hint="eastAsia" w:ascii="宋体" w:hAnsi="宋体" w:cs="宋体"/>
          <w:szCs w:val="18"/>
          <w:lang w:val="en"/>
        </w:rPr>
        <w:t>医用血管造影X射线机</w:t>
      </w:r>
      <w:r>
        <w:rPr>
          <w:rFonts w:ascii="宋体" w:hAnsi="宋体" w:cs="宋体"/>
          <w:szCs w:val="18"/>
          <w:lang w:val="en"/>
        </w:rPr>
        <w:t>)集中采购</w:t>
      </w:r>
      <w:r>
        <w:rPr>
          <w:rFonts w:hint="eastAsia" w:ascii="宋体" w:hAnsi="宋体" w:cs="宋体"/>
          <w:kern w:val="0"/>
          <w:szCs w:val="21"/>
        </w:rPr>
        <w:t>项目的潜在投标人应在广西政府采购云平台（网址：http://www.gcy.zfcg.gxzf.gov.cn）获取招标文件，并于 2026年 月 日 10:00（北京时间）前递交投标文件。</w:t>
      </w:r>
    </w:p>
    <w:bookmarkEnd w:id="0"/>
    <w:bookmarkEnd w:id="1"/>
    <w:bookmarkEnd w:id="2"/>
    <w:bookmarkEnd w:id="3"/>
    <w:bookmarkEnd w:id="4"/>
    <w:p w14:paraId="52CFB2EA">
      <w:pPr>
        <w:pStyle w:val="50"/>
        <w:spacing w:before="255" w:beforeAutospacing="0" w:after="255" w:afterAutospacing="0" w:line="300" w:lineRule="atLeast"/>
        <w:jc w:val="both"/>
        <w:rPr>
          <w:rFonts w:cs="宋体"/>
          <w:sz w:val="21"/>
          <w:szCs w:val="21"/>
        </w:rPr>
      </w:pPr>
      <w:bookmarkStart w:id="5" w:name="_Toc28359009"/>
      <w:bookmarkStart w:id="6" w:name="_Toc28359086"/>
      <w:r>
        <w:rPr>
          <w:rStyle w:val="58"/>
          <w:rFonts w:hint="eastAsia" w:cs="宋体"/>
          <w:sz w:val="21"/>
          <w:szCs w:val="21"/>
        </w:rPr>
        <w:t>一、项目基本情况</w:t>
      </w:r>
      <w:r>
        <w:rPr>
          <w:rFonts w:hint="eastAsia" w:cs="宋体"/>
          <w:sz w:val="21"/>
          <w:szCs w:val="21"/>
        </w:rPr>
        <w:t>                                            </w:t>
      </w:r>
    </w:p>
    <w:p w14:paraId="16EBD004">
      <w:pPr>
        <w:pStyle w:val="50"/>
        <w:spacing w:before="75" w:beforeAutospacing="0" w:after="75" w:afterAutospacing="0" w:line="300" w:lineRule="atLeast"/>
        <w:rPr>
          <w:rFonts w:cs="宋体"/>
          <w:sz w:val="21"/>
          <w:szCs w:val="21"/>
        </w:rPr>
      </w:pPr>
      <w:r>
        <w:rPr>
          <w:rFonts w:hint="eastAsia" w:cs="宋体"/>
          <w:sz w:val="21"/>
          <w:szCs w:val="21"/>
        </w:rPr>
        <w:t xml:space="preserve">    项目编号：</w:t>
      </w:r>
      <w:r>
        <w:rPr>
          <w:rFonts w:hint="eastAsia" w:cs="宋体"/>
          <w:sz w:val="21"/>
          <w:szCs w:val="21"/>
          <w:lang w:val="en"/>
        </w:rPr>
        <w:t>GXZC2026-G1-005001-JYZX</w:t>
      </w:r>
      <w:r>
        <w:rPr>
          <w:rFonts w:hint="eastAsia" w:cs="宋体"/>
          <w:sz w:val="21"/>
          <w:szCs w:val="21"/>
        </w:rPr>
        <w:t> </w:t>
      </w:r>
    </w:p>
    <w:p w14:paraId="1F60832C">
      <w:pPr>
        <w:pStyle w:val="50"/>
        <w:spacing w:before="75" w:beforeAutospacing="0" w:after="75" w:afterAutospacing="0" w:line="300" w:lineRule="atLeast"/>
        <w:rPr>
          <w:rFonts w:cs="宋体"/>
          <w:sz w:val="21"/>
          <w:szCs w:val="18"/>
          <w:lang w:val="en"/>
        </w:rPr>
      </w:pPr>
      <w:r>
        <w:rPr>
          <w:rFonts w:hint="eastAsia" w:cs="宋体"/>
          <w:sz w:val="21"/>
          <w:szCs w:val="21"/>
        </w:rPr>
        <w:t xml:space="preserve">    项目名称：</w:t>
      </w:r>
      <w:r>
        <w:rPr>
          <w:rFonts w:hint="eastAsia" w:cs="宋体"/>
          <w:sz w:val="21"/>
          <w:szCs w:val="18"/>
          <w:lang w:val="en"/>
        </w:rPr>
        <w:t>2026年广西大型医用设备（医用血管造影X射线机）集中采购</w:t>
      </w:r>
    </w:p>
    <w:p w14:paraId="2F3805A4">
      <w:pPr>
        <w:pStyle w:val="50"/>
        <w:spacing w:before="75" w:beforeAutospacing="0" w:after="75" w:afterAutospacing="0" w:line="300" w:lineRule="atLeast"/>
        <w:ind w:firstLine="420"/>
        <w:rPr>
          <w:rFonts w:cs="宋体"/>
          <w:sz w:val="21"/>
          <w:szCs w:val="21"/>
        </w:rPr>
      </w:pPr>
      <w:r>
        <w:rPr>
          <w:rFonts w:hint="eastAsia" w:cs="宋体"/>
          <w:sz w:val="21"/>
          <w:szCs w:val="21"/>
        </w:rPr>
        <w:t>预算总金额（元）：64920000 </w:t>
      </w:r>
    </w:p>
    <w:p w14:paraId="3E9CDAE0">
      <w:pPr>
        <w:pStyle w:val="50"/>
        <w:spacing w:before="75" w:beforeAutospacing="0" w:after="75" w:afterAutospacing="0" w:line="300" w:lineRule="atLeast"/>
        <w:ind w:firstLine="420"/>
        <w:rPr>
          <w:rFonts w:cs="宋体"/>
          <w:sz w:val="21"/>
          <w:szCs w:val="21"/>
        </w:rPr>
      </w:pPr>
    </w:p>
    <w:p w14:paraId="10C84CA7">
      <w:pPr>
        <w:pStyle w:val="50"/>
        <w:spacing w:before="75" w:beforeAutospacing="0" w:after="75" w:afterAutospacing="0" w:line="300" w:lineRule="atLeast"/>
        <w:rPr>
          <w:rFonts w:cs="宋体"/>
          <w:sz w:val="21"/>
          <w:szCs w:val="21"/>
        </w:rPr>
      </w:pPr>
      <w:r>
        <w:rPr>
          <w:rFonts w:hint="eastAsia" w:cs="宋体"/>
          <w:sz w:val="21"/>
          <w:szCs w:val="21"/>
        </w:rPr>
        <w:t xml:space="preserve">    采购需求：</w:t>
      </w:r>
    </w:p>
    <w:p w14:paraId="757391DC">
      <w:pPr>
        <w:pStyle w:val="50"/>
        <w:spacing w:before="75" w:beforeAutospacing="0" w:after="75" w:afterAutospacing="0" w:line="300" w:lineRule="atLeast"/>
        <w:ind w:firstLine="420" w:firstLineChars="200"/>
        <w:rPr>
          <w:rFonts w:cs="宋体"/>
          <w:sz w:val="21"/>
          <w:szCs w:val="21"/>
        </w:rPr>
      </w:pPr>
      <w:r>
        <w:rPr>
          <w:rFonts w:hint="eastAsia" w:cs="宋体"/>
          <w:sz w:val="21"/>
          <w:szCs w:val="21"/>
        </w:rPr>
        <w:t>标项一</w:t>
      </w:r>
      <w:r>
        <w:rPr>
          <w:rFonts w:hint="eastAsia" w:cs="宋体"/>
          <w:sz w:val="21"/>
          <w:szCs w:val="21"/>
        </w:rPr>
        <w:br w:type="textWrapping"/>
      </w:r>
      <w:r>
        <w:rPr>
          <w:rFonts w:hint="eastAsia" w:cs="宋体"/>
          <w:sz w:val="21"/>
          <w:szCs w:val="21"/>
        </w:rPr>
        <w:t xml:space="preserve">    标项名称：医用血管造影X射线机（分标1）</w:t>
      </w:r>
      <w:r>
        <w:rPr>
          <w:rFonts w:hint="eastAsia" w:cs="宋体"/>
          <w:sz w:val="21"/>
          <w:szCs w:val="21"/>
        </w:rPr>
        <w:br w:type="textWrapping"/>
      </w:r>
      <w:r>
        <w:rPr>
          <w:rFonts w:hint="eastAsia" w:cs="宋体"/>
          <w:sz w:val="21"/>
          <w:szCs w:val="21"/>
        </w:rPr>
        <w:t xml:space="preserve">    数量:1</w:t>
      </w:r>
      <w:r>
        <w:rPr>
          <w:rFonts w:hint="eastAsia" w:cs="宋体"/>
          <w:sz w:val="21"/>
          <w:szCs w:val="21"/>
        </w:rPr>
        <w:br w:type="textWrapping"/>
      </w:r>
      <w:r>
        <w:rPr>
          <w:rFonts w:hint="eastAsia" w:cs="宋体"/>
          <w:sz w:val="21"/>
          <w:szCs w:val="21"/>
        </w:rPr>
        <w:t xml:space="preserve">    预算金额（元）： 12500000</w:t>
      </w:r>
      <w:r>
        <w:rPr>
          <w:rFonts w:hint="eastAsia" w:cs="宋体"/>
          <w:sz w:val="21"/>
          <w:szCs w:val="21"/>
        </w:rPr>
        <w:br w:type="textWrapping"/>
      </w:r>
      <w:r>
        <w:rPr>
          <w:rFonts w:hint="eastAsia" w:cs="宋体"/>
          <w:sz w:val="21"/>
          <w:szCs w:val="21"/>
        </w:rPr>
        <w:t xml:space="preserve">    简要规格描述或项目基本概况介绍、用途：血管造影X射线机1套。</w:t>
      </w:r>
    </w:p>
    <w:p w14:paraId="0DEB6F2F">
      <w:pPr>
        <w:pStyle w:val="50"/>
        <w:spacing w:before="75" w:beforeAutospacing="0" w:after="75" w:afterAutospacing="0" w:line="300" w:lineRule="atLeast"/>
        <w:rPr>
          <w:rFonts w:cs="宋体"/>
          <w:sz w:val="21"/>
          <w:szCs w:val="21"/>
        </w:rPr>
      </w:pPr>
      <w:r>
        <w:rPr>
          <w:rFonts w:hint="eastAsia" w:cs="宋体"/>
          <w:sz w:val="21"/>
          <w:szCs w:val="21"/>
        </w:rPr>
        <w:t xml:space="preserve">    最高限价（如有）：</w:t>
      </w:r>
      <w:r>
        <w:rPr>
          <w:rFonts w:hint="eastAsia" w:cs="宋体"/>
          <w:sz w:val="21"/>
          <w:szCs w:val="21"/>
          <w:highlight w:val="none"/>
        </w:rPr>
        <w:t>12500000元</w:t>
      </w:r>
    </w:p>
    <w:p w14:paraId="4D6768FF">
      <w:pPr>
        <w:pStyle w:val="50"/>
        <w:spacing w:before="75" w:beforeAutospacing="0" w:after="75" w:afterAutospacing="0" w:line="300" w:lineRule="atLeast"/>
        <w:rPr>
          <w:rFonts w:cs="宋体"/>
          <w:sz w:val="21"/>
          <w:szCs w:val="21"/>
        </w:rPr>
      </w:pPr>
      <w:r>
        <w:rPr>
          <w:rFonts w:hint="eastAsia" w:cs="宋体"/>
          <w:sz w:val="21"/>
          <w:szCs w:val="21"/>
        </w:rPr>
        <w:t xml:space="preserve">    合同履约期限：自合同签订之日起至合同履约完成之日。</w:t>
      </w:r>
    </w:p>
    <w:p w14:paraId="2A9D7012">
      <w:pPr>
        <w:pStyle w:val="50"/>
        <w:spacing w:before="75" w:beforeAutospacing="0" w:after="75" w:afterAutospacing="0" w:line="300" w:lineRule="atLeast"/>
        <w:ind w:firstLine="420"/>
        <w:rPr>
          <w:rFonts w:cs="宋体"/>
          <w:sz w:val="21"/>
          <w:szCs w:val="21"/>
        </w:rPr>
      </w:pPr>
      <w:r>
        <w:rPr>
          <w:rFonts w:hint="eastAsia" w:cs="宋体"/>
          <w:sz w:val="21"/>
          <w:szCs w:val="21"/>
        </w:rPr>
        <w:t>本标项（否）接受联合体投标</w:t>
      </w:r>
    </w:p>
    <w:p w14:paraId="35B8E823">
      <w:pPr>
        <w:pStyle w:val="50"/>
        <w:spacing w:before="75" w:beforeAutospacing="0" w:after="75" w:afterAutospacing="0" w:line="300" w:lineRule="atLeast"/>
        <w:ind w:firstLine="420"/>
        <w:rPr>
          <w:rFonts w:cs="宋体"/>
          <w:sz w:val="21"/>
          <w:szCs w:val="21"/>
        </w:rPr>
      </w:pPr>
    </w:p>
    <w:p w14:paraId="6E90BA4B">
      <w:pPr>
        <w:pStyle w:val="50"/>
        <w:spacing w:before="75" w:beforeAutospacing="0" w:after="75" w:afterAutospacing="0" w:line="300" w:lineRule="atLeast"/>
        <w:ind w:firstLine="420" w:firstLineChars="200"/>
        <w:rPr>
          <w:rFonts w:cs="宋体"/>
          <w:sz w:val="21"/>
          <w:szCs w:val="21"/>
        </w:rPr>
      </w:pPr>
      <w:r>
        <w:rPr>
          <w:rFonts w:hint="eastAsia" w:cs="宋体"/>
          <w:sz w:val="21"/>
          <w:szCs w:val="21"/>
        </w:rPr>
        <w:t>标项二</w:t>
      </w:r>
      <w:r>
        <w:rPr>
          <w:rFonts w:hint="eastAsia" w:cs="宋体"/>
          <w:sz w:val="21"/>
          <w:szCs w:val="21"/>
        </w:rPr>
        <w:br w:type="textWrapping"/>
      </w:r>
      <w:r>
        <w:rPr>
          <w:rFonts w:hint="eastAsia" w:cs="宋体"/>
          <w:sz w:val="21"/>
          <w:szCs w:val="21"/>
        </w:rPr>
        <w:t xml:space="preserve">    标项名称：医用血管造影X射线机（分标2）</w:t>
      </w:r>
      <w:r>
        <w:rPr>
          <w:rFonts w:hint="eastAsia" w:cs="宋体"/>
          <w:sz w:val="21"/>
          <w:szCs w:val="21"/>
        </w:rPr>
        <w:br w:type="textWrapping"/>
      </w:r>
      <w:r>
        <w:rPr>
          <w:rFonts w:hint="eastAsia" w:cs="宋体"/>
          <w:sz w:val="21"/>
          <w:szCs w:val="21"/>
        </w:rPr>
        <w:t xml:space="preserve">    数量:1</w:t>
      </w:r>
      <w:r>
        <w:rPr>
          <w:rFonts w:hint="eastAsia" w:cs="宋体"/>
          <w:sz w:val="21"/>
          <w:szCs w:val="21"/>
        </w:rPr>
        <w:br w:type="textWrapping"/>
      </w:r>
      <w:r>
        <w:rPr>
          <w:rFonts w:hint="eastAsia" w:cs="宋体"/>
          <w:sz w:val="21"/>
          <w:szCs w:val="21"/>
        </w:rPr>
        <w:t xml:space="preserve">    预算金额（元）：12</w:t>
      </w:r>
      <w:r>
        <w:rPr>
          <w:rFonts w:hint="eastAsia" w:cs="宋体"/>
          <w:sz w:val="21"/>
          <w:szCs w:val="21"/>
          <w:lang w:val="en-US" w:eastAsia="zh-CN"/>
        </w:rPr>
        <w:t>4</w:t>
      </w:r>
      <w:r>
        <w:rPr>
          <w:rFonts w:hint="eastAsia" w:cs="宋体"/>
          <w:sz w:val="21"/>
          <w:szCs w:val="21"/>
        </w:rPr>
        <w:t>00000</w:t>
      </w:r>
      <w:r>
        <w:rPr>
          <w:rFonts w:hint="eastAsia" w:cs="宋体"/>
          <w:sz w:val="21"/>
          <w:szCs w:val="21"/>
        </w:rPr>
        <w:br w:type="textWrapping"/>
      </w:r>
      <w:r>
        <w:rPr>
          <w:rFonts w:hint="eastAsia" w:cs="宋体"/>
          <w:sz w:val="21"/>
          <w:szCs w:val="21"/>
        </w:rPr>
        <w:t xml:space="preserve">    简要规格描述或项目基本概况介绍、用途：血管造影X射线机1套。</w:t>
      </w:r>
    </w:p>
    <w:p w14:paraId="018F80C0">
      <w:pPr>
        <w:pStyle w:val="50"/>
        <w:spacing w:before="75" w:beforeAutospacing="0" w:after="75" w:afterAutospacing="0" w:line="300" w:lineRule="atLeast"/>
        <w:rPr>
          <w:rFonts w:cs="宋体"/>
          <w:sz w:val="21"/>
          <w:szCs w:val="21"/>
        </w:rPr>
      </w:pPr>
      <w:r>
        <w:rPr>
          <w:rFonts w:hint="eastAsia" w:cs="宋体"/>
          <w:sz w:val="21"/>
          <w:szCs w:val="21"/>
        </w:rPr>
        <w:t xml:space="preserve">    最高限价（如有）：</w:t>
      </w:r>
      <w:r>
        <w:rPr>
          <w:rFonts w:hint="eastAsia" w:cs="宋体"/>
          <w:sz w:val="21"/>
          <w:szCs w:val="21"/>
          <w:highlight w:val="none"/>
          <w:lang w:val="en-US" w:eastAsia="zh-CN"/>
        </w:rPr>
        <w:t>8</w:t>
      </w:r>
      <w:r>
        <w:rPr>
          <w:rFonts w:hint="eastAsia" w:cs="宋体"/>
          <w:sz w:val="21"/>
          <w:szCs w:val="21"/>
          <w:highlight w:val="none"/>
        </w:rPr>
        <w:t>00</w:t>
      </w:r>
      <w:r>
        <w:rPr>
          <w:rFonts w:hint="eastAsia" w:cs="宋体"/>
          <w:sz w:val="21"/>
          <w:szCs w:val="21"/>
          <w:highlight w:val="none"/>
          <w:lang w:val="en-US" w:eastAsia="zh-CN"/>
        </w:rPr>
        <w:t>000</w:t>
      </w:r>
      <w:r>
        <w:rPr>
          <w:rFonts w:hint="eastAsia" w:cs="宋体"/>
          <w:sz w:val="21"/>
          <w:szCs w:val="21"/>
          <w:highlight w:val="none"/>
        </w:rPr>
        <w:t>0元</w:t>
      </w:r>
    </w:p>
    <w:p w14:paraId="73BDFDD1">
      <w:pPr>
        <w:pStyle w:val="50"/>
        <w:spacing w:before="75" w:beforeAutospacing="0" w:after="75" w:afterAutospacing="0" w:line="300" w:lineRule="atLeast"/>
        <w:rPr>
          <w:rFonts w:cs="宋体"/>
          <w:sz w:val="21"/>
          <w:szCs w:val="21"/>
        </w:rPr>
      </w:pPr>
      <w:r>
        <w:rPr>
          <w:rFonts w:hint="eastAsia" w:cs="宋体"/>
          <w:sz w:val="21"/>
          <w:szCs w:val="21"/>
        </w:rPr>
        <w:t xml:space="preserve">    合同履约期限：自合同签订之日起至合同履约完成之日。</w:t>
      </w:r>
    </w:p>
    <w:p w14:paraId="6DA0E8C3">
      <w:pPr>
        <w:pStyle w:val="50"/>
        <w:spacing w:before="75" w:beforeAutospacing="0" w:after="75" w:afterAutospacing="0" w:line="300" w:lineRule="atLeast"/>
        <w:ind w:firstLine="420"/>
        <w:rPr>
          <w:rFonts w:cs="宋体"/>
          <w:sz w:val="21"/>
          <w:szCs w:val="21"/>
        </w:rPr>
      </w:pPr>
      <w:r>
        <w:rPr>
          <w:rFonts w:hint="eastAsia" w:cs="宋体"/>
          <w:sz w:val="21"/>
          <w:szCs w:val="21"/>
        </w:rPr>
        <w:t>本标项（否）接受联合体投标</w:t>
      </w:r>
    </w:p>
    <w:p w14:paraId="504C176F">
      <w:pPr>
        <w:pStyle w:val="50"/>
        <w:spacing w:before="75" w:beforeAutospacing="0" w:after="75" w:afterAutospacing="0" w:line="300" w:lineRule="atLeast"/>
        <w:ind w:firstLine="420"/>
        <w:rPr>
          <w:rFonts w:cs="宋体"/>
          <w:sz w:val="21"/>
          <w:szCs w:val="21"/>
        </w:rPr>
      </w:pPr>
    </w:p>
    <w:p w14:paraId="41D21DA4">
      <w:pPr>
        <w:pStyle w:val="50"/>
        <w:spacing w:before="75" w:beforeAutospacing="0" w:after="75" w:afterAutospacing="0" w:line="300" w:lineRule="atLeast"/>
        <w:ind w:firstLine="420" w:firstLineChars="200"/>
        <w:rPr>
          <w:rFonts w:cs="宋体"/>
          <w:sz w:val="21"/>
          <w:szCs w:val="21"/>
        </w:rPr>
      </w:pPr>
      <w:r>
        <w:rPr>
          <w:rFonts w:hint="eastAsia" w:cs="宋体"/>
          <w:sz w:val="21"/>
          <w:szCs w:val="21"/>
        </w:rPr>
        <w:t>标项三</w:t>
      </w:r>
      <w:r>
        <w:rPr>
          <w:rFonts w:hint="eastAsia" w:cs="宋体"/>
          <w:sz w:val="21"/>
          <w:szCs w:val="21"/>
        </w:rPr>
        <w:br w:type="textWrapping"/>
      </w:r>
      <w:r>
        <w:rPr>
          <w:rFonts w:hint="eastAsia" w:cs="宋体"/>
          <w:sz w:val="21"/>
          <w:szCs w:val="21"/>
        </w:rPr>
        <w:t xml:space="preserve">    标项名称：医用血管造影X射线机（分标3）</w:t>
      </w:r>
      <w:r>
        <w:rPr>
          <w:rFonts w:hint="eastAsia" w:cs="宋体"/>
          <w:sz w:val="21"/>
          <w:szCs w:val="21"/>
        </w:rPr>
        <w:br w:type="textWrapping"/>
      </w:r>
      <w:r>
        <w:rPr>
          <w:rFonts w:hint="eastAsia" w:cs="宋体"/>
          <w:sz w:val="21"/>
          <w:szCs w:val="21"/>
        </w:rPr>
        <w:t xml:space="preserve">    数量:</w:t>
      </w:r>
      <w:r>
        <w:rPr>
          <w:rFonts w:hint="eastAsia" w:cs="宋体"/>
          <w:sz w:val="21"/>
          <w:szCs w:val="21"/>
          <w:lang w:val="en-US" w:eastAsia="zh-CN"/>
        </w:rPr>
        <w:t>2</w:t>
      </w:r>
      <w:r>
        <w:rPr>
          <w:rFonts w:hint="eastAsia" w:cs="宋体"/>
          <w:sz w:val="21"/>
          <w:szCs w:val="21"/>
        </w:rPr>
        <w:br w:type="textWrapping"/>
      </w:r>
      <w:r>
        <w:rPr>
          <w:rFonts w:hint="eastAsia" w:cs="宋体"/>
          <w:sz w:val="21"/>
          <w:szCs w:val="21"/>
        </w:rPr>
        <w:t xml:space="preserve">    预算金额（元）：</w:t>
      </w:r>
      <w:r>
        <w:rPr>
          <w:rFonts w:hint="eastAsia" w:cs="宋体"/>
          <w:sz w:val="21"/>
          <w:szCs w:val="21"/>
          <w:lang w:val="en-US" w:eastAsia="zh-CN"/>
        </w:rPr>
        <w:t>2102</w:t>
      </w:r>
      <w:r>
        <w:rPr>
          <w:rFonts w:hint="eastAsia" w:cs="宋体"/>
          <w:sz w:val="21"/>
          <w:szCs w:val="21"/>
        </w:rPr>
        <w:t>0000</w:t>
      </w:r>
      <w:r>
        <w:rPr>
          <w:rFonts w:hint="eastAsia" w:cs="宋体"/>
          <w:sz w:val="21"/>
          <w:szCs w:val="21"/>
        </w:rPr>
        <w:br w:type="textWrapping"/>
      </w:r>
      <w:r>
        <w:rPr>
          <w:rFonts w:hint="eastAsia" w:cs="宋体"/>
          <w:sz w:val="21"/>
          <w:szCs w:val="21"/>
        </w:rPr>
        <w:t xml:space="preserve">    简要规格描述或项目基本概况介绍、用途：血管造影X射线机</w:t>
      </w:r>
      <w:r>
        <w:rPr>
          <w:rFonts w:hint="eastAsia" w:cs="宋体"/>
          <w:sz w:val="21"/>
          <w:szCs w:val="21"/>
          <w:lang w:val="en-US" w:eastAsia="zh-CN"/>
        </w:rPr>
        <w:t>2</w:t>
      </w:r>
      <w:r>
        <w:rPr>
          <w:rFonts w:hint="eastAsia" w:cs="宋体"/>
          <w:sz w:val="21"/>
          <w:szCs w:val="21"/>
        </w:rPr>
        <w:t>套。</w:t>
      </w:r>
    </w:p>
    <w:p w14:paraId="5915FC62">
      <w:pPr>
        <w:pStyle w:val="50"/>
        <w:spacing w:before="75" w:beforeAutospacing="0" w:after="75" w:afterAutospacing="0" w:line="300" w:lineRule="atLeast"/>
        <w:rPr>
          <w:rFonts w:cs="宋体"/>
          <w:sz w:val="21"/>
          <w:szCs w:val="21"/>
        </w:rPr>
      </w:pPr>
      <w:r>
        <w:rPr>
          <w:rFonts w:hint="eastAsia" w:cs="宋体"/>
          <w:sz w:val="21"/>
          <w:szCs w:val="21"/>
        </w:rPr>
        <w:t xml:space="preserve">    最高限价（如有）</w:t>
      </w:r>
      <w:r>
        <w:rPr>
          <w:rFonts w:hint="eastAsia" w:cs="宋体"/>
          <w:sz w:val="21"/>
          <w:szCs w:val="21"/>
          <w:lang w:val="en-US" w:eastAsia="zh-CN"/>
        </w:rPr>
        <w:t>160</w:t>
      </w:r>
      <w:r>
        <w:rPr>
          <w:rFonts w:hint="eastAsia" w:cs="宋体"/>
          <w:sz w:val="21"/>
          <w:szCs w:val="21"/>
          <w:highlight w:val="none"/>
          <w:lang w:val="en-US" w:eastAsia="zh-CN"/>
        </w:rPr>
        <w:t>0</w:t>
      </w:r>
      <w:r>
        <w:rPr>
          <w:rFonts w:hint="eastAsia" w:cs="宋体"/>
          <w:sz w:val="21"/>
          <w:szCs w:val="21"/>
          <w:highlight w:val="none"/>
        </w:rPr>
        <w:t>0000元</w:t>
      </w:r>
    </w:p>
    <w:p w14:paraId="1CEFD1A2">
      <w:pPr>
        <w:pStyle w:val="50"/>
        <w:spacing w:before="75" w:beforeAutospacing="0" w:after="75" w:afterAutospacing="0" w:line="300" w:lineRule="atLeast"/>
        <w:rPr>
          <w:rFonts w:cs="宋体"/>
          <w:sz w:val="21"/>
          <w:szCs w:val="21"/>
        </w:rPr>
      </w:pPr>
      <w:r>
        <w:rPr>
          <w:rFonts w:hint="eastAsia" w:cs="宋体"/>
          <w:sz w:val="21"/>
          <w:szCs w:val="21"/>
        </w:rPr>
        <w:t xml:space="preserve">    合同履约期限：自合同签订之日起至合同履约完成之日。</w:t>
      </w:r>
    </w:p>
    <w:p w14:paraId="42F83A01">
      <w:pPr>
        <w:pStyle w:val="50"/>
        <w:spacing w:before="75" w:beforeAutospacing="0" w:after="75" w:afterAutospacing="0" w:line="300" w:lineRule="atLeast"/>
        <w:ind w:firstLine="420"/>
        <w:rPr>
          <w:rFonts w:cs="宋体"/>
          <w:sz w:val="21"/>
          <w:szCs w:val="21"/>
        </w:rPr>
      </w:pPr>
      <w:r>
        <w:rPr>
          <w:rFonts w:hint="eastAsia" w:cs="宋体"/>
          <w:sz w:val="21"/>
          <w:szCs w:val="21"/>
        </w:rPr>
        <w:t>本标项（否）接受联合体投标</w:t>
      </w:r>
    </w:p>
    <w:p w14:paraId="64A4708D">
      <w:pPr>
        <w:pStyle w:val="50"/>
        <w:spacing w:before="75" w:beforeAutospacing="0" w:after="75" w:afterAutospacing="0" w:line="300" w:lineRule="atLeast"/>
        <w:ind w:firstLine="420" w:firstLineChars="200"/>
        <w:rPr>
          <w:rFonts w:cs="宋体"/>
          <w:sz w:val="21"/>
          <w:szCs w:val="21"/>
        </w:rPr>
      </w:pPr>
      <w:r>
        <w:rPr>
          <w:rFonts w:hint="eastAsia" w:cs="宋体"/>
          <w:sz w:val="21"/>
          <w:szCs w:val="21"/>
        </w:rPr>
        <w:t>标项四</w:t>
      </w:r>
      <w:r>
        <w:rPr>
          <w:rFonts w:hint="eastAsia" w:cs="宋体"/>
          <w:sz w:val="21"/>
          <w:szCs w:val="21"/>
        </w:rPr>
        <w:br w:type="textWrapping"/>
      </w:r>
      <w:r>
        <w:rPr>
          <w:rFonts w:hint="eastAsia" w:cs="宋体"/>
          <w:sz w:val="21"/>
          <w:szCs w:val="21"/>
        </w:rPr>
        <w:t xml:space="preserve">    标项名称：医用血管造影X射线机（分标4）</w:t>
      </w:r>
      <w:r>
        <w:rPr>
          <w:rFonts w:hint="eastAsia" w:cs="宋体"/>
          <w:sz w:val="21"/>
          <w:szCs w:val="21"/>
        </w:rPr>
        <w:br w:type="textWrapping"/>
      </w:r>
      <w:r>
        <w:rPr>
          <w:rFonts w:hint="eastAsia" w:cs="宋体"/>
          <w:sz w:val="21"/>
          <w:szCs w:val="21"/>
        </w:rPr>
        <w:t xml:space="preserve">    数量:</w:t>
      </w:r>
      <w:r>
        <w:rPr>
          <w:rFonts w:hint="eastAsia" w:cs="宋体"/>
          <w:sz w:val="21"/>
          <w:szCs w:val="21"/>
          <w:lang w:val="en-US" w:eastAsia="zh-CN"/>
        </w:rPr>
        <w:t>2</w:t>
      </w:r>
      <w:r>
        <w:rPr>
          <w:rFonts w:hint="eastAsia" w:cs="宋体"/>
          <w:sz w:val="21"/>
          <w:szCs w:val="21"/>
        </w:rPr>
        <w:br w:type="textWrapping"/>
      </w:r>
      <w:r>
        <w:rPr>
          <w:rFonts w:hint="eastAsia" w:cs="宋体"/>
          <w:sz w:val="21"/>
          <w:szCs w:val="21"/>
        </w:rPr>
        <w:t xml:space="preserve">    预算金额（元）： </w:t>
      </w:r>
      <w:r>
        <w:rPr>
          <w:rFonts w:hint="eastAsia" w:cs="宋体"/>
          <w:sz w:val="21"/>
          <w:szCs w:val="21"/>
          <w:lang w:val="en-US" w:eastAsia="zh-CN"/>
        </w:rPr>
        <w:t>19</w:t>
      </w:r>
      <w:r>
        <w:rPr>
          <w:rFonts w:hint="eastAsia" w:cs="宋体"/>
          <w:sz w:val="21"/>
          <w:szCs w:val="21"/>
        </w:rPr>
        <w:t>000000</w:t>
      </w:r>
      <w:r>
        <w:rPr>
          <w:rFonts w:hint="eastAsia" w:cs="宋体"/>
          <w:sz w:val="21"/>
          <w:szCs w:val="21"/>
        </w:rPr>
        <w:br w:type="textWrapping"/>
      </w:r>
      <w:r>
        <w:rPr>
          <w:rFonts w:hint="eastAsia" w:cs="宋体"/>
          <w:sz w:val="21"/>
          <w:szCs w:val="21"/>
        </w:rPr>
        <w:t xml:space="preserve">    简要规格描述或项目基本概况介绍、用途：血管造影X射线机</w:t>
      </w:r>
      <w:r>
        <w:rPr>
          <w:rFonts w:hint="eastAsia" w:cs="宋体"/>
          <w:sz w:val="21"/>
          <w:szCs w:val="21"/>
          <w:lang w:val="en-US" w:eastAsia="zh-CN"/>
        </w:rPr>
        <w:t>2</w:t>
      </w:r>
      <w:r>
        <w:rPr>
          <w:rFonts w:hint="eastAsia" w:cs="宋体"/>
          <w:sz w:val="21"/>
          <w:szCs w:val="21"/>
        </w:rPr>
        <w:t>套。</w:t>
      </w:r>
    </w:p>
    <w:p w14:paraId="50A40767">
      <w:pPr>
        <w:pStyle w:val="50"/>
        <w:spacing w:before="75" w:beforeAutospacing="0" w:after="75" w:afterAutospacing="0" w:line="300" w:lineRule="atLeast"/>
        <w:rPr>
          <w:rFonts w:cs="宋体"/>
          <w:sz w:val="21"/>
          <w:szCs w:val="21"/>
          <w:highlight w:val="yellow"/>
        </w:rPr>
      </w:pPr>
      <w:r>
        <w:rPr>
          <w:rFonts w:hint="eastAsia" w:cs="宋体"/>
          <w:sz w:val="21"/>
          <w:szCs w:val="21"/>
        </w:rPr>
        <w:t xml:space="preserve">    最高限价（如有）：</w:t>
      </w:r>
      <w:r>
        <w:rPr>
          <w:rFonts w:hint="eastAsia" w:cs="宋体"/>
          <w:sz w:val="21"/>
          <w:szCs w:val="21"/>
          <w:highlight w:val="none"/>
          <w:lang w:val="en-US" w:eastAsia="zh-CN"/>
        </w:rPr>
        <w:t>16</w:t>
      </w:r>
      <w:r>
        <w:rPr>
          <w:rFonts w:hint="eastAsia" w:cs="宋体"/>
          <w:sz w:val="21"/>
          <w:szCs w:val="21"/>
          <w:highlight w:val="none"/>
        </w:rPr>
        <w:t>000000元</w:t>
      </w:r>
    </w:p>
    <w:p w14:paraId="6C8DA9C9">
      <w:pPr>
        <w:pStyle w:val="50"/>
        <w:spacing w:before="75" w:beforeAutospacing="0" w:after="75" w:afterAutospacing="0" w:line="300" w:lineRule="atLeast"/>
        <w:rPr>
          <w:rFonts w:cs="宋体"/>
          <w:sz w:val="21"/>
          <w:szCs w:val="21"/>
        </w:rPr>
      </w:pPr>
      <w:r>
        <w:rPr>
          <w:rFonts w:hint="eastAsia" w:cs="宋体"/>
          <w:sz w:val="21"/>
          <w:szCs w:val="21"/>
        </w:rPr>
        <w:t xml:space="preserve">    合同履约期限：自合同签订之日起至合同履约完成之日。</w:t>
      </w:r>
    </w:p>
    <w:p w14:paraId="7D2C31DB">
      <w:pPr>
        <w:pStyle w:val="50"/>
        <w:spacing w:before="75" w:beforeAutospacing="0" w:after="75" w:afterAutospacing="0" w:line="300" w:lineRule="atLeast"/>
        <w:ind w:firstLine="420"/>
        <w:rPr>
          <w:rFonts w:hint="eastAsia" w:cs="宋体"/>
          <w:sz w:val="21"/>
          <w:szCs w:val="21"/>
        </w:rPr>
      </w:pPr>
      <w:r>
        <w:rPr>
          <w:rFonts w:hint="eastAsia" w:cs="宋体"/>
          <w:sz w:val="21"/>
          <w:szCs w:val="21"/>
        </w:rPr>
        <w:t>本标项（否）接受联合体投标</w:t>
      </w:r>
    </w:p>
    <w:p w14:paraId="2348B276">
      <w:pPr>
        <w:pStyle w:val="50"/>
        <w:spacing w:before="75" w:beforeAutospacing="0" w:after="75" w:afterAutospacing="0" w:line="300" w:lineRule="atLeast"/>
        <w:ind w:firstLine="420"/>
        <w:rPr>
          <w:rFonts w:hint="eastAsia" w:cs="宋体"/>
          <w:sz w:val="21"/>
          <w:szCs w:val="21"/>
        </w:rPr>
      </w:pPr>
    </w:p>
    <w:p w14:paraId="752C2133">
      <w:pPr>
        <w:pStyle w:val="50"/>
        <w:spacing w:before="75" w:beforeAutospacing="0" w:after="75" w:afterAutospacing="0" w:line="300" w:lineRule="atLeast"/>
        <w:rPr>
          <w:rFonts w:cs="宋体"/>
          <w:sz w:val="21"/>
          <w:szCs w:val="21"/>
        </w:rPr>
      </w:pPr>
      <w:r>
        <w:rPr>
          <w:rStyle w:val="58"/>
          <w:rFonts w:hint="eastAsia" w:cs="宋体"/>
          <w:sz w:val="21"/>
          <w:szCs w:val="21"/>
        </w:rPr>
        <w:t>二、申请人的资格要求：</w:t>
      </w:r>
    </w:p>
    <w:p w14:paraId="46B5C1DE">
      <w:pPr>
        <w:pStyle w:val="50"/>
        <w:spacing w:before="75" w:beforeAutospacing="0" w:after="75" w:afterAutospacing="0" w:line="300" w:lineRule="atLeast"/>
        <w:rPr>
          <w:rFonts w:cs="宋体"/>
          <w:sz w:val="21"/>
          <w:szCs w:val="21"/>
        </w:rPr>
      </w:pPr>
      <w:r>
        <w:rPr>
          <w:rFonts w:hint="eastAsia" w:cs="宋体"/>
          <w:sz w:val="21"/>
          <w:szCs w:val="21"/>
        </w:rPr>
        <w:t xml:space="preserve">   1.满足《中华人民共和国政府采购法》第二十二条规定；</w:t>
      </w:r>
    </w:p>
    <w:p w14:paraId="02D3836A">
      <w:pPr>
        <w:pStyle w:val="50"/>
        <w:spacing w:before="75" w:beforeAutospacing="0" w:after="75" w:afterAutospacing="0" w:line="300" w:lineRule="atLeast"/>
        <w:rPr>
          <w:rStyle w:val="351"/>
          <w:rFonts w:cs="宋体"/>
          <w:sz w:val="21"/>
          <w:szCs w:val="21"/>
        </w:rPr>
      </w:pPr>
      <w:r>
        <w:rPr>
          <w:rFonts w:hint="eastAsia" w:cs="宋体"/>
          <w:sz w:val="21"/>
          <w:szCs w:val="21"/>
        </w:rPr>
        <w:t xml:space="preserve">   2.落实政府采购政策需满足的资格要求：分标1、2、3、4：无</w:t>
      </w:r>
    </w:p>
    <w:p w14:paraId="7BED1FB8">
      <w:pPr>
        <w:pStyle w:val="50"/>
        <w:spacing w:before="75" w:beforeAutospacing="0" w:after="75" w:afterAutospacing="0" w:line="300" w:lineRule="atLeast"/>
        <w:rPr>
          <w:rFonts w:cs="宋体"/>
          <w:sz w:val="21"/>
          <w:szCs w:val="21"/>
        </w:rPr>
      </w:pPr>
      <w:r>
        <w:rPr>
          <w:rFonts w:hint="eastAsia" w:cs="宋体"/>
          <w:sz w:val="21"/>
          <w:szCs w:val="21"/>
        </w:rPr>
        <w:t xml:space="preserve">   3.本项目的特定资格要求：分标1、2、3、4</w:t>
      </w:r>
    </w:p>
    <w:p w14:paraId="228EA37A">
      <w:pPr>
        <w:pStyle w:val="50"/>
        <w:spacing w:before="255" w:beforeAutospacing="0" w:after="255" w:afterAutospacing="0" w:line="300" w:lineRule="atLeast"/>
        <w:ind w:firstLine="420" w:firstLineChars="200"/>
        <w:jc w:val="both"/>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供应商为取得所投产品有效的</w:t>
      </w:r>
      <w:r>
        <w:rPr>
          <w:rFonts w:hint="eastAsia" w:cs="宋体"/>
          <w:b/>
          <w:bCs/>
          <w:color w:val="000000" w:themeColor="text1"/>
          <w:sz w:val="21"/>
          <w:szCs w:val="21"/>
          <w14:textFill>
            <w14:solidFill>
              <w14:schemeClr w14:val="tx1"/>
            </w14:solidFill>
          </w14:textFill>
        </w:rPr>
        <w:t>医疗器械生产许可证</w:t>
      </w:r>
      <w:r>
        <w:rPr>
          <w:rFonts w:hint="eastAsia" w:cs="宋体"/>
          <w:color w:val="000000" w:themeColor="text1"/>
          <w:sz w:val="21"/>
          <w:szCs w:val="21"/>
          <w14:textFill>
            <w14:solidFill>
              <w14:schemeClr w14:val="tx1"/>
            </w14:solidFill>
          </w14:textFill>
        </w:rPr>
        <w:t>和</w:t>
      </w:r>
      <w:r>
        <w:rPr>
          <w:rFonts w:hint="eastAsia" w:cs="宋体"/>
          <w:b/>
          <w:bCs/>
          <w:color w:val="000000" w:themeColor="text1"/>
          <w:sz w:val="21"/>
          <w:szCs w:val="21"/>
          <w14:textFill>
            <w14:solidFill>
              <w14:schemeClr w14:val="tx1"/>
            </w14:solidFill>
          </w14:textFill>
        </w:rPr>
        <w:t>辐射安全许可证</w:t>
      </w:r>
      <w:r>
        <w:rPr>
          <w:rFonts w:hint="eastAsia" w:cs="宋体"/>
          <w:color w:val="000000" w:themeColor="text1"/>
          <w:sz w:val="21"/>
          <w:szCs w:val="21"/>
          <w14:textFill>
            <w14:solidFill>
              <w14:schemeClr w14:val="tx1"/>
            </w14:solidFill>
          </w14:textFill>
        </w:rPr>
        <w:t>的生产企业</w:t>
      </w:r>
      <w:r>
        <w:rPr>
          <w:rFonts w:hint="eastAsia" w:cs="宋体"/>
          <w:b w:val="0"/>
          <w:bCs w:val="0"/>
          <w:color w:val="000000" w:themeColor="text1"/>
          <w:sz w:val="21"/>
          <w:szCs w:val="21"/>
          <w:lang w:val="en" w:eastAsia="zh-CN"/>
          <w14:textFill>
            <w14:solidFill>
              <w14:schemeClr w14:val="tx1"/>
            </w14:solidFill>
          </w14:textFill>
        </w:rPr>
        <w:t>；</w:t>
      </w:r>
      <w:r>
        <w:rPr>
          <w:rFonts w:hint="eastAsia" w:cs="宋体"/>
          <w:color w:val="000000" w:themeColor="text1"/>
          <w:sz w:val="21"/>
          <w:szCs w:val="21"/>
          <w14:textFill>
            <w14:solidFill>
              <w14:schemeClr w14:val="tx1"/>
            </w14:solidFill>
          </w14:textFill>
        </w:rPr>
        <w:t>生产企业（或生产企业所在的集团公司）在中国关境内设立的具有独立法人资格的仅销售本生产企业（或生产企业所在的集团公司）产品的贸易公司（提供加盖公章的</w:t>
      </w:r>
      <w:r>
        <w:rPr>
          <w:rFonts w:hint="eastAsia" w:cs="宋体"/>
          <w:b/>
          <w:bCs/>
          <w:color w:val="000000" w:themeColor="text1"/>
          <w:sz w:val="21"/>
          <w:szCs w:val="21"/>
          <w14:textFill>
            <w14:solidFill>
              <w14:schemeClr w14:val="tx1"/>
            </w14:solidFill>
          </w14:textFill>
        </w:rPr>
        <w:t>关系证明材料</w:t>
      </w:r>
      <w:r>
        <w:rPr>
          <w:rFonts w:hint="eastAsia" w:cs="宋体"/>
          <w:color w:val="000000" w:themeColor="text1"/>
          <w:sz w:val="21"/>
          <w:szCs w:val="21"/>
          <w14:textFill>
            <w14:solidFill>
              <w14:schemeClr w14:val="tx1"/>
            </w14:solidFill>
          </w14:textFill>
        </w:rPr>
        <w:t>、有效的</w:t>
      </w:r>
      <w:r>
        <w:rPr>
          <w:rFonts w:hint="eastAsia" w:cs="宋体"/>
          <w:b/>
          <w:bCs/>
          <w:color w:val="000000" w:themeColor="text1"/>
          <w:sz w:val="21"/>
          <w:szCs w:val="21"/>
          <w14:textFill>
            <w14:solidFill>
              <w14:schemeClr w14:val="tx1"/>
            </w14:solidFill>
          </w14:textFill>
        </w:rPr>
        <w:t>医疗器械经营许可证</w:t>
      </w:r>
      <w:r>
        <w:rPr>
          <w:rFonts w:hint="eastAsia" w:cs="宋体"/>
          <w:color w:val="000000" w:themeColor="text1"/>
          <w:sz w:val="21"/>
          <w:szCs w:val="21"/>
          <w14:textFill>
            <w14:solidFill>
              <w14:schemeClr w14:val="tx1"/>
            </w14:solidFill>
          </w14:textFill>
        </w:rPr>
        <w:t>）也可以参加投标，视同为生产企业。</w:t>
      </w:r>
    </w:p>
    <w:p w14:paraId="723B3D58">
      <w:pPr>
        <w:pStyle w:val="50"/>
        <w:spacing w:before="255" w:beforeAutospacing="0" w:after="255" w:afterAutospacing="0" w:line="300" w:lineRule="atLeast"/>
        <w:ind w:firstLine="420" w:firstLineChars="200"/>
        <w:jc w:val="both"/>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进口产品生产企业在我国境内的注册代理人可直接投标或授权一家国内代理商（提供有效的医疗器械经营许可证；代理商投标须提供生产企业或注册代理人开具的授权书）代理投标，视同为生产企业。</w:t>
      </w:r>
    </w:p>
    <w:p w14:paraId="09A33386">
      <w:pPr>
        <w:pStyle w:val="50"/>
        <w:spacing w:before="255" w:beforeAutospacing="0" w:after="255" w:afterAutospacing="0" w:line="300" w:lineRule="atLeast"/>
        <w:jc w:val="both"/>
        <w:rPr>
          <w:rFonts w:cs="宋体"/>
          <w:sz w:val="21"/>
          <w:szCs w:val="21"/>
        </w:rPr>
      </w:pPr>
      <w:r>
        <w:rPr>
          <w:rStyle w:val="58"/>
          <w:rFonts w:hint="eastAsia" w:cs="宋体"/>
          <w:sz w:val="21"/>
          <w:szCs w:val="21"/>
        </w:rPr>
        <w:t>三、获取招标文件</w:t>
      </w:r>
      <w:r>
        <w:rPr>
          <w:rFonts w:hint="eastAsia" w:cs="宋体"/>
          <w:sz w:val="21"/>
          <w:szCs w:val="21"/>
        </w:rPr>
        <w:t> </w:t>
      </w:r>
    </w:p>
    <w:p w14:paraId="3726120C">
      <w:pPr>
        <w:pStyle w:val="50"/>
        <w:spacing w:before="75" w:beforeAutospacing="0" w:after="75" w:afterAutospacing="0" w:line="300" w:lineRule="atLeast"/>
        <w:rPr>
          <w:rFonts w:cs="宋体"/>
          <w:sz w:val="21"/>
          <w:szCs w:val="21"/>
        </w:rPr>
      </w:pPr>
      <w:r>
        <w:rPr>
          <w:rFonts w:hint="eastAsia" w:cs="宋体"/>
          <w:sz w:val="21"/>
          <w:szCs w:val="21"/>
        </w:rPr>
        <w:t>   时间：</w:t>
      </w:r>
      <w:r>
        <w:rPr>
          <w:rStyle w:val="184"/>
          <w:rFonts w:hint="eastAsia" w:cs="宋体"/>
          <w:b/>
          <w:bCs/>
          <w:sz w:val="21"/>
          <w:szCs w:val="21"/>
        </w:rPr>
        <w:t xml:space="preserve">2026年 </w:t>
      </w:r>
      <w:r>
        <w:rPr>
          <w:rStyle w:val="184"/>
          <w:rFonts w:cs="宋体"/>
          <w:b/>
          <w:bCs/>
          <w:sz w:val="21"/>
          <w:szCs w:val="21"/>
          <w:lang w:val="en"/>
        </w:rPr>
        <w:t>月</w:t>
      </w:r>
      <w:r>
        <w:rPr>
          <w:rStyle w:val="184"/>
          <w:rFonts w:hint="eastAsia" w:cs="宋体"/>
          <w:b/>
          <w:bCs/>
          <w:sz w:val="21"/>
          <w:szCs w:val="21"/>
        </w:rPr>
        <w:t xml:space="preserve"> 日</w:t>
      </w:r>
      <w:r>
        <w:rPr>
          <w:rFonts w:hint="eastAsia" w:cs="宋体"/>
          <w:b/>
          <w:bCs/>
          <w:sz w:val="21"/>
          <w:szCs w:val="21"/>
        </w:rPr>
        <w:t>至</w:t>
      </w:r>
      <w:r>
        <w:rPr>
          <w:rStyle w:val="315"/>
          <w:rFonts w:hint="eastAsia" w:cs="宋体"/>
          <w:b/>
          <w:bCs/>
          <w:sz w:val="21"/>
          <w:szCs w:val="21"/>
        </w:rPr>
        <w:t>2026年 月 日</w:t>
      </w:r>
      <w:r>
        <w:rPr>
          <w:rFonts w:hint="eastAsia" w:cs="宋体"/>
          <w:b/>
          <w:bCs/>
          <w:sz w:val="21"/>
          <w:szCs w:val="21"/>
        </w:rPr>
        <w:t>，每天上午</w:t>
      </w:r>
      <w:r>
        <w:rPr>
          <w:rStyle w:val="259"/>
          <w:rFonts w:hint="eastAsia" w:cs="宋体"/>
          <w:b/>
          <w:bCs/>
          <w:sz w:val="21"/>
          <w:szCs w:val="21"/>
        </w:rPr>
        <w:t>00:00至12:00</w:t>
      </w:r>
      <w:r>
        <w:rPr>
          <w:rFonts w:hint="eastAsia" w:cs="宋体"/>
          <w:b/>
          <w:bCs/>
          <w:sz w:val="21"/>
          <w:szCs w:val="21"/>
        </w:rPr>
        <w:t>，下午</w:t>
      </w:r>
      <w:r>
        <w:rPr>
          <w:rStyle w:val="368"/>
          <w:rFonts w:hint="eastAsia" w:cs="宋体"/>
          <w:b/>
          <w:bCs/>
          <w:sz w:val="21"/>
          <w:szCs w:val="21"/>
        </w:rPr>
        <w:t>12:00至23:59</w:t>
      </w:r>
      <w:r>
        <w:rPr>
          <w:rFonts w:hint="eastAsia" w:cs="宋体"/>
          <w:b/>
          <w:bCs/>
          <w:sz w:val="21"/>
          <w:szCs w:val="21"/>
        </w:rPr>
        <w:t>（北京时间，法定节假日除外）</w:t>
      </w:r>
    </w:p>
    <w:p w14:paraId="18002AFB">
      <w:pPr>
        <w:pStyle w:val="50"/>
        <w:spacing w:before="75" w:beforeAutospacing="0" w:after="75" w:afterAutospacing="0" w:line="300" w:lineRule="atLeast"/>
        <w:rPr>
          <w:rFonts w:cs="宋体"/>
          <w:sz w:val="21"/>
          <w:szCs w:val="21"/>
        </w:rPr>
      </w:pPr>
      <w:r>
        <w:rPr>
          <w:rFonts w:hint="eastAsia" w:cs="宋体"/>
          <w:sz w:val="21"/>
          <w:szCs w:val="21"/>
        </w:rPr>
        <w:t>   地点（网址）：</w:t>
      </w:r>
      <w:r>
        <w:rPr>
          <w:rStyle w:val="159"/>
          <w:rFonts w:hint="eastAsia" w:cs="宋体"/>
          <w:sz w:val="21"/>
          <w:szCs w:val="21"/>
        </w:rPr>
        <w:t>广西政府采购云平台（网址：http://www.gcy.zfcg.gxzf.gov.cn）</w:t>
      </w:r>
      <w:r>
        <w:rPr>
          <w:rFonts w:hint="eastAsia" w:cs="宋体"/>
          <w:sz w:val="21"/>
          <w:szCs w:val="21"/>
        </w:rPr>
        <w:t> </w:t>
      </w:r>
    </w:p>
    <w:p w14:paraId="0627562C">
      <w:pPr>
        <w:pStyle w:val="50"/>
        <w:spacing w:before="75" w:beforeAutospacing="0" w:after="75" w:afterAutospacing="0" w:line="300" w:lineRule="atLeast"/>
        <w:rPr>
          <w:rFonts w:cs="宋体"/>
          <w:sz w:val="21"/>
          <w:szCs w:val="21"/>
        </w:rPr>
      </w:pPr>
      <w:r>
        <w:rPr>
          <w:rFonts w:hint="eastAsia" w:cs="宋体"/>
          <w:sz w:val="21"/>
          <w:szCs w:val="21"/>
        </w:rPr>
        <w:t>   方式：</w:t>
      </w:r>
      <w:r>
        <w:rPr>
          <w:rStyle w:val="366"/>
          <w:rFonts w:hint="eastAsia" w:cs="宋体"/>
          <w:sz w:val="21"/>
          <w:szCs w:val="21"/>
        </w:rPr>
        <w:t>登录广西政府采购云平台（网址：http://www.gcy.zfcg.gxzf.gov.cn）进行报名并获取采购文件；未注册的供应商可在广西政府采购云平台完成注册后再行报名。如在操作过程中遇到问题或需技术支持，请致电政采云客服热线：95763。</w:t>
      </w:r>
      <w:r>
        <w:rPr>
          <w:rStyle w:val="366"/>
          <w:rFonts w:hint="eastAsia" w:cs="宋体"/>
          <w:sz w:val="21"/>
          <w:szCs w:val="21"/>
        </w:rPr>
        <w:br w:type="textWrapping"/>
      </w:r>
      <w:r>
        <w:rPr>
          <w:rStyle w:val="366"/>
          <w:rFonts w:hint="eastAsia" w:cs="宋体"/>
          <w:sz w:val="21"/>
          <w:szCs w:val="21"/>
        </w:rPr>
        <w:t>提示：采购公告附件内的采购文件仅供阅览使用；供应商只有在“广西政府采购云平台”完成获取采购文件申请并下载了采购文件后才视作依法获取采购文件（法律法规所指的供应商获取采购文件时间以供应商完成获取采购文件申请后下载采购文件的时间为准）。</w:t>
      </w:r>
      <w:r>
        <w:rPr>
          <w:rFonts w:hint="eastAsia" w:cs="宋体"/>
          <w:sz w:val="21"/>
          <w:szCs w:val="21"/>
        </w:rPr>
        <w:t> </w:t>
      </w:r>
    </w:p>
    <w:p w14:paraId="7886C43C">
      <w:pPr>
        <w:pStyle w:val="50"/>
        <w:spacing w:before="75" w:beforeAutospacing="0" w:after="75" w:afterAutospacing="0" w:line="300" w:lineRule="atLeast"/>
        <w:rPr>
          <w:rFonts w:cs="宋体"/>
          <w:sz w:val="21"/>
          <w:szCs w:val="21"/>
        </w:rPr>
      </w:pPr>
      <w:r>
        <w:rPr>
          <w:rFonts w:hint="eastAsia" w:cs="宋体"/>
          <w:sz w:val="21"/>
          <w:szCs w:val="21"/>
        </w:rPr>
        <w:t>   售价（元）：</w:t>
      </w:r>
      <w:r>
        <w:rPr>
          <w:rStyle w:val="227"/>
          <w:rFonts w:hint="eastAsia" w:cs="宋体"/>
          <w:sz w:val="21"/>
          <w:szCs w:val="21"/>
        </w:rPr>
        <w:t>0</w:t>
      </w:r>
      <w:r>
        <w:rPr>
          <w:rFonts w:hint="eastAsia" w:cs="宋体"/>
          <w:sz w:val="21"/>
          <w:szCs w:val="21"/>
        </w:rPr>
        <w:t> </w:t>
      </w:r>
    </w:p>
    <w:p w14:paraId="09EDE2C3">
      <w:pPr>
        <w:pStyle w:val="50"/>
        <w:spacing w:before="255" w:beforeAutospacing="0" w:after="255" w:afterAutospacing="0" w:line="300" w:lineRule="atLeast"/>
        <w:jc w:val="both"/>
        <w:rPr>
          <w:rFonts w:cs="宋体"/>
          <w:sz w:val="21"/>
          <w:szCs w:val="21"/>
        </w:rPr>
      </w:pPr>
      <w:r>
        <w:rPr>
          <w:rStyle w:val="58"/>
          <w:rFonts w:hint="eastAsia" w:cs="宋体"/>
          <w:sz w:val="21"/>
          <w:szCs w:val="21"/>
        </w:rPr>
        <w:t>四、提交投标文件截止时间、开标时间和地点</w:t>
      </w:r>
    </w:p>
    <w:p w14:paraId="6921EE5F">
      <w:pPr>
        <w:pStyle w:val="50"/>
        <w:spacing w:before="75" w:beforeAutospacing="0" w:after="75" w:afterAutospacing="0" w:line="300" w:lineRule="atLeast"/>
        <w:rPr>
          <w:rFonts w:cs="宋体"/>
          <w:sz w:val="21"/>
          <w:szCs w:val="21"/>
        </w:rPr>
      </w:pPr>
      <w:r>
        <w:rPr>
          <w:rFonts w:hint="eastAsia" w:cs="宋体"/>
          <w:sz w:val="21"/>
          <w:szCs w:val="21"/>
        </w:rPr>
        <w:t>  提交投标文件截止时间：</w:t>
      </w:r>
      <w:r>
        <w:rPr>
          <w:rStyle w:val="254"/>
          <w:rFonts w:hint="eastAsia" w:cs="宋体"/>
          <w:sz w:val="21"/>
          <w:szCs w:val="21"/>
        </w:rPr>
        <w:t>2026年 月 日 10:00</w:t>
      </w:r>
      <w:r>
        <w:rPr>
          <w:rFonts w:hint="eastAsia" w:cs="宋体"/>
          <w:sz w:val="21"/>
          <w:szCs w:val="21"/>
        </w:rPr>
        <w:t>（北京时间）</w:t>
      </w:r>
    </w:p>
    <w:p w14:paraId="6837E06F">
      <w:pPr>
        <w:pStyle w:val="50"/>
        <w:spacing w:before="75" w:beforeAutospacing="0" w:after="75" w:afterAutospacing="0" w:line="300" w:lineRule="atLeast"/>
        <w:rPr>
          <w:rFonts w:cs="宋体"/>
          <w:sz w:val="21"/>
          <w:szCs w:val="21"/>
        </w:rPr>
      </w:pPr>
      <w:r>
        <w:rPr>
          <w:rFonts w:hint="eastAsia" w:cs="宋体"/>
          <w:sz w:val="21"/>
          <w:szCs w:val="21"/>
        </w:rPr>
        <w:t>  投标地点（网址）：</w:t>
      </w:r>
      <w:r>
        <w:rPr>
          <w:rStyle w:val="192"/>
          <w:rFonts w:hint="eastAsia" w:cs="宋体"/>
          <w:sz w:val="21"/>
          <w:szCs w:val="21"/>
        </w:rPr>
        <w:t>http://www.gcy.zfcg.gxzf.gov.cn。本项目不要求投标供应商到达开标现场，但供应商应派法定代表人或委托代理人准时在线出席电子开评标会议，随时关注开评标进度，如在开评标过程中有电子询标，应在规定的时间内对电子询标函进行澄清回复。</w:t>
      </w:r>
      <w:r>
        <w:rPr>
          <w:rFonts w:hint="eastAsia" w:cs="宋体"/>
          <w:sz w:val="21"/>
          <w:szCs w:val="21"/>
        </w:rPr>
        <w:t> </w:t>
      </w:r>
    </w:p>
    <w:p w14:paraId="45DA7D40">
      <w:pPr>
        <w:pStyle w:val="50"/>
        <w:spacing w:before="75" w:beforeAutospacing="0" w:after="75" w:afterAutospacing="0" w:line="300" w:lineRule="atLeast"/>
        <w:rPr>
          <w:rFonts w:cs="宋体"/>
          <w:sz w:val="21"/>
          <w:szCs w:val="21"/>
        </w:rPr>
      </w:pPr>
      <w:r>
        <w:rPr>
          <w:rFonts w:hint="eastAsia" w:cs="宋体"/>
          <w:sz w:val="21"/>
          <w:szCs w:val="21"/>
        </w:rPr>
        <w:t>  开标时间：</w:t>
      </w:r>
      <w:r>
        <w:rPr>
          <w:rStyle w:val="254"/>
          <w:rFonts w:hint="eastAsia" w:cs="宋体"/>
          <w:sz w:val="21"/>
          <w:szCs w:val="21"/>
        </w:rPr>
        <w:t>2026年 月 日 10:00</w:t>
      </w:r>
      <w:r>
        <w:rPr>
          <w:rFonts w:hint="eastAsia" w:cs="宋体"/>
          <w:sz w:val="21"/>
          <w:szCs w:val="21"/>
        </w:rPr>
        <w:t> </w:t>
      </w:r>
    </w:p>
    <w:p w14:paraId="40918F76">
      <w:pPr>
        <w:pStyle w:val="50"/>
        <w:spacing w:before="75" w:beforeAutospacing="0" w:after="75" w:afterAutospacing="0" w:line="300" w:lineRule="atLeast"/>
        <w:rPr>
          <w:rFonts w:hint="eastAsia" w:cs="宋体"/>
          <w:sz w:val="21"/>
          <w:szCs w:val="21"/>
        </w:rPr>
      </w:pPr>
      <w:r>
        <w:rPr>
          <w:rFonts w:hint="eastAsia" w:cs="宋体"/>
          <w:sz w:val="21"/>
          <w:szCs w:val="21"/>
        </w:rPr>
        <w:t>  开标地点：广西壮族自治区南宁市青秀区星湖路22号开标楼2楼203GXJY-K203  </w:t>
      </w:r>
    </w:p>
    <w:p w14:paraId="67B29158">
      <w:pPr>
        <w:pStyle w:val="50"/>
        <w:spacing w:before="255" w:beforeAutospacing="0" w:after="255" w:afterAutospacing="0" w:line="300" w:lineRule="atLeast"/>
        <w:jc w:val="both"/>
        <w:rPr>
          <w:rFonts w:cs="宋体"/>
          <w:sz w:val="21"/>
          <w:szCs w:val="21"/>
        </w:rPr>
      </w:pPr>
      <w:r>
        <w:rPr>
          <w:rStyle w:val="58"/>
          <w:rFonts w:hint="eastAsia" w:cs="宋体"/>
          <w:sz w:val="21"/>
          <w:szCs w:val="21"/>
        </w:rPr>
        <w:t>五、公告期限</w:t>
      </w:r>
      <w:r>
        <w:rPr>
          <w:rFonts w:hint="eastAsia" w:cs="宋体"/>
          <w:sz w:val="21"/>
          <w:szCs w:val="21"/>
        </w:rPr>
        <w:t> </w:t>
      </w:r>
    </w:p>
    <w:p w14:paraId="5D9987FB">
      <w:pPr>
        <w:pStyle w:val="50"/>
        <w:spacing w:before="75" w:beforeAutospacing="0" w:after="75" w:afterAutospacing="0"/>
        <w:rPr>
          <w:rFonts w:cs="宋体"/>
          <w:sz w:val="21"/>
          <w:szCs w:val="21"/>
        </w:rPr>
      </w:pPr>
      <w:r>
        <w:rPr>
          <w:rFonts w:hint="eastAsia" w:cs="宋体"/>
          <w:sz w:val="21"/>
          <w:szCs w:val="21"/>
        </w:rPr>
        <w:t>  自本公告发布之日起5个工作日。</w:t>
      </w:r>
    </w:p>
    <w:p w14:paraId="000CA33C">
      <w:pPr>
        <w:pStyle w:val="50"/>
        <w:numPr>
          <w:ilvl w:val="0"/>
          <w:numId w:val="2"/>
        </w:numPr>
        <w:spacing w:before="255" w:beforeAutospacing="0" w:after="255" w:afterAutospacing="0" w:line="300" w:lineRule="atLeast"/>
        <w:jc w:val="both"/>
        <w:rPr>
          <w:rStyle w:val="58"/>
          <w:rFonts w:cs="宋体"/>
          <w:sz w:val="21"/>
          <w:szCs w:val="21"/>
        </w:rPr>
      </w:pPr>
      <w:r>
        <w:rPr>
          <w:rStyle w:val="58"/>
          <w:rFonts w:hint="eastAsia" w:cs="宋体"/>
          <w:sz w:val="21"/>
          <w:szCs w:val="21"/>
        </w:rPr>
        <w:t>其他补充事宜</w:t>
      </w:r>
    </w:p>
    <w:p w14:paraId="4DFC1729">
      <w:pPr>
        <w:pStyle w:val="50"/>
        <w:keepNext w:val="0"/>
        <w:keepLines w:val="0"/>
        <w:pageBreakBefore w:val="0"/>
        <w:widowControl/>
        <w:kinsoku/>
        <w:wordWrap/>
        <w:overflowPunct/>
        <w:topLinePunct w:val="0"/>
        <w:autoSpaceDE/>
        <w:autoSpaceDN/>
        <w:bidi w:val="0"/>
        <w:adjustRightInd/>
        <w:snapToGrid/>
        <w:spacing w:before="75" w:beforeAutospacing="0" w:after="75" w:afterAutospacing="0" w:line="279" w:lineRule="auto"/>
        <w:ind w:firstLine="420" w:firstLineChars="200"/>
        <w:textAlignment w:val="auto"/>
        <w:rPr>
          <w:rStyle w:val="265"/>
          <w:rFonts w:cs="宋体"/>
          <w:sz w:val="21"/>
          <w:szCs w:val="21"/>
        </w:rPr>
      </w:pPr>
      <w:r>
        <w:rPr>
          <w:rStyle w:val="265"/>
          <w:rFonts w:hint="eastAsia" w:cs="宋体"/>
          <w:sz w:val="21"/>
          <w:szCs w:val="21"/>
          <w:lang w:val="en-US" w:eastAsia="zh-CN"/>
        </w:rPr>
        <w:t>1.</w:t>
      </w:r>
      <w:r>
        <w:rPr>
          <w:rStyle w:val="265"/>
          <w:rFonts w:hint="eastAsia" w:cs="宋体"/>
          <w:sz w:val="21"/>
          <w:szCs w:val="21"/>
        </w:rPr>
        <w:t>投标保证金（人民币）：</w:t>
      </w:r>
      <w:r>
        <w:rPr>
          <w:rFonts w:cs="宋体"/>
          <w:b/>
          <w:bCs/>
          <w:sz w:val="21"/>
          <w:szCs w:val="21"/>
          <w:lang w:val="en"/>
        </w:rPr>
        <w:t>分标</w:t>
      </w:r>
      <w:r>
        <w:rPr>
          <w:rFonts w:ascii="Times New Roman" w:hAnsi="Times New Roman"/>
          <w:b/>
          <w:bCs/>
          <w:sz w:val="21"/>
          <w:szCs w:val="21"/>
          <w:lang w:val="en"/>
        </w:rPr>
        <w:t>1</w:t>
      </w:r>
      <w:r>
        <w:rPr>
          <w:rFonts w:cs="宋体"/>
          <w:b/>
          <w:bCs/>
          <w:sz w:val="21"/>
          <w:szCs w:val="21"/>
          <w:highlight w:val="none"/>
          <w:lang w:val="en"/>
        </w:rPr>
        <w:t>：</w:t>
      </w:r>
      <w:r>
        <w:rPr>
          <w:rFonts w:hint="eastAsia" w:cs="宋体"/>
          <w:b/>
          <w:bCs/>
          <w:sz w:val="21"/>
          <w:szCs w:val="21"/>
          <w:highlight w:val="none"/>
          <w:u w:val="single"/>
          <w:lang w:val="en-US" w:eastAsia="zh-CN"/>
        </w:rPr>
        <w:t>12.5</w:t>
      </w:r>
      <w:r>
        <w:rPr>
          <w:rFonts w:hint="eastAsia" w:cs="宋体"/>
          <w:b/>
          <w:bCs/>
          <w:sz w:val="21"/>
          <w:szCs w:val="21"/>
          <w:highlight w:val="none"/>
        </w:rPr>
        <w:t>万元；</w:t>
      </w:r>
      <w:r>
        <w:rPr>
          <w:rFonts w:cs="宋体"/>
          <w:b/>
          <w:bCs/>
          <w:sz w:val="21"/>
          <w:szCs w:val="21"/>
          <w:highlight w:val="none"/>
          <w:lang w:val="en"/>
        </w:rPr>
        <w:t>分标</w:t>
      </w:r>
      <w:r>
        <w:rPr>
          <w:rFonts w:hint="eastAsia" w:ascii="Times New Roman" w:hAnsi="Times New Roman"/>
          <w:b/>
          <w:bCs/>
          <w:sz w:val="21"/>
          <w:szCs w:val="21"/>
          <w:highlight w:val="none"/>
          <w:lang w:val="en"/>
        </w:rPr>
        <w:t>2</w:t>
      </w:r>
      <w:r>
        <w:rPr>
          <w:rFonts w:cs="宋体"/>
          <w:b/>
          <w:bCs/>
          <w:sz w:val="21"/>
          <w:szCs w:val="21"/>
          <w:highlight w:val="none"/>
          <w:lang w:val="en"/>
        </w:rPr>
        <w:t>：</w:t>
      </w:r>
      <w:r>
        <w:rPr>
          <w:rFonts w:hint="eastAsia" w:cs="宋体"/>
          <w:b/>
          <w:bCs/>
          <w:sz w:val="21"/>
          <w:szCs w:val="21"/>
          <w:highlight w:val="none"/>
          <w:u w:val="single"/>
          <w:lang w:val="en-US" w:eastAsia="zh-CN"/>
        </w:rPr>
        <w:t>8</w:t>
      </w:r>
      <w:r>
        <w:rPr>
          <w:rFonts w:hint="eastAsia" w:cs="宋体"/>
          <w:b/>
          <w:bCs/>
          <w:sz w:val="21"/>
          <w:szCs w:val="21"/>
          <w:highlight w:val="none"/>
        </w:rPr>
        <w:t>万元；</w:t>
      </w:r>
      <w:r>
        <w:rPr>
          <w:rFonts w:cs="宋体"/>
          <w:b/>
          <w:bCs/>
          <w:sz w:val="21"/>
          <w:szCs w:val="21"/>
          <w:highlight w:val="none"/>
          <w:lang w:val="en"/>
        </w:rPr>
        <w:t>分标</w:t>
      </w:r>
      <w:r>
        <w:rPr>
          <w:rFonts w:hint="eastAsia" w:ascii="Times New Roman" w:hAnsi="Times New Roman"/>
          <w:b/>
          <w:bCs/>
          <w:sz w:val="21"/>
          <w:szCs w:val="21"/>
          <w:highlight w:val="none"/>
          <w:lang w:val="en"/>
        </w:rPr>
        <w:t>3</w:t>
      </w:r>
      <w:r>
        <w:rPr>
          <w:rFonts w:cs="宋体"/>
          <w:b/>
          <w:bCs/>
          <w:sz w:val="21"/>
          <w:szCs w:val="21"/>
          <w:highlight w:val="none"/>
          <w:lang w:val="en"/>
        </w:rPr>
        <w:t>：</w:t>
      </w:r>
      <w:r>
        <w:rPr>
          <w:rFonts w:hint="eastAsia" w:cs="宋体"/>
          <w:b/>
          <w:bCs/>
          <w:sz w:val="21"/>
          <w:szCs w:val="21"/>
          <w:highlight w:val="none"/>
          <w:u w:val="single"/>
          <w:lang w:val="en-US" w:eastAsia="zh-CN"/>
        </w:rPr>
        <w:t>16</w:t>
      </w:r>
      <w:r>
        <w:rPr>
          <w:rFonts w:hint="eastAsia" w:cs="宋体"/>
          <w:b/>
          <w:bCs/>
          <w:sz w:val="21"/>
          <w:szCs w:val="21"/>
          <w:highlight w:val="none"/>
        </w:rPr>
        <w:t>万元；</w:t>
      </w:r>
      <w:r>
        <w:rPr>
          <w:rFonts w:cs="宋体"/>
          <w:b/>
          <w:bCs/>
          <w:sz w:val="21"/>
          <w:szCs w:val="21"/>
          <w:highlight w:val="none"/>
          <w:lang w:val="en"/>
        </w:rPr>
        <w:t>分标</w:t>
      </w:r>
      <w:r>
        <w:rPr>
          <w:rFonts w:hint="eastAsia" w:ascii="Times New Roman" w:hAnsi="Times New Roman"/>
          <w:b/>
          <w:bCs/>
          <w:sz w:val="21"/>
          <w:szCs w:val="21"/>
          <w:highlight w:val="none"/>
          <w:lang w:val="en"/>
        </w:rPr>
        <w:t>4</w:t>
      </w:r>
      <w:r>
        <w:rPr>
          <w:rFonts w:cs="宋体"/>
          <w:b/>
          <w:bCs/>
          <w:sz w:val="21"/>
          <w:szCs w:val="21"/>
          <w:highlight w:val="none"/>
          <w:lang w:val="en"/>
        </w:rPr>
        <w:t>：</w:t>
      </w:r>
      <w:r>
        <w:rPr>
          <w:rFonts w:hint="eastAsia" w:cs="宋体"/>
          <w:b/>
          <w:bCs/>
          <w:sz w:val="21"/>
          <w:szCs w:val="21"/>
          <w:highlight w:val="none"/>
          <w:u w:val="single"/>
          <w:lang w:val="en-US" w:eastAsia="zh-CN"/>
        </w:rPr>
        <w:t>16</w:t>
      </w:r>
      <w:r>
        <w:rPr>
          <w:rFonts w:hint="eastAsia" w:cs="宋体"/>
          <w:b/>
          <w:bCs/>
          <w:sz w:val="21"/>
          <w:szCs w:val="21"/>
          <w:highlight w:val="none"/>
        </w:rPr>
        <w:t>万</w:t>
      </w:r>
      <w:r>
        <w:rPr>
          <w:rFonts w:hint="eastAsia" w:cs="宋体"/>
          <w:b/>
          <w:bCs/>
          <w:sz w:val="21"/>
          <w:szCs w:val="21"/>
        </w:rPr>
        <w:t>元</w:t>
      </w:r>
      <w:r>
        <w:rPr>
          <w:rFonts w:cs="宋体"/>
          <w:bCs/>
          <w:sz w:val="21"/>
          <w:szCs w:val="21"/>
        </w:rPr>
        <w:t>。(必须足额交纳)</w:t>
      </w:r>
      <w:r>
        <w:rPr>
          <w:rFonts w:hint="eastAsia" w:ascii="Times New Roman" w:hAnsi="Times New Roman" w:cs="宋体"/>
          <w:kern w:val="2"/>
          <w:sz w:val="21"/>
          <w:szCs w:val="21"/>
        </w:rPr>
        <w:t> </w:t>
      </w:r>
      <w:r>
        <w:rPr>
          <w:rStyle w:val="265"/>
          <w:rFonts w:hint="eastAsia" w:cs="宋体"/>
          <w:sz w:val="21"/>
          <w:szCs w:val="21"/>
        </w:rPr>
        <w:t>  </w:t>
      </w:r>
      <w:r>
        <w:rPr>
          <w:rStyle w:val="265"/>
          <w:rFonts w:hint="eastAsia" w:cs="宋体"/>
          <w:sz w:val="21"/>
          <w:szCs w:val="21"/>
        </w:rPr>
        <w:br w:type="textWrapping"/>
      </w:r>
      <w:r>
        <w:rPr>
          <w:rStyle w:val="265"/>
          <w:rFonts w:hint="eastAsia" w:cs="宋体"/>
          <w:sz w:val="21"/>
          <w:szCs w:val="21"/>
        </w:rPr>
        <w:t xml:space="preserve"> </w:t>
      </w:r>
      <w:r>
        <w:rPr>
          <w:rStyle w:val="265"/>
          <w:rFonts w:hint="eastAsia" w:cs="宋体"/>
          <w:sz w:val="21"/>
          <w:szCs w:val="21"/>
          <w:lang w:val="en-US" w:eastAsia="zh-CN"/>
        </w:rPr>
        <w:t xml:space="preserve"> </w:t>
      </w:r>
      <w:r>
        <w:rPr>
          <w:rStyle w:val="265"/>
          <w:rFonts w:hint="eastAsia" w:cs="宋体"/>
          <w:sz w:val="21"/>
          <w:szCs w:val="21"/>
        </w:rPr>
        <w:t>（1）投标保证金交纳形式：支票、汇票、本票、网上银行或者金融、担保机构出具的保函等非现金形式。</w:t>
      </w:r>
      <w:r>
        <w:rPr>
          <w:rStyle w:val="265"/>
          <w:rFonts w:hint="eastAsia" w:cs="宋体"/>
          <w:sz w:val="21"/>
          <w:szCs w:val="21"/>
        </w:rPr>
        <w:br w:type="textWrapping"/>
      </w:r>
      <w:r>
        <w:rPr>
          <w:rStyle w:val="265"/>
          <w:rFonts w:hint="eastAsia" w:cs="宋体"/>
          <w:sz w:val="21"/>
          <w:szCs w:val="21"/>
        </w:rPr>
        <w:t xml:space="preserve"> </w:t>
      </w:r>
      <w:r>
        <w:rPr>
          <w:rStyle w:val="265"/>
          <w:rFonts w:hint="eastAsia" w:cs="宋体"/>
          <w:sz w:val="21"/>
          <w:szCs w:val="21"/>
          <w:lang w:val="en-US" w:eastAsia="zh-CN"/>
        </w:rPr>
        <w:t xml:space="preserve"> </w:t>
      </w:r>
      <w:r>
        <w:rPr>
          <w:rStyle w:val="265"/>
          <w:rFonts w:hint="eastAsia" w:cs="宋体"/>
          <w:sz w:val="21"/>
          <w:szCs w:val="21"/>
        </w:rPr>
        <w:t>（2）采用网上银行转账形式的，投标人应于提交投标文件截止时间前将投标保证金交至以下账户。</w:t>
      </w:r>
      <w:r>
        <w:rPr>
          <w:rStyle w:val="265"/>
          <w:rFonts w:hint="eastAsia" w:cs="宋体"/>
          <w:sz w:val="21"/>
          <w:szCs w:val="21"/>
        </w:rPr>
        <w:br w:type="textWrapping"/>
      </w:r>
      <w:r>
        <w:rPr>
          <w:rStyle w:val="265"/>
          <w:rFonts w:hint="eastAsia" w:cs="宋体"/>
          <w:sz w:val="21"/>
          <w:szCs w:val="21"/>
        </w:rPr>
        <w:t xml:space="preserve">    开户名称：</w:t>
      </w:r>
      <w:r>
        <w:rPr>
          <w:rStyle w:val="265"/>
          <w:rFonts w:cs="宋体"/>
          <w:sz w:val="21"/>
          <w:szCs w:val="21"/>
          <w:lang w:val="en"/>
        </w:rPr>
        <w:t>广西壮族自治区公共资源交易中心</w:t>
      </w:r>
      <w:r>
        <w:rPr>
          <w:rStyle w:val="265"/>
          <w:rFonts w:hint="eastAsia" w:cs="宋体"/>
          <w:sz w:val="21"/>
          <w:szCs w:val="21"/>
        </w:rPr>
        <w:t>；</w:t>
      </w:r>
      <w:r>
        <w:rPr>
          <w:rStyle w:val="265"/>
          <w:rFonts w:hint="eastAsia" w:cs="宋体"/>
          <w:sz w:val="21"/>
          <w:szCs w:val="21"/>
        </w:rPr>
        <w:br w:type="textWrapping"/>
      </w:r>
      <w:r>
        <w:rPr>
          <w:rStyle w:val="265"/>
          <w:rFonts w:hint="eastAsia" w:cs="宋体"/>
          <w:sz w:val="21"/>
          <w:szCs w:val="21"/>
        </w:rPr>
        <w:t xml:space="preserve">    开户银行：</w:t>
      </w:r>
      <w:r>
        <w:rPr>
          <w:rStyle w:val="168"/>
          <w:rFonts w:hint="eastAsia"/>
          <w:sz w:val="21"/>
          <w:szCs w:val="21"/>
        </w:rPr>
        <w:t>中国农业银行股份有限公司南宁万象支行</w:t>
      </w:r>
      <w:r>
        <w:rPr>
          <w:rStyle w:val="265"/>
          <w:rFonts w:hint="eastAsia" w:cs="宋体"/>
          <w:sz w:val="21"/>
          <w:szCs w:val="21"/>
        </w:rPr>
        <w:t>；</w:t>
      </w:r>
      <w:r>
        <w:rPr>
          <w:rStyle w:val="265"/>
          <w:rFonts w:hint="eastAsia" w:cs="宋体"/>
          <w:sz w:val="21"/>
          <w:szCs w:val="21"/>
        </w:rPr>
        <w:br w:type="textWrapping"/>
      </w:r>
      <w:r>
        <w:rPr>
          <w:rStyle w:val="265"/>
          <w:rFonts w:hint="eastAsia" w:cs="宋体"/>
          <w:sz w:val="21"/>
          <w:szCs w:val="21"/>
        </w:rPr>
        <w:t xml:space="preserve">    银行账号：</w:t>
      </w:r>
      <w:r>
        <w:rPr>
          <w:rStyle w:val="168"/>
          <w:rFonts w:hint="eastAsia"/>
          <w:sz w:val="21"/>
          <w:szCs w:val="21"/>
        </w:rPr>
        <w:t>200173010400147820000001301</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（3）采用支票、汇票、本票或者保函（电子保函除外）等形式的，投标人应于提交投标文件截止时间前递交单独密封的支票、汇票、本票或者保函原件至我中心财务处。</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（4）本中心财务处联系方式：地址：广西南宁市星湖路22号；电话：0771-8600309。</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 xml:space="preserve"> 2.本项目需要落实的政府采购政策：政府采购促进中小企业发展；政府采购支持采用本国产品的政策；强制采购节能产品；优先采购节能产品、环境标志产品；政府采购促进残疾人就业政策；政府采购支持监狱企业发展；政府采购扶持不发达地区和少数民族地区等。</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 xml:space="preserve"> 3.网上公告媒体查询：中国政府采购网（www.ccgp.gov.cn）、广西壮族自治区政府采购网（zfcg.gxzf.gov.cn）、广西壮族自治区公共资源交易中心网站（gxggzy.gxzf.gov.cn）。</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 xml:space="preserve"> 4.其他注意事项：</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1）本项目实行电子投标，供应商应按照本项目招标文件和广西政府采购云平台的要求编制、加密并提交投标文件。供应商在使用系统参与投标过程中遇到涉及平台使用的任何问题，可致电广西政府采购云平台技术支持热线咨询，联系方式：95763。</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（2）供应商应及时熟悉掌握电子标系统操作指南（见广西政府采购云平台首页右上角—服务中心—帮助文档—项目采购）：https://helpcenter.zcygov.cn/document/#/document/dashboard?siteCode=gx。</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（3）供应商应及时完成CA证书申领和绑定（见广西壮族自治区政府采购网—办事服务—下载专区—政采云CA证书办理操作指南）</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（4）供应商通过广西政府采购云平台新版客户端软件制作投标文件，广西政府采购云平台新版客户端软件请供应商自行前往下载并安装（见广西壮族自治区政府采购网—办事服务—下载专区）。</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（5）因未注册入库、未办理CA证书、CA证书故障、操作不当、CA证书逾期等原因造成无法投标或投标失败等后果由供应商自行承担。</w:t>
      </w:r>
      <w:r>
        <w:rPr>
          <w:rStyle w:val="265"/>
          <w:rFonts w:hint="eastAsia" w:cs="宋体"/>
          <w:sz w:val="21"/>
          <w:szCs w:val="21"/>
        </w:rPr>
        <w:br w:type="textWrapping"/>
      </w:r>
      <w:r>
        <w:rPr>
          <w:rStyle w:val="265"/>
          <w:rFonts w:hint="eastAsia" w:cs="宋体"/>
          <w:sz w:val="21"/>
          <w:szCs w:val="21"/>
          <w:lang w:val="en-US" w:eastAsia="zh-CN"/>
        </w:rPr>
        <w:t xml:space="preserve">  </w:t>
      </w:r>
      <w:r>
        <w:rPr>
          <w:rStyle w:val="265"/>
          <w:rFonts w:hint="eastAsia" w:cs="宋体"/>
          <w:sz w:val="21"/>
          <w:szCs w:val="21"/>
        </w:rPr>
        <w:t>（6）投标文件网上提交截止后，广西政府采购云平台（电子标系统）自动提取所有投标文件，各供应商须在开标开始后30分钟内对上传广西政府采购云平台的投标文件进行解密，所有供应商在规定的解密时限内解密完成或解密时限结束后，本中心开启投标文件；供应商超过解密时限的，系统默认自动放弃。</w:t>
      </w:r>
    </w:p>
    <w:p w14:paraId="3144C6F1">
      <w:pPr>
        <w:pStyle w:val="50"/>
        <w:keepNext w:val="0"/>
        <w:keepLines w:val="0"/>
        <w:pageBreakBefore w:val="0"/>
        <w:widowControl/>
        <w:kinsoku/>
        <w:wordWrap/>
        <w:overflowPunct/>
        <w:topLinePunct w:val="0"/>
        <w:autoSpaceDE/>
        <w:autoSpaceDN/>
        <w:bidi w:val="0"/>
        <w:adjustRightInd/>
        <w:snapToGrid/>
        <w:spacing w:before="75" w:beforeAutospacing="0" w:after="75" w:afterAutospacing="0" w:line="279" w:lineRule="auto"/>
        <w:textAlignment w:val="auto"/>
        <w:rPr>
          <w:rFonts w:cs="宋体"/>
          <w:sz w:val="21"/>
          <w:szCs w:val="21"/>
        </w:rPr>
      </w:pPr>
    </w:p>
    <w:p w14:paraId="22D757EE">
      <w:pPr>
        <w:pStyle w:val="50"/>
        <w:spacing w:before="75" w:beforeAutospacing="0" w:after="75" w:afterAutospacing="0" w:line="315" w:lineRule="atLeast"/>
        <w:rPr>
          <w:rFonts w:cs="宋体"/>
          <w:sz w:val="21"/>
          <w:szCs w:val="21"/>
        </w:rPr>
      </w:pPr>
    </w:p>
    <w:p w14:paraId="3EC8D38A">
      <w:pPr>
        <w:pStyle w:val="50"/>
        <w:spacing w:before="75" w:beforeAutospacing="0" w:after="75" w:afterAutospacing="0" w:line="315" w:lineRule="atLeast"/>
        <w:rPr>
          <w:rFonts w:cs="宋体"/>
          <w:sz w:val="21"/>
          <w:szCs w:val="21"/>
        </w:rPr>
      </w:pPr>
    </w:p>
    <w:p w14:paraId="49E81781">
      <w:pPr>
        <w:pStyle w:val="50"/>
        <w:spacing w:before="255" w:beforeAutospacing="0" w:after="255" w:afterAutospacing="0" w:line="300" w:lineRule="exact"/>
        <w:jc w:val="both"/>
        <w:rPr>
          <w:rStyle w:val="58"/>
          <w:rFonts w:cs="宋体"/>
          <w:sz w:val="21"/>
          <w:szCs w:val="21"/>
        </w:rPr>
      </w:pPr>
      <w:r>
        <w:rPr>
          <w:rStyle w:val="58"/>
          <w:rFonts w:hint="eastAsia" w:cs="宋体"/>
          <w:sz w:val="21"/>
          <w:szCs w:val="21"/>
        </w:rPr>
        <w:t>七、对本次采购提出询问，请按以下方式联系</w:t>
      </w:r>
    </w:p>
    <w:p w14:paraId="0B261D97">
      <w:pPr>
        <w:pStyle w:val="50"/>
        <w:spacing w:before="255" w:beforeAutospacing="0" w:after="255" w:afterAutospacing="0" w:line="300" w:lineRule="exact"/>
        <w:jc w:val="both"/>
        <w:rPr>
          <w:rFonts w:cs="宋体"/>
          <w:b/>
          <w:bCs/>
          <w:sz w:val="21"/>
          <w:szCs w:val="21"/>
        </w:rPr>
      </w:pPr>
      <w:r>
        <w:rPr>
          <w:rFonts w:hint="eastAsia" w:cs="宋体"/>
          <w:szCs w:val="21"/>
        </w:rPr>
        <w:br w:type="textWrapping"/>
      </w:r>
      <w:r>
        <w:rPr>
          <w:rFonts w:hint="eastAsia" w:cs="宋体"/>
          <w:sz w:val="21"/>
          <w:szCs w:val="21"/>
        </w:rPr>
        <w:t>  集中采购实施机构信息 </w:t>
      </w:r>
    </w:p>
    <w:p w14:paraId="110AD697">
      <w:pPr>
        <w:pStyle w:val="50"/>
        <w:keepNext w:val="0"/>
        <w:keepLines w:val="0"/>
        <w:pageBreakBefore w:val="0"/>
        <w:widowControl/>
        <w:kinsoku/>
        <w:wordWrap/>
        <w:overflowPunct/>
        <w:topLinePunct w:val="0"/>
        <w:autoSpaceDE/>
        <w:autoSpaceDN/>
        <w:bidi w:val="0"/>
        <w:adjustRightInd/>
        <w:snapToGrid/>
        <w:spacing w:before="75" w:beforeAutospacing="0" w:after="75" w:afterAutospacing="0" w:line="400" w:lineRule="exact"/>
        <w:textAlignment w:val="auto"/>
        <w:rPr>
          <w:rFonts w:cs="宋体"/>
          <w:sz w:val="21"/>
          <w:szCs w:val="21"/>
        </w:rPr>
      </w:pPr>
      <w:r>
        <w:rPr>
          <w:rFonts w:hint="eastAsia" w:cs="宋体"/>
          <w:sz w:val="21"/>
          <w:szCs w:val="21"/>
        </w:rPr>
        <w:t>  名    称：</w:t>
      </w:r>
      <w:r>
        <w:rPr>
          <w:rStyle w:val="233"/>
          <w:rFonts w:cs="宋体"/>
          <w:sz w:val="21"/>
          <w:szCs w:val="21"/>
          <w:lang w:val="en"/>
        </w:rPr>
        <w:t>广西壮族自治区公共资源交易中心</w:t>
      </w:r>
      <w:r>
        <w:rPr>
          <w:rFonts w:hint="eastAsia" w:cs="宋体"/>
          <w:sz w:val="21"/>
          <w:szCs w:val="21"/>
        </w:rPr>
        <w:t>           </w:t>
      </w:r>
    </w:p>
    <w:p w14:paraId="2F5FC39B">
      <w:pPr>
        <w:pStyle w:val="50"/>
        <w:keepNext w:val="0"/>
        <w:keepLines w:val="0"/>
        <w:pageBreakBefore w:val="0"/>
        <w:widowControl/>
        <w:kinsoku/>
        <w:wordWrap/>
        <w:overflowPunct/>
        <w:topLinePunct w:val="0"/>
        <w:autoSpaceDE/>
        <w:autoSpaceDN/>
        <w:bidi w:val="0"/>
        <w:adjustRightInd/>
        <w:snapToGrid/>
        <w:spacing w:before="75" w:beforeAutospacing="0" w:after="75" w:afterAutospacing="0" w:line="400" w:lineRule="exact"/>
        <w:textAlignment w:val="auto"/>
        <w:rPr>
          <w:rFonts w:cs="宋体"/>
          <w:sz w:val="21"/>
          <w:szCs w:val="21"/>
        </w:rPr>
      </w:pPr>
      <w:r>
        <w:rPr>
          <w:rFonts w:hint="eastAsia" w:cs="宋体"/>
          <w:sz w:val="21"/>
          <w:szCs w:val="21"/>
        </w:rPr>
        <w:t>  地    址：</w:t>
      </w:r>
      <w:r>
        <w:rPr>
          <w:rStyle w:val="274"/>
          <w:rFonts w:hint="eastAsia" w:cs="宋体"/>
          <w:sz w:val="21"/>
          <w:szCs w:val="21"/>
        </w:rPr>
        <w:t>广西南宁市星湖路22号</w:t>
      </w:r>
      <w:r>
        <w:rPr>
          <w:rFonts w:hint="eastAsia" w:cs="宋体"/>
          <w:sz w:val="21"/>
          <w:szCs w:val="21"/>
        </w:rPr>
        <w:t>              </w:t>
      </w:r>
    </w:p>
    <w:p w14:paraId="7D2CEDD6">
      <w:pPr>
        <w:pStyle w:val="50"/>
        <w:keepNext w:val="0"/>
        <w:keepLines w:val="0"/>
        <w:pageBreakBefore w:val="0"/>
        <w:widowControl/>
        <w:kinsoku/>
        <w:wordWrap/>
        <w:overflowPunct/>
        <w:topLinePunct w:val="0"/>
        <w:autoSpaceDE/>
        <w:autoSpaceDN/>
        <w:bidi w:val="0"/>
        <w:adjustRightInd/>
        <w:snapToGrid/>
        <w:spacing w:before="75" w:beforeAutospacing="0" w:after="75" w:afterAutospacing="0" w:line="400" w:lineRule="exact"/>
        <w:textAlignment w:val="auto"/>
        <w:rPr>
          <w:rFonts w:hint="eastAsia" w:cs="宋体"/>
          <w:sz w:val="21"/>
          <w:szCs w:val="21"/>
        </w:rPr>
      </w:pPr>
      <w:r>
        <w:rPr>
          <w:rFonts w:hint="eastAsia" w:cs="宋体"/>
          <w:sz w:val="21"/>
          <w:szCs w:val="21"/>
        </w:rPr>
        <w:t>  项目联系人：</w:t>
      </w:r>
      <w:r>
        <w:rPr>
          <w:rFonts w:hint="eastAsia" w:cs="宋体"/>
          <w:sz w:val="21"/>
          <w:szCs w:val="21"/>
          <w:lang w:eastAsia="zh-CN"/>
        </w:rPr>
        <w:t>黄佳斯</w:t>
      </w:r>
      <w:r>
        <w:rPr>
          <w:rFonts w:hint="eastAsia" w:cs="宋体"/>
          <w:sz w:val="21"/>
          <w:szCs w:val="21"/>
        </w:rPr>
        <w:t>、</w:t>
      </w:r>
      <w:r>
        <w:rPr>
          <w:rFonts w:hint="eastAsia" w:cs="宋体"/>
          <w:sz w:val="21"/>
          <w:szCs w:val="21"/>
          <w:lang w:eastAsia="zh-CN"/>
        </w:rPr>
        <w:t>何家俊</w:t>
      </w:r>
      <w:r>
        <w:rPr>
          <w:rFonts w:hint="eastAsia" w:cs="宋体"/>
          <w:sz w:val="21"/>
          <w:szCs w:val="21"/>
        </w:rPr>
        <w:t>              </w:t>
      </w:r>
    </w:p>
    <w:p w14:paraId="6E667DC5">
      <w:pPr>
        <w:pStyle w:val="50"/>
        <w:keepNext w:val="0"/>
        <w:keepLines w:val="0"/>
        <w:pageBreakBefore w:val="0"/>
        <w:widowControl/>
        <w:kinsoku/>
        <w:wordWrap/>
        <w:overflowPunct/>
        <w:topLinePunct w:val="0"/>
        <w:autoSpaceDE/>
        <w:autoSpaceDN/>
        <w:bidi w:val="0"/>
        <w:adjustRightInd/>
        <w:snapToGrid/>
        <w:spacing w:before="75" w:beforeAutospacing="0" w:after="75" w:afterAutospacing="0" w:line="400" w:lineRule="exact"/>
        <w:textAlignment w:val="auto"/>
        <w:rPr>
          <w:rFonts w:hint="default" w:cs="宋体"/>
          <w:sz w:val="21"/>
          <w:szCs w:val="21"/>
          <w:lang w:val="en-US" w:eastAsia="zh-CN"/>
        </w:rPr>
      </w:pPr>
      <w:r>
        <w:rPr>
          <w:rFonts w:hint="eastAsia" w:cs="宋体"/>
          <w:sz w:val="21"/>
          <w:szCs w:val="21"/>
        </w:rPr>
        <w:t>  项目联系方式：</w:t>
      </w:r>
      <w:r>
        <w:rPr>
          <w:rFonts w:hint="eastAsia" w:cs="宋体"/>
          <w:sz w:val="21"/>
          <w:szCs w:val="21"/>
          <w:lang w:val="en"/>
        </w:rPr>
        <w:t>0771-</w:t>
      </w:r>
      <w:r>
        <w:rPr>
          <w:rFonts w:hint="eastAsia" w:cs="宋体"/>
          <w:sz w:val="21"/>
          <w:szCs w:val="21"/>
          <w:lang w:val="en-US" w:eastAsia="zh-CN"/>
        </w:rPr>
        <w:t>8600367</w:t>
      </w:r>
      <w:r>
        <w:rPr>
          <w:rFonts w:hint="eastAsia" w:cs="宋体"/>
          <w:sz w:val="21"/>
          <w:szCs w:val="21"/>
          <w:lang w:val="en"/>
        </w:rPr>
        <w:t>、86003</w:t>
      </w:r>
      <w:r>
        <w:rPr>
          <w:rFonts w:hint="eastAsia" w:cs="宋体"/>
          <w:sz w:val="21"/>
          <w:szCs w:val="21"/>
          <w:lang w:val="en-US" w:eastAsia="zh-CN"/>
        </w:rPr>
        <w:t>68</w:t>
      </w:r>
    </w:p>
    <w:p w14:paraId="57565A05">
      <w:pPr>
        <w:pStyle w:val="50"/>
        <w:spacing w:before="75" w:beforeAutospacing="0" w:after="75" w:afterAutospacing="0" w:line="315" w:lineRule="atLeast"/>
        <w:rPr>
          <w:rFonts w:cs="宋体"/>
          <w:sz w:val="21"/>
          <w:szCs w:val="21"/>
        </w:rPr>
      </w:pPr>
    </w:p>
    <w:p w14:paraId="6634988A">
      <w:pPr>
        <w:adjustRightInd w:val="0"/>
        <w:snapToGrid w:val="0"/>
        <w:spacing w:line="380" w:lineRule="exact"/>
        <w:ind w:firstLine="420" w:firstLineChars="200"/>
        <w:rPr>
          <w:rFonts w:ascii="宋体" w:hAnsi="宋体" w:cs="宋体"/>
          <w:szCs w:val="21"/>
        </w:rPr>
      </w:pPr>
    </w:p>
    <w:bookmarkEnd w:id="5"/>
    <w:bookmarkEnd w:id="6"/>
    <w:p w14:paraId="175E9293">
      <w:pPr>
        <w:adjustRightInd w:val="0"/>
        <w:snapToGrid w:val="0"/>
        <w:spacing w:line="380" w:lineRule="exact"/>
        <w:ind w:left="238"/>
        <w:jc w:val="right"/>
        <w:rPr>
          <w:rFonts w:ascii="宋体" w:hAnsi="宋体" w:cs="宋体"/>
          <w:szCs w:val="21"/>
          <w:lang w:val="en"/>
        </w:rPr>
      </w:pPr>
      <w:r>
        <w:rPr>
          <w:rFonts w:ascii="宋体" w:hAnsi="宋体" w:cs="宋体"/>
          <w:szCs w:val="21"/>
          <w:lang w:val="en"/>
        </w:rPr>
        <w:t>广西壮族自治区公共资源交易中心</w:t>
      </w:r>
    </w:p>
    <w:p w14:paraId="12910618">
      <w:pPr>
        <w:widowControl/>
        <w:adjustRightInd w:val="0"/>
        <w:snapToGrid w:val="0"/>
        <w:spacing w:line="380" w:lineRule="exact"/>
        <w:ind w:right="384" w:rightChars="183"/>
        <w:jc w:val="right"/>
        <w:rPr>
          <w:rFonts w:ascii="宋体" w:hAnsi="宋体" w:cs="宋体"/>
          <w:kern w:val="0"/>
          <w:szCs w:val="21"/>
          <w:lang w:val="en"/>
        </w:rPr>
      </w:pPr>
      <w:r>
        <w:rPr>
          <w:rStyle w:val="184"/>
          <w:rFonts w:hint="eastAsia" w:ascii="宋体" w:hAnsi="宋体" w:cs="宋体"/>
          <w:szCs w:val="21"/>
        </w:rPr>
        <w:t xml:space="preserve">2026年 </w:t>
      </w:r>
      <w:r>
        <w:rPr>
          <w:rStyle w:val="184"/>
          <w:rFonts w:ascii="宋体" w:hAnsi="宋体" w:cs="宋体"/>
          <w:szCs w:val="21"/>
          <w:lang w:val="en"/>
        </w:rPr>
        <w:t>月</w:t>
      </w:r>
      <w:r>
        <w:rPr>
          <w:rStyle w:val="184"/>
          <w:rFonts w:hint="eastAsia" w:ascii="宋体" w:hAnsi="宋体" w:cs="宋体"/>
          <w:szCs w:val="21"/>
        </w:rPr>
        <w:t xml:space="preserve"> 日</w:t>
      </w:r>
    </w:p>
    <w:p w14:paraId="3E4DE498">
      <w:pPr>
        <w:pageBreakBefore/>
        <w:snapToGrid w:val="0"/>
        <w:spacing w:before="156" w:beforeLines="50" w:after="156" w:afterLines="50"/>
        <w:ind w:left="238"/>
        <w:jc w:val="center"/>
        <w:rPr>
          <w:rFonts w:ascii="仿宋_GB2312" w:hAnsi="宋体" w:eastAsia="仿宋_GB2312"/>
          <w:b/>
          <w:sz w:val="44"/>
          <w:szCs w:val="44"/>
        </w:rPr>
      </w:pPr>
    </w:p>
    <w:p w14:paraId="4BE9D0F3">
      <w:pPr>
        <w:snapToGrid w:val="0"/>
        <w:spacing w:before="156" w:beforeLines="50" w:after="156" w:afterLines="50"/>
        <w:ind w:left="238"/>
        <w:jc w:val="center"/>
        <w:rPr>
          <w:rFonts w:ascii="仿宋_GB2312" w:hAnsi="宋体" w:eastAsia="仿宋_GB2312"/>
          <w:b/>
          <w:sz w:val="44"/>
          <w:szCs w:val="44"/>
        </w:rPr>
      </w:pPr>
    </w:p>
    <w:p w14:paraId="482FDA18">
      <w:pPr>
        <w:snapToGrid w:val="0"/>
        <w:spacing w:before="156" w:beforeLines="50" w:after="156" w:afterLines="50"/>
        <w:ind w:left="238"/>
        <w:jc w:val="center"/>
        <w:rPr>
          <w:rFonts w:ascii="仿宋_GB2312" w:hAnsi="宋体" w:eastAsia="仿宋_GB2312"/>
          <w:b/>
          <w:sz w:val="44"/>
          <w:szCs w:val="44"/>
        </w:rPr>
      </w:pPr>
    </w:p>
    <w:p w14:paraId="7BD248C2">
      <w:pPr>
        <w:snapToGrid w:val="0"/>
        <w:spacing w:before="156" w:beforeLines="50" w:after="156" w:afterLines="50"/>
        <w:ind w:left="238"/>
        <w:jc w:val="center"/>
        <w:rPr>
          <w:rFonts w:ascii="仿宋_GB2312" w:hAnsi="宋体" w:eastAsia="仿宋_GB2312"/>
          <w:b/>
          <w:sz w:val="44"/>
          <w:szCs w:val="44"/>
        </w:rPr>
      </w:pPr>
    </w:p>
    <w:p w14:paraId="077969EF">
      <w:pPr>
        <w:snapToGrid w:val="0"/>
        <w:spacing w:before="156" w:beforeLines="50" w:after="156" w:afterLines="50"/>
        <w:ind w:left="238"/>
        <w:jc w:val="center"/>
        <w:rPr>
          <w:rFonts w:ascii="仿宋_GB2312" w:hAnsi="宋体" w:eastAsia="仿宋_GB2312"/>
          <w:b/>
          <w:sz w:val="44"/>
          <w:szCs w:val="44"/>
        </w:rPr>
      </w:pPr>
    </w:p>
    <w:p w14:paraId="244BB636">
      <w:pPr>
        <w:snapToGrid w:val="0"/>
        <w:spacing w:before="156" w:beforeLines="50" w:after="156" w:afterLines="50"/>
        <w:ind w:left="238"/>
        <w:jc w:val="center"/>
        <w:rPr>
          <w:rFonts w:ascii="仿宋_GB2312" w:hAnsi="宋体" w:eastAsia="仿宋_GB2312"/>
          <w:b/>
          <w:sz w:val="44"/>
          <w:szCs w:val="44"/>
        </w:rPr>
      </w:pPr>
    </w:p>
    <w:p w14:paraId="3C6D26A8">
      <w:pPr>
        <w:snapToGrid w:val="0"/>
        <w:spacing w:before="156" w:beforeLines="50" w:after="156" w:afterLines="50"/>
        <w:ind w:left="238"/>
        <w:jc w:val="center"/>
        <w:rPr>
          <w:rFonts w:ascii="仿宋_GB2312" w:hAnsi="宋体" w:eastAsia="仿宋_GB2312"/>
          <w:b/>
          <w:sz w:val="44"/>
          <w:szCs w:val="44"/>
        </w:rPr>
      </w:pPr>
    </w:p>
    <w:p w14:paraId="5958B89D">
      <w:pPr>
        <w:pStyle w:val="3"/>
        <w:jc w:val="center"/>
      </w:pPr>
      <w:bookmarkStart w:id="7" w:name="_Toc2015667557"/>
      <w:r>
        <w:rPr>
          <w:rFonts w:hint="eastAsia"/>
        </w:rPr>
        <w:t>第二章  招标项目采购需求</w:t>
      </w:r>
      <w:bookmarkEnd w:id="7"/>
    </w:p>
    <w:p w14:paraId="7261B167">
      <w:pPr>
        <w:snapToGrid w:val="0"/>
        <w:spacing w:before="156" w:beforeLines="50" w:after="156" w:afterLines="50"/>
        <w:ind w:left="238"/>
        <w:jc w:val="center"/>
        <w:rPr>
          <w:rFonts w:ascii="黑体" w:hAnsi="宋体" w:eastAsia="黑体"/>
          <w:sz w:val="32"/>
          <w:szCs w:val="32"/>
        </w:rPr>
      </w:pPr>
    </w:p>
    <w:p w14:paraId="649172BF">
      <w:pPr>
        <w:snapToGrid w:val="0"/>
        <w:spacing w:before="156" w:beforeLines="50" w:after="156" w:afterLines="50"/>
        <w:ind w:left="238"/>
        <w:jc w:val="center"/>
        <w:rPr>
          <w:rFonts w:ascii="黑体" w:hAnsi="宋体" w:eastAsia="黑体"/>
          <w:sz w:val="32"/>
          <w:szCs w:val="32"/>
        </w:rPr>
      </w:pPr>
    </w:p>
    <w:p w14:paraId="37452847">
      <w:pPr>
        <w:snapToGrid w:val="0"/>
        <w:spacing w:before="156" w:beforeLines="50" w:after="156" w:afterLines="50"/>
        <w:ind w:left="238"/>
        <w:jc w:val="center"/>
        <w:rPr>
          <w:rFonts w:ascii="黑体" w:hAnsi="宋体" w:eastAsia="黑体"/>
          <w:sz w:val="32"/>
          <w:szCs w:val="32"/>
        </w:rPr>
      </w:pPr>
    </w:p>
    <w:p w14:paraId="38B21C10">
      <w:pPr>
        <w:snapToGrid w:val="0"/>
        <w:spacing w:before="156" w:beforeLines="50" w:after="156" w:afterLines="50"/>
        <w:ind w:left="238"/>
        <w:jc w:val="center"/>
        <w:rPr>
          <w:rFonts w:ascii="黑体" w:hAnsi="宋体" w:eastAsia="黑体"/>
          <w:sz w:val="32"/>
          <w:szCs w:val="32"/>
        </w:rPr>
      </w:pPr>
    </w:p>
    <w:p w14:paraId="3C72C321">
      <w:pPr>
        <w:snapToGrid w:val="0"/>
        <w:spacing w:before="156" w:beforeLines="50" w:after="156" w:afterLines="50"/>
        <w:ind w:left="238"/>
        <w:jc w:val="center"/>
        <w:rPr>
          <w:rFonts w:ascii="黑体" w:hAnsi="宋体" w:eastAsia="黑体"/>
          <w:sz w:val="32"/>
          <w:szCs w:val="32"/>
        </w:rPr>
      </w:pPr>
    </w:p>
    <w:p w14:paraId="37198C75">
      <w:pPr>
        <w:snapToGrid w:val="0"/>
        <w:spacing w:before="156" w:beforeLines="50" w:after="156" w:afterLines="50"/>
        <w:ind w:left="238"/>
        <w:jc w:val="center"/>
        <w:rPr>
          <w:rFonts w:ascii="黑体" w:hAnsi="宋体" w:eastAsia="黑体"/>
          <w:sz w:val="32"/>
          <w:szCs w:val="32"/>
        </w:rPr>
      </w:pPr>
    </w:p>
    <w:p w14:paraId="12B0B4C2">
      <w:pPr>
        <w:snapToGrid w:val="0"/>
        <w:spacing w:before="156" w:beforeLines="50" w:after="156" w:afterLines="50"/>
        <w:ind w:left="238"/>
        <w:jc w:val="center"/>
        <w:rPr>
          <w:rFonts w:ascii="黑体" w:hAnsi="宋体" w:eastAsia="黑体"/>
          <w:sz w:val="32"/>
          <w:szCs w:val="32"/>
        </w:rPr>
      </w:pPr>
    </w:p>
    <w:p w14:paraId="5BC894A2">
      <w:pPr>
        <w:snapToGrid w:val="0"/>
        <w:spacing w:before="156" w:after="156" w:line="320" w:lineRule="exact"/>
        <w:ind w:left="238"/>
        <w:jc w:val="center"/>
        <w:rPr>
          <w:rStyle w:val="191"/>
          <w:rFonts w:ascii="宋体" w:hAnsi="宋体"/>
          <w:b/>
          <w:color w:val="auto"/>
          <w:sz w:val="28"/>
          <w:szCs w:val="28"/>
          <w:u w:val="none"/>
        </w:rPr>
      </w:pPr>
      <w:r>
        <w:rPr>
          <w:rFonts w:ascii="宋体" w:hAnsi="宋体"/>
          <w:b/>
          <w:bCs/>
          <w:sz w:val="32"/>
          <w:szCs w:val="32"/>
        </w:rPr>
        <w:br w:type="page"/>
      </w:r>
      <w:bookmarkStart w:id="8" w:name="_Toc1999517464"/>
      <w:r>
        <w:rPr>
          <w:rStyle w:val="191"/>
          <w:rFonts w:hint="eastAsia" w:ascii="宋体" w:hAnsi="宋体"/>
          <w:b/>
          <w:bCs/>
          <w:color w:val="auto"/>
          <w:sz w:val="28"/>
          <w:szCs w:val="28"/>
          <w:u w:val="none"/>
        </w:rPr>
        <w:t>招</w:t>
      </w:r>
      <w:r>
        <w:rPr>
          <w:rStyle w:val="191"/>
          <w:rFonts w:hint="eastAsia" w:ascii="宋体" w:hAnsi="宋体"/>
          <w:b/>
          <w:color w:val="auto"/>
          <w:sz w:val="28"/>
          <w:szCs w:val="28"/>
          <w:u w:val="none"/>
        </w:rPr>
        <w:t>标项目采购需求</w:t>
      </w:r>
    </w:p>
    <w:p w14:paraId="3AD5F85E">
      <w:pPr>
        <w:spacing w:line="360" w:lineRule="exact"/>
        <w:rPr>
          <w:rStyle w:val="191"/>
          <w:rFonts w:ascii="宋体" w:hAnsi="宋体"/>
          <w:b/>
          <w:color w:val="auto"/>
          <w:szCs w:val="21"/>
          <w:u w:val="none"/>
        </w:rPr>
      </w:pPr>
      <w:r>
        <w:rPr>
          <w:rStyle w:val="191"/>
          <w:rFonts w:hint="eastAsia" w:ascii="宋体" w:hAnsi="宋体"/>
          <w:b/>
          <w:color w:val="auto"/>
          <w:szCs w:val="21"/>
          <w:u w:val="none"/>
        </w:rPr>
        <w:t>说明：</w:t>
      </w:r>
    </w:p>
    <w:p w14:paraId="3B133264">
      <w:pPr>
        <w:spacing w:line="360" w:lineRule="exact"/>
        <w:ind w:firstLine="420" w:firstLineChars="200"/>
        <w:rPr>
          <w:rStyle w:val="191"/>
          <w:rFonts w:ascii="宋体" w:hAnsi="宋体"/>
          <w:b/>
          <w:bCs/>
          <w:color w:val="auto"/>
          <w:szCs w:val="21"/>
          <w:u w:val="none"/>
        </w:rPr>
      </w:pPr>
      <w:r>
        <w:rPr>
          <w:rStyle w:val="191"/>
          <w:rFonts w:hint="eastAsia" w:ascii="宋体" w:hAnsi="宋体"/>
          <w:b/>
          <w:bCs/>
          <w:color w:val="auto"/>
          <w:szCs w:val="21"/>
          <w:u w:val="none"/>
        </w:rPr>
        <w:t>1.凡在“技术参数及性能（配置）要求”中表述为“标配”或“标准配置”的设备，投标人应在投标报价表中详细列明其标配参数，否则该投标无效。</w:t>
      </w:r>
    </w:p>
    <w:p w14:paraId="3583AE50">
      <w:pPr>
        <w:spacing w:line="360" w:lineRule="exact"/>
        <w:ind w:firstLine="420" w:firstLineChars="200"/>
        <w:rPr>
          <w:rStyle w:val="191"/>
          <w:rFonts w:ascii="宋体" w:hAnsi="宋体"/>
          <w:b/>
          <w:bCs/>
          <w:color w:val="auto"/>
          <w:szCs w:val="21"/>
          <w:u w:val="none"/>
        </w:rPr>
      </w:pPr>
      <w:r>
        <w:rPr>
          <w:rStyle w:val="191"/>
          <w:rFonts w:hint="eastAsia" w:ascii="宋体" w:hAnsi="宋体"/>
          <w:b/>
          <w:bCs/>
          <w:color w:val="auto"/>
          <w:szCs w:val="21"/>
          <w:u w:val="none"/>
        </w:rPr>
        <w:t>2.评标时，若发现招标文件技术需求（含附件）和售后服务及其他要求中含有某一品牌特有的参数或其他限制性要求的，应停止评审并向采购人报告，修改招标文件后重新组织采购。</w:t>
      </w:r>
    </w:p>
    <w:p w14:paraId="4331487C">
      <w:pPr>
        <w:spacing w:line="360" w:lineRule="exact"/>
        <w:ind w:firstLine="420" w:firstLineChars="200"/>
        <w:rPr>
          <w:rStyle w:val="191"/>
          <w:rFonts w:ascii="宋体" w:hAnsi="宋体"/>
          <w:b/>
          <w:bCs/>
          <w:color w:val="auto"/>
          <w:szCs w:val="21"/>
          <w:u w:val="none"/>
        </w:rPr>
      </w:pPr>
      <w:r>
        <w:rPr>
          <w:rStyle w:val="191"/>
          <w:rFonts w:hint="eastAsia" w:ascii="宋体" w:hAnsi="宋体"/>
          <w:b/>
          <w:bCs/>
          <w:color w:val="auto"/>
          <w:szCs w:val="21"/>
          <w:u w:val="none"/>
        </w:rPr>
        <w:t>3.标记“▲”项为实质性响应参数，必须满足或优于招标文件要求，否则投标无效；标记“★”为重要参数指标，在评分办法中作为重要评审因素；未标注“▲”、“★”的技术参数为一般技术参数指标，在评分办法中作为一般评审因素。</w:t>
      </w:r>
    </w:p>
    <w:p w14:paraId="40FD143D">
      <w:pPr>
        <w:spacing w:line="360" w:lineRule="exact"/>
        <w:ind w:firstLine="420" w:firstLineChars="200"/>
        <w:rPr>
          <w:rStyle w:val="191"/>
          <w:rFonts w:ascii="宋体" w:hAnsi="宋体"/>
          <w:b/>
          <w:bCs/>
          <w:color w:val="auto"/>
          <w:szCs w:val="21"/>
        </w:rPr>
      </w:pPr>
      <w:r>
        <w:rPr>
          <w:rStyle w:val="191"/>
          <w:rFonts w:hint="eastAsia" w:ascii="宋体" w:hAnsi="宋体"/>
          <w:b/>
          <w:bCs/>
          <w:color w:val="auto"/>
          <w:szCs w:val="21"/>
          <w:u w:val="none"/>
        </w:rPr>
        <w:t>4.本项目标的所属行业均为：工业；划分依据：《关于印发中小企业划型标准规定的通知》（工信部联企业[2011]300号）</w:t>
      </w:r>
    </w:p>
    <w:p w14:paraId="696E79D8">
      <w:pPr>
        <w:spacing w:line="360" w:lineRule="exact"/>
        <w:ind w:firstLine="420"/>
        <w:rPr>
          <w:rStyle w:val="191"/>
          <w:rFonts w:ascii="宋体" w:hAnsi="宋体"/>
          <w:b/>
          <w:bCs/>
          <w:color w:val="auto"/>
          <w:szCs w:val="21"/>
          <w:u w:val="none"/>
        </w:rPr>
      </w:pPr>
      <w:r>
        <w:rPr>
          <w:rStyle w:val="191"/>
          <w:rFonts w:hint="eastAsia" w:ascii="宋体" w:hAnsi="宋体"/>
          <w:b/>
          <w:bCs/>
          <w:color w:val="auto"/>
          <w:szCs w:val="21"/>
          <w:u w:val="none"/>
        </w:rPr>
        <w:t>5.招标文件所提技术参数均指实际应用于临床诊断或治疗的技术参数，投标人应如实响应，否则该投标无效。</w:t>
      </w:r>
    </w:p>
    <w:p w14:paraId="6D41917E">
      <w:pPr>
        <w:pStyle w:val="2"/>
      </w:pPr>
    </w:p>
    <w:p w14:paraId="66E0EBB8">
      <w:pPr>
        <w:spacing w:line="400" w:lineRule="exact"/>
        <w:ind w:firstLine="420" w:firstLineChars="200"/>
        <w:rPr>
          <w:rFonts w:hint="eastAsia" w:ascii="宋体" w:hAnsi="宋体" w:eastAsia="宋体" w:cs="宋体"/>
          <w:b/>
          <w:bCs/>
          <w:szCs w:val="21"/>
          <w:lang w:eastAsia="zh-CN"/>
        </w:rPr>
      </w:pPr>
      <w:r>
        <w:rPr>
          <w:rStyle w:val="191"/>
          <w:rFonts w:hint="eastAsia" w:ascii="宋体" w:hAnsi="宋体"/>
          <w:b/>
          <w:bCs/>
          <w:color w:val="auto"/>
          <w:szCs w:val="21"/>
          <w:u w:val="none"/>
        </w:rPr>
        <w:t>分标1：</w:t>
      </w:r>
      <w:r>
        <w:rPr>
          <w:rFonts w:hint="eastAsia" w:ascii="宋体" w:hAnsi="宋体" w:cs="宋体"/>
          <w:b/>
          <w:bCs/>
          <w:szCs w:val="21"/>
        </w:rPr>
        <w:t xml:space="preserve"> 医用血管造影X射线机</w:t>
      </w:r>
      <w:r>
        <w:rPr>
          <w:rFonts w:hint="eastAsia" w:ascii="宋体" w:hAnsi="宋体" w:cs="宋体"/>
          <w:b/>
          <w:bCs/>
          <w:szCs w:val="21"/>
          <w:lang w:eastAsia="zh-CN"/>
        </w:rPr>
        <w:t>（分标1）</w:t>
      </w:r>
    </w:p>
    <w:p w14:paraId="0E7AFC53">
      <w:pPr>
        <w:spacing w:line="400" w:lineRule="exact"/>
        <w:ind w:firstLine="420" w:firstLineChars="200"/>
      </w:pPr>
      <w:r>
        <w:rPr>
          <w:rFonts w:hint="eastAsia"/>
        </w:rPr>
        <w:t>采购预算：1250万元</w:t>
      </w:r>
    </w:p>
    <w:p w14:paraId="6F531957">
      <w:pPr>
        <w:spacing w:line="400" w:lineRule="exact"/>
        <w:ind w:firstLine="420" w:firstLineChars="200"/>
        <w:rPr>
          <w:rFonts w:hint="eastAsia" w:eastAsia="宋体"/>
          <w:lang w:val="en-US" w:eastAsia="zh-CN"/>
        </w:rPr>
      </w:pPr>
      <w:r>
        <w:rPr>
          <w:rFonts w:hint="eastAsia"/>
        </w:rPr>
        <w:t>最高限价：</w:t>
      </w:r>
      <w:r>
        <w:rPr>
          <w:rFonts w:hint="eastAsia"/>
          <w:highlight w:val="none"/>
        </w:rPr>
        <w:t>1250万元</w:t>
      </w:r>
      <w:r>
        <w:rPr>
          <w:rFonts w:hint="eastAsia"/>
          <w:highlight w:val="none"/>
          <w:lang w:val="en-US" w:eastAsia="zh-CN"/>
        </w:rPr>
        <w:t xml:space="preserve"> （1250万元/套）</w:t>
      </w:r>
    </w:p>
    <w:p w14:paraId="4D1E47A1">
      <w:pPr>
        <w:ind w:firstLine="420"/>
        <w:rPr>
          <w:rFonts w:ascii="宋体" w:hAnsi="宋体" w:cs="宋体"/>
          <w:szCs w:val="21"/>
        </w:rPr>
      </w:pPr>
      <w:r>
        <w:rPr>
          <w:rFonts w:hint="eastAsia" w:ascii="宋体" w:hAnsi="宋体" w:cs="宋体"/>
          <w:szCs w:val="21"/>
        </w:rPr>
        <w:t>一、</w:t>
      </w:r>
      <w:r>
        <w:rPr>
          <w:rStyle w:val="191"/>
          <w:rFonts w:hint="eastAsia" w:ascii="宋体" w:hAnsi="宋体"/>
          <w:color w:val="auto"/>
          <w:szCs w:val="21"/>
          <w:u w:val="none"/>
        </w:rPr>
        <w:t>技术参数及性能（配置）要求</w:t>
      </w:r>
    </w:p>
    <w:tbl>
      <w:tblPr>
        <w:tblStyle w:val="55"/>
        <w:tblpPr w:leftFromText="180" w:rightFromText="180" w:vertAnchor="text" w:horzAnchor="page" w:tblpXSpec="center" w:tblpY="224"/>
        <w:tblOverlap w:val="never"/>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5"/>
        <w:gridCol w:w="1080"/>
        <w:gridCol w:w="935"/>
        <w:gridCol w:w="939"/>
        <w:gridCol w:w="6480"/>
      </w:tblGrid>
      <w:tr w14:paraId="386A8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325" w:type="pct"/>
            <w:vAlign w:val="center"/>
          </w:tcPr>
          <w:p w14:paraId="17483408">
            <w:pPr>
              <w:tabs>
                <w:tab w:val="left" w:pos="180"/>
                <w:tab w:val="left" w:pos="1620"/>
              </w:tabs>
              <w:jc w:val="center"/>
              <w:rPr>
                <w:rFonts w:ascii="宋体" w:hAnsi="宋体" w:cs="宋体"/>
                <w:szCs w:val="21"/>
              </w:rPr>
            </w:pPr>
            <w:r>
              <w:rPr>
                <w:rFonts w:hint="eastAsia" w:ascii="宋体" w:hAnsi="宋体" w:cs="宋体"/>
                <w:szCs w:val="21"/>
              </w:rPr>
              <w:t>序号</w:t>
            </w:r>
          </w:p>
        </w:tc>
        <w:tc>
          <w:tcPr>
            <w:tcW w:w="535" w:type="pct"/>
            <w:vAlign w:val="center"/>
          </w:tcPr>
          <w:p w14:paraId="7C4B3E28">
            <w:pPr>
              <w:tabs>
                <w:tab w:val="left" w:pos="180"/>
                <w:tab w:val="left" w:pos="1620"/>
              </w:tabs>
              <w:jc w:val="center"/>
              <w:rPr>
                <w:rFonts w:ascii="宋体" w:hAnsi="宋体" w:cs="宋体"/>
                <w:szCs w:val="21"/>
              </w:rPr>
            </w:pPr>
            <w:r>
              <w:rPr>
                <w:rFonts w:hint="eastAsia" w:ascii="宋体" w:hAnsi="宋体" w:cs="宋体"/>
                <w:szCs w:val="21"/>
              </w:rPr>
              <w:t>货物名称</w:t>
            </w:r>
          </w:p>
        </w:tc>
        <w:tc>
          <w:tcPr>
            <w:tcW w:w="463" w:type="pct"/>
            <w:vAlign w:val="center"/>
          </w:tcPr>
          <w:p w14:paraId="00AD8FD7">
            <w:pPr>
              <w:tabs>
                <w:tab w:val="left" w:pos="180"/>
                <w:tab w:val="left" w:pos="1620"/>
              </w:tabs>
              <w:jc w:val="center"/>
              <w:rPr>
                <w:rFonts w:ascii="宋体" w:hAnsi="宋体" w:cs="宋体"/>
                <w:szCs w:val="21"/>
              </w:rPr>
            </w:pPr>
            <w:r>
              <w:rPr>
                <w:rFonts w:hint="eastAsia" w:ascii="宋体" w:hAnsi="宋体" w:cs="宋体"/>
                <w:szCs w:val="21"/>
              </w:rPr>
              <w:t>数量</w:t>
            </w:r>
          </w:p>
        </w:tc>
        <w:tc>
          <w:tcPr>
            <w:tcW w:w="465" w:type="pct"/>
            <w:vAlign w:val="center"/>
          </w:tcPr>
          <w:p w14:paraId="67EAB5A5">
            <w:pPr>
              <w:tabs>
                <w:tab w:val="left" w:pos="180"/>
                <w:tab w:val="left" w:pos="1620"/>
              </w:tabs>
              <w:jc w:val="center"/>
              <w:rPr>
                <w:rFonts w:ascii="宋体" w:hAnsi="宋体" w:cs="宋体"/>
                <w:szCs w:val="21"/>
              </w:rPr>
            </w:pPr>
            <w:r>
              <w:rPr>
                <w:rFonts w:hint="eastAsia" w:ascii="宋体" w:hAnsi="宋体" w:cs="宋体"/>
                <w:szCs w:val="21"/>
              </w:rPr>
              <w:t>单位</w:t>
            </w:r>
          </w:p>
        </w:tc>
        <w:tc>
          <w:tcPr>
            <w:tcW w:w="3210" w:type="pct"/>
            <w:vAlign w:val="center"/>
          </w:tcPr>
          <w:p w14:paraId="422A07D6">
            <w:pPr>
              <w:tabs>
                <w:tab w:val="left" w:pos="180"/>
                <w:tab w:val="left" w:pos="1620"/>
              </w:tabs>
              <w:jc w:val="center"/>
              <w:rPr>
                <w:rFonts w:ascii="宋体" w:hAnsi="宋体" w:cs="宋体"/>
                <w:szCs w:val="21"/>
              </w:rPr>
            </w:pPr>
            <w:r>
              <w:rPr>
                <w:rStyle w:val="191"/>
                <w:rFonts w:hint="eastAsia" w:ascii="宋体" w:hAnsi="宋体"/>
                <w:color w:val="auto"/>
                <w:szCs w:val="21"/>
                <w:u w:val="none"/>
              </w:rPr>
              <w:t>技术参数及性能（配置）要求</w:t>
            </w:r>
          </w:p>
        </w:tc>
      </w:tr>
      <w:tr w14:paraId="3B050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325" w:type="pct"/>
            <w:vAlign w:val="center"/>
          </w:tcPr>
          <w:p w14:paraId="1131F7B2">
            <w:pPr>
              <w:tabs>
                <w:tab w:val="left" w:pos="180"/>
                <w:tab w:val="left" w:pos="1620"/>
              </w:tabs>
              <w:jc w:val="center"/>
              <w:rPr>
                <w:rFonts w:ascii="宋体" w:hAnsi="宋体" w:cs="宋体"/>
                <w:szCs w:val="21"/>
              </w:rPr>
            </w:pPr>
            <w:r>
              <w:rPr>
                <w:rFonts w:hint="eastAsia" w:ascii="宋体" w:hAnsi="宋体" w:cs="宋体"/>
                <w:szCs w:val="21"/>
              </w:rPr>
              <w:t>1</w:t>
            </w:r>
          </w:p>
        </w:tc>
        <w:tc>
          <w:tcPr>
            <w:tcW w:w="535" w:type="pct"/>
            <w:vAlign w:val="center"/>
          </w:tcPr>
          <w:p w14:paraId="190E11A8">
            <w:pPr>
              <w:snapToGrid w:val="0"/>
              <w:jc w:val="center"/>
              <w:rPr>
                <w:rFonts w:ascii="宋体" w:hAnsi="宋体" w:cs="宋体"/>
                <w:szCs w:val="21"/>
              </w:rPr>
            </w:pPr>
            <w:r>
              <w:rPr>
                <w:rFonts w:hint="eastAsia"/>
                <w:b/>
              </w:rPr>
              <w:t>医用血管造影X射线机</w:t>
            </w:r>
            <w:r>
              <w:rPr>
                <w:rFonts w:hint="eastAsia" w:ascii="宋体" w:hAnsi="宋体" w:cs="宋体"/>
                <w:b/>
                <w:bCs/>
                <w:szCs w:val="21"/>
              </w:rPr>
              <w:t>（分标1）</w:t>
            </w:r>
          </w:p>
        </w:tc>
        <w:tc>
          <w:tcPr>
            <w:tcW w:w="463" w:type="pct"/>
            <w:vAlign w:val="center"/>
          </w:tcPr>
          <w:p w14:paraId="23234306">
            <w:pPr>
              <w:jc w:val="center"/>
              <w:rPr>
                <w:rFonts w:ascii="宋体" w:hAnsi="宋体" w:cs="宋体"/>
                <w:szCs w:val="21"/>
              </w:rPr>
            </w:pPr>
            <w:r>
              <w:rPr>
                <w:rFonts w:hint="eastAsia" w:ascii="宋体" w:hAnsi="宋体" w:cs="宋体"/>
                <w:szCs w:val="21"/>
              </w:rPr>
              <w:t>1</w:t>
            </w:r>
          </w:p>
        </w:tc>
        <w:tc>
          <w:tcPr>
            <w:tcW w:w="465" w:type="pct"/>
            <w:vAlign w:val="center"/>
          </w:tcPr>
          <w:p w14:paraId="399AF388">
            <w:pPr>
              <w:pStyle w:val="18"/>
              <w:spacing w:line="240" w:lineRule="auto"/>
              <w:ind w:leftChars="-88" w:hanging="184" w:hangingChars="88"/>
              <w:jc w:val="center"/>
              <w:rPr>
                <w:rFonts w:ascii="宋体" w:hAnsi="宋体" w:cs="宋体"/>
                <w:sz w:val="21"/>
                <w:szCs w:val="21"/>
              </w:rPr>
            </w:pPr>
            <w:r>
              <w:rPr>
                <w:rFonts w:hint="eastAsia" w:ascii="宋体" w:hAnsi="宋体" w:cs="宋体"/>
                <w:sz w:val="21"/>
                <w:szCs w:val="21"/>
              </w:rPr>
              <w:t>套</w:t>
            </w:r>
          </w:p>
        </w:tc>
        <w:tc>
          <w:tcPr>
            <w:tcW w:w="3210" w:type="pct"/>
            <w:vAlign w:val="center"/>
          </w:tcPr>
          <w:p w14:paraId="752393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 xml:space="preserve">1 X线高压发生器装置 </w:t>
            </w:r>
          </w:p>
          <w:p w14:paraId="5CD36D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 发生器功率≥100KW；</w:t>
            </w:r>
          </w:p>
          <w:p w14:paraId="64DAB0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 最大管电流支持≥1000mA （100KV时）；</w:t>
            </w:r>
          </w:p>
          <w:p w14:paraId="00F06A0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 xml:space="preserve">1.3 最小管电压≤50KV； </w:t>
            </w:r>
          </w:p>
          <w:p w14:paraId="17D278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1.4 最大管电压≥125KV；</w:t>
            </w:r>
          </w:p>
          <w:p w14:paraId="1CA9489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1.5最短曝光时间≤1ms。</w:t>
            </w:r>
          </w:p>
          <w:p w14:paraId="51584E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 X线球管</w:t>
            </w:r>
          </w:p>
          <w:p w14:paraId="1614D1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 阳极热容量（非等效）≥3MHU；</w:t>
            </w:r>
          </w:p>
          <w:p w14:paraId="380084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2.2 管套热容量≥4.9MHU；</w:t>
            </w:r>
          </w:p>
          <w:p w14:paraId="11D71E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★2.3 阳极最大散热功率≥6700W；</w:t>
            </w:r>
          </w:p>
          <w:p w14:paraId="3628DF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▲2.4 落地C臂和悬吊C臂采用两支性能及型号完全一致的球管或悬吊C臂球管功率高于落地C臂球管；</w:t>
            </w:r>
          </w:p>
          <w:p w14:paraId="3CAB6E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2.5 C臂球管焦点≥2个；</w:t>
            </w:r>
          </w:p>
          <w:p w14:paraId="028864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2.6 落地C臂球管最小焦点≤0.3mm；悬吊C臂球管最小焦点≤0.4mm；</w:t>
            </w:r>
          </w:p>
          <w:p w14:paraId="10E14E0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2.7 落地C臂和悬吊C臂球管最小焦点功率≥17KW；</w:t>
            </w:r>
          </w:p>
          <w:p w14:paraId="4AE5BA1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2.8 落地C臂最大焦点≥0.7mm; 悬吊C臂最大焦点≥0.8mm；</w:t>
            </w:r>
          </w:p>
          <w:p w14:paraId="1F1C3E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2.9落地C臂最大焦点功率≥65KW；悬吊C臂最大焦点功率≥80KW。</w:t>
            </w:r>
          </w:p>
          <w:p w14:paraId="6B3148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 数字化平板探测器</w:t>
            </w:r>
          </w:p>
          <w:p w14:paraId="65D19D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3.1 采用碘化铯非晶硅数字化平板探测器技术；</w:t>
            </w:r>
          </w:p>
          <w:p w14:paraId="147222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▲3.2 C臂平板分辨率≥2.5LP/mm；</w:t>
            </w:r>
          </w:p>
          <w:p w14:paraId="406047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3.3 C臂平板像素尺寸≤194μm；</w:t>
            </w:r>
          </w:p>
          <w:p w14:paraId="5333C73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★3.4 C臂平板物理可变视野≥4种物理成像视野；</w:t>
            </w:r>
          </w:p>
          <w:p w14:paraId="1EB42E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★3.5 C臂平板动态灰阶范围≥16bit；</w:t>
            </w:r>
          </w:p>
          <w:p w14:paraId="4E5C6E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3.6 C臂平板系统采集：≥ 1300 ×1300矩阵；</w:t>
            </w:r>
          </w:p>
          <w:p w14:paraId="2A8995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3.7 平板带有感应式防碰撞保护装置及防碰撞自动控制；</w:t>
            </w:r>
          </w:p>
          <w:p w14:paraId="46F96CE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3.8平板检测器光子转换效率≥77% DQE；</w:t>
            </w:r>
          </w:p>
          <w:p w14:paraId="7DB6BC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3.9平板探测器冷却方式：自然冷却或者液体冷却。</w:t>
            </w:r>
          </w:p>
          <w:p w14:paraId="4A5AB97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 机架系统</w:t>
            </w:r>
          </w:p>
          <w:p w14:paraId="7DF932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 全自动双向C型臂；</w:t>
            </w:r>
          </w:p>
          <w:p w14:paraId="0387F9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4.2 落地C臂在头位时CRA≥ 40°； CAU≥ 40°；RAO≥ 100°；LAO≥ 100°；</w:t>
            </w:r>
          </w:p>
          <w:p w14:paraId="55E516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4.3 悬吊C臂（侧位）CRA≥ 40°； CAU≥ 45°；</w:t>
            </w:r>
          </w:p>
          <w:p w14:paraId="49DDCF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4.4 落地C臂旋转速度（非旋转采集）≥25度/秒；</w:t>
            </w:r>
          </w:p>
          <w:p w14:paraId="228005C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4.5 记忆各术式机架位置，一键归位。</w:t>
            </w:r>
          </w:p>
          <w:p w14:paraId="3E08E26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 导管床</w:t>
            </w:r>
          </w:p>
          <w:p w14:paraId="0D5B109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▲5.1 碳纤维浮动床面；</w:t>
            </w:r>
          </w:p>
          <w:p w14:paraId="6002A9E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5.2 床长≥295cm（不包含延长板的长度）；床宽≥45cm；</w:t>
            </w:r>
          </w:p>
          <w:p w14:paraId="78C385B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5.3 床的最大病人承重≥230KG ；最大物理承重≥300KG；</w:t>
            </w:r>
          </w:p>
          <w:p w14:paraId="1845D5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5.4 床的纵向运动范围≥110cm；垂直升降范围≥20cm；</w:t>
            </w:r>
          </w:p>
          <w:p w14:paraId="11E0024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5.5 床面横向运动范围≥36cm；</w:t>
            </w:r>
          </w:p>
          <w:p w14:paraId="1A23351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 图像采集及处理系统</w:t>
            </w:r>
          </w:p>
          <w:p w14:paraId="39B1F3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 数字脉冲透视≥3档；</w:t>
            </w:r>
          </w:p>
          <w:p w14:paraId="2DAD66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6.2 透视图像存储量≥500幅；</w:t>
            </w:r>
          </w:p>
          <w:p w14:paraId="3F19A37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6.3 最大透视图像储存时间≥15s。</w:t>
            </w:r>
          </w:p>
          <w:p w14:paraId="28AD86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 图像采集及处理及优化技术软件包</w:t>
            </w:r>
          </w:p>
          <w:p w14:paraId="2268C5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 具备路径图功能；</w:t>
            </w:r>
          </w:p>
          <w:p w14:paraId="1DA3EE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7.2 图像实时处理及后处理；</w:t>
            </w:r>
          </w:p>
          <w:p w14:paraId="565525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7.3 实时减影、数字减影回放；</w:t>
            </w:r>
          </w:p>
          <w:p w14:paraId="580002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7.4 图像自动降噪、图像滤波、边缘增强、图像均衡、灰度调整、图像反转、附加注解、窗宽/窗位调节；</w:t>
            </w:r>
          </w:p>
          <w:p w14:paraId="3EE0D8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7.5 多幅显示、任意速度和方向回放、图像标注、左右标识、文字注释、解剖背景、路径和标记功能；</w:t>
            </w:r>
          </w:p>
          <w:p w14:paraId="44F1278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7.6 透视进行中，可在床旁实时调整图像放大率；</w:t>
            </w:r>
          </w:p>
          <w:p w14:paraId="31F71D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7.7 具有末帧透视图像保持功能；</w:t>
            </w:r>
          </w:p>
          <w:p w14:paraId="5A6383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7.8 血管序列实时DSA功能和DA功能；</w:t>
            </w:r>
          </w:p>
          <w:p w14:paraId="2B5629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7.9 控制室处理分析图像、存盘、网络传输等工作的同时，手术室进行床旁透视和采集功能不受影响。</w:t>
            </w:r>
          </w:p>
          <w:p w14:paraId="0478BB8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 图像显示系统</w:t>
            </w:r>
          </w:p>
          <w:p w14:paraId="06287B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▲8.1 显示器分辨率≥1280 ×1024，支持DICOM；</w:t>
            </w:r>
          </w:p>
          <w:p w14:paraId="063C29A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8.2 手术间医用一体化显示器≥1台，显示器尺寸≥55英寸；</w:t>
            </w:r>
          </w:p>
          <w:p w14:paraId="74F7A2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8.3 控制室医用 LCD 显示器≥2 台，显示器尺寸≥19 英寸。</w:t>
            </w:r>
          </w:p>
          <w:p w14:paraId="5ABCF7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 图像存储及图像分析系统</w:t>
            </w:r>
          </w:p>
          <w:p w14:paraId="14C59C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9.1 自动回放采集序列；回放序列的速度及方向可调；</w:t>
            </w:r>
          </w:p>
          <w:p w14:paraId="549F792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9.2 可进行减影及非减影切换；</w:t>
            </w:r>
          </w:p>
          <w:p w14:paraId="30F44B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9.3 后处理功能包括：选择路标图像、电子遮光器、边缘增强、图像反转、附加注解、选择图像、移动放大、造影图像自动窗宽和窗位调节、重定蒙片、手动自动像素移位等；</w:t>
            </w:r>
          </w:p>
          <w:p w14:paraId="0B4B405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9.4 高压注射器接口，激光相机接口，DICOM Send，DICOM Print， DICOM Query / Retrieve，DICOM Worklist；</w:t>
            </w:r>
          </w:p>
          <w:p w14:paraId="7F8C4E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 血管分析软件</w:t>
            </w:r>
          </w:p>
          <w:p w14:paraId="474F7A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10.1 床旁可进行血管狭窄测量及分析，包括：测量血管狭窄位置、狭窄率及距离测量等。</w:t>
            </w:r>
          </w:p>
          <w:p w14:paraId="2ABEB96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 高级三维图像后处理工作站</w:t>
            </w:r>
          </w:p>
          <w:p w14:paraId="6BD832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 具有独立的三维重建及分析工作站（DSA原厂提供）；</w:t>
            </w:r>
          </w:p>
          <w:p w14:paraId="2D06D3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 具有快速二维和多平面显示、回放。三维处理：3D血管表面重建（SSD）、最大密度投影重建（MIP）、3D容积重建（VRT）。</w:t>
            </w:r>
          </w:p>
          <w:p w14:paraId="67722A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11.3 具备彩色血流编码功能；</w:t>
            </w:r>
          </w:p>
          <w:p w14:paraId="0F45E5A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★11.4 具备动脉瘤分析软件；</w:t>
            </w:r>
          </w:p>
          <w:p w14:paraId="5E4EBD6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11.5 具备三维全脑灌注成像软件；</w:t>
            </w:r>
          </w:p>
          <w:p w14:paraId="5F72DF3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 多模态影像融合功能</w:t>
            </w:r>
          </w:p>
          <w:p w14:paraId="2F68F3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12.1具备融合不同厂家的PET/CT/MR图像；</w:t>
            </w:r>
          </w:p>
          <w:p w14:paraId="7E2182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12.2多模态融合的图像与DSA图像融合，可用于二维实时透视图像的引导；</w:t>
            </w:r>
          </w:p>
          <w:p w14:paraId="669610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12.3多模态融合导航可用于神经、大血管等多种介入手术；</w:t>
            </w:r>
          </w:p>
          <w:p w14:paraId="2A0FEF2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13 血管机类CT成像功能</w:t>
            </w:r>
          </w:p>
          <w:p w14:paraId="7F919C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13.1 能完成CT断层图像重建和显示；</w:t>
            </w:r>
          </w:p>
          <w:p w14:paraId="1CE1A3A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13.2 床旁可实现对血管机类CT图像采集、重建及后处理等操作。</w:t>
            </w:r>
          </w:p>
          <w:p w14:paraId="47BE05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14 射线剂量防护技术</w:t>
            </w:r>
          </w:p>
          <w:p w14:paraId="062EC3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14.1 具有射线剂量监测功能，透视时，表面剂量率显示；透视间期，显示积累剂量，区域剂量和剂量限值；</w:t>
            </w:r>
          </w:p>
          <w:p w14:paraId="2F2630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▲14.2各投标商所投标产品须具备最新的低剂量控制技术，飞利浦提供Dosewise+ClarityIQ技术，西门子提供Care&amp;Clear技术，GE提供AutoRight技术，佳能提供PureView 技术，其他厂家提供相应最新技术；</w:t>
            </w:r>
          </w:p>
          <w:p w14:paraId="760DAFE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14.3具有床下防护铅帘，悬吊式防护铅屏。</w:t>
            </w:r>
          </w:p>
          <w:p w14:paraId="3873B3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▲15配置清单</w:t>
            </w:r>
          </w:p>
          <w:p w14:paraId="358886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15.1 DSA主机1套；</w:t>
            </w:r>
          </w:p>
          <w:p w14:paraId="2F12EBE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15.2 原厂后处理工作站计算机 1套；</w:t>
            </w:r>
          </w:p>
          <w:p w14:paraId="7538BD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15.3悬吊手术灯 1台；</w:t>
            </w:r>
          </w:p>
          <w:p w14:paraId="4B4EAF7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15.4高压注射器1台；</w:t>
            </w:r>
          </w:p>
          <w:p w14:paraId="3230CBE1">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1"/>
                <w:szCs w:val="21"/>
              </w:rPr>
            </w:pPr>
            <w:r>
              <w:rPr>
                <w:rFonts w:hint="eastAsia"/>
                <w:lang w:val="en-US" w:eastAsia="zh-CN"/>
              </w:rPr>
              <w:t>15.5心电监护1台。</w:t>
            </w:r>
          </w:p>
        </w:tc>
      </w:tr>
    </w:tbl>
    <w:p w14:paraId="27BCD461">
      <w:pPr>
        <w:pStyle w:val="2"/>
      </w:pPr>
    </w:p>
    <w:p w14:paraId="391717A5">
      <w:pPr>
        <w:pStyle w:val="2"/>
        <w:keepNext w:val="0"/>
        <w:keepLines w:val="0"/>
        <w:pageBreakBefore w:val="0"/>
        <w:widowControl w:val="0"/>
        <w:kinsoku/>
        <w:wordWrap/>
        <w:overflowPunct/>
        <w:topLinePunct w:val="0"/>
        <w:bidi w:val="0"/>
        <w:snapToGrid/>
        <w:spacing w:line="400" w:lineRule="exact"/>
        <w:ind w:firstLine="420" w:firstLineChars="200"/>
        <w:textAlignment w:val="auto"/>
        <w:rPr>
          <w:rFonts w:hint="eastAsia" w:hAnsi="宋体"/>
          <w:b/>
          <w:bCs/>
          <w:color w:val="auto"/>
          <w:sz w:val="21"/>
          <w:szCs w:val="21"/>
        </w:rPr>
      </w:pPr>
      <w:r>
        <w:rPr>
          <w:rStyle w:val="191"/>
          <w:rFonts w:hint="eastAsia" w:hAnsi="宋体"/>
          <w:b/>
          <w:bCs/>
          <w:color w:val="auto"/>
          <w:kern w:val="2"/>
          <w:sz w:val="21"/>
          <w:szCs w:val="21"/>
          <w:u w:val="none"/>
        </w:rPr>
        <w:t>▲</w:t>
      </w:r>
      <w:r>
        <w:rPr>
          <w:rFonts w:hint="eastAsia" w:hAnsi="宋体"/>
          <w:b/>
          <w:bCs/>
          <w:color w:val="auto"/>
          <w:sz w:val="21"/>
          <w:szCs w:val="21"/>
        </w:rPr>
        <w:t>二、商务要求（以下所有为实质性要求条款不满足作无效投标处理）</w:t>
      </w:r>
    </w:p>
    <w:p w14:paraId="1304F08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（一）质量保证期</w:t>
      </w:r>
    </w:p>
    <w:p w14:paraId="058A00F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质量保证期（以下简称质保期）按国家有关产品“三包”规定执行“三包”，产品生产厂家提供整机（含配套附件）保修及免费升级承诺函，且保修时间不得少于</w:t>
      </w:r>
      <w:r>
        <w:rPr>
          <w:rFonts w:hint="eastAsia" w:ascii="宋体" w:hAnsi="宋体"/>
          <w:b w:val="0"/>
          <w:bCs/>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年，自设备验收合格并能正常使用之日起计算。投标人应在投标文件中提供质保期后维保服务优惠报价供配置单位日后采购时参考。</w:t>
      </w:r>
    </w:p>
    <w:p w14:paraId="0A0D192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（二）交货时间及地点</w:t>
      </w:r>
    </w:p>
    <w:p w14:paraId="713BD97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1.交货时间：合同签定之日起，中标供应商在</w:t>
      </w:r>
      <w:r>
        <w:rPr>
          <w:rFonts w:hint="eastAsia" w:ascii="宋体" w:hAnsi="宋体"/>
          <w:color w:val="000000" w:themeColor="text1"/>
          <w:szCs w:val="21"/>
          <w:lang w:val="en-US" w:eastAsia="zh-CN"/>
          <w14:textFill>
            <w14:solidFill>
              <w14:schemeClr w14:val="tx1"/>
            </w14:solidFill>
          </w14:textFill>
        </w:rPr>
        <w:t>90</w:t>
      </w:r>
      <w:r>
        <w:rPr>
          <w:rFonts w:hint="eastAsia" w:ascii="宋体" w:hAnsi="宋体"/>
          <w:color w:val="000000" w:themeColor="text1"/>
          <w:szCs w:val="21"/>
          <w14:textFill>
            <w14:solidFill>
              <w14:schemeClr w14:val="tx1"/>
            </w14:solidFill>
          </w14:textFill>
        </w:rPr>
        <w:t>个日历日内向配置单位交付全部货物。</w:t>
      </w:r>
    </w:p>
    <w:p w14:paraId="0C08C6C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2.交货地点：广西范围内，配置单位指定地点。</w:t>
      </w:r>
    </w:p>
    <w:p w14:paraId="387EE07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（三）服务标准、服务效率、售后服务要求</w:t>
      </w:r>
    </w:p>
    <w:p w14:paraId="7B0EF20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1.中标供应商负责送货上门，保障设备、人员安全及安装调试，安装前提供相关的布局图和设计要求，培训配置单位的操作人员至能完全独立操作、日常维护及承担以上所产生的相关费用。</w:t>
      </w:r>
    </w:p>
    <w:p w14:paraId="2B7BBE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2.质保期内提供7×24小时售后服务，仪器设备出现故障，在接到电话通知后，2小时内做出实质性响应（远程解决或做出预备维护动作），需维护工程师现场解决的，要求在24小时内到现场处理。</w:t>
      </w:r>
    </w:p>
    <w:p w14:paraId="02AA3C8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3.质保期内发生故障的设备如无法在24小时内修复，须保证年开机率95%以上，否则中标供应商承担相应的损失。单次故障（不可抗力因素除外）维修时间超过20天仍无法修复的，配置单位有权要求更换设备或赔偿。</w:t>
      </w:r>
    </w:p>
    <w:p w14:paraId="09D94D5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4.质保期内每季度一次定期回访以及对设备维护。质保期满前1个月内中标供应商应负责对设备进行一次免费全面检查，如发现潜在问题，应负责排除，保证设备正常运行。</w:t>
      </w:r>
    </w:p>
    <w:p w14:paraId="6BDA5B7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产品必须是全新，且生产日期为1年内（签订合同之日计算）的产品。产品包装必须是全新的合格产品，并按照原厂标准包装规格供货，不接受散装或拆包装件。所有货物都提供中文说明书和详细装箱清单及质量合格证。</w:t>
      </w:r>
    </w:p>
    <w:p w14:paraId="6AEC4CF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6.安装调试完成后，中标供应商对配置单位提供1次或多次培训，使配置单位的操作人员及工程人员熟练掌握全部功能及基本维修，相关费用包括在投标报价中，配置单位不再另行支付。</w:t>
      </w:r>
    </w:p>
    <w:p w14:paraId="0CFA1B0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7.中标供应商提供维护手册、维修手册、软件备份、故障代码表、备件清单。质保期外，无偿提供维修密码及所附软件在该项目的永久使用权。</w:t>
      </w:r>
    </w:p>
    <w:p w14:paraId="1A9AA00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2BEB8A4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9.中标供应商保证配置单位能够合法应用该器械及相应服务。配置单位在办理相关证件及验收等流程中，中标供应商必须提供所需的合法材料。</w:t>
      </w:r>
    </w:p>
    <w:p w14:paraId="651271D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（四）付款方式</w:t>
      </w:r>
    </w:p>
    <w:p w14:paraId="6794ACB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分期付款，分两期支付。</w:t>
      </w:r>
    </w:p>
    <w:p w14:paraId="4585839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1.第一期：预付款为合同金额的30%；签订合同后，配置单位收到中标供应商开具合法有效的合同款30%等额发票后，10个工作日内，向中标供应商支付预付款；</w:t>
      </w:r>
    </w:p>
    <w:p w14:paraId="36683E9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2.第二期：所有货物交货安装调试完毕并验收合格，双方签署验收报告后，配置单位收到中标供应商开具合法有效的合同款70%等额发票后，10个工作日内，支付至合同款的100%。</w:t>
      </w:r>
    </w:p>
    <w:p w14:paraId="4D2A5E9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3.中标供应商未开具合法有效的等额发票的，配置单位有权不支付合同款。</w:t>
      </w:r>
    </w:p>
    <w:p w14:paraId="4504921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（五）履约保证金</w:t>
      </w:r>
    </w:p>
    <w:p w14:paraId="178FDBA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履约保证金金额：中标供应商按中标金额的5%向配置单位支付履约保证金。（如中标供应商为中小微企业，按中标金额的2%），如中标供应商以保函形式提交的履约保证金，配置单位不得拒收。</w:t>
      </w:r>
    </w:p>
    <w:p w14:paraId="670C97B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在签订合同之前，中标供应商需把履约保证金足额交到配置单位指定账户。未提交履约保证金的，不予签订本合同。验收合格后，配置单位应当按照合同约定的退还方式，由中标供应商提出书面申请后，在5个工作日内办理履约保证金退还手续。中标供应商在履行合同过程中，未能按照合同约定履行质量保证义务的（不可抗力除外），若因此给配置单位造成损失的，应向配置单位进行等额赔偿。</w:t>
      </w:r>
    </w:p>
    <w:p w14:paraId="270DE99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（六）投标报价要求</w:t>
      </w:r>
    </w:p>
    <w:p w14:paraId="0505FA7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包含货物、货物标准附件、备品备件、专用工具、设备安装辅材、施工辅材、包装、运输、装卸、保险、连接医院信息系统接口费（如HIS、PACS）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14:paraId="32C99C1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（七）政策性加分条件</w:t>
      </w:r>
    </w:p>
    <w:p w14:paraId="341A66B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符合节能环保等国家政策要求。</w:t>
      </w:r>
    </w:p>
    <w:p w14:paraId="1AC19E8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（八）验收标准及验收方法</w:t>
      </w:r>
    </w:p>
    <w:p w14:paraId="59548A8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1.中标供应商应将所提供货物的装箱清单、用户手册、原厂保修卡、随机资料、工具和备品、备件等交付给配置单位，如有缺失应在配置单位要求的期限内及时补齐，否则视为逾期交货。</w:t>
      </w:r>
    </w:p>
    <w:p w14:paraId="5A41A8E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配置单位将依据招标文件上的技术要求和国家有关质量标准对中标供应商提交的货物进行初步签收；中标供应商如提供不符合招标文件、投标文件和采购合同规定的货物，配置单位有权不予签收，由此产生的一切损失均由中标供应商自行承担。</w:t>
      </w:r>
    </w:p>
    <w:p w14:paraId="4E5206F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3.中标供应商需承担供货时产品质量抽样检测的相关费用以及项目验收时发生的一切费用。</w:t>
      </w:r>
    </w:p>
    <w:p w14:paraId="5DB8F85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4.安装合格后15日内提供安装调试报告与原厂技术规格书(或Datasheet)。 本条所有涉及的文件均提供纸质与电子档。</w:t>
      </w:r>
    </w:p>
    <w:p w14:paraId="7B5FDCA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当项目调试完成后，由中标供应商向配置单位提出项目竣工测试申请，并于验收前向配置单位提供一切有关技术文件、资料、图纸和培训相关记录等竣工材料，并在竣工前5个工作日通知配置单位及有关部门准备验收。拟竣工项目的实施总体功能、性能符合配置单位认可的技术设计方案及合同规定的，配置单位在7个工作日内组织验收，并作出验收结果报告。供需双方签署项目终验验收证书并加盖公章，自正式交付使用之日起，开始计算质保期。</w:t>
      </w:r>
    </w:p>
    <w:p w14:paraId="672A616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pPr>
      <w:r>
        <w:rPr>
          <w:rFonts w:hint="eastAsia" w:ascii="宋体" w:hAnsi="宋体"/>
          <w:color w:val="000000" w:themeColor="text1"/>
          <w:szCs w:val="21"/>
          <w14:textFill>
            <w14:solidFill>
              <w14:schemeClr w14:val="tx1"/>
            </w14:solidFill>
          </w14:textFill>
        </w:rPr>
        <w:t>6.配置单位对验收有异议的，以书面形式向中标供应商提出，中标供应商应自收到配置单位书面异议后5个工作日内及时予以解决，中标供应商不予答复或未予以实质解决的，视为认可配置单位异议及处置意见。</w:t>
      </w:r>
    </w:p>
    <w:p w14:paraId="2CBED09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7.验收标准</w:t>
      </w:r>
    </w:p>
    <w:p w14:paraId="6A52F80E">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1)项目招标文件及中标供应商投标文件中的“技术响应表”,逐条验收；</w:t>
      </w:r>
    </w:p>
    <w:p w14:paraId="4D1267AE">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（2)项目招标文件及中标供应商投标文件中的“商务响应表”,逐条验收；</w:t>
      </w:r>
    </w:p>
    <w:p w14:paraId="3D6B2229">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（3)中标供应商投标文件中其他技术、服务、商务性的说明、承诺事项，逐条验收。</w:t>
      </w:r>
    </w:p>
    <w:p w14:paraId="47D2A194">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（4)国家相关法律、法规、标准和规范等。</w:t>
      </w:r>
    </w:p>
    <w:p w14:paraId="4A6F3C02">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其他未尽事宜应严格参照《关于印发广西壮族自治区政府采购项目履约验收管理办法的通知》[桂财采〔2015〕22号]以及《财政部关于进一步加强政府采购需求和履约验收管理的指导意见》[财库〔2016〕205号]规定执行。</w:t>
      </w:r>
    </w:p>
    <w:p w14:paraId="1FFB6AF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若配置单位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配置单位不承担逾期付款责任。</w:t>
      </w:r>
    </w:p>
    <w:p w14:paraId="02E3596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9.中标供应商提供的货物与投标文件响应情况不符，视为验收不合格。</w:t>
      </w:r>
    </w:p>
    <w:p w14:paraId="39F1850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（九）进口产品说明</w:t>
      </w:r>
    </w:p>
    <w:p w14:paraId="2AECC21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本标项接受进口设备参与投标。</w:t>
      </w:r>
    </w:p>
    <w:p w14:paraId="2CA6F8C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（十）规范标准</w:t>
      </w:r>
    </w:p>
    <w:p w14:paraId="10CA389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执行现行的强制执行的国家、行业、地方标准。</w:t>
      </w:r>
    </w:p>
    <w:p w14:paraId="34EAA89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（十一）产品资料及说明文件</w:t>
      </w:r>
    </w:p>
    <w:p w14:paraId="566E59A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中提供投标产品对外公开的产品彩页或说明书（须体现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2271AFB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（十二）采购预算价及最高限价</w:t>
      </w:r>
    </w:p>
    <w:p w14:paraId="2F93A32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投标报价超采购预算（含单项采购预算，如有）及最高限价（含单项最高限价，如有）的投标无效。</w:t>
      </w:r>
    </w:p>
    <w:p w14:paraId="2588E32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（十三）医疗器械注册或备案要求</w:t>
      </w:r>
    </w:p>
    <w:p w14:paraId="15B83DB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14:paraId="42FDC3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（十四）其它</w:t>
      </w:r>
    </w:p>
    <w:p w14:paraId="1646E87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投标人根据自身情况提供项目实施方案，内容包括但不限于：</w:t>
      </w:r>
    </w:p>
    <w:p w14:paraId="7C18C1F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1.技术及项目实施方案（包含但不限于管理措施、具体实施流程、进度安排、质量保证措施、有利于采购项目实施的内容或合理性建议的等）；</w:t>
      </w:r>
    </w:p>
    <w:p w14:paraId="5EA627C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2.技术人员方案（包含但不限于技术人员投入计划，有技术人员在安装调试过程提供技术支持和协助计划，拟派有资质技术人员完成实施方案，有利于采购项目实施的内容或合理性建议的）；</w:t>
      </w:r>
    </w:p>
    <w:p w14:paraId="5D08E13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3.培训计划（包括但不限于：培训方式、培训次数、人数、课程内容及师资等）；</w:t>
      </w:r>
    </w:p>
    <w:p w14:paraId="04ECEF1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4.生产厂家售后服务承诺书等。</w:t>
      </w:r>
    </w:p>
    <w:p w14:paraId="0716AC27">
      <w:pPr>
        <w:pStyle w:val="2"/>
        <w:rPr>
          <w:rFonts w:hint="default" w:ascii="宋体" w:hAnsi="宋体" w:eastAsia="宋体"/>
          <w:color w:val="000000" w:themeColor="text1"/>
          <w:szCs w:val="21"/>
          <w:lang w:val="en-US" w:eastAsia="zh-CN"/>
          <w14:textFill>
            <w14:solidFill>
              <w14:schemeClr w14:val="tx1"/>
            </w14:solidFill>
          </w14:textFill>
        </w:rPr>
      </w:pPr>
    </w:p>
    <w:p w14:paraId="5C6F9063">
      <w:pPr>
        <w:wordWrap w:val="0"/>
        <w:ind w:firstLine="420" w:firstLineChars="200"/>
        <w:rPr>
          <w:rFonts w:ascii="宋体" w:hAnsi="宋体"/>
          <w:color w:val="000000" w:themeColor="text1"/>
          <w:szCs w:val="21"/>
          <w14:textFill>
            <w14:solidFill>
              <w14:schemeClr w14:val="tx1"/>
            </w14:solidFill>
          </w14:textFill>
        </w:rPr>
      </w:pPr>
      <w:r>
        <w:rPr>
          <w:rFonts w:hint="eastAsia" w:ascii="宋体" w:hAnsi="宋体" w:eastAsia="宋体" w:cs="宋体"/>
          <w:b/>
          <w:bCs/>
          <w:szCs w:val="21"/>
        </w:rPr>
        <w:t>（十五）核心产品：医用血管造影X射线机</w:t>
      </w:r>
      <w:r>
        <w:rPr>
          <w:rFonts w:hint="eastAsia" w:ascii="宋体" w:hAnsi="宋体" w:cs="宋体"/>
          <w:b/>
          <w:bCs/>
          <w:szCs w:val="21"/>
        </w:rPr>
        <w:t>（分标1）</w:t>
      </w:r>
      <w:r>
        <w:rPr>
          <w:rFonts w:hint="eastAsia" w:ascii="宋体" w:hAnsi="宋体"/>
          <w:color w:val="000000" w:themeColor="text1"/>
          <w:szCs w:val="21"/>
          <w14:textFill>
            <w14:solidFill>
              <w14:schemeClr w14:val="tx1"/>
            </w14:solidFill>
          </w14:textFill>
        </w:rPr>
        <w:t>。</w:t>
      </w:r>
    </w:p>
    <w:p w14:paraId="0CD9A245">
      <w:pPr>
        <w:pStyle w:val="2"/>
        <w:ind w:firstLine="420" w:firstLineChars="200"/>
        <w:rPr>
          <w:rStyle w:val="191"/>
          <w:rFonts w:ascii="宋体" w:hAnsi="宋体"/>
          <w:b/>
          <w:bCs/>
          <w:color w:val="auto"/>
          <w:kern w:val="2"/>
          <w:sz w:val="21"/>
          <w:szCs w:val="21"/>
          <w:u w:val="none"/>
        </w:rPr>
      </w:pPr>
    </w:p>
    <w:p w14:paraId="386275D5">
      <w:pPr>
        <w:pStyle w:val="2"/>
        <w:ind w:firstLine="420" w:firstLineChars="200"/>
        <w:rPr>
          <w:rStyle w:val="191"/>
          <w:rFonts w:ascii="宋体" w:hAnsi="宋体"/>
          <w:b/>
          <w:bCs/>
          <w:color w:val="auto"/>
          <w:sz w:val="21"/>
          <w:szCs w:val="21"/>
          <w:u w:val="none"/>
        </w:rPr>
      </w:pPr>
      <w:r>
        <w:rPr>
          <w:rStyle w:val="191"/>
          <w:rFonts w:hint="eastAsia" w:ascii="宋体" w:hAnsi="宋体"/>
          <w:b/>
          <w:bCs/>
          <w:color w:val="auto"/>
          <w:sz w:val="21"/>
          <w:szCs w:val="21"/>
          <w:u w:val="none"/>
        </w:rPr>
        <w:t>三、</w:t>
      </w:r>
      <w:r>
        <w:rPr>
          <w:rStyle w:val="191"/>
          <w:rFonts w:ascii="宋体" w:hAnsi="宋体"/>
          <w:b/>
          <w:bCs/>
          <w:color w:val="auto"/>
          <w:sz w:val="21"/>
          <w:szCs w:val="21"/>
          <w:u w:val="none"/>
        </w:rPr>
        <w:t>配置单位信息</w:t>
      </w:r>
    </w:p>
    <w:tbl>
      <w:tblPr>
        <w:tblStyle w:val="55"/>
        <w:tblpPr w:leftFromText="180" w:rightFromText="180" w:vertAnchor="text" w:horzAnchor="page" w:tblpX="1847" w:tblpY="429"/>
        <w:tblOverlap w:val="never"/>
        <w:tblW w:w="7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26"/>
        <w:gridCol w:w="1134"/>
        <w:gridCol w:w="1559"/>
      </w:tblGrid>
      <w:tr w14:paraId="5DB3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blHeader/>
        </w:trPr>
        <w:tc>
          <w:tcPr>
            <w:tcW w:w="735" w:type="dxa"/>
            <w:tcBorders>
              <w:top w:val="single" w:color="auto" w:sz="4" w:space="0"/>
              <w:left w:val="single" w:color="auto" w:sz="4" w:space="0"/>
              <w:bottom w:val="single" w:color="auto" w:sz="4" w:space="0"/>
              <w:right w:val="single" w:color="auto" w:sz="4" w:space="0"/>
            </w:tcBorders>
            <w:vAlign w:val="center"/>
          </w:tcPr>
          <w:p w14:paraId="48C901C6">
            <w:pPr>
              <w:adjustRightInd w:val="0"/>
              <w:snapToGrid w:val="0"/>
              <w:jc w:val="center"/>
              <w:rPr>
                <w:rFonts w:ascii="仿宋" w:hAnsi="仿宋" w:eastAsia="仿宋" w:cs="仿宋"/>
                <w:b/>
                <w:kern w:val="0"/>
                <w:sz w:val="24"/>
              </w:rPr>
            </w:pPr>
            <w:r>
              <w:rPr>
                <w:rFonts w:hint="eastAsia" w:ascii="仿宋" w:hAnsi="仿宋" w:eastAsia="仿宋" w:cs="仿宋"/>
                <w:b/>
                <w:kern w:val="0"/>
                <w:sz w:val="24"/>
              </w:rPr>
              <w:t>序号</w:t>
            </w:r>
          </w:p>
        </w:tc>
        <w:tc>
          <w:tcPr>
            <w:tcW w:w="3626" w:type="dxa"/>
            <w:tcBorders>
              <w:top w:val="single" w:color="auto" w:sz="4" w:space="0"/>
              <w:left w:val="single" w:color="auto" w:sz="4" w:space="0"/>
              <w:bottom w:val="single" w:color="auto" w:sz="4" w:space="0"/>
              <w:right w:val="single" w:color="auto" w:sz="4" w:space="0"/>
            </w:tcBorders>
            <w:vAlign w:val="center"/>
          </w:tcPr>
          <w:p w14:paraId="44129CE1">
            <w:pPr>
              <w:adjustRightInd w:val="0"/>
              <w:snapToGrid w:val="0"/>
              <w:jc w:val="center"/>
              <w:rPr>
                <w:rFonts w:ascii="仿宋" w:hAnsi="仿宋" w:eastAsia="仿宋" w:cs="仿宋"/>
                <w:b/>
                <w:kern w:val="0"/>
                <w:sz w:val="24"/>
              </w:rPr>
            </w:pPr>
            <w:r>
              <w:rPr>
                <w:rFonts w:hint="eastAsia" w:ascii="仿宋" w:hAnsi="仿宋" w:eastAsia="仿宋" w:cs="仿宋"/>
                <w:b/>
                <w:kern w:val="0"/>
                <w:sz w:val="24"/>
              </w:rPr>
              <w:t>配置单位名称</w:t>
            </w:r>
          </w:p>
        </w:tc>
        <w:tc>
          <w:tcPr>
            <w:tcW w:w="1134" w:type="dxa"/>
            <w:tcBorders>
              <w:top w:val="single" w:color="auto" w:sz="4" w:space="0"/>
              <w:left w:val="single" w:color="auto" w:sz="4" w:space="0"/>
              <w:bottom w:val="single" w:color="auto" w:sz="4" w:space="0"/>
              <w:right w:val="single" w:color="auto" w:sz="4" w:space="0"/>
            </w:tcBorders>
            <w:vAlign w:val="center"/>
          </w:tcPr>
          <w:p w14:paraId="00FB7232">
            <w:pPr>
              <w:adjustRightInd w:val="0"/>
              <w:snapToGrid w:val="0"/>
              <w:jc w:val="center"/>
              <w:rPr>
                <w:rFonts w:ascii="仿宋" w:hAnsi="仿宋" w:eastAsia="仿宋" w:cs="仿宋"/>
                <w:b/>
                <w:kern w:val="0"/>
                <w:sz w:val="24"/>
              </w:rPr>
            </w:pPr>
            <w:r>
              <w:rPr>
                <w:rFonts w:hint="eastAsia" w:ascii="仿宋" w:hAnsi="仿宋" w:eastAsia="仿宋" w:cs="仿宋"/>
                <w:b/>
                <w:kern w:val="0"/>
                <w:sz w:val="24"/>
              </w:rPr>
              <w:t>数量</w:t>
            </w:r>
          </w:p>
        </w:tc>
        <w:tc>
          <w:tcPr>
            <w:tcW w:w="1559" w:type="dxa"/>
            <w:tcBorders>
              <w:top w:val="single" w:color="auto" w:sz="4" w:space="0"/>
              <w:left w:val="single" w:color="auto" w:sz="4" w:space="0"/>
              <w:bottom w:val="single" w:color="auto" w:sz="4" w:space="0"/>
              <w:right w:val="single" w:color="auto" w:sz="4" w:space="0"/>
            </w:tcBorders>
            <w:vAlign w:val="center"/>
          </w:tcPr>
          <w:p w14:paraId="1508C59C">
            <w:pPr>
              <w:adjustRightInd w:val="0"/>
              <w:snapToGrid w:val="0"/>
              <w:jc w:val="center"/>
              <w:rPr>
                <w:rFonts w:ascii="仿宋" w:hAnsi="仿宋" w:eastAsia="仿宋" w:cs="仿宋"/>
                <w:b/>
                <w:kern w:val="0"/>
                <w:sz w:val="24"/>
              </w:rPr>
            </w:pPr>
            <w:r>
              <w:rPr>
                <w:rFonts w:hint="eastAsia" w:ascii="仿宋" w:hAnsi="仿宋" w:eastAsia="仿宋" w:cs="仿宋"/>
                <w:b/>
                <w:kern w:val="0"/>
                <w:sz w:val="24"/>
              </w:rPr>
              <w:t>单位</w:t>
            </w:r>
          </w:p>
        </w:tc>
      </w:tr>
      <w:tr w14:paraId="716F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390AAB1B">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1</w:t>
            </w:r>
          </w:p>
        </w:tc>
        <w:tc>
          <w:tcPr>
            <w:tcW w:w="3626" w:type="dxa"/>
            <w:tcBorders>
              <w:top w:val="single" w:color="auto" w:sz="4" w:space="0"/>
              <w:left w:val="single" w:color="auto" w:sz="4" w:space="0"/>
              <w:bottom w:val="single" w:color="auto" w:sz="4" w:space="0"/>
              <w:right w:val="single" w:color="auto" w:sz="4" w:space="0"/>
            </w:tcBorders>
            <w:vAlign w:val="center"/>
          </w:tcPr>
          <w:p w14:paraId="534BD813">
            <w:pPr>
              <w:adjustRightInd w:val="0"/>
              <w:snapToGrid w:val="0"/>
              <w:spacing w:before="93" w:beforeLines="30" w:after="93" w:afterLines="30"/>
              <w:jc w:val="center"/>
              <w:rPr>
                <w:rFonts w:ascii="仿宋" w:hAnsi="仿宋" w:eastAsia="仿宋" w:cs="仿宋"/>
                <w:bCs/>
                <w:kern w:val="0"/>
                <w:sz w:val="24"/>
              </w:rPr>
            </w:pPr>
            <w:r>
              <w:rPr>
                <w:rFonts w:hint="eastAsia" w:cs="宋体"/>
                <w:szCs w:val="21"/>
              </w:rPr>
              <w:t>广西壮族自治区人民医院</w:t>
            </w:r>
          </w:p>
        </w:tc>
        <w:tc>
          <w:tcPr>
            <w:tcW w:w="1134" w:type="dxa"/>
            <w:tcBorders>
              <w:top w:val="single" w:color="auto" w:sz="4" w:space="0"/>
              <w:left w:val="single" w:color="auto" w:sz="4" w:space="0"/>
              <w:bottom w:val="single" w:color="auto" w:sz="4" w:space="0"/>
              <w:right w:val="single" w:color="auto" w:sz="4" w:space="0"/>
            </w:tcBorders>
            <w:vAlign w:val="center"/>
          </w:tcPr>
          <w:p w14:paraId="01767AD5">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1</w:t>
            </w:r>
          </w:p>
        </w:tc>
        <w:tc>
          <w:tcPr>
            <w:tcW w:w="1559" w:type="dxa"/>
            <w:tcBorders>
              <w:top w:val="single" w:color="auto" w:sz="4" w:space="0"/>
              <w:left w:val="single" w:color="auto" w:sz="4" w:space="0"/>
              <w:bottom w:val="single" w:color="auto" w:sz="4" w:space="0"/>
              <w:right w:val="single" w:color="auto" w:sz="4" w:space="0"/>
            </w:tcBorders>
            <w:vAlign w:val="center"/>
          </w:tcPr>
          <w:p w14:paraId="1755255A">
            <w:pPr>
              <w:adjustRightInd w:val="0"/>
              <w:snapToGrid w:val="0"/>
              <w:spacing w:before="93" w:beforeLines="30" w:after="93" w:afterLines="30"/>
              <w:jc w:val="center"/>
              <w:rPr>
                <w:rFonts w:ascii="仿宋" w:hAnsi="仿宋" w:eastAsia="仿宋" w:cs="仿宋"/>
                <w:bCs/>
                <w:kern w:val="0"/>
                <w:sz w:val="24"/>
              </w:rPr>
            </w:pPr>
            <w:r>
              <w:rPr>
                <w:rFonts w:hint="eastAsia" w:cs="宋体"/>
                <w:szCs w:val="21"/>
              </w:rPr>
              <w:t>套</w:t>
            </w:r>
          </w:p>
        </w:tc>
      </w:tr>
    </w:tbl>
    <w:p w14:paraId="1B567A79">
      <w:pPr>
        <w:pStyle w:val="2"/>
      </w:pPr>
    </w:p>
    <w:p w14:paraId="4D17E63A">
      <w:pPr>
        <w:pStyle w:val="2"/>
      </w:pPr>
    </w:p>
    <w:p w14:paraId="0CF5C680">
      <w:pPr>
        <w:pStyle w:val="2"/>
      </w:pPr>
    </w:p>
    <w:p w14:paraId="63A96179">
      <w:pPr>
        <w:spacing w:line="400" w:lineRule="exact"/>
        <w:ind w:firstLine="420" w:firstLineChars="200"/>
        <w:rPr>
          <w:rStyle w:val="191"/>
          <w:rFonts w:ascii="宋体" w:hAnsi="宋体"/>
          <w:b/>
          <w:bCs/>
          <w:color w:val="auto"/>
          <w:szCs w:val="21"/>
          <w:u w:val="none"/>
        </w:rPr>
      </w:pPr>
    </w:p>
    <w:p w14:paraId="3D612A58">
      <w:pPr>
        <w:spacing w:line="400" w:lineRule="exact"/>
        <w:ind w:firstLine="420" w:firstLineChars="200"/>
        <w:rPr>
          <w:rStyle w:val="191"/>
          <w:rFonts w:ascii="宋体" w:hAnsi="宋体"/>
          <w:b/>
          <w:bCs/>
          <w:color w:val="auto"/>
          <w:szCs w:val="21"/>
          <w:u w:val="none"/>
        </w:rPr>
      </w:pPr>
    </w:p>
    <w:p w14:paraId="16FA0158">
      <w:pPr>
        <w:pStyle w:val="2"/>
      </w:pPr>
    </w:p>
    <w:p w14:paraId="0B1B9362">
      <w:pPr>
        <w:pStyle w:val="2"/>
      </w:pPr>
    </w:p>
    <w:p w14:paraId="4862C2D9">
      <w:pPr>
        <w:pStyle w:val="2"/>
      </w:pPr>
    </w:p>
    <w:p w14:paraId="56129018">
      <w:pPr>
        <w:pStyle w:val="2"/>
      </w:pPr>
    </w:p>
    <w:p w14:paraId="4EEAEA15">
      <w:pPr>
        <w:ind w:firstLine="420" w:firstLineChars="200"/>
        <w:rPr>
          <w:rFonts w:hint="eastAsia"/>
          <w:b/>
        </w:rPr>
      </w:pPr>
    </w:p>
    <w:p w14:paraId="21F6715E">
      <w:pPr>
        <w:ind w:firstLine="420" w:firstLineChars="200"/>
        <w:rPr>
          <w:rFonts w:hint="eastAsia"/>
          <w:b/>
        </w:rPr>
      </w:pPr>
    </w:p>
    <w:p w14:paraId="3DB0746E">
      <w:pPr>
        <w:ind w:firstLine="420" w:firstLineChars="200"/>
        <w:rPr>
          <w:rFonts w:hint="eastAsia"/>
          <w:b/>
        </w:rPr>
      </w:pPr>
    </w:p>
    <w:p w14:paraId="1D1C83D5">
      <w:pPr>
        <w:ind w:firstLine="420" w:firstLineChars="200"/>
        <w:rPr>
          <w:rFonts w:hint="eastAsia"/>
          <w:b/>
        </w:rPr>
      </w:pPr>
    </w:p>
    <w:p w14:paraId="39173197">
      <w:pPr>
        <w:ind w:firstLine="420" w:firstLineChars="200"/>
        <w:rPr>
          <w:rFonts w:hint="eastAsia"/>
          <w:b/>
        </w:rPr>
      </w:pPr>
    </w:p>
    <w:p w14:paraId="55AE4983">
      <w:pPr>
        <w:ind w:firstLine="420" w:firstLineChars="200"/>
        <w:rPr>
          <w:rFonts w:hint="eastAsia"/>
          <w:b/>
        </w:rPr>
      </w:pPr>
    </w:p>
    <w:p w14:paraId="3B8BF9A4">
      <w:pPr>
        <w:ind w:firstLine="420" w:firstLineChars="200"/>
        <w:rPr>
          <w:rFonts w:hint="eastAsia"/>
          <w:b/>
        </w:rPr>
      </w:pPr>
    </w:p>
    <w:p w14:paraId="7AD7A495">
      <w:pPr>
        <w:ind w:firstLine="420" w:firstLineChars="200"/>
        <w:rPr>
          <w:rFonts w:hint="eastAsia"/>
          <w:b/>
        </w:rPr>
      </w:pPr>
    </w:p>
    <w:p w14:paraId="2F4EBE98">
      <w:pPr>
        <w:ind w:firstLine="420" w:firstLineChars="200"/>
        <w:rPr>
          <w:rFonts w:hint="eastAsia"/>
          <w:b/>
        </w:rPr>
      </w:pPr>
    </w:p>
    <w:p w14:paraId="05875721">
      <w:pPr>
        <w:ind w:firstLine="420" w:firstLineChars="200"/>
        <w:rPr>
          <w:rFonts w:hint="eastAsia"/>
          <w:b/>
        </w:rPr>
      </w:pPr>
    </w:p>
    <w:p w14:paraId="0D644443">
      <w:pPr>
        <w:ind w:firstLine="420" w:firstLineChars="200"/>
        <w:rPr>
          <w:rFonts w:hint="eastAsia"/>
          <w:b/>
        </w:rPr>
      </w:pPr>
    </w:p>
    <w:p w14:paraId="4B6A9419">
      <w:pPr>
        <w:ind w:firstLine="420" w:firstLineChars="200"/>
        <w:rPr>
          <w:rFonts w:hint="eastAsia"/>
          <w:b/>
        </w:rPr>
      </w:pPr>
    </w:p>
    <w:p w14:paraId="073790BB">
      <w:pPr>
        <w:ind w:firstLine="420" w:firstLineChars="200"/>
        <w:rPr>
          <w:rFonts w:hint="eastAsia"/>
          <w:b/>
        </w:rPr>
      </w:pPr>
    </w:p>
    <w:p w14:paraId="6FF9095E">
      <w:pPr>
        <w:ind w:firstLine="420" w:firstLineChars="200"/>
        <w:rPr>
          <w:rFonts w:hint="eastAsia"/>
          <w:b/>
        </w:rPr>
      </w:pPr>
    </w:p>
    <w:p w14:paraId="02E1AC29">
      <w:pPr>
        <w:ind w:firstLine="420" w:firstLineChars="200"/>
        <w:rPr>
          <w:rFonts w:hint="eastAsia"/>
          <w:b/>
        </w:rPr>
      </w:pPr>
    </w:p>
    <w:p w14:paraId="1F906069">
      <w:pPr>
        <w:ind w:firstLine="420" w:firstLineChars="200"/>
        <w:rPr>
          <w:rFonts w:hint="eastAsia"/>
          <w:b/>
        </w:rPr>
      </w:pPr>
    </w:p>
    <w:p w14:paraId="4344DA53">
      <w:pPr>
        <w:ind w:firstLine="420" w:firstLineChars="200"/>
        <w:rPr>
          <w:rFonts w:hint="eastAsia"/>
          <w:b/>
        </w:rPr>
      </w:pPr>
    </w:p>
    <w:p w14:paraId="73F657C3">
      <w:pPr>
        <w:ind w:firstLine="420" w:firstLineChars="200"/>
        <w:rPr>
          <w:rFonts w:hint="eastAsia"/>
          <w:b/>
        </w:rPr>
      </w:pPr>
    </w:p>
    <w:p w14:paraId="593AD41D">
      <w:pPr>
        <w:ind w:firstLine="420" w:firstLineChars="200"/>
        <w:rPr>
          <w:rFonts w:hint="eastAsia"/>
          <w:b/>
        </w:rPr>
      </w:pPr>
    </w:p>
    <w:p w14:paraId="463A5329">
      <w:pPr>
        <w:ind w:firstLine="420" w:firstLineChars="200"/>
        <w:rPr>
          <w:rFonts w:hint="eastAsia"/>
          <w:b/>
        </w:rPr>
      </w:pPr>
    </w:p>
    <w:p w14:paraId="37A04FC9">
      <w:pPr>
        <w:ind w:firstLine="420" w:firstLineChars="200"/>
        <w:rPr>
          <w:rFonts w:hint="eastAsia"/>
          <w:b/>
        </w:rPr>
      </w:pPr>
    </w:p>
    <w:p w14:paraId="6311D598">
      <w:pPr>
        <w:ind w:firstLine="420" w:firstLineChars="200"/>
        <w:rPr>
          <w:rFonts w:hint="eastAsia"/>
        </w:rPr>
      </w:pPr>
      <w:r>
        <w:rPr>
          <w:rFonts w:hint="eastAsia"/>
          <w:b/>
        </w:rPr>
        <w:t>分标2：医用血管造影X射线机（分标2）</w:t>
      </w:r>
    </w:p>
    <w:p w14:paraId="059F7975">
      <w:pPr>
        <w:ind w:firstLine="420" w:firstLineChars="200"/>
        <w:rPr>
          <w:rFonts w:hint="eastAsia"/>
          <w:lang w:eastAsia="zh-CN"/>
        </w:rPr>
      </w:pPr>
      <w:r>
        <w:rPr>
          <w:rFonts w:hint="eastAsia"/>
        </w:rPr>
        <w:t>采购预算：1240</w:t>
      </w:r>
      <w:r>
        <w:rPr>
          <w:rFonts w:hint="eastAsia"/>
          <w:lang w:eastAsia="zh-CN"/>
        </w:rPr>
        <w:t>万元</w:t>
      </w:r>
    </w:p>
    <w:p w14:paraId="67E2DDB6">
      <w:pPr>
        <w:ind w:firstLine="420" w:firstLineChars="200"/>
      </w:pPr>
      <w:r>
        <w:rPr>
          <w:rFonts w:hint="eastAsia"/>
        </w:rPr>
        <w:t>最高限价：</w:t>
      </w:r>
      <w:r>
        <w:rPr>
          <w:rFonts w:hint="eastAsia"/>
          <w:highlight w:val="none"/>
          <w:lang w:val="en-US" w:eastAsia="zh-CN"/>
        </w:rPr>
        <w:t>800</w:t>
      </w:r>
      <w:r>
        <w:rPr>
          <w:rFonts w:hint="eastAsia"/>
          <w:highlight w:val="none"/>
        </w:rPr>
        <w:t>万元（800万元/套）</w:t>
      </w:r>
    </w:p>
    <w:p w14:paraId="7FC4B2D7">
      <w:pPr>
        <w:ind w:firstLine="420"/>
        <w:rPr>
          <w:rFonts w:ascii="宋体" w:hAnsi="宋体" w:cs="宋体"/>
          <w:szCs w:val="21"/>
        </w:rPr>
      </w:pPr>
      <w:r>
        <w:rPr>
          <w:rFonts w:hint="eastAsia" w:ascii="宋体" w:hAnsi="宋体" w:cs="宋体"/>
          <w:szCs w:val="21"/>
        </w:rPr>
        <w:t>一、</w:t>
      </w:r>
      <w:r>
        <w:rPr>
          <w:rStyle w:val="191"/>
          <w:rFonts w:hint="eastAsia" w:ascii="宋体" w:hAnsi="宋体"/>
          <w:color w:val="auto"/>
          <w:szCs w:val="21"/>
          <w:u w:val="none"/>
        </w:rPr>
        <w:t>技术参数及性能（配置）要求</w:t>
      </w:r>
    </w:p>
    <w:tbl>
      <w:tblPr>
        <w:tblStyle w:val="55"/>
        <w:tblpPr w:leftFromText="180" w:rightFromText="180" w:vertAnchor="text" w:horzAnchor="page" w:tblpXSpec="center" w:tblpY="224"/>
        <w:tblOverlap w:val="never"/>
        <w:tblW w:w="51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7"/>
        <w:gridCol w:w="1080"/>
        <w:gridCol w:w="935"/>
        <w:gridCol w:w="939"/>
        <w:gridCol w:w="6479"/>
      </w:tblGrid>
      <w:tr w14:paraId="321CC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326" w:type="pct"/>
            <w:vAlign w:val="center"/>
          </w:tcPr>
          <w:p w14:paraId="382A6A1D">
            <w:pPr>
              <w:tabs>
                <w:tab w:val="left" w:pos="180"/>
                <w:tab w:val="left" w:pos="1620"/>
              </w:tabs>
              <w:jc w:val="center"/>
              <w:rPr>
                <w:rFonts w:ascii="宋体" w:hAnsi="宋体" w:cs="宋体"/>
                <w:szCs w:val="21"/>
              </w:rPr>
            </w:pPr>
            <w:r>
              <w:rPr>
                <w:rFonts w:hint="eastAsia" w:ascii="宋体" w:hAnsi="宋体" w:cs="宋体"/>
                <w:szCs w:val="21"/>
              </w:rPr>
              <w:t>序号</w:t>
            </w:r>
          </w:p>
        </w:tc>
        <w:tc>
          <w:tcPr>
            <w:tcW w:w="535" w:type="pct"/>
            <w:vAlign w:val="center"/>
          </w:tcPr>
          <w:p w14:paraId="0EF32E5C">
            <w:pPr>
              <w:tabs>
                <w:tab w:val="left" w:pos="180"/>
                <w:tab w:val="left" w:pos="1620"/>
              </w:tabs>
              <w:jc w:val="center"/>
              <w:rPr>
                <w:rFonts w:ascii="宋体" w:hAnsi="宋体" w:cs="宋体"/>
                <w:szCs w:val="21"/>
              </w:rPr>
            </w:pPr>
            <w:r>
              <w:rPr>
                <w:rFonts w:hint="eastAsia" w:ascii="宋体" w:hAnsi="宋体" w:cs="宋体"/>
                <w:szCs w:val="21"/>
              </w:rPr>
              <w:t>货物名称</w:t>
            </w:r>
          </w:p>
        </w:tc>
        <w:tc>
          <w:tcPr>
            <w:tcW w:w="463" w:type="pct"/>
            <w:vAlign w:val="center"/>
          </w:tcPr>
          <w:p w14:paraId="532EF7D4">
            <w:pPr>
              <w:tabs>
                <w:tab w:val="left" w:pos="180"/>
                <w:tab w:val="left" w:pos="1620"/>
              </w:tabs>
              <w:jc w:val="center"/>
              <w:rPr>
                <w:rFonts w:ascii="宋体" w:hAnsi="宋体" w:cs="宋体"/>
                <w:szCs w:val="21"/>
              </w:rPr>
            </w:pPr>
            <w:r>
              <w:rPr>
                <w:rFonts w:hint="eastAsia" w:ascii="宋体" w:hAnsi="宋体" w:cs="宋体"/>
                <w:szCs w:val="21"/>
              </w:rPr>
              <w:t>数量</w:t>
            </w:r>
          </w:p>
        </w:tc>
        <w:tc>
          <w:tcPr>
            <w:tcW w:w="465" w:type="pct"/>
            <w:vAlign w:val="center"/>
          </w:tcPr>
          <w:p w14:paraId="67B24574">
            <w:pPr>
              <w:tabs>
                <w:tab w:val="left" w:pos="180"/>
                <w:tab w:val="left" w:pos="1620"/>
              </w:tabs>
              <w:jc w:val="center"/>
              <w:rPr>
                <w:rFonts w:ascii="宋体" w:hAnsi="宋体" w:cs="宋体"/>
                <w:szCs w:val="21"/>
              </w:rPr>
            </w:pPr>
            <w:r>
              <w:rPr>
                <w:rFonts w:hint="eastAsia" w:ascii="宋体" w:hAnsi="宋体" w:cs="宋体"/>
                <w:szCs w:val="21"/>
              </w:rPr>
              <w:t>单位</w:t>
            </w:r>
          </w:p>
        </w:tc>
        <w:tc>
          <w:tcPr>
            <w:tcW w:w="3210" w:type="pct"/>
            <w:vAlign w:val="center"/>
          </w:tcPr>
          <w:p w14:paraId="71BCD7E3">
            <w:pPr>
              <w:tabs>
                <w:tab w:val="left" w:pos="180"/>
                <w:tab w:val="left" w:pos="1620"/>
              </w:tabs>
              <w:jc w:val="center"/>
              <w:rPr>
                <w:rFonts w:ascii="宋体" w:hAnsi="宋体" w:cs="宋体"/>
                <w:szCs w:val="21"/>
              </w:rPr>
            </w:pPr>
            <w:r>
              <w:rPr>
                <w:rStyle w:val="191"/>
                <w:rFonts w:hint="eastAsia" w:ascii="宋体" w:hAnsi="宋体"/>
                <w:color w:val="auto"/>
                <w:szCs w:val="21"/>
                <w:u w:val="none"/>
              </w:rPr>
              <w:t>技术参数及性能（配置）要求</w:t>
            </w:r>
          </w:p>
        </w:tc>
      </w:tr>
      <w:tr w14:paraId="62654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326" w:type="pct"/>
            <w:vAlign w:val="center"/>
          </w:tcPr>
          <w:p w14:paraId="65D02DEB">
            <w:pPr>
              <w:tabs>
                <w:tab w:val="left" w:pos="180"/>
                <w:tab w:val="left" w:pos="1620"/>
              </w:tabs>
              <w:jc w:val="center"/>
              <w:rPr>
                <w:rFonts w:ascii="宋体" w:hAnsi="宋体" w:cs="宋体"/>
                <w:szCs w:val="21"/>
              </w:rPr>
            </w:pPr>
            <w:r>
              <w:rPr>
                <w:rFonts w:hint="eastAsia" w:ascii="宋体" w:hAnsi="宋体" w:cs="宋体"/>
                <w:szCs w:val="21"/>
              </w:rPr>
              <w:t>1</w:t>
            </w:r>
          </w:p>
        </w:tc>
        <w:tc>
          <w:tcPr>
            <w:tcW w:w="535" w:type="pct"/>
            <w:vAlign w:val="center"/>
          </w:tcPr>
          <w:p w14:paraId="4FFACCC7">
            <w:pPr>
              <w:snapToGrid w:val="0"/>
              <w:jc w:val="center"/>
              <w:rPr>
                <w:rFonts w:ascii="宋体" w:hAnsi="宋体" w:cs="宋体"/>
                <w:szCs w:val="21"/>
              </w:rPr>
            </w:pPr>
            <w:r>
              <w:rPr>
                <w:rFonts w:hint="eastAsia"/>
                <w:b/>
              </w:rPr>
              <w:t>医用血管造影X射线机</w:t>
            </w:r>
            <w:r>
              <w:rPr>
                <w:rFonts w:hint="eastAsia" w:ascii="宋体" w:hAnsi="宋体" w:cs="宋体"/>
                <w:b/>
                <w:bCs/>
                <w:szCs w:val="21"/>
              </w:rPr>
              <w:t>（分标2）</w:t>
            </w:r>
          </w:p>
        </w:tc>
        <w:tc>
          <w:tcPr>
            <w:tcW w:w="463" w:type="pct"/>
            <w:vAlign w:val="center"/>
          </w:tcPr>
          <w:p w14:paraId="44440AB6">
            <w:pPr>
              <w:jc w:val="center"/>
              <w:rPr>
                <w:rFonts w:ascii="宋体" w:hAnsi="宋体" w:cs="宋体"/>
                <w:szCs w:val="21"/>
              </w:rPr>
            </w:pPr>
            <w:r>
              <w:rPr>
                <w:rFonts w:hint="eastAsia" w:ascii="宋体" w:hAnsi="宋体" w:cs="宋体"/>
                <w:szCs w:val="21"/>
              </w:rPr>
              <w:t>1</w:t>
            </w:r>
          </w:p>
        </w:tc>
        <w:tc>
          <w:tcPr>
            <w:tcW w:w="465" w:type="pct"/>
            <w:vAlign w:val="center"/>
          </w:tcPr>
          <w:p w14:paraId="75C90D3A">
            <w:pPr>
              <w:pStyle w:val="18"/>
              <w:spacing w:line="240" w:lineRule="auto"/>
              <w:ind w:leftChars="-88" w:hanging="184" w:hangingChars="88"/>
              <w:jc w:val="center"/>
              <w:rPr>
                <w:rFonts w:ascii="宋体" w:hAnsi="宋体" w:cs="宋体"/>
                <w:sz w:val="21"/>
                <w:szCs w:val="21"/>
              </w:rPr>
            </w:pPr>
            <w:r>
              <w:rPr>
                <w:rFonts w:hint="eastAsia" w:ascii="宋体" w:hAnsi="宋体" w:cs="宋体"/>
                <w:sz w:val="21"/>
                <w:szCs w:val="21"/>
              </w:rPr>
              <w:t>套</w:t>
            </w:r>
          </w:p>
        </w:tc>
        <w:tc>
          <w:tcPr>
            <w:tcW w:w="3210" w:type="pct"/>
            <w:vAlign w:val="center"/>
          </w:tcPr>
          <w:p w14:paraId="44F00DE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 机架</w:t>
            </w:r>
          </w:p>
          <w:p w14:paraId="2DDD70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 机架为落地或悬吊机械臂式；</w:t>
            </w:r>
          </w:p>
          <w:p w14:paraId="6A83DE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 机架系统机械轴：≥7轴；</w:t>
            </w:r>
          </w:p>
          <w:p w14:paraId="08A830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1.3 机架C型臂旋转速度(非旋转采集)LA0/RA0:≥20°/秒；</w:t>
            </w:r>
          </w:p>
          <w:p w14:paraId="731A7C5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1.4 机架C型臂环内滑动速度(非旋转采集)CRAN/CAU:≥20°/秒；</w:t>
            </w:r>
          </w:p>
          <w:p w14:paraId="4612CA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1.5 机架在头位时，机架滑动轴旋转角度范围：CRA≥50°；</w:t>
            </w:r>
          </w:p>
          <w:p w14:paraId="099B2DA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1.6 机架在头位时，机架滑动轴旋转角度范围：CAU≥50°；</w:t>
            </w:r>
          </w:p>
          <w:p w14:paraId="487DDED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1.7 机架在头位时，机架滑动轴旋转角度范围：RAO≥185°；</w:t>
            </w:r>
          </w:p>
          <w:p w14:paraId="6453E64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1.8机架在头位时，机架滑动轴旋转角度范围：LAO≥105°；</w:t>
            </w:r>
          </w:p>
          <w:p w14:paraId="090F260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1.9机架在侧位时，机架旋转轴旋转角度范围：RAO≥50°；</w:t>
            </w:r>
          </w:p>
          <w:p w14:paraId="771210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1.10机架在侧位时，机架旋转轴旋转角度范围：LAO≥50°；</w:t>
            </w:r>
          </w:p>
          <w:p w14:paraId="46C87E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1.11数码显示所有C型臂旋转角度信息；</w:t>
            </w:r>
          </w:p>
          <w:p w14:paraId="257440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 机架多位置预设，存储位置≥99种；</w:t>
            </w:r>
          </w:p>
          <w:p w14:paraId="2AE3FD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▲1.13平板探测器到球管焦点的距离SID≥40cm；</w:t>
            </w:r>
          </w:p>
          <w:p w14:paraId="5D90D1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1.14 C臂开口：≥86cm；</w:t>
            </w:r>
          </w:p>
          <w:p w14:paraId="04CF23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1.15 机架在床头位可对患者进行三维旋转采集；</w:t>
            </w:r>
          </w:p>
          <w:p w14:paraId="40519E6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1.16 机架等中心点到球管焦点的距离SOD:≥75cm；</w:t>
            </w:r>
          </w:p>
          <w:p w14:paraId="4A47155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▲1.17 机架C臂沿病人头足纵向移动范围≥230cm（C臂单独运动，无需床面伸缩配合）。</w:t>
            </w:r>
          </w:p>
          <w:p w14:paraId="359A0D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 透视及射线剂量防护</w:t>
            </w:r>
          </w:p>
          <w:p w14:paraId="6BFBC9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 铜滤片自动插入技术消除球管软射线；</w:t>
            </w:r>
          </w:p>
          <w:p w14:paraId="217A5E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2.2 具有床下防护铅帘，悬吊式防护铅屏，配悬吊式手术灯；</w:t>
            </w:r>
          </w:p>
          <w:p w14:paraId="010000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2.3 具有管球内置栅控技术；</w:t>
            </w:r>
          </w:p>
          <w:p w14:paraId="25DF43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2.4 具备脉冲透视；</w:t>
            </w:r>
          </w:p>
          <w:p w14:paraId="7F9C56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2.5 床旁可直接选择透视剂量：≥3档；</w:t>
            </w:r>
          </w:p>
          <w:p w14:paraId="4B7153D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2.6 可存储单幅及序列透视图像，透视序列可以同屏多幅图像形式显示于参考屏上；</w:t>
            </w:r>
          </w:p>
          <w:p w14:paraId="5C0FB9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2.7 最大脉冲透视速度：≥30幅/秒；</w:t>
            </w:r>
          </w:p>
          <w:p w14:paraId="20C30C3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2.8 最小脉冲透视速度：≤7.5幅/秒；</w:t>
            </w:r>
          </w:p>
          <w:p w14:paraId="6E7B84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2.9 具有透视末帧图像保持功能；</w:t>
            </w:r>
          </w:p>
          <w:p w14:paraId="31904EA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2.10 射线剂量防护技术；</w:t>
            </w:r>
          </w:p>
          <w:p w14:paraId="1C9852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2.11 具有射线剂量监测功能；</w:t>
            </w:r>
          </w:p>
          <w:p w14:paraId="2D6081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2.12 具备透视图像存储功能；</w:t>
            </w:r>
          </w:p>
          <w:p w14:paraId="2D49ED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2.13 透视冻结图像上可实现无射线调节遮光器、滤波片位置。</w:t>
            </w:r>
          </w:p>
          <w:p w14:paraId="2ACD71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 旋转采集</w:t>
            </w:r>
          </w:p>
          <w:p w14:paraId="57B2F45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3.1 具备2D与3D旋转采集功能；</w:t>
            </w:r>
          </w:p>
          <w:p w14:paraId="0539A79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3.2 正位旋转采集C臂旋转速度：≥40度/秒，旋转角度范围≥200°；</w:t>
            </w:r>
          </w:p>
          <w:p w14:paraId="4FA04E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3.3 侧位旋转采集C臂旋转速度：≥30度/秒，旋转角度范围≥180°。</w:t>
            </w:r>
          </w:p>
          <w:p w14:paraId="50860B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 图像输出设备</w:t>
            </w:r>
          </w:p>
          <w:p w14:paraId="03323F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 手术间图像输出设备：≥1台，屏幕尺寸≥55英寸；</w:t>
            </w:r>
          </w:p>
          <w:p w14:paraId="11F4B0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4.2 控制室图像输出设备：≥2台，屏幕尺寸≥23英寸；</w:t>
            </w:r>
          </w:p>
          <w:p w14:paraId="5D01B43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4.3 手术间提供一套液晶触摸控制屏。</w:t>
            </w:r>
          </w:p>
          <w:p w14:paraId="406C33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 高压发生器</w:t>
            </w:r>
          </w:p>
          <w:p w14:paraId="35A53B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5.1 高频逆变高压发生器功率：≥100kW；</w:t>
            </w:r>
          </w:p>
          <w:p w14:paraId="288200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5.2 支持最小管电压：≤40KV；</w:t>
            </w:r>
          </w:p>
          <w:p w14:paraId="4321CE5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5.3 支持最大管电压：≥125kV；</w:t>
            </w:r>
          </w:p>
          <w:p w14:paraId="03AB22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5.4 最短曝光时间：≤1ms；</w:t>
            </w:r>
          </w:p>
          <w:p w14:paraId="3AB7860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5.5 全自动智能曝光控制；</w:t>
            </w:r>
          </w:p>
          <w:p w14:paraId="4D552E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5.6 最大管电流：≥1000mA。</w:t>
            </w:r>
          </w:p>
          <w:p w14:paraId="51080B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 X线球管</w:t>
            </w:r>
          </w:p>
          <w:p w14:paraId="425587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 球管阳极热容量（非等效）：≥3.5MHU；</w:t>
            </w:r>
          </w:p>
          <w:p w14:paraId="0D7B2BF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★6.2 最大管套热容量：≥6MHU；</w:t>
            </w:r>
          </w:p>
          <w:p w14:paraId="16A51A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▲6.3 球管阳极散热功率：≥5500W；</w:t>
            </w:r>
          </w:p>
          <w:p w14:paraId="03E3DDE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★6.4 球管阳极散热效率：≥450KHU/min；</w:t>
            </w:r>
          </w:p>
          <w:p w14:paraId="0CD99FC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6.5 球管焦点：≥3个；</w:t>
            </w:r>
          </w:p>
          <w:p w14:paraId="02B608B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6.6 最小焦点尺寸：≤0.4mm；</w:t>
            </w:r>
          </w:p>
          <w:p w14:paraId="7553090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6.7 最大焦点尺寸：≥1.0mm；</w:t>
            </w:r>
          </w:p>
          <w:p w14:paraId="5736F92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6.8 最小焦点功率：≥26kW；</w:t>
            </w:r>
          </w:p>
          <w:p w14:paraId="41B091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6.9 最大焦点功率：≥90kW；</w:t>
            </w:r>
          </w:p>
          <w:p w14:paraId="1B3E34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6.10 球管阳极靶边直径：≥100mm；</w:t>
            </w:r>
          </w:p>
          <w:p w14:paraId="4BB17E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★6.11 球管阳极靶靶角：≤11.25°；</w:t>
            </w:r>
          </w:p>
          <w:p w14:paraId="43678D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6.12 球管10分钟阳极持续输入功率：≥3500W；</w:t>
            </w:r>
          </w:p>
          <w:p w14:paraId="6AA5D4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6.13 球管20分钟或以上阳极持续输入功率：≥2500W；</w:t>
            </w:r>
          </w:p>
          <w:p w14:paraId="27C307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★6.14 球管阳极转速：≥6000转/分；</w:t>
            </w:r>
          </w:p>
          <w:p w14:paraId="53A543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6.15 球管内置多档金属滤片，最厚档：≥0.9mm；</w:t>
            </w:r>
          </w:p>
          <w:p w14:paraId="514C1F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★6.16 球管最小焦点透视电流：≥65mA；</w:t>
            </w:r>
          </w:p>
          <w:p w14:paraId="6D711C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6.17 球管冷却采用油直冷或油冷+水冷技术；</w:t>
            </w:r>
          </w:p>
          <w:p w14:paraId="0C39A1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6.18 球管外壳具有碰撞保护功能；</w:t>
            </w:r>
          </w:p>
          <w:p w14:paraId="419ED6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6.19 球搭配遮光器，遮光器位置可存储。</w:t>
            </w:r>
          </w:p>
          <w:p w14:paraId="220E32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 平板探测器</w:t>
            </w:r>
          </w:p>
          <w:p w14:paraId="162D69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 平板探测器类型≥16bits数字化平板探测器；</w:t>
            </w:r>
          </w:p>
          <w:p w14:paraId="3E4A0B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7.2 平板探测器分辨率：≥2.7LP/mm；</w:t>
            </w:r>
          </w:p>
          <w:p w14:paraId="016D58E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7.3 平板像素尺寸：≤160um；</w:t>
            </w:r>
          </w:p>
          <w:p w14:paraId="798F10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7.4 平板DQE:≥70%；</w:t>
            </w:r>
          </w:p>
          <w:p w14:paraId="64F4AE9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7.5 平板探测器具有碰撞保护功能；</w:t>
            </w:r>
          </w:p>
          <w:p w14:paraId="7292CA9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7.6 平板探测器最大有效成像视野：≥26cm×38cm；</w:t>
            </w:r>
          </w:p>
          <w:p w14:paraId="575A0C4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7.7 平板探测器：≥6种物理成像视野FOV,以适应不同部位介入需要；</w:t>
            </w:r>
          </w:p>
          <w:p w14:paraId="1C5605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7.8 平板最小视野面积≤11×11cm；</w:t>
            </w:r>
          </w:p>
          <w:p w14:paraId="194F11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7.9 平板采集矩阵：≥2500×1500；</w:t>
            </w:r>
          </w:p>
          <w:p w14:paraId="6AD58E8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7.10 探测器旋转范围≥200°；</w:t>
            </w:r>
          </w:p>
          <w:p w14:paraId="7C4BB8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7.11 平板探测器材料：单晶硅或非晶硅；</w:t>
            </w:r>
          </w:p>
          <w:p w14:paraId="31E1CE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7.12平板上具备控制平板升降、旋转运动的按键。</w:t>
            </w:r>
          </w:p>
          <w:p w14:paraId="10AA610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 手术床</w:t>
            </w:r>
          </w:p>
          <w:p w14:paraId="580DC7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8.1 床长（不含延长板）:≥280cm；</w:t>
            </w:r>
          </w:p>
          <w:p w14:paraId="533952C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8.2 床面宽：≥45cm；</w:t>
            </w:r>
          </w:p>
          <w:p w14:paraId="4535E0E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8.3 床面采用透X射线的碳纤维材料；</w:t>
            </w:r>
          </w:p>
          <w:p w14:paraId="0A7123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8.4 床面水平方向旋转角度范围：≥270°；</w:t>
            </w:r>
          </w:p>
          <w:p w14:paraId="00035E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8.5 床面沿水平方向旋转180°(即床头尾方向互换)并锁定；</w:t>
            </w:r>
          </w:p>
          <w:p w14:paraId="39E572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8.6 床面升降范围：≥28cm；</w:t>
            </w:r>
          </w:p>
          <w:p w14:paraId="55270C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8.7 床面最低高度：≤74cm；</w:t>
            </w:r>
          </w:p>
          <w:p w14:paraId="20D145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8.8 床面横向运动范围：≥28cm；</w:t>
            </w:r>
          </w:p>
          <w:p w14:paraId="53102BE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8.9 床面纵向运动范围：≥120cm；</w:t>
            </w:r>
          </w:p>
          <w:p w14:paraId="128EB8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8.10 床旁智能手柄或智能操纵杆控制机架和床的运动；</w:t>
            </w:r>
          </w:p>
          <w:p w14:paraId="163DD6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8.11 手术床最大承重：≥300KG。</w:t>
            </w:r>
          </w:p>
          <w:p w14:paraId="072806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 网络与接口</w:t>
            </w:r>
          </w:p>
          <w:p w14:paraId="7E9A358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9.1 具有DICOM格式发送功能；</w:t>
            </w:r>
          </w:p>
          <w:p w14:paraId="284B68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9.2 具有DICOM格式打印功能；</w:t>
            </w:r>
          </w:p>
          <w:p w14:paraId="6641AD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9.3 具有DICOM格式搜索功能；</w:t>
            </w:r>
          </w:p>
          <w:p w14:paraId="390851B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9.4 具有DICOM格式病人列表功能；</w:t>
            </w:r>
          </w:p>
          <w:p w14:paraId="2C12A1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9.5 具有DICOM格式状态通讯功能；</w:t>
            </w:r>
          </w:p>
          <w:p w14:paraId="4698C2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9.6 具备激光相机接口；</w:t>
            </w:r>
          </w:p>
          <w:p w14:paraId="70146E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9.7 具备高压注射器接口。</w:t>
            </w:r>
          </w:p>
          <w:p w14:paraId="42C083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 具备三维血管图像重建工作站</w:t>
            </w:r>
          </w:p>
          <w:p w14:paraId="0D06CCE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10.1 具备三维工作站硬件，三维图像能与手术间同步显示；</w:t>
            </w:r>
          </w:p>
          <w:p w14:paraId="58DAAF4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10.2 能完成血管3D图像重建和显示，床旁可进行3D图像处理；</w:t>
            </w:r>
          </w:p>
          <w:p w14:paraId="66A16B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10.3 机架在头位与侧位均可进行三维采集；</w:t>
            </w:r>
          </w:p>
          <w:p w14:paraId="61A877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10.4 最大旋转采集速度：≥40度/秒，采集角度≥240°；</w:t>
            </w:r>
          </w:p>
          <w:p w14:paraId="5F2C478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10.5 具有体积/表面重建，最大密度投影、虚拟支架、虚拟内窥镜、模拟机架位、钙化斑成像、透明血管成像功能；</w:t>
            </w:r>
          </w:p>
          <w:p w14:paraId="03C227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10.6 具有实时三维路图功能；</w:t>
            </w:r>
          </w:p>
          <w:p w14:paraId="1F40CF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10.7 具有高分辨率锥形束CT扫描重建功能；</w:t>
            </w:r>
          </w:p>
          <w:p w14:paraId="6D9CCC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10.8 具有多期锥形束CT扫描≥2期；</w:t>
            </w:r>
          </w:p>
          <w:p w14:paraId="791AE5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10.9 具有持开环偏中心锥形束CT扫描功能；</w:t>
            </w:r>
          </w:p>
          <w:p w14:paraId="2C71838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10.10 具有CBCT去金属伪影再重建功能。</w:t>
            </w:r>
          </w:p>
          <w:p w14:paraId="6896AD2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 图像采集处理功能</w:t>
            </w:r>
          </w:p>
          <w:p w14:paraId="3C375F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 心脏采集最大帧率：≥30帧/秒；</w:t>
            </w:r>
          </w:p>
          <w:p w14:paraId="53B631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 外周采集最大帧率：≥6帧/秒；</w:t>
            </w:r>
          </w:p>
          <w:p w14:paraId="6E7B71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11.3 具备实时减影功能；</w:t>
            </w:r>
          </w:p>
          <w:p w14:paraId="2A2645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11.4 硬盘图像存储量1024×1024矩阵：≥10万幅；</w:t>
            </w:r>
          </w:p>
          <w:p w14:paraId="36D277E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11.5 具备心室分析软件；</w:t>
            </w:r>
          </w:p>
          <w:p w14:paraId="1A263B3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11.6 具备冠脉分析软件；</w:t>
            </w:r>
          </w:p>
          <w:p w14:paraId="5DA9B0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11.7 具备智能路径图功能；</w:t>
            </w:r>
          </w:p>
          <w:p w14:paraId="10E5179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11.8 具备低剂量采集功能；</w:t>
            </w:r>
          </w:p>
          <w:p w14:paraId="7F2EF2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11.9 具备支架精显功能；</w:t>
            </w:r>
          </w:p>
          <w:p w14:paraId="735A05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11.10 具备多模态影像融合功能。</w:t>
            </w:r>
          </w:p>
          <w:p w14:paraId="574D96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 配置清单</w:t>
            </w:r>
          </w:p>
          <w:p w14:paraId="1891AB2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 输液架1个；</w:t>
            </w:r>
          </w:p>
          <w:p w14:paraId="30EBC5B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12.2 固定头托1个；</w:t>
            </w:r>
          </w:p>
          <w:p w14:paraId="471CDA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12.3 固定手托1个；</w:t>
            </w:r>
          </w:p>
          <w:p w14:paraId="236FC63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12.4 桡动脉穿刺臂托1个；</w:t>
            </w:r>
          </w:p>
          <w:p w14:paraId="7302DC5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12.5 病人绑带2条；</w:t>
            </w:r>
          </w:p>
          <w:p w14:paraId="4B09BD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12.6 双向对讲机1套；</w:t>
            </w:r>
          </w:p>
          <w:p w14:paraId="7ABE6DC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12.7 红外遥控器或手闸1套；</w:t>
            </w:r>
          </w:p>
          <w:p w14:paraId="25941BC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12.8 曝光脚闸1个；</w:t>
            </w:r>
          </w:p>
          <w:p w14:paraId="5DD4227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12.9 DSA高压注射器1台；</w:t>
            </w:r>
          </w:p>
          <w:p w14:paraId="1DFDAB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12.10 防护用品10套（铅当量符合国家防护标准），每套包含：铅衣、铅裙、围脖套、铅帽、铅眼镜、超薄铅手套（铅当量符合国家防护标准）、长方巾、性腺防护短裙，铅衣+铅裙重量≤5Kg,且铅衣、铅裙、围脖套100%伸长率时不出现龟裂；</w:t>
            </w:r>
          </w:p>
          <w:p w14:paraId="334F48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12.11 高频电刀1台；</w:t>
            </w:r>
          </w:p>
          <w:p w14:paraId="3F1732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12.12 移动医用射线防护屏1个，设置观察窗，铅屏高度不低于1.8米，宽度不少于1米，防护铅当量/管电压：2.0mmPb/120kv；</w:t>
            </w:r>
          </w:p>
          <w:p w14:paraId="04623F3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12.13 移动铅衣架1个，铅衣架至少10个铅衣位；</w:t>
            </w:r>
          </w:p>
          <w:p w14:paraId="4ABEA4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12.14 除颤仪（带AED）1套及配套存放架；</w:t>
            </w:r>
          </w:p>
          <w:p w14:paraId="4516455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12.15 教学影像实时录播传输系统1套，支持多媒体手术实况转播，配音响系统及影像刻录装置；</w:t>
            </w:r>
          </w:p>
          <w:p w14:paraId="4B51F8D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12.16 图文报告工作站2套；</w:t>
            </w:r>
          </w:p>
          <w:p w14:paraId="5E39D7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12.17 多功能心电监护仪1台及配套存放架；</w:t>
            </w:r>
          </w:p>
          <w:p w14:paraId="05DCD0B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12.18 治疗车3台；</w:t>
            </w:r>
          </w:p>
          <w:p w14:paraId="02F7B2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12.19 四通道微量泵2台；</w:t>
            </w:r>
          </w:p>
          <w:p w14:paraId="111BBD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12.20 DSA操作台配套工作台2套、桌椅2套；</w:t>
            </w:r>
          </w:p>
          <w:p w14:paraId="2F824D1B">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1"/>
                <w:szCs w:val="21"/>
              </w:rPr>
            </w:pPr>
            <w:r>
              <w:rPr>
                <w:rFonts w:hint="eastAsia"/>
                <w:lang w:val="en-US" w:eastAsia="zh-CN"/>
              </w:rPr>
              <w:t>12.21 多道生理记录仪1台（带血流动力学监测）。</w:t>
            </w:r>
          </w:p>
        </w:tc>
      </w:tr>
    </w:tbl>
    <w:p w14:paraId="686241C8">
      <w:pPr>
        <w:pStyle w:val="2"/>
        <w:ind w:firstLine="420" w:firstLineChars="200"/>
        <w:rPr>
          <w:rStyle w:val="191"/>
          <w:rFonts w:hint="eastAsia" w:hAnsi="宋体"/>
          <w:b/>
          <w:bCs/>
          <w:color w:val="auto"/>
          <w:kern w:val="2"/>
          <w:sz w:val="21"/>
          <w:szCs w:val="21"/>
          <w:u w:val="none"/>
        </w:rPr>
      </w:pPr>
    </w:p>
    <w:p w14:paraId="22CA7EA9">
      <w:pPr>
        <w:pStyle w:val="2"/>
        <w:ind w:firstLine="420" w:firstLineChars="200"/>
        <w:rPr>
          <w:rFonts w:hint="eastAsia" w:hAnsi="宋体"/>
          <w:b/>
          <w:bCs/>
          <w:color w:val="auto"/>
          <w:sz w:val="21"/>
          <w:szCs w:val="21"/>
        </w:rPr>
      </w:pPr>
      <w:bookmarkStart w:id="54" w:name="_GoBack"/>
      <w:bookmarkEnd w:id="54"/>
      <w:r>
        <w:rPr>
          <w:rStyle w:val="191"/>
          <w:rFonts w:hint="eastAsia" w:hAnsi="宋体"/>
          <w:b/>
          <w:bCs/>
          <w:color w:val="auto"/>
          <w:kern w:val="2"/>
          <w:sz w:val="21"/>
          <w:szCs w:val="21"/>
          <w:u w:val="none"/>
        </w:rPr>
        <w:t>▲</w:t>
      </w:r>
      <w:r>
        <w:rPr>
          <w:rFonts w:hint="eastAsia" w:hAnsi="宋体"/>
          <w:b/>
          <w:bCs/>
          <w:color w:val="auto"/>
          <w:sz w:val="21"/>
          <w:szCs w:val="21"/>
        </w:rPr>
        <w:t>二、商务要求（以下所有为实质性要求条款不满足作无效投标处理）</w:t>
      </w:r>
    </w:p>
    <w:p w14:paraId="3227E6D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（一）质量保证期</w:t>
      </w:r>
    </w:p>
    <w:p w14:paraId="42321F4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质量保证期（以下简称质保期）按国家有关产品“三包”规定执行“三包”，产品生产厂家提供整机（含配套附件）保修及免费升级承诺函，且保修时间不得少于</w:t>
      </w:r>
      <w:r>
        <w:rPr>
          <w:rFonts w:hint="eastAsia" w:ascii="宋体" w:hAnsi="宋体"/>
          <w:b w:val="0"/>
          <w:bCs/>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年，自设备验收合格并能正常使用之日起计算。投标人应在投标文件中提供质保期后维保服务优惠报价供配置单位日后采购时参考。</w:t>
      </w:r>
    </w:p>
    <w:p w14:paraId="28B7399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（二）交货时间及地点</w:t>
      </w:r>
    </w:p>
    <w:p w14:paraId="49DAC70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1.交货时间：合同签定之日起，中标供应商在</w:t>
      </w:r>
      <w:r>
        <w:rPr>
          <w:rFonts w:hint="eastAsia" w:ascii="宋体" w:hAnsi="宋体"/>
          <w:color w:val="000000" w:themeColor="text1"/>
          <w:szCs w:val="21"/>
          <w:lang w:val="en-US" w:eastAsia="zh-CN"/>
          <w14:textFill>
            <w14:solidFill>
              <w14:schemeClr w14:val="tx1"/>
            </w14:solidFill>
          </w14:textFill>
        </w:rPr>
        <w:t>30</w:t>
      </w:r>
      <w:r>
        <w:rPr>
          <w:rFonts w:hint="eastAsia" w:ascii="宋体" w:hAnsi="宋体"/>
          <w:color w:val="000000" w:themeColor="text1"/>
          <w:szCs w:val="21"/>
          <w14:textFill>
            <w14:solidFill>
              <w14:schemeClr w14:val="tx1"/>
            </w14:solidFill>
          </w14:textFill>
        </w:rPr>
        <w:t>个日历日内向配置单位交付全部货物。</w:t>
      </w:r>
    </w:p>
    <w:p w14:paraId="685FC2F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2.交货地点：广西范围内，配置单位指定地点。</w:t>
      </w:r>
    </w:p>
    <w:p w14:paraId="251A749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（三）服务标准、服务效率、售后服务要求</w:t>
      </w:r>
    </w:p>
    <w:p w14:paraId="530B2DC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1.中标供应商负责送货上门，保障设备、人员安全及安装调试，安装前提供相关的布局图和设计要求，培训配置单位的操作人员至能完全独立操作、日常维护及承担以上所产生的相关费用。</w:t>
      </w:r>
    </w:p>
    <w:p w14:paraId="308EA7E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2.质保期内提供7×24小时售后服务，仪器设备出现故障，在接到电话通知后，2小时内做出实质性响应（远程解决或做出预备维护动作），需维护工程师现场解决的，要求在24小时内到现场处理。</w:t>
      </w:r>
    </w:p>
    <w:p w14:paraId="75DFF48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3.质保期内发生故障的设备如无法在24小时内修复，须保证年开机率95%以上，否则中标供应商承担相应的损失。单次故障（不可抗力因素除外）维修时间超过20天仍无法修复的，配置单位有权要求更换设备或赔偿。</w:t>
      </w:r>
    </w:p>
    <w:p w14:paraId="258C810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4.质保期内每季度一次定期回访以及对设备维护。质保期满前1个月内中标供应商应负责对设备进行一次免费全面检查，如发现潜在问题，应负责排除，保证设备正常运行。</w:t>
      </w:r>
    </w:p>
    <w:p w14:paraId="6A11F8A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产品必须是全新，且生产日期为1年内（签订合同之日计算）的产品。产品包装必须是全新的合格产品，并按照原厂标准包装规格供货，不接受散装或拆包装件。所有货物都提供中文说明书和详细装箱清单及质量合格证。</w:t>
      </w:r>
    </w:p>
    <w:p w14:paraId="1828EB4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6.安装调试完成后，中标供应商对配置单位提供1次或多次培训，使配置单位的操作人员及工程人员熟练掌握全部功能及基本维修，相关费用包括在投标报价中，配置单位不再另行支付。</w:t>
      </w:r>
    </w:p>
    <w:p w14:paraId="1EBC570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7.中标供应商提供维护手册、维修手册、软件备份、故障代码表、备件清单。质保期外，无偿提供维修密码及所附软件在该项目的永久使用权。</w:t>
      </w:r>
    </w:p>
    <w:p w14:paraId="4221B81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7E5E463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9.中标供应商保证配置单位能够合法应用该器械及相应服务。配置单位在办理相关证件及验收等流程中，中标供应商必须提供所需的合法材料。</w:t>
      </w:r>
    </w:p>
    <w:p w14:paraId="200D389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（四）付款方式</w:t>
      </w:r>
    </w:p>
    <w:p w14:paraId="34F0985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分期付款，分两期支付。</w:t>
      </w:r>
    </w:p>
    <w:p w14:paraId="0D8BB1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1.第一期：预付款为合同金额的30%；签订合同后，配置单位收到中标供应商开具合法有效的合同款30%等额发票后，10个工作日内，向中标供应商支付预付款；</w:t>
      </w:r>
    </w:p>
    <w:p w14:paraId="1630F9E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2.第二期：所有货物交货安装调试完毕并验收合格，双方签署验收报告后，配置单位收到中标供应商开具合法有效的合同款70%等额发票后，10个工作日内，支付至合同款的100%。</w:t>
      </w:r>
    </w:p>
    <w:p w14:paraId="329DFA3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3.中标供应商未开具合法有效的等额发票的，配置单位有权不支付合同款。</w:t>
      </w:r>
    </w:p>
    <w:p w14:paraId="3F05C6A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（五）履约保证金</w:t>
      </w:r>
    </w:p>
    <w:p w14:paraId="3F36A2F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履约保证金金额：中标供应商按中标金额的5%向配置单位支付履约保证金。（如中标供应商为中小微企业，按中标金额的2%），如中标供应商以保函形式提交的履约保证金，配置单位不得拒收。</w:t>
      </w:r>
    </w:p>
    <w:p w14:paraId="0004B0C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在签订合同之前，中标供应商需把履约保证金足额交到配置单位指定账户。未提交履约保证金的，不予签订本合同。验收合格后，配置单位应当按照合同约定的退还方式，由中标供应商提出书面申请后，在5个工作日内办理履约保证金退还手续。中标供应商在履行合同过程中，未能按照合同约定履行质量保证义务的（不可抗力除外），若因此给配置单位造成损失的，应向配置单位进行等额赔偿。</w:t>
      </w:r>
    </w:p>
    <w:p w14:paraId="1552758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（六）投标报价要求</w:t>
      </w:r>
    </w:p>
    <w:p w14:paraId="10FA994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包含货物、货物标准附件、备品备件、专用工具、设备安装辅材、施工辅材、包装、运输、装卸、保险、连接医院信息系统接口费（如HIS、PACS）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14:paraId="3A5CC59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（七）政策性加分条件</w:t>
      </w:r>
    </w:p>
    <w:p w14:paraId="799B1B2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符合节能环保等国家政策要求。</w:t>
      </w:r>
    </w:p>
    <w:p w14:paraId="72C881F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（八）验收标准及验收方法</w:t>
      </w:r>
    </w:p>
    <w:p w14:paraId="184268A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1.中标供应商应将所提供货物的装箱清单、用户手册、原厂保修卡、随机资料、工具和备品、备件等交付给配置单位，如有缺失应在配置单位要求的期限内及时补齐，否则视为逾期交货。</w:t>
      </w:r>
    </w:p>
    <w:p w14:paraId="0336BC1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配置单位将依据招标文件上的技术要求和国家有关质量标准对中标供应商提交的货物进行初步签收；中标供应商如提供不符合招标文件、投标文件和采购合同规定的货物，配置单位有权不予签收，由此产生的一切损失均由中标供应商自行承担。</w:t>
      </w:r>
    </w:p>
    <w:p w14:paraId="4970779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3.中标供应商需承担供货时产品质量抽样检测的相关费用以及项目验收时发生的一切费用。</w:t>
      </w:r>
    </w:p>
    <w:p w14:paraId="0358284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4.安装合格后15日内提供安装调试报告与原厂技术规格书(或Datasheet)。 本条所有涉及的文件均提供纸质与电子档。</w:t>
      </w:r>
    </w:p>
    <w:p w14:paraId="60DD74C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当项目调试完成后，由中标供应商向配置单位提出项目竣工测试申请，并于验收前向配置单位提供一切有关技术文件、资料、图纸和培训相关记录等竣工材料，并在竣工前5个工作日通知配置单位及有关部门准备验收。拟竣工项目的实施总体功能、性能符合配置单位认可的技术设计方案及合同规定的，配置单位在7个工作日内组织验收，并作出验收结果报告。供需双方签署项目终验验收证书并加盖公章，自正式交付使用之日起，开始计算质保期。</w:t>
      </w:r>
    </w:p>
    <w:p w14:paraId="794C6B6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pPr>
      <w:r>
        <w:rPr>
          <w:rFonts w:hint="eastAsia" w:ascii="宋体" w:hAnsi="宋体"/>
          <w:color w:val="000000" w:themeColor="text1"/>
          <w:szCs w:val="21"/>
          <w14:textFill>
            <w14:solidFill>
              <w14:schemeClr w14:val="tx1"/>
            </w14:solidFill>
          </w14:textFill>
        </w:rPr>
        <w:t>6.配置单位对验收有异议的，以书面形式向中标供应商提出，中标供应商应自收到配置单位书面异议后5个工作日内及时予以解决，中标供应商不予答复或未予以实质解决的，视为认可配置单位异议及处置意见。</w:t>
      </w:r>
    </w:p>
    <w:p w14:paraId="6F5B6C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7.验收标准</w:t>
      </w:r>
    </w:p>
    <w:p w14:paraId="7C6F51FC">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1)项目招标文件及中标供应商投标文件中的“技术响应表”,逐条验收；</w:t>
      </w:r>
    </w:p>
    <w:p w14:paraId="6A43B80C">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（2)项目招标文件及中标供应商投标文件中的“商务响应表”,逐条验收；</w:t>
      </w:r>
    </w:p>
    <w:p w14:paraId="2DF71E43">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（3)中标供应商投标文件中其他技术、服务、商务性的说明、承诺事项，逐条验收。</w:t>
      </w:r>
    </w:p>
    <w:p w14:paraId="339EFF21">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（4)国家相关法律、法规、标准和规范等。</w:t>
      </w:r>
    </w:p>
    <w:p w14:paraId="78BEC14C">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其他未尽事宜应严格参照《关于印发广西壮族自治区政府采购项目履约验收管理办法的通知》[桂财采〔2015〕22号]以及《财政部关于进一步加强政府采购需求和履约验收管理的指导意见》[财库〔2016〕205号]规定执行。</w:t>
      </w:r>
    </w:p>
    <w:p w14:paraId="1974C4F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若配置单位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配置单位不承担逾期付款责任。</w:t>
      </w:r>
    </w:p>
    <w:p w14:paraId="38828DB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9.中标供应商提供的货物与投标文件响应情况不符，视为验收不合格。</w:t>
      </w:r>
    </w:p>
    <w:p w14:paraId="12630D5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（九）进口产品说明</w:t>
      </w:r>
    </w:p>
    <w:p w14:paraId="5C60E52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本标项</w:t>
      </w:r>
      <w:r>
        <w:rPr>
          <w:rFonts w:hint="eastAsia" w:ascii="宋体" w:hAnsi="宋体"/>
          <w:color w:val="000000" w:themeColor="text1"/>
          <w:szCs w:val="21"/>
          <w:lang w:eastAsia="zh-CN"/>
          <w14:textFill>
            <w14:solidFill>
              <w14:schemeClr w14:val="tx1"/>
            </w14:solidFill>
          </w14:textFill>
        </w:rPr>
        <w:t>不</w:t>
      </w:r>
      <w:r>
        <w:rPr>
          <w:rFonts w:hint="eastAsia" w:ascii="宋体" w:hAnsi="宋体"/>
          <w:color w:val="000000" w:themeColor="text1"/>
          <w:szCs w:val="21"/>
          <w14:textFill>
            <w14:solidFill>
              <w14:schemeClr w14:val="tx1"/>
            </w14:solidFill>
          </w14:textFill>
        </w:rPr>
        <w:t>接受进口设备参与投标。</w:t>
      </w:r>
    </w:p>
    <w:p w14:paraId="60BE9C5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（十）规范标准</w:t>
      </w:r>
    </w:p>
    <w:p w14:paraId="78440F5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执行现行的强制执行的国家、行业、地方标准。</w:t>
      </w:r>
    </w:p>
    <w:p w14:paraId="1648C56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（十一）产品资料及说明文件</w:t>
      </w:r>
    </w:p>
    <w:p w14:paraId="227C4FE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中提供投标产品对外公开的产品彩页或说明书（须体现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5CE16F9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（十二）采购预算价及最高限价</w:t>
      </w:r>
    </w:p>
    <w:p w14:paraId="390255D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投标报价超采购预算（含单项采购预算，如有）及最高限价（含单项最高限价，如有）的投标无效。</w:t>
      </w:r>
    </w:p>
    <w:p w14:paraId="08E0FE7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（十三）医疗器械注册或备案要求</w:t>
      </w:r>
    </w:p>
    <w:p w14:paraId="3D40F3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14:paraId="31C9E5F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（十四）其它</w:t>
      </w:r>
    </w:p>
    <w:p w14:paraId="0D17439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投标人根据自身情况提供项目实施方案，内容包括但不限于：</w:t>
      </w:r>
    </w:p>
    <w:p w14:paraId="78E6D3F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1.技术及项目实施方案（包含但不限于管理措施、具体实施流程、进度安排、质量保证措施、有利于采购项目实施的内容或合理性建议的等）；</w:t>
      </w:r>
    </w:p>
    <w:p w14:paraId="5918DD2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2.技术人员方案（包含但不限于技术人员投入计划，有技术人员在安装调试过程提供技术支持和协助计划，拟派有资质技术人员完成实施方案，有利于采购项目实施的内容或合理性建议的）；</w:t>
      </w:r>
    </w:p>
    <w:p w14:paraId="1444BF3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3.培训计划（包括但不限于：培训方式、培训次数、人数、课程内容及师资等）；</w:t>
      </w:r>
    </w:p>
    <w:p w14:paraId="6DE6150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4.生产厂家售后服务承诺书等。</w:t>
      </w:r>
    </w:p>
    <w:p w14:paraId="65E8728C">
      <w:pPr>
        <w:pStyle w:val="2"/>
        <w:rPr>
          <w:rFonts w:hint="eastAsia" w:ascii="宋体" w:hAnsi="宋体" w:cs="宋体"/>
        </w:rPr>
      </w:pPr>
    </w:p>
    <w:p w14:paraId="376AC66A">
      <w:pPr>
        <w:wordWrap w:val="0"/>
        <w:ind w:firstLine="420" w:firstLineChars="200"/>
        <w:rPr>
          <w:rFonts w:ascii="宋体" w:hAnsi="宋体"/>
          <w:color w:val="000000" w:themeColor="text1"/>
          <w:szCs w:val="21"/>
          <w14:textFill>
            <w14:solidFill>
              <w14:schemeClr w14:val="tx1"/>
            </w14:solidFill>
          </w14:textFill>
        </w:rPr>
      </w:pPr>
      <w:r>
        <w:rPr>
          <w:rFonts w:hint="eastAsia" w:ascii="宋体" w:hAnsi="宋体" w:eastAsia="宋体" w:cs="宋体"/>
          <w:b/>
          <w:bCs/>
          <w:szCs w:val="21"/>
        </w:rPr>
        <w:t>（十五）核心产品：医用血管造影X射线机（分标</w:t>
      </w:r>
      <w:r>
        <w:rPr>
          <w:rFonts w:hint="eastAsia" w:ascii="宋体" w:hAnsi="宋体" w:cs="宋体"/>
          <w:b/>
          <w:bCs/>
          <w:szCs w:val="21"/>
          <w:lang w:val="en-US" w:eastAsia="zh-CN"/>
        </w:rPr>
        <w:t>2</w:t>
      </w:r>
      <w:r>
        <w:rPr>
          <w:rFonts w:hint="eastAsia" w:ascii="宋体" w:hAnsi="宋体" w:eastAsia="宋体" w:cs="宋体"/>
          <w:b/>
          <w:bCs/>
          <w:szCs w:val="21"/>
        </w:rPr>
        <w:t>）</w:t>
      </w:r>
      <w:r>
        <w:rPr>
          <w:rFonts w:hint="eastAsia" w:ascii="宋体" w:hAnsi="宋体"/>
          <w:color w:val="000000" w:themeColor="text1"/>
          <w:szCs w:val="21"/>
          <w14:textFill>
            <w14:solidFill>
              <w14:schemeClr w14:val="tx1"/>
            </w14:solidFill>
          </w14:textFill>
        </w:rPr>
        <w:t>。</w:t>
      </w:r>
    </w:p>
    <w:p w14:paraId="7C31A542">
      <w:pPr>
        <w:pStyle w:val="2"/>
        <w:rPr>
          <w:rFonts w:hint="default" w:ascii="宋体" w:hAnsi="宋体" w:cs="宋体"/>
          <w:lang w:val="en"/>
        </w:rPr>
      </w:pPr>
    </w:p>
    <w:p w14:paraId="39196760">
      <w:pPr>
        <w:pStyle w:val="2"/>
        <w:ind w:firstLine="420" w:firstLineChars="200"/>
        <w:rPr>
          <w:rStyle w:val="191"/>
          <w:rFonts w:ascii="宋体" w:hAnsi="宋体"/>
          <w:b/>
          <w:bCs/>
          <w:color w:val="auto"/>
          <w:sz w:val="21"/>
          <w:szCs w:val="21"/>
          <w:u w:val="none"/>
        </w:rPr>
      </w:pPr>
      <w:r>
        <w:rPr>
          <w:rStyle w:val="191"/>
          <w:rFonts w:hint="eastAsia" w:ascii="宋体" w:hAnsi="宋体"/>
          <w:b/>
          <w:bCs/>
          <w:color w:val="auto"/>
          <w:sz w:val="21"/>
          <w:szCs w:val="21"/>
          <w:u w:val="none"/>
        </w:rPr>
        <w:t>三、</w:t>
      </w:r>
      <w:r>
        <w:rPr>
          <w:rStyle w:val="191"/>
          <w:rFonts w:ascii="宋体" w:hAnsi="宋体"/>
          <w:b/>
          <w:bCs/>
          <w:color w:val="auto"/>
          <w:sz w:val="21"/>
          <w:szCs w:val="21"/>
          <w:u w:val="none"/>
        </w:rPr>
        <w:t>配置单位信息</w:t>
      </w:r>
    </w:p>
    <w:tbl>
      <w:tblPr>
        <w:tblStyle w:val="55"/>
        <w:tblpPr w:leftFromText="180" w:rightFromText="180" w:vertAnchor="text" w:horzAnchor="page" w:tblpX="1847" w:tblpY="429"/>
        <w:tblOverlap w:val="never"/>
        <w:tblW w:w="7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26"/>
        <w:gridCol w:w="1134"/>
        <w:gridCol w:w="1559"/>
      </w:tblGrid>
      <w:tr w14:paraId="74F1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blHeader/>
        </w:trPr>
        <w:tc>
          <w:tcPr>
            <w:tcW w:w="735" w:type="dxa"/>
            <w:tcBorders>
              <w:top w:val="single" w:color="auto" w:sz="4" w:space="0"/>
              <w:left w:val="single" w:color="auto" w:sz="4" w:space="0"/>
              <w:bottom w:val="single" w:color="auto" w:sz="4" w:space="0"/>
              <w:right w:val="single" w:color="auto" w:sz="4" w:space="0"/>
            </w:tcBorders>
            <w:vAlign w:val="center"/>
          </w:tcPr>
          <w:p w14:paraId="314E5844">
            <w:pPr>
              <w:adjustRightInd w:val="0"/>
              <w:snapToGrid w:val="0"/>
              <w:jc w:val="center"/>
              <w:rPr>
                <w:rFonts w:ascii="仿宋" w:hAnsi="仿宋" w:eastAsia="仿宋" w:cs="仿宋"/>
                <w:b/>
                <w:kern w:val="0"/>
                <w:sz w:val="24"/>
              </w:rPr>
            </w:pPr>
            <w:r>
              <w:rPr>
                <w:rFonts w:hint="eastAsia" w:ascii="仿宋" w:hAnsi="仿宋" w:eastAsia="仿宋" w:cs="仿宋"/>
                <w:b/>
                <w:kern w:val="0"/>
                <w:sz w:val="24"/>
              </w:rPr>
              <w:t>序号</w:t>
            </w:r>
          </w:p>
        </w:tc>
        <w:tc>
          <w:tcPr>
            <w:tcW w:w="3626" w:type="dxa"/>
            <w:tcBorders>
              <w:top w:val="single" w:color="auto" w:sz="4" w:space="0"/>
              <w:left w:val="single" w:color="auto" w:sz="4" w:space="0"/>
              <w:bottom w:val="single" w:color="auto" w:sz="4" w:space="0"/>
              <w:right w:val="single" w:color="auto" w:sz="4" w:space="0"/>
            </w:tcBorders>
            <w:vAlign w:val="center"/>
          </w:tcPr>
          <w:p w14:paraId="60D0D6E5">
            <w:pPr>
              <w:adjustRightInd w:val="0"/>
              <w:snapToGrid w:val="0"/>
              <w:jc w:val="center"/>
              <w:rPr>
                <w:rFonts w:ascii="仿宋" w:hAnsi="仿宋" w:eastAsia="仿宋" w:cs="仿宋"/>
                <w:b/>
                <w:kern w:val="0"/>
                <w:sz w:val="24"/>
              </w:rPr>
            </w:pPr>
            <w:r>
              <w:rPr>
                <w:rFonts w:hint="eastAsia" w:ascii="仿宋" w:hAnsi="仿宋" w:eastAsia="仿宋" w:cs="仿宋"/>
                <w:b/>
                <w:kern w:val="0"/>
                <w:sz w:val="24"/>
              </w:rPr>
              <w:t>配置单位名称</w:t>
            </w:r>
          </w:p>
        </w:tc>
        <w:tc>
          <w:tcPr>
            <w:tcW w:w="1134" w:type="dxa"/>
            <w:tcBorders>
              <w:top w:val="single" w:color="auto" w:sz="4" w:space="0"/>
              <w:left w:val="single" w:color="auto" w:sz="4" w:space="0"/>
              <w:bottom w:val="single" w:color="auto" w:sz="4" w:space="0"/>
              <w:right w:val="single" w:color="auto" w:sz="4" w:space="0"/>
            </w:tcBorders>
            <w:vAlign w:val="center"/>
          </w:tcPr>
          <w:p w14:paraId="5BB959D1">
            <w:pPr>
              <w:adjustRightInd w:val="0"/>
              <w:snapToGrid w:val="0"/>
              <w:jc w:val="center"/>
              <w:rPr>
                <w:rFonts w:ascii="仿宋" w:hAnsi="仿宋" w:eastAsia="仿宋" w:cs="仿宋"/>
                <w:b/>
                <w:kern w:val="0"/>
                <w:sz w:val="24"/>
              </w:rPr>
            </w:pPr>
            <w:r>
              <w:rPr>
                <w:rFonts w:hint="eastAsia" w:ascii="仿宋" w:hAnsi="仿宋" w:eastAsia="仿宋" w:cs="仿宋"/>
                <w:b/>
                <w:kern w:val="0"/>
                <w:sz w:val="24"/>
              </w:rPr>
              <w:t>数量</w:t>
            </w:r>
          </w:p>
        </w:tc>
        <w:tc>
          <w:tcPr>
            <w:tcW w:w="1559" w:type="dxa"/>
            <w:tcBorders>
              <w:top w:val="single" w:color="auto" w:sz="4" w:space="0"/>
              <w:left w:val="single" w:color="auto" w:sz="4" w:space="0"/>
              <w:bottom w:val="single" w:color="auto" w:sz="4" w:space="0"/>
              <w:right w:val="single" w:color="auto" w:sz="4" w:space="0"/>
            </w:tcBorders>
            <w:vAlign w:val="center"/>
          </w:tcPr>
          <w:p w14:paraId="4D47240F">
            <w:pPr>
              <w:adjustRightInd w:val="0"/>
              <w:snapToGrid w:val="0"/>
              <w:jc w:val="center"/>
              <w:rPr>
                <w:rFonts w:ascii="仿宋" w:hAnsi="仿宋" w:eastAsia="仿宋" w:cs="仿宋"/>
                <w:b/>
                <w:kern w:val="0"/>
                <w:sz w:val="24"/>
              </w:rPr>
            </w:pPr>
            <w:r>
              <w:rPr>
                <w:rFonts w:hint="eastAsia" w:ascii="仿宋" w:hAnsi="仿宋" w:eastAsia="仿宋" w:cs="仿宋"/>
                <w:b/>
                <w:kern w:val="0"/>
                <w:sz w:val="24"/>
              </w:rPr>
              <w:t>单位</w:t>
            </w:r>
          </w:p>
        </w:tc>
      </w:tr>
      <w:tr w14:paraId="5DC56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7E06B3D4">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1</w:t>
            </w:r>
          </w:p>
        </w:tc>
        <w:tc>
          <w:tcPr>
            <w:tcW w:w="3626" w:type="dxa"/>
            <w:tcBorders>
              <w:top w:val="single" w:color="auto" w:sz="4" w:space="0"/>
              <w:left w:val="single" w:color="auto" w:sz="4" w:space="0"/>
              <w:bottom w:val="single" w:color="auto" w:sz="4" w:space="0"/>
              <w:right w:val="single" w:color="auto" w:sz="4" w:space="0"/>
            </w:tcBorders>
            <w:vAlign w:val="center"/>
          </w:tcPr>
          <w:p w14:paraId="3BC5AFDF">
            <w:pPr>
              <w:adjustRightInd w:val="0"/>
              <w:snapToGrid w:val="0"/>
              <w:spacing w:before="93" w:beforeLines="30" w:after="93" w:afterLines="30"/>
              <w:jc w:val="center"/>
              <w:rPr>
                <w:rFonts w:hint="eastAsia" w:eastAsia="宋体" w:cs="宋体"/>
                <w:szCs w:val="21"/>
                <w:lang w:eastAsia="zh-CN"/>
              </w:rPr>
            </w:pPr>
            <w:r>
              <w:rPr>
                <w:rFonts w:hint="eastAsia" w:cs="宋体"/>
                <w:szCs w:val="21"/>
                <w:lang w:val="en-US" w:eastAsia="zh-CN"/>
              </w:rPr>
              <w:t xml:space="preserve">广西壮族自治区南溪山医院（广西壮族自治区第二人民医院） </w:t>
            </w:r>
          </w:p>
        </w:tc>
        <w:tc>
          <w:tcPr>
            <w:tcW w:w="1134" w:type="dxa"/>
            <w:tcBorders>
              <w:top w:val="single" w:color="auto" w:sz="4" w:space="0"/>
              <w:left w:val="single" w:color="auto" w:sz="4" w:space="0"/>
              <w:bottom w:val="single" w:color="auto" w:sz="4" w:space="0"/>
              <w:right w:val="single" w:color="auto" w:sz="4" w:space="0"/>
            </w:tcBorders>
            <w:vAlign w:val="center"/>
          </w:tcPr>
          <w:p w14:paraId="0AF2AB46">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1</w:t>
            </w:r>
          </w:p>
        </w:tc>
        <w:tc>
          <w:tcPr>
            <w:tcW w:w="1559" w:type="dxa"/>
            <w:tcBorders>
              <w:top w:val="single" w:color="auto" w:sz="4" w:space="0"/>
              <w:left w:val="single" w:color="auto" w:sz="4" w:space="0"/>
              <w:bottom w:val="single" w:color="auto" w:sz="4" w:space="0"/>
              <w:right w:val="single" w:color="auto" w:sz="4" w:space="0"/>
            </w:tcBorders>
            <w:vAlign w:val="center"/>
          </w:tcPr>
          <w:p w14:paraId="3F3D1B48">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套</w:t>
            </w:r>
          </w:p>
        </w:tc>
      </w:tr>
    </w:tbl>
    <w:p w14:paraId="15B4BD28">
      <w:pPr>
        <w:pStyle w:val="2"/>
        <w:rPr>
          <w:rFonts w:hint="default" w:ascii="宋体" w:hAnsi="宋体" w:cs="宋体"/>
          <w:lang w:val="en"/>
        </w:rPr>
        <w:sectPr>
          <w:headerReference r:id="rId7" w:type="first"/>
          <w:footerReference r:id="rId10" w:type="first"/>
          <w:headerReference r:id="rId5" w:type="default"/>
          <w:footerReference r:id="rId8" w:type="default"/>
          <w:headerReference r:id="rId6" w:type="even"/>
          <w:footerReference r:id="rId9" w:type="even"/>
          <w:pgSz w:w="11906" w:h="16838"/>
          <w:pgMar w:top="1134" w:right="1134" w:bottom="1134" w:left="1134" w:header="851" w:footer="992" w:gutter="0"/>
          <w:pgNumType w:fmt="decimal" w:start="1"/>
          <w:cols w:space="720" w:num="1"/>
          <w:docGrid w:type="linesAndChars" w:linePitch="312" w:charSpace="0"/>
        </w:sectPr>
      </w:pPr>
    </w:p>
    <w:p w14:paraId="3584F381">
      <w:pPr>
        <w:spacing w:line="400" w:lineRule="exact"/>
        <w:ind w:firstLine="420" w:firstLineChars="200"/>
        <w:rPr>
          <w:rFonts w:hint="default" w:ascii="宋体" w:hAnsi="宋体" w:eastAsia="宋体" w:cs="宋体"/>
          <w:b/>
          <w:bCs/>
          <w:szCs w:val="21"/>
          <w:lang w:val="en-US" w:eastAsia="zh-CN"/>
        </w:rPr>
      </w:pPr>
      <w:r>
        <w:rPr>
          <w:rStyle w:val="191"/>
          <w:rFonts w:hint="eastAsia" w:ascii="宋体" w:hAnsi="宋体"/>
          <w:b/>
          <w:bCs/>
          <w:color w:val="auto"/>
          <w:szCs w:val="21"/>
          <w:u w:val="none"/>
        </w:rPr>
        <w:t>分标3：</w:t>
      </w:r>
      <w:r>
        <w:rPr>
          <w:rFonts w:hint="eastAsia" w:ascii="宋体" w:hAnsi="宋体" w:cs="宋体"/>
          <w:b/>
          <w:bCs/>
          <w:szCs w:val="21"/>
        </w:rPr>
        <w:t xml:space="preserve"> </w:t>
      </w:r>
      <w:r>
        <w:rPr>
          <w:rFonts w:hint="eastAsia" w:ascii="宋体" w:hAnsi="宋体" w:cs="宋体"/>
          <w:b/>
          <w:bCs/>
          <w:szCs w:val="21"/>
          <w:lang w:eastAsia="zh-CN"/>
        </w:rPr>
        <w:t>医用</w:t>
      </w:r>
      <w:r>
        <w:rPr>
          <w:rFonts w:hint="eastAsia" w:ascii="宋体" w:hAnsi="宋体" w:cs="宋体"/>
          <w:b/>
          <w:bCs/>
          <w:szCs w:val="21"/>
        </w:rPr>
        <w:t>血管造影X射线机</w:t>
      </w:r>
      <w:r>
        <w:rPr>
          <w:rFonts w:hint="eastAsia" w:ascii="宋体" w:hAnsi="宋体" w:cs="宋体"/>
          <w:b/>
          <w:bCs/>
          <w:szCs w:val="21"/>
          <w:lang w:val="en-US" w:eastAsia="zh-CN"/>
        </w:rPr>
        <w:t>（分标3）</w:t>
      </w:r>
    </w:p>
    <w:p w14:paraId="1F67B8A9">
      <w:pPr>
        <w:spacing w:line="400" w:lineRule="exact"/>
        <w:ind w:firstLine="420" w:firstLineChars="200"/>
      </w:pPr>
      <w:r>
        <w:rPr>
          <w:rFonts w:hint="eastAsia"/>
        </w:rPr>
        <w:t>采购预算：</w:t>
      </w:r>
      <w:r>
        <w:rPr>
          <w:rFonts w:hint="eastAsia"/>
          <w:lang w:val="en-US" w:eastAsia="zh-CN"/>
        </w:rPr>
        <w:t>2102</w:t>
      </w:r>
      <w:r>
        <w:rPr>
          <w:rFonts w:hint="eastAsia"/>
        </w:rPr>
        <w:t>万元</w:t>
      </w:r>
    </w:p>
    <w:p w14:paraId="2812A06A">
      <w:pPr>
        <w:spacing w:line="400" w:lineRule="exact"/>
        <w:ind w:firstLine="420" w:firstLineChars="200"/>
        <w:rPr>
          <w:rFonts w:hint="eastAsia" w:eastAsia="宋体"/>
          <w:lang w:eastAsia="zh-CN"/>
        </w:rPr>
      </w:pPr>
      <w:r>
        <w:rPr>
          <w:rFonts w:hint="eastAsia"/>
        </w:rPr>
        <w:t>最高限价：</w:t>
      </w:r>
      <w:r>
        <w:rPr>
          <w:rFonts w:hint="eastAsia"/>
          <w:lang w:val="en-US" w:eastAsia="zh-CN"/>
        </w:rPr>
        <w:t>1600</w:t>
      </w:r>
      <w:r>
        <w:rPr>
          <w:rFonts w:hint="eastAsia"/>
        </w:rPr>
        <w:t>万元</w:t>
      </w:r>
      <w:r>
        <w:rPr>
          <w:rFonts w:hint="eastAsia"/>
          <w:lang w:eastAsia="zh-CN"/>
        </w:rPr>
        <w:t>（</w:t>
      </w:r>
      <w:r>
        <w:rPr>
          <w:rFonts w:hint="eastAsia"/>
          <w:lang w:val="en-US" w:eastAsia="zh-CN"/>
        </w:rPr>
        <w:t>800万元/套</w:t>
      </w:r>
      <w:r>
        <w:rPr>
          <w:rFonts w:hint="eastAsia"/>
          <w:lang w:eastAsia="zh-CN"/>
        </w:rPr>
        <w:t>）</w:t>
      </w:r>
    </w:p>
    <w:p w14:paraId="573E739A">
      <w:pPr>
        <w:ind w:firstLine="420"/>
        <w:rPr>
          <w:rFonts w:ascii="宋体" w:hAnsi="宋体" w:cs="宋体"/>
          <w:szCs w:val="21"/>
        </w:rPr>
      </w:pPr>
      <w:r>
        <w:rPr>
          <w:rFonts w:hint="eastAsia" w:ascii="宋体" w:hAnsi="宋体" w:cs="宋体"/>
          <w:szCs w:val="21"/>
        </w:rPr>
        <w:t>一、</w:t>
      </w:r>
      <w:r>
        <w:rPr>
          <w:rStyle w:val="191"/>
          <w:rFonts w:hint="eastAsia" w:ascii="宋体" w:hAnsi="宋体"/>
          <w:color w:val="auto"/>
          <w:szCs w:val="21"/>
          <w:u w:val="none"/>
        </w:rPr>
        <w:t>技术参数及性能（配置）要求</w:t>
      </w:r>
    </w:p>
    <w:tbl>
      <w:tblPr>
        <w:tblStyle w:val="55"/>
        <w:tblpPr w:leftFromText="180" w:rightFromText="180" w:vertAnchor="text" w:horzAnchor="page" w:tblpXSpec="center" w:tblpY="224"/>
        <w:tblOverlap w:val="never"/>
        <w:tblW w:w="51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7"/>
        <w:gridCol w:w="1080"/>
        <w:gridCol w:w="935"/>
        <w:gridCol w:w="939"/>
        <w:gridCol w:w="6479"/>
      </w:tblGrid>
      <w:tr w14:paraId="6505F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326" w:type="pct"/>
            <w:vAlign w:val="center"/>
          </w:tcPr>
          <w:p w14:paraId="4A223EC7">
            <w:pPr>
              <w:tabs>
                <w:tab w:val="left" w:pos="180"/>
                <w:tab w:val="left" w:pos="1620"/>
              </w:tabs>
              <w:jc w:val="center"/>
              <w:rPr>
                <w:rFonts w:ascii="宋体" w:hAnsi="宋体" w:cs="宋体"/>
                <w:szCs w:val="21"/>
              </w:rPr>
            </w:pPr>
            <w:r>
              <w:rPr>
                <w:rFonts w:hint="eastAsia" w:ascii="宋体" w:hAnsi="宋体" w:cs="宋体"/>
                <w:szCs w:val="21"/>
              </w:rPr>
              <w:t>序号</w:t>
            </w:r>
          </w:p>
        </w:tc>
        <w:tc>
          <w:tcPr>
            <w:tcW w:w="535" w:type="pct"/>
            <w:vAlign w:val="center"/>
          </w:tcPr>
          <w:p w14:paraId="61BC7225">
            <w:pPr>
              <w:tabs>
                <w:tab w:val="left" w:pos="180"/>
                <w:tab w:val="left" w:pos="1620"/>
              </w:tabs>
              <w:jc w:val="center"/>
              <w:rPr>
                <w:rFonts w:ascii="宋体" w:hAnsi="宋体" w:cs="宋体"/>
                <w:szCs w:val="21"/>
              </w:rPr>
            </w:pPr>
            <w:r>
              <w:rPr>
                <w:rFonts w:hint="eastAsia" w:ascii="宋体" w:hAnsi="宋体" w:cs="宋体"/>
                <w:szCs w:val="21"/>
              </w:rPr>
              <w:t>货物名称</w:t>
            </w:r>
          </w:p>
        </w:tc>
        <w:tc>
          <w:tcPr>
            <w:tcW w:w="463" w:type="pct"/>
            <w:vAlign w:val="center"/>
          </w:tcPr>
          <w:p w14:paraId="3D32FDC2">
            <w:pPr>
              <w:tabs>
                <w:tab w:val="left" w:pos="180"/>
                <w:tab w:val="left" w:pos="1620"/>
              </w:tabs>
              <w:jc w:val="center"/>
              <w:rPr>
                <w:rFonts w:ascii="宋体" w:hAnsi="宋体" w:cs="宋体"/>
                <w:szCs w:val="21"/>
              </w:rPr>
            </w:pPr>
            <w:r>
              <w:rPr>
                <w:rFonts w:hint="eastAsia" w:ascii="宋体" w:hAnsi="宋体" w:cs="宋体"/>
                <w:szCs w:val="21"/>
              </w:rPr>
              <w:t>数量</w:t>
            </w:r>
          </w:p>
        </w:tc>
        <w:tc>
          <w:tcPr>
            <w:tcW w:w="465" w:type="pct"/>
            <w:vAlign w:val="center"/>
          </w:tcPr>
          <w:p w14:paraId="2097C986">
            <w:pPr>
              <w:tabs>
                <w:tab w:val="left" w:pos="180"/>
                <w:tab w:val="left" w:pos="1620"/>
              </w:tabs>
              <w:jc w:val="center"/>
              <w:rPr>
                <w:rFonts w:ascii="宋体" w:hAnsi="宋体" w:cs="宋体"/>
                <w:szCs w:val="21"/>
              </w:rPr>
            </w:pPr>
            <w:r>
              <w:rPr>
                <w:rFonts w:hint="eastAsia" w:ascii="宋体" w:hAnsi="宋体" w:cs="宋体"/>
                <w:szCs w:val="21"/>
              </w:rPr>
              <w:t>单位</w:t>
            </w:r>
          </w:p>
        </w:tc>
        <w:tc>
          <w:tcPr>
            <w:tcW w:w="3210" w:type="pct"/>
            <w:vAlign w:val="center"/>
          </w:tcPr>
          <w:p w14:paraId="7C0EAA62">
            <w:pPr>
              <w:tabs>
                <w:tab w:val="left" w:pos="180"/>
                <w:tab w:val="left" w:pos="1620"/>
              </w:tabs>
              <w:jc w:val="center"/>
              <w:rPr>
                <w:rFonts w:ascii="宋体" w:hAnsi="宋体" w:cs="宋体"/>
                <w:szCs w:val="21"/>
              </w:rPr>
            </w:pPr>
            <w:r>
              <w:rPr>
                <w:rStyle w:val="191"/>
                <w:rFonts w:hint="eastAsia" w:ascii="宋体" w:hAnsi="宋体"/>
                <w:color w:val="auto"/>
                <w:szCs w:val="21"/>
                <w:u w:val="none"/>
              </w:rPr>
              <w:t>技术参数及性能（配置）要求</w:t>
            </w:r>
          </w:p>
        </w:tc>
      </w:tr>
      <w:tr w14:paraId="696E5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326" w:type="pct"/>
            <w:vAlign w:val="center"/>
          </w:tcPr>
          <w:p w14:paraId="492A45B3">
            <w:pPr>
              <w:tabs>
                <w:tab w:val="left" w:pos="180"/>
                <w:tab w:val="left" w:pos="1620"/>
              </w:tabs>
              <w:jc w:val="center"/>
              <w:rPr>
                <w:rFonts w:ascii="宋体" w:hAnsi="宋体" w:cs="宋体"/>
                <w:szCs w:val="21"/>
              </w:rPr>
            </w:pPr>
            <w:r>
              <w:rPr>
                <w:rFonts w:hint="eastAsia" w:ascii="宋体" w:hAnsi="宋体" w:cs="宋体"/>
                <w:szCs w:val="21"/>
              </w:rPr>
              <w:t>1</w:t>
            </w:r>
          </w:p>
        </w:tc>
        <w:tc>
          <w:tcPr>
            <w:tcW w:w="535" w:type="pct"/>
            <w:vAlign w:val="center"/>
          </w:tcPr>
          <w:p w14:paraId="3540F0E8">
            <w:pPr>
              <w:snapToGrid w:val="0"/>
              <w:jc w:val="center"/>
              <w:rPr>
                <w:rFonts w:ascii="宋体" w:hAnsi="宋体" w:cs="宋体"/>
                <w:szCs w:val="21"/>
              </w:rPr>
            </w:pPr>
            <w:r>
              <w:rPr>
                <w:rFonts w:hint="eastAsia" w:ascii="宋体" w:hAnsi="宋体" w:cs="宋体"/>
                <w:b/>
                <w:bCs/>
                <w:szCs w:val="21"/>
                <w:lang w:eastAsia="zh-CN"/>
              </w:rPr>
              <w:t>医用</w:t>
            </w:r>
            <w:r>
              <w:rPr>
                <w:rFonts w:hint="eastAsia" w:ascii="宋体" w:hAnsi="宋体" w:cs="宋体"/>
                <w:b/>
                <w:bCs/>
                <w:szCs w:val="21"/>
              </w:rPr>
              <w:t>血管造影X射线机（分标3）</w:t>
            </w:r>
          </w:p>
        </w:tc>
        <w:tc>
          <w:tcPr>
            <w:tcW w:w="463" w:type="pct"/>
            <w:vAlign w:val="center"/>
          </w:tcPr>
          <w:p w14:paraId="55074708">
            <w:pPr>
              <w:jc w:val="center"/>
              <w:rPr>
                <w:rFonts w:hint="eastAsia" w:ascii="宋体" w:hAnsi="宋体" w:eastAsia="宋体" w:cs="宋体"/>
                <w:szCs w:val="21"/>
                <w:lang w:eastAsia="zh-CN"/>
              </w:rPr>
            </w:pPr>
            <w:r>
              <w:rPr>
                <w:rFonts w:hint="eastAsia" w:ascii="宋体" w:hAnsi="宋体" w:cs="宋体"/>
                <w:szCs w:val="21"/>
                <w:lang w:val="en-US" w:eastAsia="zh-CN"/>
              </w:rPr>
              <w:t>2</w:t>
            </w:r>
          </w:p>
        </w:tc>
        <w:tc>
          <w:tcPr>
            <w:tcW w:w="465" w:type="pct"/>
            <w:vAlign w:val="center"/>
          </w:tcPr>
          <w:p w14:paraId="7B79240A">
            <w:pPr>
              <w:pStyle w:val="18"/>
              <w:spacing w:line="240" w:lineRule="auto"/>
              <w:ind w:leftChars="-88" w:hanging="184" w:hangingChars="88"/>
              <w:jc w:val="center"/>
              <w:rPr>
                <w:rFonts w:ascii="宋体" w:hAnsi="宋体" w:cs="宋体"/>
                <w:sz w:val="21"/>
                <w:szCs w:val="21"/>
              </w:rPr>
            </w:pPr>
            <w:r>
              <w:rPr>
                <w:rFonts w:hint="eastAsia" w:ascii="宋体" w:hAnsi="宋体" w:cs="宋体"/>
                <w:sz w:val="21"/>
                <w:szCs w:val="21"/>
              </w:rPr>
              <w:t>套</w:t>
            </w:r>
          </w:p>
        </w:tc>
        <w:tc>
          <w:tcPr>
            <w:tcW w:w="3210" w:type="pct"/>
            <w:vAlign w:val="center"/>
          </w:tcPr>
          <w:p w14:paraId="1C77E07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 高压发生器</w:t>
            </w:r>
          </w:p>
          <w:p w14:paraId="01F332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 最大逆变频率≥80kHz；</w:t>
            </w:r>
          </w:p>
          <w:p w14:paraId="16E4F1C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 最大输出电功率≥100kW；</w:t>
            </w:r>
          </w:p>
          <w:p w14:paraId="64F5DF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★1.3 最大管电流≥1000mA，最小管电流≤5mA；</w:t>
            </w:r>
          </w:p>
          <w:p w14:paraId="1A3EB0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1.4 最大管电压≥125kV，最小管电压≤50kV；</w:t>
            </w:r>
          </w:p>
          <w:p w14:paraId="38C15A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1.5 最短曝光时间≤1ms。</w:t>
            </w:r>
          </w:p>
          <w:p w14:paraId="7E6B66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2.球管</w:t>
            </w:r>
          </w:p>
          <w:p w14:paraId="1FE5DC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 球管物理焦点数量≥3焦点；</w:t>
            </w:r>
          </w:p>
          <w:p w14:paraId="6BC3DC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2.2 最小焦点≤0.3mm；</w:t>
            </w:r>
          </w:p>
          <w:p w14:paraId="470F65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2.3 最小焦点功率≥18kW；</w:t>
            </w:r>
          </w:p>
          <w:p w14:paraId="42DAF52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2.4 大焦点≥1.0mm；</w:t>
            </w:r>
          </w:p>
          <w:p w14:paraId="18A752B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2.5 最大焦点功率≥75kW；</w:t>
            </w:r>
          </w:p>
          <w:p w14:paraId="0F0BF4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2.6 最大阳极热容量（非等效）≥4.2MHu；</w:t>
            </w:r>
          </w:p>
          <w:p w14:paraId="520336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★2.7 最大管套热容量≥6.0MHu；</w:t>
            </w:r>
          </w:p>
          <w:p w14:paraId="5AE9C6D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★2.8 阳极最大转速≥9500rpm；</w:t>
            </w:r>
          </w:p>
          <w:p w14:paraId="182E7F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2.9 球管滤过≥0.9mmCu；</w:t>
            </w:r>
          </w:p>
          <w:p w14:paraId="0A42E2A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▲2.10 液态金属轴承球管；</w:t>
            </w:r>
          </w:p>
          <w:p w14:paraId="368604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2.11 球管冷却采用油直冷或油冷+水冷技术；</w:t>
            </w:r>
          </w:p>
          <w:p w14:paraId="5E9D355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2.12 最大阳极冷却速率：≥1100kHU/min；</w:t>
            </w:r>
          </w:p>
          <w:p w14:paraId="36EC82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▲2.13 球管阳极最大散热率：≥5300W；</w:t>
            </w:r>
          </w:p>
          <w:p w14:paraId="114750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★2.14 球管内置栅控，非高压发生器控制脉冲透视；</w:t>
            </w:r>
          </w:p>
          <w:p w14:paraId="0245865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2.15 球管内置多档金属铜滤片≥3片。</w:t>
            </w:r>
          </w:p>
          <w:p w14:paraId="61DDA8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 平板探测器</w:t>
            </w:r>
          </w:p>
          <w:p w14:paraId="647B88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3.1 平板材质：非晶硅；</w:t>
            </w:r>
          </w:p>
          <w:p w14:paraId="485484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★3.2 像素尺寸≥154μm；</w:t>
            </w:r>
          </w:p>
          <w:p w14:paraId="0B81F1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3.3 最大灰阶≥16bit；</w:t>
            </w:r>
          </w:p>
          <w:p w14:paraId="3159F2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3.4 平板像素矩阵≥2450×1900；</w:t>
            </w:r>
          </w:p>
          <w:p w14:paraId="19CBCA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3.5 成像面积≥39cm×29cm；</w:t>
            </w:r>
          </w:p>
          <w:p w14:paraId="544EE83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3.6 图像分辨率≥3.2lp/mm；</w:t>
            </w:r>
          </w:p>
          <w:p w14:paraId="59346D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3.7 平板探测器的量子检测效率DQE≥75%；</w:t>
            </w:r>
          </w:p>
          <w:p w14:paraId="71FDC1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3.8 物理成像视野≥6种，以适应不同部位的介入需要；</w:t>
            </w:r>
          </w:p>
          <w:p w14:paraId="00ADB1E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3.9 平板探测器最小视野面积≤8cm×8cm；</w:t>
            </w:r>
          </w:p>
          <w:p w14:paraId="38550E4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3.10 平板探测器可旋转范围≥±90°；</w:t>
            </w:r>
          </w:p>
          <w:p w14:paraId="4A716A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3.11平板探测器带有非接触式防碰撞保护装置及防碰撞自动控制；</w:t>
            </w:r>
          </w:p>
          <w:p w14:paraId="18F5DC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3.12带有激光定位灯。</w:t>
            </w:r>
          </w:p>
          <w:p w14:paraId="6095D1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 机架</w:t>
            </w:r>
          </w:p>
          <w:p w14:paraId="246DC28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 悬吊式机架；</w:t>
            </w:r>
          </w:p>
          <w:p w14:paraId="46F9A7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4.2 机架满足SHD、PTA、EVAR等复杂手术摆位要求；</w:t>
            </w:r>
          </w:p>
          <w:p w14:paraId="029CE5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4.3 机架多位置预设，存储位置≥55种；</w:t>
            </w:r>
          </w:p>
          <w:p w14:paraId="07C9FB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4.4 C臂水平纵向运动≥265cm；</w:t>
            </w:r>
          </w:p>
          <w:p w14:paraId="52DBA7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4.5 机架L臂旋转范围≥±120°；</w:t>
            </w:r>
          </w:p>
          <w:p w14:paraId="324D9D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4.6 机架旋转时图像可保持正位无偏转；</w:t>
            </w:r>
          </w:p>
          <w:p w14:paraId="6088AEE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4.7 机架C臂弧深≥93cm；</w:t>
            </w:r>
          </w:p>
          <w:p w14:paraId="2FBF5E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★4.8 机架等中心点到球管焦点的距离≥78cm；</w:t>
            </w:r>
          </w:p>
          <w:p w14:paraId="43FB05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4.9 机架 C 型臂旋转速度（非旋转采集）LAO/RAO≥25°/秒；</w:t>
            </w:r>
          </w:p>
          <w:p w14:paraId="15790A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4.10 机架 C 型臂环内滑动速度（非旋转采集）CRAN/CAU≥25°/秒；</w:t>
            </w:r>
          </w:p>
          <w:p w14:paraId="0CDEA8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4.11 机架在头位时：CRA≥90°；CAU≥90°；RAO≥180°；LAO≥115°；</w:t>
            </w:r>
          </w:p>
          <w:p w14:paraId="1A2FB0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4.12 机架在侧位时：RAO≥90°；LAO≥90°；</w:t>
            </w:r>
          </w:p>
          <w:p w14:paraId="07E529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4.13 机架可分别在头位、左侧位、右侧位进行透视、采集与三维图像采集；</w:t>
            </w:r>
          </w:p>
          <w:p w14:paraId="57C6C1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4.14 C臂水平横向运动范围≥200cm；</w:t>
            </w:r>
          </w:p>
          <w:p w14:paraId="24FEA9E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4.15 数码显示所有 C 型臂旋转角度信息；</w:t>
            </w:r>
          </w:p>
          <w:p w14:paraId="1775ED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4.16 床旁可以控制C型臂机架的运动；</w:t>
            </w:r>
          </w:p>
          <w:p w14:paraId="7ADC94B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4.17 机架转动轴≥6个；</w:t>
            </w:r>
          </w:p>
          <w:p w14:paraId="5915FDC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4.18 C臂机架上具备控制机架运动的按钮；</w:t>
            </w:r>
          </w:p>
          <w:p w14:paraId="0721B2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4.19 机架完全不影响手术室层流，满足手术室洁净等级。</w:t>
            </w:r>
          </w:p>
          <w:p w14:paraId="734109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 手术床</w:t>
            </w:r>
          </w:p>
          <w:p w14:paraId="60FA6E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5.1 最大患者承重≥200kg，最大承重≥300kg；</w:t>
            </w:r>
          </w:p>
          <w:p w14:paraId="41A4853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5.2 床长度≥310cm（不含附件），床宽度≥48cm（不含附件）；</w:t>
            </w:r>
          </w:p>
          <w:p w14:paraId="27E89E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5.3 床高度最低≤75cm，床升降范围≥30cm；</w:t>
            </w:r>
          </w:p>
          <w:p w14:paraId="57B667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5.4 床水平横向运动范围≥±15cm；床水平纵向运动范围≥120cm；</w:t>
            </w:r>
          </w:p>
          <w:p w14:paraId="7C3BBC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5.5 床面水平方向旋转角度范围≥360°；</w:t>
            </w:r>
          </w:p>
          <w:p w14:paraId="1CA37B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5.6 床面采用透X射线的碳纤维材料；</w:t>
            </w:r>
          </w:p>
          <w:p w14:paraId="48ABD8B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5.7 配置床面延长板。</w:t>
            </w:r>
          </w:p>
          <w:p w14:paraId="5933BB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 图像显示与工作站</w:t>
            </w:r>
          </w:p>
          <w:p w14:paraId="30FBDB1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 检查室屏幕，大小≥55英寸1个或≥24英寸屏幕4个；</w:t>
            </w:r>
          </w:p>
          <w:p w14:paraId="7E6FB6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6.2 检查室屏幕分辨率≥1280×1024；</w:t>
            </w:r>
          </w:p>
          <w:p w14:paraId="52DC0B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6.3 控制室屏幕可以同时显示当前患者与历史患者的图像；</w:t>
            </w:r>
          </w:p>
          <w:p w14:paraId="0FAE1E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6.4 主机图像文件存储容量≥2.5万张（1k图像，12bit）；</w:t>
            </w:r>
          </w:p>
          <w:p w14:paraId="64C5E6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6.5 数据导入：支持将DICOM格式的患者图像数据从PACS、CD、DVD、USB导入到本机；</w:t>
            </w:r>
          </w:p>
          <w:p w14:paraId="48E203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6.6 数据归档：支持将DICOM、TIF、JPEG、BMP格式的患者图像归档至CD、DVD、USB、PACS；</w:t>
            </w:r>
          </w:p>
          <w:p w14:paraId="140E0A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6.7 图像打印：支持DICOM打印机打印患者图像；</w:t>
            </w:r>
          </w:p>
          <w:p w14:paraId="54AF4C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6.8 支持自定义屏幕录制功能；</w:t>
            </w:r>
          </w:p>
          <w:p w14:paraId="4DD718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6.9 控制室屏幕≥2块，大小≥24英寸；</w:t>
            </w:r>
          </w:p>
          <w:p w14:paraId="00F0EC5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6.10 控制室屏幕分辨率≥1280×1024。</w:t>
            </w:r>
          </w:p>
          <w:p w14:paraId="1A2480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 图像处理</w:t>
            </w:r>
          </w:p>
          <w:p w14:paraId="2F9204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 支持实时图像标注与互动教学；</w:t>
            </w:r>
          </w:p>
          <w:p w14:paraId="1A47072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7.2 支持在实时图像上添加图形，用于手术定位；</w:t>
            </w:r>
          </w:p>
          <w:p w14:paraId="38F4E3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7.3 支持放大缩小平移、翻转、标注、反色、还原；</w:t>
            </w:r>
          </w:p>
          <w:p w14:paraId="1B0E6F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7.4 支持窗宽窗位调节、边缘增强调节；</w:t>
            </w:r>
          </w:p>
          <w:p w14:paraId="0FE088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7.5 支持电子光栅；</w:t>
            </w:r>
          </w:p>
          <w:p w14:paraId="3F9F190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7.6 支持减影和原像切换及背景调节；</w:t>
            </w:r>
          </w:p>
          <w:p w14:paraId="303611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7.7 支持移动替换蒙片；</w:t>
            </w:r>
          </w:p>
          <w:p w14:paraId="1A9E763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7.8 支持最大造影剂充盈图像；</w:t>
            </w:r>
          </w:p>
          <w:p w14:paraId="3BEF16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7.9 支持自动校准、导管校准、长度校准；</w:t>
            </w:r>
          </w:p>
          <w:p w14:paraId="7126F2C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7.10 测量包括直线测量、曲线测量、比例测量、角度测量；</w:t>
            </w:r>
          </w:p>
          <w:p w14:paraId="41A6200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7.11 支持将两幅不同序列的图像同时显示；</w:t>
            </w:r>
          </w:p>
          <w:p w14:paraId="773BE6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7.12 支持在透视或曝光的同时进行2D图像后处理操作，不影响手术；</w:t>
            </w:r>
          </w:p>
          <w:p w14:paraId="42B0F3D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7.13 在检查室可以显示动态的参考序列；</w:t>
            </w:r>
          </w:p>
          <w:p w14:paraId="468BFC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7.14 在控制室可以显示参考图像；</w:t>
            </w:r>
          </w:p>
          <w:p w14:paraId="389A9E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7.15 在控制室可以显示动态的历史序列。</w:t>
            </w:r>
          </w:p>
          <w:p w14:paraId="74CAC5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 图像采集</w:t>
            </w:r>
          </w:p>
          <w:p w14:paraId="315483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8.1 支持用DSA的图像做路径图（Roadmap）；</w:t>
            </w:r>
          </w:p>
          <w:p w14:paraId="2B6276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8.2 DSA支持实时移动伪影校正；</w:t>
            </w:r>
          </w:p>
          <w:p w14:paraId="1003E1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8.3 支持一键复位到DSA角度和相同部位，进行路径图制作；</w:t>
            </w:r>
          </w:p>
          <w:p w14:paraId="044149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8.4 DSA采集支持2K采集；</w:t>
            </w:r>
          </w:p>
          <w:p w14:paraId="1967D2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8.5 透视：脉冲频率≥6档，最小脉冲透视帧频≤0.5fps，最大脉冲透视帧频≥30fps；</w:t>
            </w:r>
          </w:p>
          <w:p w14:paraId="67C6C3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8.6 透视存储时间≥60s，透视存储序列≥900frame；</w:t>
            </w:r>
          </w:p>
          <w:p w14:paraId="36DFF16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8.7 DSA采集帧频≥6档，DSA采集帧频≥30fps；</w:t>
            </w:r>
          </w:p>
          <w:p w14:paraId="62FFDC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8.8 数字电影最高帧频≥30fps；</w:t>
            </w:r>
          </w:p>
          <w:p w14:paraId="70CC1F2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8.9 心脏采集最大帧率≥30帧/秒，外周采集最大帧率≥6帧/秒；</w:t>
            </w:r>
          </w:p>
          <w:p w14:paraId="7529E0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8.10 硬盘图像存储量1024×1024，矩阵≥25000幅；</w:t>
            </w:r>
          </w:p>
          <w:p w14:paraId="26EAF35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8.11 具备智能路径图功能。</w:t>
            </w:r>
          </w:p>
          <w:p w14:paraId="5E7C49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 网络与接口</w:t>
            </w:r>
          </w:p>
          <w:p w14:paraId="7F25D43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9.1具有DICOM Send功能、Print功能、Query/Retrieve功能、Worklist功能、MPPS功能；</w:t>
            </w:r>
          </w:p>
          <w:p w14:paraId="509E07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9.2 激光相机接口；</w:t>
            </w:r>
          </w:p>
          <w:p w14:paraId="3E15D7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9.3 高压注射器接口；</w:t>
            </w:r>
          </w:p>
          <w:p w14:paraId="4FF10A3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9.4 标准视频输出接口，能够支持视频转播，用于会议，教学，家属等待区图像浏览等。</w:t>
            </w:r>
          </w:p>
          <w:p w14:paraId="05CFF9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 低剂量控制方案</w:t>
            </w:r>
          </w:p>
          <w:p w14:paraId="4D0BC40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10.1 低剂量算法平台,各厂家提供最新发布的独立高清低剂量AI技术；</w:t>
            </w:r>
          </w:p>
          <w:p w14:paraId="3E8AE5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10.2 床旁多档透视剂量选择；</w:t>
            </w:r>
          </w:p>
          <w:p w14:paraId="514868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10.3 自动铜滤过切换；</w:t>
            </w:r>
          </w:p>
          <w:p w14:paraId="725D43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10.4 无射线定位；</w:t>
            </w:r>
          </w:p>
          <w:p w14:paraId="69C75B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10.5 SID自动降低；</w:t>
            </w:r>
          </w:p>
          <w:p w14:paraId="7D926F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10.6 检查室和控制室界面剂量显示；</w:t>
            </w:r>
          </w:p>
          <w:p w14:paraId="4CBF99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10.7 皮肤入射剂量阈值预警。</w:t>
            </w:r>
          </w:p>
          <w:p w14:paraId="1A42EF4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 临床应用功能</w:t>
            </w:r>
          </w:p>
          <w:p w14:paraId="616D04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 支持CBCT采集和重建；</w:t>
            </w:r>
          </w:p>
          <w:p w14:paraId="21541F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 支持在正侧位进行CBCT扫描；</w:t>
            </w:r>
          </w:p>
          <w:p w14:paraId="6C5ACCC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11.3 支持角度、窗值、层厚、渲染预设、VOI裁剪、缩放、平移、标注、重置；</w:t>
            </w:r>
          </w:p>
          <w:p w14:paraId="0780A48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11.4 支持发送3D角度，C臂一键到位；</w:t>
            </w:r>
          </w:p>
          <w:p w14:paraId="63CD92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11.5 支持3D VRT图像与C臂实时联动，三维血管图像可随机架角度变化而相应改变；</w:t>
            </w:r>
          </w:p>
          <w:p w14:paraId="0DCC63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11.6 支持多容积重建，同时融合容积≥4；</w:t>
            </w:r>
          </w:p>
          <w:p w14:paraId="0D7402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11.7 支持对VR图像进行斜面的剪切；</w:t>
            </w:r>
          </w:p>
          <w:p w14:paraId="52FE2D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11.8 支持测量CT值；</w:t>
            </w:r>
          </w:p>
          <w:p w14:paraId="5B0725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11.9 支持3D测量，结果不随角度变化而变化；</w:t>
            </w:r>
          </w:p>
          <w:p w14:paraId="269C16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11.10 支持高空间分辨率锥形束CT扫描；</w:t>
            </w:r>
          </w:p>
          <w:p w14:paraId="5F176A0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11.11 支持CBCT去金属伪影再重建；</w:t>
            </w:r>
          </w:p>
          <w:p w14:paraId="6D530D8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11.12具备三维实时路径引导功能；</w:t>
            </w:r>
          </w:p>
          <w:p w14:paraId="19D8F6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11.13 将3D血管影像叠加实时透视减影图像，进行实时操作引导；</w:t>
            </w:r>
          </w:p>
          <w:p w14:paraId="234BC0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11.14 三维路图与SID、C臂角度调节、机架运动、FOV等调节实时联动；</w:t>
            </w:r>
          </w:p>
          <w:p w14:paraId="523E8B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11.15 支持患者不憋气状态下，消除伪影获取清晰数字减影血管造影图像；</w:t>
            </w:r>
          </w:p>
          <w:p w14:paraId="43214AE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11.16 多模态影像融合；</w:t>
            </w:r>
          </w:p>
          <w:p w14:paraId="3BC5F73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11.17 多模态融合的图像可与DSA图像融合，可用于二维实时透视图像的引导；</w:t>
            </w:r>
          </w:p>
          <w:p w14:paraId="3E92F4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11.18 多模态融合具备手动和自动配准功能；</w:t>
            </w:r>
          </w:p>
          <w:p w14:paraId="2831BE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11.19 支持对CTA进行头部、下肢、胸腹、联合部位进行一键自动去骨；</w:t>
            </w:r>
          </w:p>
          <w:p w14:paraId="2D2ECCA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11.20 多模态融合同时融合数量≥4；</w:t>
            </w:r>
          </w:p>
          <w:p w14:paraId="40DABD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11.21 支持兼容不同厂家的CT、MR图像；</w:t>
            </w:r>
          </w:p>
          <w:p w14:paraId="64C526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11.22 具备支架清晰显示功能；</w:t>
            </w:r>
          </w:p>
          <w:p w14:paraId="400E1A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11.23 具备冠脉狭窄分析功能；</w:t>
            </w:r>
          </w:p>
          <w:p w14:paraId="24912B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11.24 具备实时支架清晰显示功能；</w:t>
            </w:r>
          </w:p>
          <w:p w14:paraId="19EB152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11.25 支持3D采集和重建；</w:t>
            </w:r>
          </w:p>
          <w:p w14:paraId="48D435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11.26 具备双透视功能；</w:t>
            </w:r>
          </w:p>
          <w:p w14:paraId="75E6834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11.27 具备心室分析软件；</w:t>
            </w:r>
          </w:p>
          <w:p w14:paraId="132CC24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11.28 具备组合蒙片功能；</w:t>
            </w:r>
          </w:p>
          <w:p w14:paraId="5E1CC5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11.29 具备冠脉分析软件；</w:t>
            </w:r>
          </w:p>
          <w:p w14:paraId="57DF86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11.30具备三维血管图像重建功能。</w:t>
            </w:r>
          </w:p>
          <w:p w14:paraId="5E30A04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 配置清单</w:t>
            </w:r>
          </w:p>
          <w:p w14:paraId="2D4455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12.1 双向对讲系统1套；</w:t>
            </w:r>
          </w:p>
          <w:p w14:paraId="33F64A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12.2 具有悬吊式射线防护屏、具有床旁射线防护帘、具有悬吊式手术灯各1套；</w:t>
            </w:r>
          </w:p>
          <w:p w14:paraId="0E70FA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12.3 具备输液架、头托、臂托、绑带各1套；</w:t>
            </w:r>
          </w:p>
          <w:p w14:paraId="61B321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12.4 DSA专用高压注射器1套；</w:t>
            </w:r>
          </w:p>
          <w:p w14:paraId="58B894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12.5 符合国家安全防护标准的铅衣套装十套（含防护服、防护巾、护目镜、围脖、帽子），其防护服整体质量≤5kg，及配套铅衣架；</w:t>
            </w:r>
          </w:p>
          <w:p w14:paraId="78C327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12.6 监护仪1套；</w:t>
            </w:r>
          </w:p>
          <w:p w14:paraId="4976AB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12.7 除颤监护仪1套；</w:t>
            </w:r>
          </w:p>
          <w:p w14:paraId="1A9134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12.8 专用配套工作站2套；</w:t>
            </w:r>
          </w:p>
          <w:p w14:paraId="6B6960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lang w:val="en-US" w:eastAsia="zh-CN"/>
              </w:rPr>
            </w:pPr>
            <w:r>
              <w:rPr>
                <w:rFonts w:hint="eastAsia"/>
                <w:lang w:val="en-US" w:eastAsia="zh-CN"/>
              </w:rPr>
              <w:t>12.9 工作站专用桌椅2套；</w:t>
            </w:r>
          </w:p>
          <w:p w14:paraId="5D11A8DE">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1"/>
                <w:szCs w:val="21"/>
              </w:rPr>
            </w:pPr>
            <w:r>
              <w:rPr>
                <w:rFonts w:hint="eastAsia"/>
                <w:lang w:val="en-US" w:eastAsia="zh-CN"/>
              </w:rPr>
              <w:t>12.10 桡动脉穿刺用臂托1个。</w:t>
            </w:r>
          </w:p>
        </w:tc>
      </w:tr>
    </w:tbl>
    <w:p w14:paraId="67858C76">
      <w:pPr>
        <w:pStyle w:val="2"/>
        <w:ind w:firstLine="420" w:firstLineChars="200"/>
        <w:rPr>
          <w:rStyle w:val="191"/>
          <w:rFonts w:hint="eastAsia" w:hAnsi="宋体"/>
          <w:b/>
          <w:bCs/>
          <w:color w:val="auto"/>
          <w:kern w:val="2"/>
          <w:sz w:val="21"/>
          <w:szCs w:val="21"/>
          <w:u w:val="none"/>
        </w:rPr>
      </w:pPr>
    </w:p>
    <w:p w14:paraId="359ABE05">
      <w:pPr>
        <w:pStyle w:val="2"/>
        <w:ind w:firstLine="420" w:firstLineChars="200"/>
        <w:rPr>
          <w:rFonts w:hint="eastAsia" w:hAnsi="宋体"/>
          <w:b/>
          <w:bCs/>
          <w:color w:val="auto"/>
          <w:sz w:val="21"/>
          <w:szCs w:val="21"/>
        </w:rPr>
      </w:pPr>
      <w:r>
        <w:rPr>
          <w:rStyle w:val="191"/>
          <w:rFonts w:hint="eastAsia" w:hAnsi="宋体"/>
          <w:b/>
          <w:bCs/>
          <w:color w:val="auto"/>
          <w:kern w:val="2"/>
          <w:sz w:val="21"/>
          <w:szCs w:val="21"/>
          <w:u w:val="none"/>
        </w:rPr>
        <w:t>▲</w:t>
      </w:r>
      <w:r>
        <w:rPr>
          <w:rFonts w:hint="eastAsia" w:hAnsi="宋体"/>
          <w:b/>
          <w:bCs/>
          <w:color w:val="auto"/>
          <w:sz w:val="21"/>
          <w:szCs w:val="21"/>
        </w:rPr>
        <w:t>二、商务要求（以下所有为实质性要求条款不满足作无效投标处理）</w:t>
      </w:r>
    </w:p>
    <w:p w14:paraId="7347E8A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（一）质量保证期</w:t>
      </w:r>
    </w:p>
    <w:p w14:paraId="0078128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质量保证期（以下简称质保期）按国家有关产品“三包”规定执行“三包”，产品生产厂家提供整机（含配套附件）保修及免费升级承诺函，且保修时间不得少于</w:t>
      </w:r>
      <w:r>
        <w:rPr>
          <w:rFonts w:hint="eastAsia" w:ascii="宋体" w:hAnsi="宋体"/>
          <w:b w:val="0"/>
          <w:bCs/>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年，自设备验收合格并能正常使用之日起计算。投标人应在投标文件中提供质保期后维保服务优惠报价供配置单位日后采购时参考。</w:t>
      </w:r>
    </w:p>
    <w:p w14:paraId="2598263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（二）交货时间及地点</w:t>
      </w:r>
    </w:p>
    <w:p w14:paraId="5F269C7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1.交货时间：合同签定之日起，中标供应商在</w:t>
      </w:r>
      <w:r>
        <w:rPr>
          <w:rFonts w:hint="eastAsia" w:ascii="宋体" w:hAnsi="宋体"/>
          <w:color w:val="000000" w:themeColor="text1"/>
          <w:szCs w:val="21"/>
          <w:lang w:val="en-US" w:eastAsia="zh-CN"/>
          <w14:textFill>
            <w14:solidFill>
              <w14:schemeClr w14:val="tx1"/>
            </w14:solidFill>
          </w14:textFill>
        </w:rPr>
        <w:t>30</w:t>
      </w:r>
      <w:r>
        <w:rPr>
          <w:rFonts w:hint="eastAsia" w:ascii="宋体" w:hAnsi="宋体"/>
          <w:color w:val="000000" w:themeColor="text1"/>
          <w:szCs w:val="21"/>
          <w14:textFill>
            <w14:solidFill>
              <w14:schemeClr w14:val="tx1"/>
            </w14:solidFill>
          </w14:textFill>
        </w:rPr>
        <w:t>个日历日内向配置单位交付全部货物。</w:t>
      </w:r>
    </w:p>
    <w:p w14:paraId="30E13E6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2.交货地点：广西范围内，配置单位指定地点。</w:t>
      </w:r>
    </w:p>
    <w:p w14:paraId="3B0CD20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（三）服务标准、服务效率、售后服务要求</w:t>
      </w:r>
    </w:p>
    <w:p w14:paraId="1D8B9BF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1.中标供应商负责送货上门，保障设备、人员安全及安装调试，安装前提供相关的布局图和设计要求，培训配置单位的操作人员至能完全独立操作、日常维护及承担以上所产生的相关费用。</w:t>
      </w:r>
    </w:p>
    <w:p w14:paraId="6818C03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2.质保期内提供7×24小时售后服务，仪器设备出现故障，在接到电话通知后，2小时内做出实质性响应（远程解决或做出预备维护动作），需维护工程师现场解决的，要求在24小时内到现场处理。</w:t>
      </w:r>
    </w:p>
    <w:p w14:paraId="2D46C9C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3.质保期内发生故障的设备如无法在24小时内修复，须保证年开机率95%以上，否则中标供应商承担相应的损失。单次故障（不可抗力因素除外）维修时间超过20天仍无法修复的，配置单位有权要求更换设备或赔偿。</w:t>
      </w:r>
    </w:p>
    <w:p w14:paraId="24C164E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4.质保期内每季度一次定期回访以及对设备维护。质保期满前1个月内中标供应商应负责对设备进行一次免费全面检查，如发现潜在问题，应负责排除，保证设备正常运行。</w:t>
      </w:r>
    </w:p>
    <w:p w14:paraId="2883183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产品必须是全新，且生产日期为1年内（签订合同之日计算）的产品。产品包装必须是全新的合格产品，并按照原厂标准包装规格供货，不接受散装或拆包装件。所有货物都提供中文说明书和详细装箱清单及质量合格证。</w:t>
      </w:r>
    </w:p>
    <w:p w14:paraId="1D92BE8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6.安装调试完成后，中标供应商对配置单位提供1次或多次培训，使配置单位的操作人员及工程人员熟练掌握全部功能及基本维修，相关费用包括在投标报价中，配置单位不再另行支付。</w:t>
      </w:r>
    </w:p>
    <w:p w14:paraId="2DE77B3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7.中标供应商提供维护手册、维修手册、软件备份、故障代码表、备件清单。质保期外，无偿提供维修密码及所附软件在该项目的永久使用权。</w:t>
      </w:r>
    </w:p>
    <w:p w14:paraId="39DED8E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26F862E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9.中标供应商保证配置单位能够合法应用该器械及相应服务。配置单位在办理相关证件及验收等流程中，中标供应商必须提供所需的合法材料。</w:t>
      </w:r>
    </w:p>
    <w:p w14:paraId="0060FFB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（四）付款方式</w:t>
      </w:r>
    </w:p>
    <w:p w14:paraId="26447F6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分期付款，分两期支付。</w:t>
      </w:r>
    </w:p>
    <w:p w14:paraId="3AE0C8B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1.第一期：预付款为合同金额的30%；签订合同后，配置单位收到中标供应商开具合法有效的合同款30%等额发票后，10个工作日内，向中标供应商支付预付款；</w:t>
      </w:r>
    </w:p>
    <w:p w14:paraId="38815BD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2.第二期：所有货物交货安装调试完毕并验收合格，双方签署验收报告后，配置单位收到中标供应商开具合法有效的合同款70%等额发票后，10个工作日内，支付至合同款的100%。</w:t>
      </w:r>
    </w:p>
    <w:p w14:paraId="4CF4588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3.中标供应商未开具合法有效的等额发票的，配置单位有权不支付合同款。</w:t>
      </w:r>
    </w:p>
    <w:p w14:paraId="26401B1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（五）履约保证金</w:t>
      </w:r>
    </w:p>
    <w:p w14:paraId="57DC398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履约保证金金额：中标供应商按中标金额的5%向配置单位支付履约保证金。（如中标供应商为中小微企业，按中标金额的2%），如中标供应商以保函形式提交的履约保证金，配置单位不得拒收。</w:t>
      </w:r>
    </w:p>
    <w:p w14:paraId="6FB45FA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在签订合同之前，中标供应商需把履约保证金足额交到配置单位指定账户。未提交履约保证金的，不予签订本合同。验收合格后，配置单位应当按照合同约定的退还方式，由中标供应商提出书面申请后，在5个工作日内办理履约保证金退还手续。中标供应商在履行合同过程中，未能按照合同约定履行质量保证义务的（不可抗力除外），若因此给配置单位造成损失的，应向配置单位进行等额赔偿。</w:t>
      </w:r>
    </w:p>
    <w:p w14:paraId="58D3CF8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（六）投标报价要求</w:t>
      </w:r>
    </w:p>
    <w:p w14:paraId="158CCDF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包含货物、货物标准附件、备品备件、专用工具、设备安装辅材、施工辅材、包装、运输、装卸、保险、连接医院信息系统接口费（如HIS、PACS）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14:paraId="5109C79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（七）政策性加分条件</w:t>
      </w:r>
    </w:p>
    <w:p w14:paraId="62EC217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符合节能环保等国家政策要求。</w:t>
      </w:r>
    </w:p>
    <w:p w14:paraId="2D9B90C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（八）验收标准及验收方法</w:t>
      </w:r>
    </w:p>
    <w:p w14:paraId="1E80978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1.中标供应商应将所提供货物的装箱清单、用户手册、原厂保修卡、随机资料、工具和备品、备件等交付给配置单位，如有缺失应在配置单位要求的期限内及时补齐，否则视为逾期交货。</w:t>
      </w:r>
    </w:p>
    <w:p w14:paraId="430BF73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配置单位将依据招标文件上的技术要求和国家有关质量标准对中标供应商提交的货物进行初步签收；中标供应商如提供不符合招标文件、投标文件和采购合同规定的货物，配置单位有权不予签收，由此产生的一切损失均由中标供应商自行承担。</w:t>
      </w:r>
    </w:p>
    <w:p w14:paraId="37E0C18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3.中标供应商需承担供货时产品质量抽样检测的相关费用以及项目验收时发生的一切费用。</w:t>
      </w:r>
    </w:p>
    <w:p w14:paraId="1D69E7D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4.安装合格后15日内提供安装调试报告与原厂技术规格书(或Datasheet)。 本条所有涉及的文件均提供纸质与电子档。</w:t>
      </w:r>
    </w:p>
    <w:p w14:paraId="4BE01A3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当项目调试完成后，由中标供应商向配置单位提出项目竣工测试申请，并于验收前向配置单位提供一切有关技术文件、资料、图纸和培训相关记录等竣工材料，并在竣工前5个工作日通知配置单位及有关部门准备验收。拟竣工项目的实施总体功能、性能符合配置单位认可的技术设计方案及合同规定的，配置单位在7个工作日内组织验收，并作出验收结果报告。供需双方签署项目终验验收证书并加盖公章，自正式交付使用之日起，开始计算质保期。</w:t>
      </w:r>
    </w:p>
    <w:p w14:paraId="66C18FD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pPr>
      <w:r>
        <w:rPr>
          <w:rFonts w:hint="eastAsia" w:ascii="宋体" w:hAnsi="宋体"/>
          <w:color w:val="000000" w:themeColor="text1"/>
          <w:szCs w:val="21"/>
          <w14:textFill>
            <w14:solidFill>
              <w14:schemeClr w14:val="tx1"/>
            </w14:solidFill>
          </w14:textFill>
        </w:rPr>
        <w:t>6.配置单位对验收有异议的，以书面形式向中标供应商提出，中标供应商应自收到配置单位书面异议后5个工作日内及时予以解决，中标供应商不予答复或未予以实质解决的，视为认可配置单位异议及处置意见。</w:t>
      </w:r>
    </w:p>
    <w:p w14:paraId="0766A1B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7.验收标准</w:t>
      </w:r>
    </w:p>
    <w:p w14:paraId="4D7285DA">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1)项目招标文件及中标供应商投标文件中的“技术响应表”,逐条验收；</w:t>
      </w:r>
    </w:p>
    <w:p w14:paraId="259B6EF3">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（2)项目招标文件及中标供应商投标文件中的“商务响应表”,逐条验收；</w:t>
      </w:r>
    </w:p>
    <w:p w14:paraId="2EBFEEE7">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（3)中标供应商投标文件中其他技术、服务、商务性的说明、承诺事项，逐条验收。</w:t>
      </w:r>
    </w:p>
    <w:p w14:paraId="26B27948">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（4)国家相关法律、法规、标准和规范等。</w:t>
      </w:r>
    </w:p>
    <w:p w14:paraId="3905B96E">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其他未尽事宜应严格参照《关于印发广西壮族自治区政府采购项目履约验收管理办法的通知》[桂财采〔2015〕22号]以及《财政部关于进一步加强政府采购需求和履约验收管理的指导意见》[财库〔2016〕205号]规定执行。</w:t>
      </w:r>
    </w:p>
    <w:p w14:paraId="6EB81AF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若配置单位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配置单位不承担逾期付款责任。</w:t>
      </w:r>
    </w:p>
    <w:p w14:paraId="65CA965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9.中标供应商提供的货物与投标文件响应情况不符，视为验收不合格。</w:t>
      </w:r>
    </w:p>
    <w:p w14:paraId="3C30DE1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（九）进口产品说明</w:t>
      </w:r>
    </w:p>
    <w:p w14:paraId="0B83164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本标项</w:t>
      </w:r>
      <w:r>
        <w:rPr>
          <w:rFonts w:hint="eastAsia" w:ascii="宋体" w:hAnsi="宋体"/>
          <w:color w:val="000000" w:themeColor="text1"/>
          <w:szCs w:val="21"/>
          <w:lang w:eastAsia="zh-CN"/>
          <w14:textFill>
            <w14:solidFill>
              <w14:schemeClr w14:val="tx1"/>
            </w14:solidFill>
          </w14:textFill>
        </w:rPr>
        <w:t>不</w:t>
      </w:r>
      <w:r>
        <w:rPr>
          <w:rFonts w:hint="eastAsia" w:ascii="宋体" w:hAnsi="宋体"/>
          <w:color w:val="000000" w:themeColor="text1"/>
          <w:szCs w:val="21"/>
          <w14:textFill>
            <w14:solidFill>
              <w14:schemeClr w14:val="tx1"/>
            </w14:solidFill>
          </w14:textFill>
        </w:rPr>
        <w:t>接受进口设备参与投标。</w:t>
      </w:r>
    </w:p>
    <w:p w14:paraId="4E680A8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（十）规范标准</w:t>
      </w:r>
    </w:p>
    <w:p w14:paraId="1035E3D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执行现行的强制执行的国家、行业、地方标准。</w:t>
      </w:r>
    </w:p>
    <w:p w14:paraId="28EA28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（十一）产品资料及说明文件</w:t>
      </w:r>
    </w:p>
    <w:p w14:paraId="50A4889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中提供投标产品对外公开的产品彩页或说明书（须体现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696BDD4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（十二）采购预算价及最高限价</w:t>
      </w:r>
    </w:p>
    <w:p w14:paraId="48D6FD7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投标报价超采购预算（含单项采购预算，如有）及最高限价（含单项最高限价，如有）的投标无效。</w:t>
      </w:r>
    </w:p>
    <w:p w14:paraId="6E7B1B8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（十三）医疗器械注册或备案要求</w:t>
      </w:r>
    </w:p>
    <w:p w14:paraId="7F32516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14:paraId="0D4FF57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（十四）其它</w:t>
      </w:r>
    </w:p>
    <w:p w14:paraId="3D93A9B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投标人根据自身情况提供项目实施方案，内容包括但不限于：</w:t>
      </w:r>
    </w:p>
    <w:p w14:paraId="082DC15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1.技术及项目实施方案（包含但不限于管理措施、具体实施流程、进度安排、质量保证措施、有利于采购项目实施的内容或合理性建议的等）；</w:t>
      </w:r>
    </w:p>
    <w:p w14:paraId="71C7CA7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2.技术人员方案（包含但不限于技术人员投入计划，有技术人员在安装调试过程提供技术支持和协助计划，拟派有资质技术人员完成实施方案，有利于采购项目实施的内容或合理性建议的）；</w:t>
      </w:r>
    </w:p>
    <w:p w14:paraId="38A08BD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3.培训计划（包括但不限于：培训方式、培训次数、人数、课程内容及师资等）；</w:t>
      </w:r>
    </w:p>
    <w:p w14:paraId="46F70C4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4.生产厂家售后服务承诺书等。</w:t>
      </w:r>
    </w:p>
    <w:p w14:paraId="69F4700D">
      <w:pPr>
        <w:pStyle w:val="2"/>
        <w:rPr>
          <w:rFonts w:hint="eastAsia"/>
          <w:lang w:val="en" w:eastAsia="zh-CN"/>
        </w:rPr>
      </w:pPr>
    </w:p>
    <w:p w14:paraId="7F88BF88">
      <w:pPr>
        <w:pStyle w:val="2"/>
        <w:numPr>
          <w:ilvl w:val="0"/>
          <w:numId w:val="3"/>
        </w:numPr>
        <w:spacing w:after="160" w:line="278" w:lineRule="auto"/>
        <w:ind w:firstLine="422"/>
        <w:rPr>
          <w:rStyle w:val="191"/>
          <w:rFonts w:ascii="宋体" w:hAnsi="宋体"/>
          <w:b/>
          <w:bCs/>
          <w:color w:val="auto"/>
          <w:kern w:val="2"/>
          <w:sz w:val="21"/>
          <w:szCs w:val="21"/>
          <w:u w:val="none"/>
        </w:rPr>
      </w:pPr>
      <w:r>
        <w:rPr>
          <w:rFonts w:hint="eastAsia" w:hAnsi="宋体"/>
          <w:b/>
          <w:bCs/>
          <w:sz w:val="21"/>
          <w:szCs w:val="21"/>
        </w:rPr>
        <w:t>核心产品：医用血管造影X射线机（分标3）。</w:t>
      </w:r>
    </w:p>
    <w:p w14:paraId="30755DC4">
      <w:pPr>
        <w:pStyle w:val="2"/>
        <w:ind w:firstLine="420" w:firstLineChars="200"/>
        <w:rPr>
          <w:rStyle w:val="191"/>
          <w:rFonts w:hint="eastAsia" w:ascii="宋体" w:hAnsi="宋体"/>
          <w:b/>
          <w:bCs/>
          <w:color w:val="auto"/>
          <w:sz w:val="21"/>
          <w:szCs w:val="21"/>
        </w:rPr>
      </w:pPr>
    </w:p>
    <w:p w14:paraId="2D5F89BA">
      <w:pPr>
        <w:pStyle w:val="2"/>
        <w:ind w:firstLine="630" w:firstLineChars="300"/>
        <w:rPr>
          <w:rStyle w:val="191"/>
          <w:rFonts w:ascii="宋体" w:hAnsi="宋体"/>
          <w:b/>
          <w:bCs/>
          <w:color w:val="auto"/>
          <w:sz w:val="21"/>
          <w:szCs w:val="21"/>
          <w:u w:val="none"/>
        </w:rPr>
      </w:pPr>
      <w:r>
        <w:rPr>
          <w:rStyle w:val="191"/>
          <w:rFonts w:hint="eastAsia" w:ascii="宋体" w:hAnsi="宋体"/>
          <w:b/>
          <w:bCs/>
          <w:color w:val="auto"/>
          <w:sz w:val="21"/>
          <w:szCs w:val="21"/>
          <w:u w:val="none"/>
        </w:rPr>
        <w:t>三、</w:t>
      </w:r>
      <w:r>
        <w:rPr>
          <w:rStyle w:val="191"/>
          <w:rFonts w:ascii="宋体" w:hAnsi="宋体"/>
          <w:b/>
          <w:bCs/>
          <w:color w:val="auto"/>
          <w:sz w:val="21"/>
          <w:szCs w:val="21"/>
          <w:u w:val="none"/>
        </w:rPr>
        <w:t>配置单位信息</w:t>
      </w:r>
    </w:p>
    <w:tbl>
      <w:tblPr>
        <w:tblStyle w:val="55"/>
        <w:tblpPr w:leftFromText="180" w:rightFromText="180" w:vertAnchor="text" w:horzAnchor="page" w:tblpX="1847" w:tblpY="429"/>
        <w:tblOverlap w:val="never"/>
        <w:tblW w:w="7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26"/>
        <w:gridCol w:w="1134"/>
        <w:gridCol w:w="1559"/>
      </w:tblGrid>
      <w:tr w14:paraId="6E73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blHeader/>
        </w:trPr>
        <w:tc>
          <w:tcPr>
            <w:tcW w:w="735" w:type="dxa"/>
            <w:tcBorders>
              <w:top w:val="single" w:color="auto" w:sz="4" w:space="0"/>
              <w:left w:val="single" w:color="auto" w:sz="4" w:space="0"/>
              <w:bottom w:val="single" w:color="auto" w:sz="4" w:space="0"/>
              <w:right w:val="single" w:color="auto" w:sz="4" w:space="0"/>
            </w:tcBorders>
            <w:vAlign w:val="center"/>
          </w:tcPr>
          <w:p w14:paraId="67D010A8">
            <w:pPr>
              <w:adjustRightInd w:val="0"/>
              <w:snapToGrid w:val="0"/>
              <w:jc w:val="center"/>
              <w:rPr>
                <w:rFonts w:ascii="仿宋" w:hAnsi="仿宋" w:eastAsia="仿宋" w:cs="仿宋"/>
                <w:b/>
                <w:kern w:val="0"/>
                <w:sz w:val="24"/>
              </w:rPr>
            </w:pPr>
            <w:r>
              <w:rPr>
                <w:rFonts w:hint="eastAsia" w:ascii="仿宋" w:hAnsi="仿宋" w:eastAsia="仿宋" w:cs="仿宋"/>
                <w:b/>
                <w:kern w:val="0"/>
                <w:sz w:val="24"/>
              </w:rPr>
              <w:t>序号</w:t>
            </w:r>
          </w:p>
        </w:tc>
        <w:tc>
          <w:tcPr>
            <w:tcW w:w="3626" w:type="dxa"/>
            <w:tcBorders>
              <w:top w:val="single" w:color="auto" w:sz="4" w:space="0"/>
              <w:left w:val="single" w:color="auto" w:sz="4" w:space="0"/>
              <w:bottom w:val="single" w:color="auto" w:sz="4" w:space="0"/>
              <w:right w:val="single" w:color="auto" w:sz="4" w:space="0"/>
            </w:tcBorders>
            <w:vAlign w:val="center"/>
          </w:tcPr>
          <w:p w14:paraId="3AFFFFF0">
            <w:pPr>
              <w:adjustRightInd w:val="0"/>
              <w:snapToGrid w:val="0"/>
              <w:jc w:val="center"/>
              <w:rPr>
                <w:rFonts w:ascii="仿宋" w:hAnsi="仿宋" w:eastAsia="仿宋" w:cs="仿宋"/>
                <w:b/>
                <w:kern w:val="0"/>
                <w:sz w:val="24"/>
              </w:rPr>
            </w:pPr>
            <w:r>
              <w:rPr>
                <w:rFonts w:ascii="仿宋" w:hAnsi="仿宋" w:eastAsia="仿宋" w:cs="仿宋"/>
                <w:b/>
                <w:kern w:val="0"/>
                <w:sz w:val="24"/>
              </w:rPr>
              <w:t>配置单位</w:t>
            </w:r>
            <w:r>
              <w:rPr>
                <w:rFonts w:hint="eastAsia" w:ascii="仿宋" w:hAnsi="仿宋" w:eastAsia="仿宋" w:cs="仿宋"/>
                <w:b/>
                <w:kern w:val="0"/>
                <w:sz w:val="24"/>
              </w:rPr>
              <w:t>名称</w:t>
            </w:r>
          </w:p>
        </w:tc>
        <w:tc>
          <w:tcPr>
            <w:tcW w:w="1134" w:type="dxa"/>
            <w:tcBorders>
              <w:top w:val="single" w:color="auto" w:sz="4" w:space="0"/>
              <w:left w:val="single" w:color="auto" w:sz="4" w:space="0"/>
              <w:bottom w:val="single" w:color="auto" w:sz="4" w:space="0"/>
              <w:right w:val="single" w:color="auto" w:sz="4" w:space="0"/>
            </w:tcBorders>
            <w:vAlign w:val="center"/>
          </w:tcPr>
          <w:p w14:paraId="1EFBF09B">
            <w:pPr>
              <w:adjustRightInd w:val="0"/>
              <w:snapToGrid w:val="0"/>
              <w:jc w:val="center"/>
              <w:rPr>
                <w:rFonts w:ascii="仿宋" w:hAnsi="仿宋" w:eastAsia="仿宋" w:cs="仿宋"/>
                <w:b/>
                <w:kern w:val="0"/>
                <w:sz w:val="24"/>
              </w:rPr>
            </w:pPr>
            <w:r>
              <w:rPr>
                <w:rFonts w:hint="eastAsia" w:ascii="仿宋" w:hAnsi="仿宋" w:eastAsia="仿宋" w:cs="仿宋"/>
                <w:b/>
                <w:kern w:val="0"/>
                <w:sz w:val="24"/>
              </w:rPr>
              <w:t>数量</w:t>
            </w:r>
          </w:p>
        </w:tc>
        <w:tc>
          <w:tcPr>
            <w:tcW w:w="1559" w:type="dxa"/>
            <w:tcBorders>
              <w:top w:val="single" w:color="auto" w:sz="4" w:space="0"/>
              <w:left w:val="single" w:color="auto" w:sz="4" w:space="0"/>
              <w:bottom w:val="single" w:color="auto" w:sz="4" w:space="0"/>
              <w:right w:val="single" w:color="auto" w:sz="4" w:space="0"/>
            </w:tcBorders>
            <w:vAlign w:val="center"/>
          </w:tcPr>
          <w:p w14:paraId="332A80E8">
            <w:pPr>
              <w:adjustRightInd w:val="0"/>
              <w:snapToGrid w:val="0"/>
              <w:jc w:val="center"/>
              <w:rPr>
                <w:rFonts w:ascii="仿宋" w:hAnsi="仿宋" w:eastAsia="仿宋" w:cs="仿宋"/>
                <w:b/>
                <w:kern w:val="0"/>
                <w:sz w:val="24"/>
              </w:rPr>
            </w:pPr>
            <w:r>
              <w:rPr>
                <w:rFonts w:hint="eastAsia" w:ascii="仿宋" w:hAnsi="仿宋" w:eastAsia="仿宋" w:cs="仿宋"/>
                <w:b/>
                <w:kern w:val="0"/>
                <w:sz w:val="24"/>
              </w:rPr>
              <w:t>单位</w:t>
            </w:r>
          </w:p>
        </w:tc>
      </w:tr>
      <w:tr w14:paraId="763A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35" w:type="dxa"/>
            <w:tcBorders>
              <w:top w:val="single" w:color="auto" w:sz="4" w:space="0"/>
              <w:left w:val="single" w:color="auto" w:sz="4" w:space="0"/>
              <w:bottom w:val="single" w:color="auto" w:sz="4" w:space="0"/>
              <w:right w:val="single" w:color="auto" w:sz="4" w:space="0"/>
            </w:tcBorders>
            <w:vAlign w:val="center"/>
          </w:tcPr>
          <w:p w14:paraId="07F8C29E">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1</w:t>
            </w:r>
          </w:p>
        </w:tc>
        <w:tc>
          <w:tcPr>
            <w:tcW w:w="3626" w:type="dxa"/>
            <w:tcBorders>
              <w:top w:val="single" w:color="auto" w:sz="4" w:space="0"/>
              <w:left w:val="single" w:color="auto" w:sz="4" w:space="0"/>
              <w:bottom w:val="single" w:color="auto" w:sz="4" w:space="0"/>
              <w:right w:val="single" w:color="auto" w:sz="4" w:space="0"/>
            </w:tcBorders>
            <w:vAlign w:val="center"/>
          </w:tcPr>
          <w:p w14:paraId="4ADFAB5E">
            <w:pPr>
              <w:adjustRightInd w:val="0"/>
              <w:snapToGrid w:val="0"/>
              <w:spacing w:before="93" w:beforeLines="30" w:after="93" w:afterLines="30"/>
              <w:jc w:val="center"/>
              <w:rPr>
                <w:rFonts w:ascii="仿宋" w:hAnsi="仿宋" w:eastAsia="仿宋" w:cs="仿宋"/>
                <w:bCs/>
                <w:kern w:val="0"/>
                <w:sz w:val="24"/>
              </w:rPr>
            </w:pPr>
            <w:r>
              <w:rPr>
                <w:rFonts w:hint="eastAsia" w:cs="宋体"/>
                <w:szCs w:val="21"/>
              </w:rPr>
              <w:t>桂林市中医医院</w:t>
            </w:r>
          </w:p>
        </w:tc>
        <w:tc>
          <w:tcPr>
            <w:tcW w:w="1134" w:type="dxa"/>
            <w:tcBorders>
              <w:top w:val="single" w:color="auto" w:sz="4" w:space="0"/>
              <w:left w:val="single" w:color="auto" w:sz="4" w:space="0"/>
              <w:bottom w:val="single" w:color="auto" w:sz="4" w:space="0"/>
              <w:right w:val="single" w:color="auto" w:sz="4" w:space="0"/>
            </w:tcBorders>
            <w:vAlign w:val="center"/>
          </w:tcPr>
          <w:p w14:paraId="3FF6AC30">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1</w:t>
            </w:r>
          </w:p>
        </w:tc>
        <w:tc>
          <w:tcPr>
            <w:tcW w:w="1559" w:type="dxa"/>
            <w:tcBorders>
              <w:top w:val="single" w:color="auto" w:sz="4" w:space="0"/>
              <w:left w:val="single" w:color="auto" w:sz="4" w:space="0"/>
              <w:bottom w:val="single" w:color="auto" w:sz="4" w:space="0"/>
              <w:right w:val="single" w:color="auto" w:sz="4" w:space="0"/>
            </w:tcBorders>
            <w:vAlign w:val="center"/>
          </w:tcPr>
          <w:p w14:paraId="03FBD630">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套</w:t>
            </w:r>
          </w:p>
        </w:tc>
      </w:tr>
      <w:tr w14:paraId="482F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5" w:type="dxa"/>
            <w:tcBorders>
              <w:top w:val="single" w:color="auto" w:sz="4" w:space="0"/>
              <w:left w:val="single" w:color="auto" w:sz="4" w:space="0"/>
              <w:bottom w:val="single" w:color="auto" w:sz="4" w:space="0"/>
              <w:right w:val="single" w:color="auto" w:sz="4" w:space="0"/>
            </w:tcBorders>
            <w:vAlign w:val="center"/>
          </w:tcPr>
          <w:p w14:paraId="5B887067">
            <w:pPr>
              <w:adjustRightInd w:val="0"/>
              <w:snapToGrid w:val="0"/>
              <w:spacing w:before="93" w:beforeLines="30" w:after="93" w:afterLines="30"/>
              <w:jc w:val="center"/>
              <w:rPr>
                <w:rFonts w:hint="eastAsia" w:ascii="仿宋" w:hAnsi="仿宋" w:eastAsia="仿宋" w:cs="仿宋"/>
                <w:bCs/>
                <w:kern w:val="0"/>
                <w:sz w:val="24"/>
                <w:lang w:val="en-US" w:eastAsia="zh-CN"/>
              </w:rPr>
            </w:pPr>
            <w:r>
              <w:rPr>
                <w:rFonts w:hint="eastAsia" w:ascii="仿宋" w:hAnsi="仿宋" w:eastAsia="仿宋" w:cs="仿宋"/>
                <w:bCs/>
                <w:kern w:val="0"/>
                <w:sz w:val="24"/>
                <w:lang w:val="en-US" w:eastAsia="zh-CN"/>
              </w:rPr>
              <w:t>2</w:t>
            </w:r>
          </w:p>
        </w:tc>
        <w:tc>
          <w:tcPr>
            <w:tcW w:w="3626" w:type="dxa"/>
            <w:tcBorders>
              <w:top w:val="single" w:color="auto" w:sz="4" w:space="0"/>
              <w:left w:val="single" w:color="auto" w:sz="4" w:space="0"/>
              <w:bottom w:val="single" w:color="auto" w:sz="4" w:space="0"/>
              <w:right w:val="single" w:color="auto" w:sz="4" w:space="0"/>
            </w:tcBorders>
            <w:vAlign w:val="center"/>
          </w:tcPr>
          <w:p w14:paraId="493F72DC">
            <w:pPr>
              <w:adjustRightInd w:val="0"/>
              <w:snapToGrid w:val="0"/>
              <w:spacing w:before="93" w:beforeLines="30" w:after="93" w:afterLines="30"/>
              <w:jc w:val="center"/>
              <w:rPr>
                <w:rFonts w:hint="eastAsia" w:cs="宋体"/>
                <w:szCs w:val="21"/>
              </w:rPr>
            </w:pPr>
            <w:r>
              <w:rPr>
                <w:rFonts w:hint="eastAsia" w:cs="宋体"/>
                <w:szCs w:val="21"/>
              </w:rPr>
              <w:t>藤县人民医院</w:t>
            </w:r>
          </w:p>
        </w:tc>
        <w:tc>
          <w:tcPr>
            <w:tcW w:w="1134" w:type="dxa"/>
            <w:tcBorders>
              <w:top w:val="single" w:color="auto" w:sz="4" w:space="0"/>
              <w:left w:val="single" w:color="auto" w:sz="4" w:space="0"/>
              <w:bottom w:val="single" w:color="auto" w:sz="4" w:space="0"/>
              <w:right w:val="single" w:color="auto" w:sz="4" w:space="0"/>
            </w:tcBorders>
            <w:vAlign w:val="center"/>
          </w:tcPr>
          <w:p w14:paraId="2277A312">
            <w:pPr>
              <w:adjustRightInd w:val="0"/>
              <w:snapToGrid w:val="0"/>
              <w:spacing w:before="93" w:beforeLines="30" w:after="93" w:afterLines="30"/>
              <w:jc w:val="center"/>
              <w:rPr>
                <w:rFonts w:hint="eastAsia" w:ascii="仿宋" w:hAnsi="仿宋" w:eastAsia="仿宋" w:cs="仿宋"/>
                <w:bCs/>
                <w:kern w:val="0"/>
                <w:sz w:val="24"/>
              </w:rPr>
            </w:pPr>
            <w:r>
              <w:rPr>
                <w:rFonts w:hint="eastAsia" w:ascii="仿宋" w:hAnsi="仿宋" w:eastAsia="仿宋" w:cs="仿宋"/>
                <w:bCs/>
                <w:kern w:val="0"/>
                <w:sz w:val="24"/>
              </w:rPr>
              <w:t>1</w:t>
            </w:r>
          </w:p>
        </w:tc>
        <w:tc>
          <w:tcPr>
            <w:tcW w:w="1559" w:type="dxa"/>
            <w:tcBorders>
              <w:top w:val="single" w:color="auto" w:sz="4" w:space="0"/>
              <w:left w:val="single" w:color="auto" w:sz="4" w:space="0"/>
              <w:bottom w:val="single" w:color="auto" w:sz="4" w:space="0"/>
              <w:right w:val="single" w:color="auto" w:sz="4" w:space="0"/>
            </w:tcBorders>
            <w:vAlign w:val="center"/>
          </w:tcPr>
          <w:p w14:paraId="3A2272EF">
            <w:pPr>
              <w:adjustRightInd w:val="0"/>
              <w:snapToGrid w:val="0"/>
              <w:spacing w:before="93" w:beforeLines="30" w:after="93" w:afterLines="30"/>
              <w:jc w:val="center"/>
              <w:rPr>
                <w:rFonts w:hint="eastAsia" w:ascii="仿宋" w:hAnsi="仿宋" w:eastAsia="仿宋" w:cs="仿宋"/>
                <w:bCs/>
                <w:kern w:val="0"/>
                <w:sz w:val="24"/>
              </w:rPr>
            </w:pPr>
            <w:r>
              <w:rPr>
                <w:rFonts w:hint="eastAsia" w:ascii="仿宋" w:hAnsi="仿宋" w:eastAsia="仿宋" w:cs="仿宋"/>
                <w:bCs/>
                <w:kern w:val="0"/>
                <w:sz w:val="24"/>
              </w:rPr>
              <w:t>套</w:t>
            </w:r>
          </w:p>
        </w:tc>
      </w:tr>
    </w:tbl>
    <w:p w14:paraId="1237F010">
      <w:pPr>
        <w:rPr>
          <w:rStyle w:val="191"/>
          <w:rFonts w:ascii="宋体" w:hAnsi="宋体"/>
          <w:b/>
          <w:bCs/>
          <w:color w:val="auto"/>
          <w:szCs w:val="21"/>
          <w:u w:val="none"/>
        </w:rPr>
      </w:pPr>
    </w:p>
    <w:p w14:paraId="29DC475E">
      <w:pPr>
        <w:pStyle w:val="2"/>
      </w:pPr>
    </w:p>
    <w:p w14:paraId="781CC64C">
      <w:pPr>
        <w:pStyle w:val="2"/>
      </w:pPr>
    </w:p>
    <w:p w14:paraId="0DB2D0BC">
      <w:pPr>
        <w:pStyle w:val="2"/>
      </w:pPr>
    </w:p>
    <w:p w14:paraId="0E37D601">
      <w:pPr>
        <w:pStyle w:val="21"/>
      </w:pPr>
    </w:p>
    <w:p w14:paraId="7AC413B7"/>
    <w:p w14:paraId="18C0EB34">
      <w:pPr>
        <w:pStyle w:val="2"/>
        <w:rPr>
          <w:rFonts w:hint="eastAsia"/>
          <w:lang w:val="en" w:eastAsia="zh-CN"/>
        </w:rPr>
        <w:sectPr>
          <w:headerReference r:id="rId13" w:type="first"/>
          <w:footerReference r:id="rId16" w:type="first"/>
          <w:headerReference r:id="rId11" w:type="default"/>
          <w:footerReference r:id="rId14" w:type="default"/>
          <w:headerReference r:id="rId12" w:type="even"/>
          <w:footerReference r:id="rId15" w:type="even"/>
          <w:pgSz w:w="11906" w:h="16838"/>
          <w:pgMar w:top="1134" w:right="1134" w:bottom="1134" w:left="1134" w:header="851" w:footer="992" w:gutter="0"/>
          <w:pgNumType w:fmt="decimal"/>
          <w:cols w:space="720" w:num="1"/>
          <w:docGrid w:type="linesAndChars" w:linePitch="312" w:charSpace="0"/>
        </w:sectPr>
      </w:pPr>
    </w:p>
    <w:p w14:paraId="3E358F9A">
      <w:pPr>
        <w:spacing w:line="400" w:lineRule="exact"/>
        <w:ind w:firstLine="420" w:firstLineChars="200"/>
        <w:rPr>
          <w:rFonts w:ascii="宋体" w:hAnsi="宋体" w:cs="宋体"/>
          <w:b/>
          <w:bCs/>
          <w:szCs w:val="21"/>
        </w:rPr>
      </w:pPr>
      <w:r>
        <w:rPr>
          <w:rStyle w:val="191"/>
          <w:rFonts w:hint="eastAsia" w:ascii="宋体" w:hAnsi="宋体"/>
          <w:b/>
          <w:bCs/>
          <w:color w:val="auto"/>
          <w:szCs w:val="21"/>
          <w:u w:val="none"/>
        </w:rPr>
        <w:t>分标4：</w:t>
      </w:r>
      <w:r>
        <w:rPr>
          <w:rFonts w:hint="eastAsia" w:ascii="宋体" w:hAnsi="宋体" w:cs="宋体"/>
          <w:b/>
          <w:bCs/>
          <w:szCs w:val="21"/>
        </w:rPr>
        <w:t>医用血管造影X射线机（分标4）</w:t>
      </w:r>
    </w:p>
    <w:p w14:paraId="62829CC8">
      <w:pPr>
        <w:spacing w:line="400" w:lineRule="exact"/>
        <w:ind w:firstLine="420" w:firstLineChars="200"/>
      </w:pPr>
      <w:r>
        <w:rPr>
          <w:rFonts w:hint="eastAsia"/>
        </w:rPr>
        <w:t>采购预算：1</w:t>
      </w:r>
      <w:r>
        <w:rPr>
          <w:rFonts w:hint="eastAsia"/>
          <w:lang w:val="en-US" w:eastAsia="zh-CN"/>
        </w:rPr>
        <w:t>9</w:t>
      </w:r>
      <w:r>
        <w:rPr>
          <w:rFonts w:hint="eastAsia"/>
        </w:rPr>
        <w:t>00万元</w:t>
      </w:r>
    </w:p>
    <w:p w14:paraId="6868417E">
      <w:pPr>
        <w:spacing w:line="400" w:lineRule="exact"/>
        <w:ind w:firstLine="420" w:firstLineChars="200"/>
      </w:pPr>
      <w:r>
        <w:rPr>
          <w:rFonts w:hint="eastAsia"/>
        </w:rPr>
        <w:t>最高限价：</w:t>
      </w:r>
      <w:r>
        <w:rPr>
          <w:rFonts w:hint="eastAsia"/>
          <w:lang w:val="en-US" w:eastAsia="zh-CN"/>
        </w:rPr>
        <w:t>16</w:t>
      </w:r>
      <w:r>
        <w:rPr>
          <w:rFonts w:hint="eastAsia"/>
        </w:rPr>
        <w:t>00万元（800万元/套）</w:t>
      </w:r>
    </w:p>
    <w:p w14:paraId="5D57FE8E">
      <w:pPr>
        <w:ind w:firstLine="420"/>
        <w:rPr>
          <w:rFonts w:ascii="宋体" w:hAnsi="宋体" w:cs="宋体"/>
          <w:szCs w:val="21"/>
        </w:rPr>
      </w:pPr>
      <w:r>
        <w:rPr>
          <w:rFonts w:hint="eastAsia" w:ascii="宋体" w:hAnsi="宋体" w:cs="宋体"/>
          <w:szCs w:val="21"/>
        </w:rPr>
        <w:t>一、</w:t>
      </w:r>
      <w:r>
        <w:rPr>
          <w:rStyle w:val="191"/>
          <w:rFonts w:hint="eastAsia" w:ascii="宋体" w:hAnsi="宋体"/>
          <w:color w:val="auto"/>
          <w:szCs w:val="21"/>
          <w:u w:val="none"/>
        </w:rPr>
        <w:t>技术参数及性能（配置）要求</w:t>
      </w:r>
    </w:p>
    <w:tbl>
      <w:tblPr>
        <w:tblStyle w:val="55"/>
        <w:tblpPr w:leftFromText="180" w:rightFromText="180" w:vertAnchor="text" w:horzAnchor="page" w:tblpXSpec="center" w:tblpY="224"/>
        <w:tblOverlap w:val="never"/>
        <w:tblW w:w="51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7"/>
        <w:gridCol w:w="1080"/>
        <w:gridCol w:w="935"/>
        <w:gridCol w:w="939"/>
        <w:gridCol w:w="6479"/>
      </w:tblGrid>
      <w:tr w14:paraId="01C80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326" w:type="pct"/>
            <w:vAlign w:val="center"/>
          </w:tcPr>
          <w:p w14:paraId="5D987594">
            <w:pPr>
              <w:tabs>
                <w:tab w:val="left" w:pos="180"/>
                <w:tab w:val="left" w:pos="1620"/>
              </w:tabs>
              <w:jc w:val="center"/>
              <w:rPr>
                <w:rFonts w:ascii="宋体" w:hAnsi="宋体" w:cs="宋体"/>
                <w:szCs w:val="21"/>
              </w:rPr>
            </w:pPr>
            <w:r>
              <w:rPr>
                <w:rFonts w:hint="eastAsia" w:ascii="宋体" w:hAnsi="宋体" w:cs="宋体"/>
                <w:szCs w:val="21"/>
              </w:rPr>
              <w:t>序号</w:t>
            </w:r>
          </w:p>
        </w:tc>
        <w:tc>
          <w:tcPr>
            <w:tcW w:w="535" w:type="pct"/>
            <w:vAlign w:val="center"/>
          </w:tcPr>
          <w:p w14:paraId="512ECD87">
            <w:pPr>
              <w:tabs>
                <w:tab w:val="left" w:pos="180"/>
                <w:tab w:val="left" w:pos="1620"/>
              </w:tabs>
              <w:jc w:val="center"/>
              <w:rPr>
                <w:rFonts w:ascii="宋体" w:hAnsi="宋体" w:cs="宋体"/>
                <w:szCs w:val="21"/>
              </w:rPr>
            </w:pPr>
            <w:r>
              <w:rPr>
                <w:rFonts w:hint="eastAsia" w:ascii="宋体" w:hAnsi="宋体" w:cs="宋体"/>
                <w:szCs w:val="21"/>
              </w:rPr>
              <w:t>货物名称</w:t>
            </w:r>
          </w:p>
        </w:tc>
        <w:tc>
          <w:tcPr>
            <w:tcW w:w="463" w:type="pct"/>
            <w:vAlign w:val="center"/>
          </w:tcPr>
          <w:p w14:paraId="71F75EC3">
            <w:pPr>
              <w:tabs>
                <w:tab w:val="left" w:pos="180"/>
                <w:tab w:val="left" w:pos="1620"/>
              </w:tabs>
              <w:jc w:val="center"/>
              <w:rPr>
                <w:rFonts w:ascii="宋体" w:hAnsi="宋体" w:cs="宋体"/>
                <w:szCs w:val="21"/>
              </w:rPr>
            </w:pPr>
            <w:r>
              <w:rPr>
                <w:rFonts w:hint="eastAsia" w:ascii="宋体" w:hAnsi="宋体" w:cs="宋体"/>
                <w:szCs w:val="21"/>
              </w:rPr>
              <w:t>数量</w:t>
            </w:r>
          </w:p>
        </w:tc>
        <w:tc>
          <w:tcPr>
            <w:tcW w:w="465" w:type="pct"/>
            <w:vAlign w:val="center"/>
          </w:tcPr>
          <w:p w14:paraId="63DC4BBE">
            <w:pPr>
              <w:tabs>
                <w:tab w:val="left" w:pos="180"/>
                <w:tab w:val="left" w:pos="1620"/>
              </w:tabs>
              <w:jc w:val="center"/>
              <w:rPr>
                <w:rFonts w:ascii="宋体" w:hAnsi="宋体" w:cs="宋体"/>
                <w:szCs w:val="21"/>
              </w:rPr>
            </w:pPr>
            <w:r>
              <w:rPr>
                <w:rFonts w:hint="eastAsia" w:ascii="宋体" w:hAnsi="宋体" w:cs="宋体"/>
                <w:szCs w:val="21"/>
              </w:rPr>
              <w:t>单位</w:t>
            </w:r>
          </w:p>
        </w:tc>
        <w:tc>
          <w:tcPr>
            <w:tcW w:w="3210" w:type="pct"/>
            <w:vAlign w:val="center"/>
          </w:tcPr>
          <w:p w14:paraId="708881C3">
            <w:pPr>
              <w:tabs>
                <w:tab w:val="left" w:pos="180"/>
                <w:tab w:val="left" w:pos="1620"/>
              </w:tabs>
              <w:jc w:val="center"/>
              <w:rPr>
                <w:rFonts w:ascii="宋体" w:hAnsi="宋体" w:cs="宋体"/>
                <w:szCs w:val="21"/>
              </w:rPr>
            </w:pPr>
            <w:r>
              <w:rPr>
                <w:rStyle w:val="191"/>
                <w:rFonts w:hint="eastAsia" w:ascii="宋体" w:hAnsi="宋体"/>
                <w:color w:val="auto"/>
                <w:szCs w:val="21"/>
                <w:u w:val="none"/>
              </w:rPr>
              <w:t>技术参数及性能（配置）要求</w:t>
            </w:r>
          </w:p>
        </w:tc>
      </w:tr>
      <w:tr w14:paraId="36E75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326" w:type="pct"/>
            <w:vAlign w:val="center"/>
          </w:tcPr>
          <w:p w14:paraId="73539913">
            <w:pPr>
              <w:tabs>
                <w:tab w:val="left" w:pos="180"/>
                <w:tab w:val="left" w:pos="1620"/>
              </w:tabs>
              <w:jc w:val="center"/>
              <w:rPr>
                <w:rFonts w:ascii="宋体" w:hAnsi="宋体" w:cs="宋体"/>
                <w:szCs w:val="21"/>
              </w:rPr>
            </w:pPr>
            <w:r>
              <w:rPr>
                <w:rFonts w:hint="eastAsia" w:ascii="宋体" w:hAnsi="宋体" w:cs="宋体"/>
                <w:szCs w:val="21"/>
              </w:rPr>
              <w:t>1</w:t>
            </w:r>
          </w:p>
        </w:tc>
        <w:tc>
          <w:tcPr>
            <w:tcW w:w="535" w:type="pct"/>
            <w:vAlign w:val="center"/>
          </w:tcPr>
          <w:p w14:paraId="5CE2B32D">
            <w:pPr>
              <w:snapToGrid w:val="0"/>
              <w:jc w:val="center"/>
              <w:rPr>
                <w:rFonts w:ascii="宋体" w:hAnsi="宋体" w:cs="宋体"/>
                <w:szCs w:val="21"/>
              </w:rPr>
            </w:pPr>
            <w:r>
              <w:rPr>
                <w:rFonts w:hint="eastAsia"/>
                <w:b/>
              </w:rPr>
              <w:t>医用血管造影X射线机</w:t>
            </w:r>
            <w:r>
              <w:rPr>
                <w:rFonts w:hint="eastAsia" w:ascii="宋体" w:hAnsi="宋体" w:cs="宋体"/>
                <w:b/>
                <w:bCs/>
                <w:szCs w:val="21"/>
              </w:rPr>
              <w:t>（分标4）</w:t>
            </w:r>
          </w:p>
        </w:tc>
        <w:tc>
          <w:tcPr>
            <w:tcW w:w="463" w:type="pct"/>
            <w:vAlign w:val="center"/>
          </w:tcPr>
          <w:p w14:paraId="15A6A1B5">
            <w:pPr>
              <w:jc w:val="center"/>
              <w:rPr>
                <w:rFonts w:hint="eastAsia" w:ascii="宋体" w:hAnsi="宋体" w:eastAsia="宋体" w:cs="宋体"/>
                <w:szCs w:val="21"/>
                <w:lang w:eastAsia="zh-CN"/>
              </w:rPr>
            </w:pPr>
            <w:r>
              <w:rPr>
                <w:rFonts w:hint="eastAsia" w:ascii="宋体" w:hAnsi="宋体" w:cs="宋体"/>
                <w:szCs w:val="21"/>
                <w:lang w:val="en-US" w:eastAsia="zh-CN"/>
              </w:rPr>
              <w:t>2</w:t>
            </w:r>
          </w:p>
        </w:tc>
        <w:tc>
          <w:tcPr>
            <w:tcW w:w="465" w:type="pct"/>
            <w:vAlign w:val="center"/>
          </w:tcPr>
          <w:p w14:paraId="01639903">
            <w:pPr>
              <w:pStyle w:val="18"/>
              <w:spacing w:line="240" w:lineRule="auto"/>
              <w:ind w:leftChars="-88" w:hanging="184" w:hangingChars="88"/>
              <w:jc w:val="center"/>
              <w:rPr>
                <w:rFonts w:ascii="宋体" w:hAnsi="宋体" w:cs="宋体"/>
                <w:sz w:val="21"/>
                <w:szCs w:val="21"/>
              </w:rPr>
            </w:pPr>
            <w:r>
              <w:rPr>
                <w:rFonts w:hint="eastAsia" w:ascii="宋体" w:hAnsi="宋体" w:cs="宋体"/>
                <w:sz w:val="21"/>
                <w:szCs w:val="21"/>
              </w:rPr>
              <w:t>套</w:t>
            </w:r>
          </w:p>
        </w:tc>
        <w:tc>
          <w:tcPr>
            <w:tcW w:w="3210" w:type="pct"/>
            <w:vAlign w:val="center"/>
          </w:tcPr>
          <w:p w14:paraId="2C39FD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 高压发生器</w:t>
            </w:r>
          </w:p>
          <w:p w14:paraId="16C748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 最大逆变频率≥80kHz；</w:t>
            </w:r>
          </w:p>
          <w:p w14:paraId="620F27E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 最大输出电功率≥100kW；</w:t>
            </w:r>
          </w:p>
          <w:p w14:paraId="7D6457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1.3 最大管电流≥1000mA，最小管电流≤5mA；</w:t>
            </w:r>
          </w:p>
          <w:p w14:paraId="7F800B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1.4 最大管电压≥125kV，最小管电压≤40kV；</w:t>
            </w:r>
          </w:p>
          <w:p w14:paraId="66BB55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1.5 最短曝光时间≤1ms。</w:t>
            </w:r>
          </w:p>
          <w:p w14:paraId="0E725A0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2.球管</w:t>
            </w:r>
          </w:p>
          <w:p w14:paraId="0958DC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2.1 球管物理焦点数量≥2焦点；</w:t>
            </w:r>
          </w:p>
          <w:p w14:paraId="6196F89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2.2 最小焦点≤0.4mm；</w:t>
            </w:r>
          </w:p>
          <w:p w14:paraId="2CF206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2.3 最小焦点功率≥18kW；</w:t>
            </w:r>
          </w:p>
          <w:p w14:paraId="315350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2.4 大焦点≥1.0mm；</w:t>
            </w:r>
          </w:p>
          <w:p w14:paraId="44D523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2.5 最大焦点功率≥100kW；</w:t>
            </w:r>
          </w:p>
          <w:p w14:paraId="163586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★2.6 最大阳极热容量（非等效）≥4.2MHu；</w:t>
            </w:r>
          </w:p>
          <w:p w14:paraId="720AB5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★2.7 最大管套热容量≥6.0MHu；</w:t>
            </w:r>
          </w:p>
          <w:p w14:paraId="1287442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★2.8 阳极最大转速≥9500rpm；</w:t>
            </w:r>
          </w:p>
          <w:p w14:paraId="26E2FEE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2.9 球管滤过≥0.9mmCu；</w:t>
            </w:r>
          </w:p>
          <w:p w14:paraId="592F48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▲2.10 液态金属轴承球管；</w:t>
            </w:r>
          </w:p>
          <w:p w14:paraId="006EC12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2.11 球管冷却采用油直冷或油冷+水冷技术；</w:t>
            </w:r>
          </w:p>
          <w:p w14:paraId="4ADB38E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2.12 最大阳极冷却速率：≥1100kHU/min；</w:t>
            </w:r>
          </w:p>
          <w:p w14:paraId="685CCC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▲2.13 球管阳极最大散热率：≥5300W；</w:t>
            </w:r>
          </w:p>
          <w:p w14:paraId="29D5FD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★2.14 球管内置栅控，非高压发生器控制脉冲透视；</w:t>
            </w:r>
          </w:p>
          <w:p w14:paraId="66A6692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2.15 球管内置多档金属铜滤片≥3片。</w:t>
            </w:r>
          </w:p>
          <w:p w14:paraId="6C452AA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 平板探测器</w:t>
            </w:r>
          </w:p>
          <w:p w14:paraId="187289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3.1 平板材质：非晶硅；</w:t>
            </w:r>
          </w:p>
          <w:p w14:paraId="4D74255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★3.2 像素尺寸≥150μm；</w:t>
            </w:r>
          </w:p>
          <w:p w14:paraId="07B267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3.3 最大灰阶≥16bit；</w:t>
            </w:r>
          </w:p>
          <w:p w14:paraId="6A5398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3.4 平板像素矩阵≥2450×1900；</w:t>
            </w:r>
          </w:p>
          <w:p w14:paraId="3B7E15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3.5 成像面积≥31cm×31cm；</w:t>
            </w:r>
          </w:p>
          <w:p w14:paraId="575BBF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3.6 图像分辨率≥2.5lp/mm；</w:t>
            </w:r>
          </w:p>
          <w:p w14:paraId="5048C1C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3.7 平板探测器的量子检测效率DQE≥75%；</w:t>
            </w:r>
          </w:p>
          <w:p w14:paraId="7F7B3D1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3.8 物理成像视野≥4种，以适应不同部位的介入需要；</w:t>
            </w:r>
          </w:p>
          <w:p w14:paraId="78ADAC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3.9 平板探测器最小视野面积≤8cm×8cm；</w:t>
            </w:r>
          </w:p>
          <w:p w14:paraId="54E4895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3.10 平板探测器可旋转范围≥±90°；</w:t>
            </w:r>
          </w:p>
          <w:p w14:paraId="0C6C15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3.11平板探测器带有非接触式防碰撞保护装置及防碰撞自动控制；</w:t>
            </w:r>
          </w:p>
          <w:p w14:paraId="493871C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3.12带有激光定位灯。</w:t>
            </w:r>
          </w:p>
          <w:p w14:paraId="5CC5E4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 机架</w:t>
            </w:r>
          </w:p>
          <w:p w14:paraId="3373572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 悬吊式机架；</w:t>
            </w:r>
          </w:p>
          <w:p w14:paraId="009DF9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4.2 机架满足SHD、PTA、EVAR等复杂手术摆位要求；</w:t>
            </w:r>
          </w:p>
          <w:p w14:paraId="74F405D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4.3 机架多位置预设，存储位置≥70种；</w:t>
            </w:r>
          </w:p>
          <w:p w14:paraId="0D098E0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4.4 C臂水平纵向运动≥250cm；</w:t>
            </w:r>
          </w:p>
          <w:p w14:paraId="35DA9D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4.5 机架L臂旋转范围≥±120°；</w:t>
            </w:r>
          </w:p>
          <w:p w14:paraId="156AD7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4.6 机架旋转时图像可保持正位无偏转；</w:t>
            </w:r>
          </w:p>
          <w:p w14:paraId="667309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4.7 机架C臂弧深≥89cm；</w:t>
            </w:r>
          </w:p>
          <w:p w14:paraId="4A83460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★4.8 机架等中心点到球管焦点的距离≥78cm；</w:t>
            </w:r>
          </w:p>
          <w:p w14:paraId="48746B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4.9 机架 C 型臂旋转速度（非旋转采集）LAO/RAO≥25°/秒；</w:t>
            </w:r>
          </w:p>
          <w:p w14:paraId="032A333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4.10 机架 C 型臂环内滑动速度（非旋转采集）CRAN/CAU≥25°/秒；</w:t>
            </w:r>
          </w:p>
          <w:p w14:paraId="0D693D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4.11 机架在头位时：CRA≥90°；CAU≥90°；RAO≥180°；LAO≥115°；</w:t>
            </w:r>
          </w:p>
          <w:p w14:paraId="513534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4.12 机架在侧位时：RAO≥90°；LAO≥90°；</w:t>
            </w:r>
          </w:p>
          <w:p w14:paraId="5B43BF5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4.13 机架可分别在头位、左侧位、右侧位进行透视、采集与三维图像采集；</w:t>
            </w:r>
          </w:p>
          <w:p w14:paraId="17D1A65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4.14 C臂水平横向运动范围≥200cm；</w:t>
            </w:r>
          </w:p>
          <w:p w14:paraId="181DC40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4.15 数码显示所有 C 型臂旋转角度信息；</w:t>
            </w:r>
          </w:p>
          <w:p w14:paraId="39BE07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4.16 床旁可以控制C型臂机架的运动；</w:t>
            </w:r>
          </w:p>
          <w:p w14:paraId="51A19A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4.17 机架转动轴≥6个；</w:t>
            </w:r>
          </w:p>
          <w:p w14:paraId="666E3B1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4.18 C臂机架上具备控制机架运动的按钮；</w:t>
            </w:r>
          </w:p>
          <w:p w14:paraId="0ABFA8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4.19 机架完全不影响手术室层流，满足手术室洁净等级。</w:t>
            </w:r>
          </w:p>
          <w:p w14:paraId="42A1B4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5 手术床</w:t>
            </w:r>
          </w:p>
          <w:p w14:paraId="13C46BB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5.1 最大患者承重≥200kg，最大承重≥300kg；</w:t>
            </w:r>
          </w:p>
          <w:p w14:paraId="791F5E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5.2 床长度≥310cm（不含附件），床宽度≥48cm（不含附件）；</w:t>
            </w:r>
          </w:p>
          <w:p w14:paraId="526967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5.3 床高度最低≤75cm，床升降范围≥30cm；</w:t>
            </w:r>
          </w:p>
          <w:p w14:paraId="5570EE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5.4 床水平横向运动范围≥±15cm；床水平纵向运动范围≥120cm；</w:t>
            </w:r>
          </w:p>
          <w:p w14:paraId="4C3FDA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5.5 床面水平方向旋转角度范围≥360°；</w:t>
            </w:r>
          </w:p>
          <w:p w14:paraId="5463183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5.6 床面采用透X射线的碳纤维材料；</w:t>
            </w:r>
          </w:p>
          <w:p w14:paraId="0B37F6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5.7 配置床面延长板。</w:t>
            </w:r>
          </w:p>
          <w:p w14:paraId="702E01A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 图像显示与工作站</w:t>
            </w:r>
          </w:p>
          <w:p w14:paraId="7E6CF8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6.1 检查室屏幕，大小≥55英寸1个或≥24英寸屏幕4个；</w:t>
            </w:r>
          </w:p>
          <w:p w14:paraId="5A6372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6.2 检查室屏幕分辨率≥1920×1080；</w:t>
            </w:r>
          </w:p>
          <w:p w14:paraId="47BC8B7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6.3 控制室屏幕可以同时显示当前患者与历史患者的图像；</w:t>
            </w:r>
          </w:p>
          <w:p w14:paraId="682CF0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6.4 主机图像文件存储容量≥10万张（1k图像，12bit）；</w:t>
            </w:r>
          </w:p>
          <w:p w14:paraId="160607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6.5 数据导入：支持将DICOM格式的患者图像数据从PACS、CD、DVD、USB导入到本机；</w:t>
            </w:r>
          </w:p>
          <w:p w14:paraId="10BDE4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6.6 数据归档：支持将DICOM、TIF、JPEG、BMP格式的患者图像归档至CD、DVD、USB、PACS；</w:t>
            </w:r>
          </w:p>
          <w:p w14:paraId="36C4FD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6.7 图像打印：支持DICOM打印机打印患者图像；</w:t>
            </w:r>
          </w:p>
          <w:p w14:paraId="4C466B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6.8 支持自定义屏幕录制功能；</w:t>
            </w:r>
          </w:p>
          <w:p w14:paraId="37C79F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6.9 控制室屏幕≥2块，大小≥24英寸；</w:t>
            </w:r>
          </w:p>
          <w:p w14:paraId="13CF39D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6.10 控制室屏幕分辨率≥1920×1080。</w:t>
            </w:r>
          </w:p>
          <w:p w14:paraId="1E66C9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 图像处理</w:t>
            </w:r>
          </w:p>
          <w:p w14:paraId="13FD98C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7.1 支持实时图像标注与互动教学；</w:t>
            </w:r>
          </w:p>
          <w:p w14:paraId="6CE7E7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7.2 支持在实时图像上添加图形，用于手术定位；</w:t>
            </w:r>
          </w:p>
          <w:p w14:paraId="15EEC6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7.3 支持放大缩小平移、翻转、标注、反色、还原；</w:t>
            </w:r>
          </w:p>
          <w:p w14:paraId="523B8A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7.4 支持窗宽窗位调节、边缘增强调节；</w:t>
            </w:r>
          </w:p>
          <w:p w14:paraId="09B3E2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7.5 支持电子光栅；</w:t>
            </w:r>
          </w:p>
          <w:p w14:paraId="45030DE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7.6 支持减影和原像切换及背景调节；</w:t>
            </w:r>
          </w:p>
          <w:p w14:paraId="2B22E4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7.7 支持移动替换蒙片；</w:t>
            </w:r>
          </w:p>
          <w:p w14:paraId="1FAC14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7.8 支持最大造影剂充盈图像；</w:t>
            </w:r>
          </w:p>
          <w:p w14:paraId="1792E65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7.9 支持自动校准、导管校准、长度校准；</w:t>
            </w:r>
          </w:p>
          <w:p w14:paraId="5F9E98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7.10 测量包括直线测量、曲线测量、比例测量、角度测量；</w:t>
            </w:r>
          </w:p>
          <w:p w14:paraId="1B818BC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7.11 支持将两幅不同序列的图像同时显示；</w:t>
            </w:r>
          </w:p>
          <w:p w14:paraId="211BAB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7.12 支持在透视或曝光的同时进行2D图像后处理操作，不影响手术；</w:t>
            </w:r>
          </w:p>
          <w:p w14:paraId="700F792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7.13 在检查室可以显示动态的参考序列；</w:t>
            </w:r>
          </w:p>
          <w:p w14:paraId="0A9D69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7.14 在控制室可以显示参考图像；</w:t>
            </w:r>
          </w:p>
          <w:p w14:paraId="362009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7.15 在控制室可以显示动态的历史序列。</w:t>
            </w:r>
          </w:p>
          <w:p w14:paraId="095D70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 图像采集</w:t>
            </w:r>
          </w:p>
          <w:p w14:paraId="1620B0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8.1 支持用DSA的图像做路径图（Roadmap）；</w:t>
            </w:r>
          </w:p>
          <w:p w14:paraId="048F58C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8.2 DSA支持实时移动伪影校正；</w:t>
            </w:r>
          </w:p>
          <w:p w14:paraId="2A251B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8.3 支持一键复位到DSA角度和相同部位，进行路径图制作；</w:t>
            </w:r>
          </w:p>
          <w:p w14:paraId="2A0E67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8.4 DSA采集支持2K采集；</w:t>
            </w:r>
          </w:p>
          <w:p w14:paraId="1691CB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8.5 透视：脉冲频率≥6档，最小脉冲透视帧频≤0.5fps，最大脉冲透视帧频≥30fps；</w:t>
            </w:r>
          </w:p>
          <w:p w14:paraId="50C2B1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8.6 透视存储时间≥60s，透视存储序列≥1000frame；</w:t>
            </w:r>
          </w:p>
          <w:p w14:paraId="6802C93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8.7 DSA采集帧频≥6档，DSA采集帧频≥30fps；</w:t>
            </w:r>
          </w:p>
          <w:p w14:paraId="47385E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8.8 数字电影最高帧频≥30fps；</w:t>
            </w:r>
          </w:p>
          <w:p w14:paraId="396B43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8.9 心脏采集最大帧率≥30帧/秒，外周采集最大帧率≥6帧/秒；</w:t>
            </w:r>
          </w:p>
          <w:p w14:paraId="36EB7E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8.10 硬盘图像存储量1024×1024，矩阵≥36000幅；</w:t>
            </w:r>
          </w:p>
          <w:p w14:paraId="6AA620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8.11 具备智能路径图功能。</w:t>
            </w:r>
          </w:p>
          <w:p w14:paraId="1D1B77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9 网络与接口</w:t>
            </w:r>
          </w:p>
          <w:p w14:paraId="3B80D6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9.1 具有DICOM Send功能、Print功能、Query/Retrieve功能、Worklist功能、MPPS功能；</w:t>
            </w:r>
          </w:p>
          <w:p w14:paraId="7A179A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9.2 激光相机接口；</w:t>
            </w:r>
          </w:p>
          <w:p w14:paraId="3ADA88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9.3 高压注射器接口；</w:t>
            </w:r>
          </w:p>
          <w:p w14:paraId="510FAF6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9.4 标准视频输出接口，能够支持视频转播，用于会议，教学，家属等待区图像浏览等。</w:t>
            </w:r>
          </w:p>
          <w:p w14:paraId="7E8AAF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10 低剂量控制方案</w:t>
            </w:r>
          </w:p>
          <w:p w14:paraId="4E69504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10.1 低剂量算法平台,各厂家提供最新发布的独立高清低剂量AI技术；</w:t>
            </w:r>
          </w:p>
          <w:p w14:paraId="1A56BA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10.2 床旁多档透视剂量选择；</w:t>
            </w:r>
          </w:p>
          <w:p w14:paraId="689FFE7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10.3 自动铜滤过切换；</w:t>
            </w:r>
          </w:p>
          <w:p w14:paraId="4E4E42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10.4 无射线定位；</w:t>
            </w:r>
          </w:p>
          <w:p w14:paraId="015210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10.5 SID自动降低；</w:t>
            </w:r>
          </w:p>
          <w:p w14:paraId="0A1EA9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10.6 检查室和控制室界面剂量显示；</w:t>
            </w:r>
          </w:p>
          <w:p w14:paraId="1BDF01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10.7 皮肤入射剂量阈值预警。</w:t>
            </w:r>
          </w:p>
          <w:p w14:paraId="54E7E3B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 临床应用功能</w:t>
            </w:r>
          </w:p>
          <w:p w14:paraId="3D1E12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 支持CBCT采集和重建；</w:t>
            </w:r>
          </w:p>
          <w:p w14:paraId="241AFB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 支持在正侧位进行CBCT扫描；</w:t>
            </w:r>
          </w:p>
          <w:p w14:paraId="67673EA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11.3 支持角度、窗值、层厚、渲染预设、VOI裁剪、缩放、平移、标注、重置；</w:t>
            </w:r>
          </w:p>
          <w:p w14:paraId="70DC29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11.4 支持发送3D角度，C臂一键到位；</w:t>
            </w:r>
          </w:p>
          <w:p w14:paraId="4AA5C9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11.5 支持3D VRT图像与C臂实时联动，三维血管图像可随机架角度变化而相应改变；</w:t>
            </w:r>
          </w:p>
          <w:p w14:paraId="323888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11.6 支持多容积重建，同时融合容积≥4；</w:t>
            </w:r>
          </w:p>
          <w:p w14:paraId="00CCA7A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11.7 支持对VR图像进行斜面的剪切；</w:t>
            </w:r>
          </w:p>
          <w:p w14:paraId="0DD7A4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11.8 支持测量CT值；</w:t>
            </w:r>
          </w:p>
          <w:p w14:paraId="0CF13E2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11.9 支持3D测量，结果不随角度变化而变化；</w:t>
            </w:r>
          </w:p>
          <w:p w14:paraId="38BB7C6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11.10 支持高空间分辨率锥形束CT扫描；</w:t>
            </w:r>
          </w:p>
          <w:p w14:paraId="51FE70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11.11 支持多期锥形束CT扫描，≥2期；</w:t>
            </w:r>
          </w:p>
          <w:p w14:paraId="7822F8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11.12 支持偏中心锥形束CT扫描；</w:t>
            </w:r>
          </w:p>
          <w:p w14:paraId="04426E4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11.13 支持CBCT去金属伪影再重建；</w:t>
            </w:r>
          </w:p>
          <w:p w14:paraId="3828F06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11.14 具备三维实时路径引导功能；</w:t>
            </w:r>
          </w:p>
          <w:p w14:paraId="0619C3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11.15 将3D血管影像叠加实时透视减影图像，进行实时操作引导；</w:t>
            </w:r>
          </w:p>
          <w:p w14:paraId="40DF3E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11.16 三维路图与SID、C臂角度调节、机架运动、FOV等调节实时联动；</w:t>
            </w:r>
          </w:p>
          <w:p w14:paraId="015EE93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11.17 支持患者不憋气状态下，消除伪影获取清晰数字减影血管造影图像；</w:t>
            </w:r>
          </w:p>
          <w:p w14:paraId="2E6A9FE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11.18 多模态影像融合；</w:t>
            </w:r>
          </w:p>
          <w:p w14:paraId="790D39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11.19 多模态融合的图像可与DSA图像融合，可用于二维实时透视图像的引导；</w:t>
            </w:r>
          </w:p>
          <w:p w14:paraId="261405B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11.20 多模态融合具备手动和自动配准功能；</w:t>
            </w:r>
          </w:p>
          <w:p w14:paraId="295962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11.21 支持对CTA进行头部、下肢、胸腹、联合部位进行一键自动去骨；</w:t>
            </w:r>
          </w:p>
          <w:p w14:paraId="154F5AF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11.22 多模态融合同时融合数量≥4；</w:t>
            </w:r>
          </w:p>
          <w:p w14:paraId="13B2CD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11.23 支持兼容不同厂家的CT、MR图像；</w:t>
            </w:r>
          </w:p>
          <w:p w14:paraId="41ED89E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11.24 具备支架清晰显示功能；</w:t>
            </w:r>
          </w:p>
          <w:p w14:paraId="6E31194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11.25 具备冠脉狭窄分析功能；</w:t>
            </w:r>
          </w:p>
          <w:p w14:paraId="45EFC7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11.26 具备实时支架清晰显示功能；</w:t>
            </w:r>
          </w:p>
          <w:p w14:paraId="2555ED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11.27 具备动态冠脉路图功能；</w:t>
            </w:r>
          </w:p>
          <w:p w14:paraId="5DE7A4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11.28 支持3D采集和重建；</w:t>
            </w:r>
          </w:p>
          <w:p w14:paraId="5DA8951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11.29 具备双透视功能；</w:t>
            </w:r>
          </w:p>
          <w:p w14:paraId="3997F8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11.30 具备心室分析软件；</w:t>
            </w:r>
          </w:p>
          <w:p w14:paraId="598549D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11.31 具备组合蒙片功能；</w:t>
            </w:r>
          </w:p>
          <w:p w14:paraId="5D23C1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11.32 具备冠脉分析软件；</w:t>
            </w:r>
          </w:p>
          <w:p w14:paraId="3D9DD1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11.33 具备三维血管图像重建功能。</w:t>
            </w:r>
          </w:p>
          <w:p w14:paraId="179DBD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 配置清单</w:t>
            </w:r>
          </w:p>
          <w:p w14:paraId="3C09E5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12.1 双向对讲系统1套；</w:t>
            </w:r>
          </w:p>
          <w:p w14:paraId="5D5D30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12.2 具有悬吊式射线防护屏、具有床旁射线防护帘、具有悬吊式手术灯各1套；</w:t>
            </w:r>
          </w:p>
          <w:p w14:paraId="1C5FAB7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12.3 具备输液架、头托、臂托、绑带各1套；</w:t>
            </w:r>
          </w:p>
          <w:p w14:paraId="12C5B8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12.4 DSA专用高压注射器1套；</w:t>
            </w:r>
          </w:p>
          <w:p w14:paraId="5E5CCD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12.5 符合国家安全防护标准的铅衣套装十套（含防护服、防护巾、护目镜、围脖、帽子），其防护服整体质量≤5kg，及配套铅衣架；</w:t>
            </w:r>
          </w:p>
          <w:p w14:paraId="531894D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12.6 监护仪1套；</w:t>
            </w:r>
          </w:p>
          <w:p w14:paraId="38F9E1B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12.7 除颤监护仪1套；</w:t>
            </w:r>
          </w:p>
          <w:p w14:paraId="6A74203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12.8 专用配套工作站2套；</w:t>
            </w:r>
          </w:p>
          <w:p w14:paraId="4807BF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lang w:val="en" w:eastAsia="zh-CN"/>
              </w:rPr>
            </w:pPr>
            <w:r>
              <w:rPr>
                <w:rFonts w:hint="eastAsia" w:ascii="宋体" w:hAnsi="宋体" w:eastAsia="宋体" w:cs="宋体"/>
                <w:lang w:val="en" w:eastAsia="zh-CN"/>
              </w:rPr>
              <w:t>12.9 工作站专用桌椅2套；</w:t>
            </w:r>
          </w:p>
          <w:p w14:paraId="654FEFEC">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1"/>
                <w:szCs w:val="21"/>
              </w:rPr>
            </w:pPr>
            <w:r>
              <w:rPr>
                <w:rFonts w:hint="eastAsia" w:ascii="宋体" w:hAnsi="宋体" w:eastAsia="宋体" w:cs="宋体"/>
                <w:lang w:val="en" w:eastAsia="zh-CN"/>
              </w:rPr>
              <w:t>12.10 桡动脉穿刺用臂托1个。</w:t>
            </w:r>
          </w:p>
        </w:tc>
      </w:tr>
    </w:tbl>
    <w:p w14:paraId="10B28406">
      <w:pPr>
        <w:pStyle w:val="2"/>
        <w:ind w:firstLine="420" w:firstLineChars="200"/>
        <w:rPr>
          <w:rStyle w:val="191"/>
          <w:rFonts w:hint="eastAsia" w:hAnsi="宋体"/>
          <w:b/>
          <w:bCs/>
          <w:color w:val="auto"/>
          <w:kern w:val="2"/>
          <w:sz w:val="21"/>
          <w:szCs w:val="21"/>
          <w:u w:val="none"/>
        </w:rPr>
      </w:pPr>
    </w:p>
    <w:p w14:paraId="0CEA53AA">
      <w:pPr>
        <w:pStyle w:val="2"/>
        <w:ind w:firstLine="420" w:firstLineChars="200"/>
        <w:rPr>
          <w:rFonts w:hint="eastAsia" w:hAnsi="宋体"/>
          <w:b/>
          <w:bCs/>
          <w:color w:val="auto"/>
          <w:sz w:val="21"/>
          <w:szCs w:val="21"/>
        </w:rPr>
      </w:pPr>
      <w:r>
        <w:rPr>
          <w:rStyle w:val="191"/>
          <w:rFonts w:hint="eastAsia" w:hAnsi="宋体"/>
          <w:b/>
          <w:bCs/>
          <w:color w:val="auto"/>
          <w:kern w:val="2"/>
          <w:sz w:val="21"/>
          <w:szCs w:val="21"/>
          <w:u w:val="none"/>
        </w:rPr>
        <w:t>▲</w:t>
      </w:r>
      <w:r>
        <w:rPr>
          <w:rFonts w:hint="eastAsia" w:hAnsi="宋体"/>
          <w:b/>
          <w:bCs/>
          <w:color w:val="auto"/>
          <w:sz w:val="21"/>
          <w:szCs w:val="21"/>
        </w:rPr>
        <w:t>二、商务要求（以下所有为实质性要求条款不满足作无效投标处理）</w:t>
      </w:r>
    </w:p>
    <w:p w14:paraId="7E4A22A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（一）质量保证期</w:t>
      </w:r>
    </w:p>
    <w:p w14:paraId="6FEFF03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质量保证期（以下简称质保期）按国家有关产品“三包”规定执行“三包”，产品生产厂家提供整机（含配套附件）保修及免费升级承诺函，且保修时间不得少于</w:t>
      </w:r>
      <w:r>
        <w:rPr>
          <w:rFonts w:hint="eastAsia" w:ascii="宋体" w:hAnsi="宋体"/>
          <w:b w:val="0"/>
          <w:bCs/>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年，自设备验收合格并能正常使用之日起计算。投标人应在投标文件中提供质保期后维保服务优惠报价供配置单位日后采购时参考。</w:t>
      </w:r>
    </w:p>
    <w:p w14:paraId="04FCBBF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（二）交货时间及地点</w:t>
      </w:r>
    </w:p>
    <w:p w14:paraId="57F0517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1.交货时间：合同签定之日起，中标供应商在</w:t>
      </w:r>
      <w:r>
        <w:rPr>
          <w:rFonts w:hint="eastAsia" w:ascii="宋体" w:hAnsi="宋体"/>
          <w:color w:val="000000" w:themeColor="text1"/>
          <w:szCs w:val="21"/>
          <w:lang w:val="en-US" w:eastAsia="zh-CN"/>
          <w14:textFill>
            <w14:solidFill>
              <w14:schemeClr w14:val="tx1"/>
            </w14:solidFill>
          </w14:textFill>
        </w:rPr>
        <w:t>30</w:t>
      </w:r>
      <w:r>
        <w:rPr>
          <w:rFonts w:hint="eastAsia" w:ascii="宋体" w:hAnsi="宋体"/>
          <w:color w:val="000000" w:themeColor="text1"/>
          <w:szCs w:val="21"/>
          <w14:textFill>
            <w14:solidFill>
              <w14:schemeClr w14:val="tx1"/>
            </w14:solidFill>
          </w14:textFill>
        </w:rPr>
        <w:t>个日历日内向配置单位交付全部货物。</w:t>
      </w:r>
    </w:p>
    <w:p w14:paraId="4040866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2.交货地点：广西范围内，配置单位指定地点。</w:t>
      </w:r>
    </w:p>
    <w:p w14:paraId="60D3F6B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（三）服务标准、服务效率、售后服务要求</w:t>
      </w:r>
    </w:p>
    <w:p w14:paraId="045388F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1.中标供应商负责送货上门，保障设备、人员安全及安装调试，安装前提供相关的布局图和设计要求，培训配置单位的操作人员至能完全独立操作、日常维护及承担以上所产生的相关费用。</w:t>
      </w:r>
    </w:p>
    <w:p w14:paraId="5BCE1C1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2.质保期内提供7×24小时售后服务，仪器设备出现故障，在接到电话通知后，2小时内做出实质性响应（远程解决或做出预备维护动作），需维护工程师现场解决的，要求在24小时内到现场处理。</w:t>
      </w:r>
    </w:p>
    <w:p w14:paraId="2B5F215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3.质保期内发生故障的设备如无法在24小时内修复，须保证年开机率95%以上，否则中标供应商承担相应的损失。单次故障（不可抗力因素除外）维修时间超过20天仍无法修复的，配置单位有权要求更换设备或赔偿。</w:t>
      </w:r>
    </w:p>
    <w:p w14:paraId="37A9412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4.质保期内每季度一次定期回访以及对设备维护。质保期满前1个月内中标供应商应负责对设备进行一次免费全面检查，如发现潜在问题，应负责排除，保证设备正常运行。</w:t>
      </w:r>
    </w:p>
    <w:p w14:paraId="3253D2E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产品必须是全新，且生产日期为1年内（签订合同之日计算）的产品。产品包装必须是全新的合格产品，并按照原厂标准包装规格供货，不接受散装或拆包装件。所有货物都提供中文说明书和详细装箱清单及质量合格证。</w:t>
      </w:r>
    </w:p>
    <w:p w14:paraId="523CC91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6.安装调试完成后，中标供应商对配置单位提供1次或多次培训，使配置单位的操作人员及工程人员熟练掌握全部功能及基本维修，相关费用包括在投标报价中，配置单位不再另行支付。</w:t>
      </w:r>
    </w:p>
    <w:p w14:paraId="4A27BD0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7.中标供应商提供维护手册、维修手册、软件备份、故障代码表、备件清单。质保期外，无偿提供维修密码及所附软件在该项目的永久使用权。</w:t>
      </w:r>
    </w:p>
    <w:p w14:paraId="19BA1B8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57E2BC5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9.中标供应商保证配置单位能够合法应用该器械及相应服务。配置单位在办理相关证件及验收等流程中，中标供应商必须提供所需的合法材料。</w:t>
      </w:r>
    </w:p>
    <w:p w14:paraId="155B844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（四）付款方式</w:t>
      </w:r>
    </w:p>
    <w:p w14:paraId="200D1B8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分期付款，分两期支付。</w:t>
      </w:r>
    </w:p>
    <w:p w14:paraId="6451D51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1.第一期：预付款为合同金额的30%；签订合同后，配置单位收到中标供应商开具合法有效的合同款30%等额发票后，10个工作日内，向中标供应商支付预付款；</w:t>
      </w:r>
    </w:p>
    <w:p w14:paraId="36FF290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2.第二期：所有货物交货安装调试完毕并验收合格，双方签署验收报告后，配置单位收到中标供应商开具合法有效的合同款70%等额发票后，10个工作日内，支付至合同款的100%。</w:t>
      </w:r>
    </w:p>
    <w:p w14:paraId="62D73E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3.中标供应商未开具合法有效的等额发票的，配置单位有权不支付合同款。</w:t>
      </w:r>
    </w:p>
    <w:p w14:paraId="6E04BD7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（五）履约保证金</w:t>
      </w:r>
    </w:p>
    <w:p w14:paraId="7AE5DA0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履约保证金金额：中标供应商按中标金额的5%向配置单位支付履约保证金。（如中标供应商为中小微企业，按中标金额的2%），如中标供应商以保函形式提交的履约保证金，配置单位不得拒收。</w:t>
      </w:r>
    </w:p>
    <w:p w14:paraId="4D1D9DE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在签订合同之前，中标供应商需把履约保证金足额交到配置单位指定账户。未提交履约保证金的，不予签订本合同。验收合格后，配置单位应当按照合同约定的退还方式，由中标供应商提出书面申请后，在5个工作日内办理履约保证金退还手续。中标供应商在履行合同过程中，未能按照合同约定履行质量保证义务的（不可抗力除外），若因此给配置单位造成损失的，应向配置单位进行等额赔偿。</w:t>
      </w:r>
    </w:p>
    <w:p w14:paraId="2CED668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（六）投标报价要求</w:t>
      </w:r>
    </w:p>
    <w:p w14:paraId="78D3A42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包含货物、货物标准附件、备品备件、专用工具、设备安装辅材、施工辅材、包装、运输、装卸、保险、连接医院信息系统接口费（如HIS、PACS）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14:paraId="783F518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（七）政策性加分条件</w:t>
      </w:r>
    </w:p>
    <w:p w14:paraId="77494BD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符合节能环保等国家政策要求。</w:t>
      </w:r>
    </w:p>
    <w:p w14:paraId="75B3A91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（八）验收标准及验收方法</w:t>
      </w:r>
    </w:p>
    <w:p w14:paraId="7AF5D48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1.中标供应商应将所提供货物的装箱清单、用户手册、原厂保修卡、随机资料、工具和备品、备件等交付给配置单位，如有缺失应在配置单位要求的期限内及时补齐，否则视为逾期交货。</w:t>
      </w:r>
    </w:p>
    <w:p w14:paraId="224C5DD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配置单位将依据招标文件上的技术要求和国家有关质量标准对中标供应商提交的货物进行初步签收；中标供应商如提供不符合招标文件、投标文件和采购合同规定的货物，配置单位有权不予签收，由此产生的一切损失均由中标供应商自行承担。</w:t>
      </w:r>
    </w:p>
    <w:p w14:paraId="68E1F96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3.中标供应商需承担供货时产品质量抽样检测的相关费用以及项目验收时发生的一切费用。</w:t>
      </w:r>
    </w:p>
    <w:p w14:paraId="457D60A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4.安装合格后15日内提供安装调试报告与原厂技术规格书(或Datasheet)。 本条所有涉及的文件均提供纸质与电子档。</w:t>
      </w:r>
    </w:p>
    <w:p w14:paraId="2BAF2CF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当项目调试完成后，由中标供应商向配置单位提出项目竣工测试申请，并于验收前向配置单位提供一切有关技术文件、资料、图纸和培训相关记录等竣工材料，并在竣工前5个工作日通知配置单位及有关部门准备验收。拟竣工项目的实施总体功能、性能符合配置单位认可的技术设计方案及合同规定的，配置单位在7个工作日内组织验收，并作出验收结果报告。供需双方签署项目终验验收证书并加盖公章，自正式交付使用之日起，开始计算质保期。</w:t>
      </w:r>
    </w:p>
    <w:p w14:paraId="4214300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pPr>
      <w:r>
        <w:rPr>
          <w:rFonts w:hint="eastAsia" w:ascii="宋体" w:hAnsi="宋体"/>
          <w:color w:val="000000" w:themeColor="text1"/>
          <w:szCs w:val="21"/>
          <w14:textFill>
            <w14:solidFill>
              <w14:schemeClr w14:val="tx1"/>
            </w14:solidFill>
          </w14:textFill>
        </w:rPr>
        <w:t>6.配置单位对验收有异议的，以书面形式向中标供应商提出，中标供应商应自收到配置单位书面异议后5个工作日内及时予以解决，中标供应商不予答复或未予以实质解决的，视为认可配置单位异议及处置意见。</w:t>
      </w:r>
    </w:p>
    <w:p w14:paraId="3CBC615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7.验收标准</w:t>
      </w:r>
    </w:p>
    <w:p w14:paraId="31BEEC50">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1)项目招标文件及中标供应商投标文件中的“技术响应表”,逐条验收；</w:t>
      </w:r>
    </w:p>
    <w:p w14:paraId="1B82C13B">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（2)项目招标文件及中标供应商投标文件中的“商务响应表”,逐条验收；</w:t>
      </w:r>
    </w:p>
    <w:p w14:paraId="33A7D3CB">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（3)中标供应商投标文件中其他技术、服务、商务性的说明、承诺事项，逐条验收。</w:t>
      </w:r>
    </w:p>
    <w:p w14:paraId="359F32F0">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（4)国家相关法律、法规、标准和规范等。</w:t>
      </w:r>
    </w:p>
    <w:p w14:paraId="46836444">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其他未尽事宜应严格参照《关于印发广西壮族自治区政府采购项目履约验收管理办法的通知》[桂财采〔2015〕22号]以及《财政部关于进一步加强政府采购需求和履约验收管理的指导意见》[财库〔2016〕205号]规定执行。</w:t>
      </w:r>
    </w:p>
    <w:p w14:paraId="22A642C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若配置单位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配置单位不承担逾期付款责任。</w:t>
      </w:r>
    </w:p>
    <w:p w14:paraId="3348C77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9.中标供应商提供的货物与投标文件响应情况不符，视为验收不合格。</w:t>
      </w:r>
    </w:p>
    <w:p w14:paraId="6776F75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（九）进口产品说明</w:t>
      </w:r>
    </w:p>
    <w:p w14:paraId="65934FB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本标项</w:t>
      </w:r>
      <w:r>
        <w:rPr>
          <w:rFonts w:hint="eastAsia" w:ascii="宋体" w:hAnsi="宋体"/>
          <w:color w:val="000000" w:themeColor="text1"/>
          <w:szCs w:val="21"/>
          <w:lang w:eastAsia="zh-CN"/>
          <w14:textFill>
            <w14:solidFill>
              <w14:schemeClr w14:val="tx1"/>
            </w14:solidFill>
          </w14:textFill>
        </w:rPr>
        <w:t>不</w:t>
      </w:r>
      <w:r>
        <w:rPr>
          <w:rFonts w:hint="eastAsia" w:ascii="宋体" w:hAnsi="宋体"/>
          <w:color w:val="000000" w:themeColor="text1"/>
          <w:szCs w:val="21"/>
          <w14:textFill>
            <w14:solidFill>
              <w14:schemeClr w14:val="tx1"/>
            </w14:solidFill>
          </w14:textFill>
        </w:rPr>
        <w:t>接受进口设备参与投标。</w:t>
      </w:r>
    </w:p>
    <w:p w14:paraId="75268EA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（十）规范标准</w:t>
      </w:r>
    </w:p>
    <w:p w14:paraId="0C09D00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执行现行的强制执行的国家、行业、地方标准。</w:t>
      </w:r>
    </w:p>
    <w:p w14:paraId="405AF05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（十一）产品资料及说明文件</w:t>
      </w:r>
    </w:p>
    <w:p w14:paraId="041A741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中提供投标产品对外公开的产品彩页或说明书（须体现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45DF3F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（十二）采购预算价及最高限价</w:t>
      </w:r>
    </w:p>
    <w:p w14:paraId="585B43A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投标报价超采购预算（含单项采购预算，如有）及最高限价（含单项最高限价，如有）的投标无效。</w:t>
      </w:r>
    </w:p>
    <w:p w14:paraId="3EE2EDF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（十三）医疗器械注册或备案要求</w:t>
      </w:r>
    </w:p>
    <w:p w14:paraId="6AB0745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14:paraId="503B98C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（十四）其它</w:t>
      </w:r>
    </w:p>
    <w:p w14:paraId="04566CA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投标人根据自身情况提供项目实施方案，内容包括但不限于：</w:t>
      </w:r>
    </w:p>
    <w:p w14:paraId="1F8D03C6">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技术及项目实施方案（包含但不限于管理措施、具体实施流程、进度安排、质量保证措施、有利于采购项目实施的内容或合理性建议的等）；</w:t>
      </w:r>
    </w:p>
    <w:p w14:paraId="32DDE64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2.技术人员方案（包含但不限于技术人员投入计划，有技术人员在安装调试过程提供技术支持和协助计划，拟派有资质技术人员完成实施方案，有利于采购项目实施的内容或合理性建议的）；</w:t>
      </w:r>
    </w:p>
    <w:p w14:paraId="650F624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3.培训计划（包括但不限于：培训方式、培训次数、人数、课程内容及师资等）；</w:t>
      </w:r>
    </w:p>
    <w:p w14:paraId="747BCE2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4.生产厂家售后服务承诺书等。</w:t>
      </w:r>
    </w:p>
    <w:p w14:paraId="429A2700">
      <w:pPr>
        <w:pStyle w:val="2"/>
        <w:rPr>
          <w:rFonts w:hint="eastAsia"/>
        </w:rPr>
      </w:pPr>
    </w:p>
    <w:p w14:paraId="72858C6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hAnsi="宋体" w:cs="宋体"/>
          <w:lang w:val="en-US" w:eastAsia="zh-CN"/>
        </w:rPr>
      </w:pPr>
      <w:r>
        <w:rPr>
          <w:rFonts w:hint="eastAsia" w:ascii="宋体" w:hAnsi="宋体"/>
          <w:b/>
          <w:color w:val="000000" w:themeColor="text1"/>
          <w:szCs w:val="21"/>
          <w14:textFill>
            <w14:solidFill>
              <w14:schemeClr w14:val="tx1"/>
            </w14:solidFill>
          </w14:textFill>
        </w:rPr>
        <w:t>（十</w:t>
      </w:r>
      <w:r>
        <w:rPr>
          <w:rFonts w:hint="eastAsia" w:ascii="宋体" w:hAnsi="宋体"/>
          <w:b/>
          <w:color w:val="000000" w:themeColor="text1"/>
          <w:szCs w:val="21"/>
          <w:lang w:eastAsia="zh-CN"/>
          <w14:textFill>
            <w14:solidFill>
              <w14:schemeClr w14:val="tx1"/>
            </w14:solidFill>
          </w14:textFill>
        </w:rPr>
        <w:t>五</w:t>
      </w:r>
      <w:r>
        <w:rPr>
          <w:rFonts w:hint="eastAsia" w:ascii="宋体" w:hAnsi="宋体"/>
          <w:b/>
          <w:color w:val="000000" w:themeColor="text1"/>
          <w:szCs w:val="21"/>
          <w14:textFill>
            <w14:solidFill>
              <w14:schemeClr w14:val="tx1"/>
            </w14:solidFill>
          </w14:textFill>
        </w:rPr>
        <w:t>）</w:t>
      </w:r>
      <w:r>
        <w:rPr>
          <w:rFonts w:hint="eastAsia" w:hAnsi="宋体"/>
          <w:b/>
          <w:bCs/>
          <w:sz w:val="21"/>
          <w:szCs w:val="21"/>
        </w:rPr>
        <w:t>核心产品：医用血管造影X射线机（分标4）</w:t>
      </w:r>
    </w:p>
    <w:p w14:paraId="18202525">
      <w:pPr>
        <w:pStyle w:val="2"/>
        <w:ind w:firstLine="480" w:firstLineChars="200"/>
        <w:rPr>
          <w:rFonts w:hint="eastAsia" w:hAnsi="宋体" w:cs="宋体"/>
          <w:lang w:val="en-US" w:eastAsia="zh-CN"/>
        </w:rPr>
      </w:pPr>
    </w:p>
    <w:p w14:paraId="2FC8446D">
      <w:pPr>
        <w:pStyle w:val="2"/>
        <w:ind w:firstLine="630" w:firstLineChars="300"/>
        <w:rPr>
          <w:rStyle w:val="191"/>
          <w:rFonts w:ascii="宋体" w:hAnsi="宋体"/>
          <w:b/>
          <w:bCs/>
          <w:color w:val="auto"/>
          <w:sz w:val="21"/>
          <w:szCs w:val="21"/>
          <w:u w:val="none"/>
        </w:rPr>
      </w:pPr>
      <w:r>
        <w:rPr>
          <w:rStyle w:val="191"/>
          <w:rFonts w:hint="eastAsia" w:ascii="宋体" w:hAnsi="宋体"/>
          <w:b/>
          <w:bCs/>
          <w:color w:val="auto"/>
          <w:sz w:val="21"/>
          <w:szCs w:val="21"/>
          <w:u w:val="none"/>
        </w:rPr>
        <w:t>三、</w:t>
      </w:r>
      <w:r>
        <w:rPr>
          <w:rStyle w:val="191"/>
          <w:rFonts w:ascii="宋体" w:hAnsi="宋体"/>
          <w:b/>
          <w:bCs/>
          <w:color w:val="auto"/>
          <w:sz w:val="21"/>
          <w:szCs w:val="21"/>
          <w:u w:val="none"/>
        </w:rPr>
        <w:t>配置单位信息</w:t>
      </w:r>
    </w:p>
    <w:tbl>
      <w:tblPr>
        <w:tblStyle w:val="55"/>
        <w:tblpPr w:leftFromText="180" w:rightFromText="180" w:vertAnchor="text" w:horzAnchor="page" w:tblpX="1847" w:tblpY="429"/>
        <w:tblOverlap w:val="never"/>
        <w:tblW w:w="7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26"/>
        <w:gridCol w:w="1134"/>
        <w:gridCol w:w="1559"/>
      </w:tblGrid>
      <w:tr w14:paraId="7D94B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blHeader/>
        </w:trPr>
        <w:tc>
          <w:tcPr>
            <w:tcW w:w="735" w:type="dxa"/>
            <w:tcBorders>
              <w:top w:val="single" w:color="auto" w:sz="4" w:space="0"/>
              <w:left w:val="single" w:color="auto" w:sz="4" w:space="0"/>
              <w:bottom w:val="single" w:color="auto" w:sz="4" w:space="0"/>
              <w:right w:val="single" w:color="auto" w:sz="4" w:space="0"/>
            </w:tcBorders>
            <w:vAlign w:val="center"/>
          </w:tcPr>
          <w:p w14:paraId="2F677096">
            <w:pPr>
              <w:adjustRightInd w:val="0"/>
              <w:snapToGrid w:val="0"/>
              <w:jc w:val="center"/>
              <w:rPr>
                <w:rFonts w:ascii="仿宋" w:hAnsi="仿宋" w:eastAsia="仿宋" w:cs="仿宋"/>
                <w:b/>
                <w:kern w:val="0"/>
                <w:sz w:val="24"/>
              </w:rPr>
            </w:pPr>
            <w:r>
              <w:rPr>
                <w:rFonts w:hint="eastAsia" w:ascii="仿宋" w:hAnsi="仿宋" w:eastAsia="仿宋" w:cs="仿宋"/>
                <w:b/>
                <w:kern w:val="0"/>
                <w:sz w:val="24"/>
              </w:rPr>
              <w:t>序号</w:t>
            </w:r>
          </w:p>
        </w:tc>
        <w:tc>
          <w:tcPr>
            <w:tcW w:w="3626" w:type="dxa"/>
            <w:tcBorders>
              <w:top w:val="single" w:color="auto" w:sz="4" w:space="0"/>
              <w:left w:val="single" w:color="auto" w:sz="4" w:space="0"/>
              <w:bottom w:val="single" w:color="auto" w:sz="4" w:space="0"/>
              <w:right w:val="single" w:color="auto" w:sz="4" w:space="0"/>
            </w:tcBorders>
            <w:vAlign w:val="center"/>
          </w:tcPr>
          <w:p w14:paraId="5BE644E0">
            <w:pPr>
              <w:adjustRightInd w:val="0"/>
              <w:snapToGrid w:val="0"/>
              <w:jc w:val="center"/>
              <w:rPr>
                <w:rFonts w:ascii="仿宋" w:hAnsi="仿宋" w:eastAsia="仿宋" w:cs="仿宋"/>
                <w:b/>
                <w:kern w:val="0"/>
                <w:sz w:val="24"/>
              </w:rPr>
            </w:pPr>
            <w:r>
              <w:rPr>
                <w:rFonts w:hint="eastAsia" w:ascii="仿宋" w:hAnsi="仿宋" w:eastAsia="仿宋" w:cs="仿宋"/>
                <w:b/>
                <w:kern w:val="0"/>
                <w:sz w:val="24"/>
              </w:rPr>
              <w:t>配置单位名称</w:t>
            </w:r>
          </w:p>
        </w:tc>
        <w:tc>
          <w:tcPr>
            <w:tcW w:w="1134" w:type="dxa"/>
            <w:tcBorders>
              <w:top w:val="single" w:color="auto" w:sz="4" w:space="0"/>
              <w:left w:val="single" w:color="auto" w:sz="4" w:space="0"/>
              <w:bottom w:val="single" w:color="auto" w:sz="4" w:space="0"/>
              <w:right w:val="single" w:color="auto" w:sz="4" w:space="0"/>
            </w:tcBorders>
            <w:vAlign w:val="center"/>
          </w:tcPr>
          <w:p w14:paraId="16F3DE51">
            <w:pPr>
              <w:adjustRightInd w:val="0"/>
              <w:snapToGrid w:val="0"/>
              <w:jc w:val="center"/>
              <w:rPr>
                <w:rFonts w:ascii="仿宋" w:hAnsi="仿宋" w:eastAsia="仿宋" w:cs="仿宋"/>
                <w:b/>
                <w:kern w:val="0"/>
                <w:sz w:val="24"/>
              </w:rPr>
            </w:pPr>
            <w:r>
              <w:rPr>
                <w:rFonts w:hint="eastAsia" w:ascii="仿宋" w:hAnsi="仿宋" w:eastAsia="仿宋" w:cs="仿宋"/>
                <w:b/>
                <w:kern w:val="0"/>
                <w:sz w:val="24"/>
              </w:rPr>
              <w:t>数量</w:t>
            </w:r>
          </w:p>
        </w:tc>
        <w:tc>
          <w:tcPr>
            <w:tcW w:w="1559" w:type="dxa"/>
            <w:tcBorders>
              <w:top w:val="single" w:color="auto" w:sz="4" w:space="0"/>
              <w:left w:val="single" w:color="auto" w:sz="4" w:space="0"/>
              <w:bottom w:val="single" w:color="auto" w:sz="4" w:space="0"/>
              <w:right w:val="single" w:color="auto" w:sz="4" w:space="0"/>
            </w:tcBorders>
            <w:vAlign w:val="center"/>
          </w:tcPr>
          <w:p w14:paraId="43A16570">
            <w:pPr>
              <w:adjustRightInd w:val="0"/>
              <w:snapToGrid w:val="0"/>
              <w:jc w:val="center"/>
              <w:rPr>
                <w:rFonts w:ascii="仿宋" w:hAnsi="仿宋" w:eastAsia="仿宋" w:cs="仿宋"/>
                <w:b/>
                <w:kern w:val="0"/>
                <w:sz w:val="24"/>
              </w:rPr>
            </w:pPr>
            <w:r>
              <w:rPr>
                <w:rFonts w:hint="eastAsia" w:ascii="仿宋" w:hAnsi="仿宋" w:eastAsia="仿宋" w:cs="仿宋"/>
                <w:b/>
                <w:kern w:val="0"/>
                <w:sz w:val="24"/>
              </w:rPr>
              <w:t>单位</w:t>
            </w:r>
          </w:p>
        </w:tc>
      </w:tr>
      <w:tr w14:paraId="19018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5EA7377A">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1</w:t>
            </w:r>
          </w:p>
        </w:tc>
        <w:tc>
          <w:tcPr>
            <w:tcW w:w="3626" w:type="dxa"/>
            <w:tcBorders>
              <w:top w:val="single" w:color="auto" w:sz="4" w:space="0"/>
              <w:left w:val="single" w:color="auto" w:sz="4" w:space="0"/>
              <w:bottom w:val="single" w:color="auto" w:sz="4" w:space="0"/>
              <w:right w:val="single" w:color="auto" w:sz="4" w:space="0"/>
            </w:tcBorders>
            <w:vAlign w:val="center"/>
          </w:tcPr>
          <w:p w14:paraId="420E57F3">
            <w:pPr>
              <w:adjustRightInd w:val="0"/>
              <w:snapToGrid w:val="0"/>
              <w:spacing w:before="93" w:beforeLines="30" w:after="93" w:afterLines="30"/>
              <w:jc w:val="center"/>
              <w:rPr>
                <w:rFonts w:ascii="仿宋" w:hAnsi="仿宋" w:eastAsia="仿宋" w:cs="仿宋"/>
                <w:bCs/>
                <w:kern w:val="0"/>
                <w:sz w:val="24"/>
              </w:rPr>
            </w:pPr>
            <w:r>
              <w:rPr>
                <w:rFonts w:hint="eastAsia" w:cs="宋体"/>
                <w:szCs w:val="21"/>
              </w:rPr>
              <w:t>广西壮族自治区南溪山医院（广西壮族自治区第二人民医院）</w:t>
            </w:r>
          </w:p>
        </w:tc>
        <w:tc>
          <w:tcPr>
            <w:tcW w:w="1134" w:type="dxa"/>
            <w:tcBorders>
              <w:top w:val="single" w:color="auto" w:sz="4" w:space="0"/>
              <w:left w:val="single" w:color="auto" w:sz="4" w:space="0"/>
              <w:bottom w:val="single" w:color="auto" w:sz="4" w:space="0"/>
              <w:right w:val="single" w:color="auto" w:sz="4" w:space="0"/>
            </w:tcBorders>
            <w:vAlign w:val="center"/>
          </w:tcPr>
          <w:p w14:paraId="6034234C">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1</w:t>
            </w:r>
          </w:p>
        </w:tc>
        <w:tc>
          <w:tcPr>
            <w:tcW w:w="1559" w:type="dxa"/>
            <w:tcBorders>
              <w:top w:val="single" w:color="auto" w:sz="4" w:space="0"/>
              <w:left w:val="single" w:color="auto" w:sz="4" w:space="0"/>
              <w:bottom w:val="single" w:color="auto" w:sz="4" w:space="0"/>
              <w:right w:val="single" w:color="auto" w:sz="4" w:space="0"/>
            </w:tcBorders>
            <w:vAlign w:val="center"/>
          </w:tcPr>
          <w:p w14:paraId="65ECF386">
            <w:pPr>
              <w:adjustRightInd w:val="0"/>
              <w:snapToGrid w:val="0"/>
              <w:spacing w:before="93" w:beforeLines="30" w:after="93" w:afterLines="30"/>
              <w:jc w:val="center"/>
              <w:rPr>
                <w:rFonts w:ascii="仿宋" w:hAnsi="仿宋" w:eastAsia="仿宋" w:cs="仿宋"/>
                <w:bCs/>
                <w:kern w:val="0"/>
                <w:sz w:val="24"/>
              </w:rPr>
            </w:pPr>
            <w:r>
              <w:rPr>
                <w:rFonts w:hint="eastAsia" w:ascii="仿宋" w:hAnsi="仿宋" w:eastAsia="仿宋" w:cs="仿宋"/>
                <w:bCs/>
                <w:kern w:val="0"/>
                <w:sz w:val="24"/>
              </w:rPr>
              <w:t>套</w:t>
            </w:r>
          </w:p>
        </w:tc>
      </w:tr>
      <w:tr w14:paraId="19BA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35" w:type="dxa"/>
            <w:tcBorders>
              <w:top w:val="single" w:color="auto" w:sz="4" w:space="0"/>
              <w:left w:val="single" w:color="auto" w:sz="4" w:space="0"/>
              <w:bottom w:val="single" w:color="auto" w:sz="4" w:space="0"/>
              <w:right w:val="single" w:color="auto" w:sz="4" w:space="0"/>
            </w:tcBorders>
            <w:vAlign w:val="center"/>
          </w:tcPr>
          <w:p w14:paraId="0B9C2F0E">
            <w:pPr>
              <w:adjustRightInd w:val="0"/>
              <w:snapToGrid w:val="0"/>
              <w:spacing w:before="93" w:beforeLines="30" w:after="93" w:afterLines="30"/>
              <w:jc w:val="center"/>
              <w:rPr>
                <w:rFonts w:hint="eastAsia" w:ascii="仿宋" w:hAnsi="仿宋" w:eastAsia="仿宋" w:cs="仿宋"/>
                <w:bCs/>
                <w:kern w:val="0"/>
                <w:sz w:val="24"/>
                <w:lang w:val="en-US" w:eastAsia="zh-CN"/>
              </w:rPr>
            </w:pPr>
            <w:r>
              <w:rPr>
                <w:rFonts w:hint="eastAsia" w:ascii="仿宋" w:hAnsi="仿宋" w:eastAsia="仿宋" w:cs="仿宋"/>
                <w:bCs/>
                <w:kern w:val="0"/>
                <w:sz w:val="24"/>
                <w:lang w:val="en-US" w:eastAsia="zh-CN"/>
              </w:rPr>
              <w:t>2</w:t>
            </w:r>
          </w:p>
        </w:tc>
        <w:tc>
          <w:tcPr>
            <w:tcW w:w="3626" w:type="dxa"/>
            <w:tcBorders>
              <w:top w:val="single" w:color="auto" w:sz="4" w:space="0"/>
              <w:left w:val="single" w:color="auto" w:sz="4" w:space="0"/>
              <w:bottom w:val="single" w:color="auto" w:sz="4" w:space="0"/>
              <w:right w:val="single" w:color="auto" w:sz="4" w:space="0"/>
            </w:tcBorders>
            <w:vAlign w:val="center"/>
          </w:tcPr>
          <w:p w14:paraId="5860CD66">
            <w:pPr>
              <w:adjustRightInd w:val="0"/>
              <w:snapToGrid w:val="0"/>
              <w:spacing w:before="93" w:beforeLines="30" w:after="93" w:afterLines="30"/>
              <w:jc w:val="center"/>
              <w:rPr>
                <w:rFonts w:hint="eastAsia" w:cs="宋体"/>
                <w:szCs w:val="21"/>
              </w:rPr>
            </w:pPr>
            <w:r>
              <w:rPr>
                <w:rFonts w:hint="eastAsia" w:cs="宋体"/>
                <w:szCs w:val="21"/>
              </w:rPr>
              <w:t>来宾市人民医院</w:t>
            </w:r>
          </w:p>
        </w:tc>
        <w:tc>
          <w:tcPr>
            <w:tcW w:w="1134" w:type="dxa"/>
            <w:tcBorders>
              <w:top w:val="single" w:color="auto" w:sz="4" w:space="0"/>
              <w:left w:val="single" w:color="auto" w:sz="4" w:space="0"/>
              <w:bottom w:val="single" w:color="auto" w:sz="4" w:space="0"/>
              <w:right w:val="single" w:color="auto" w:sz="4" w:space="0"/>
            </w:tcBorders>
            <w:vAlign w:val="center"/>
          </w:tcPr>
          <w:p w14:paraId="36BDEF75">
            <w:pPr>
              <w:adjustRightInd w:val="0"/>
              <w:snapToGrid w:val="0"/>
              <w:spacing w:before="93" w:beforeLines="30" w:after="93" w:afterLines="30"/>
              <w:jc w:val="center"/>
              <w:rPr>
                <w:rFonts w:hint="eastAsia" w:ascii="仿宋" w:hAnsi="仿宋" w:eastAsia="仿宋" w:cs="仿宋"/>
                <w:bCs/>
                <w:kern w:val="0"/>
                <w:sz w:val="24"/>
              </w:rPr>
            </w:pPr>
            <w:r>
              <w:rPr>
                <w:rFonts w:hint="eastAsia" w:ascii="仿宋" w:hAnsi="仿宋" w:eastAsia="仿宋" w:cs="仿宋"/>
                <w:bCs/>
                <w:kern w:val="0"/>
                <w:sz w:val="24"/>
              </w:rPr>
              <w:t>1</w:t>
            </w:r>
          </w:p>
        </w:tc>
        <w:tc>
          <w:tcPr>
            <w:tcW w:w="1559" w:type="dxa"/>
            <w:tcBorders>
              <w:top w:val="single" w:color="auto" w:sz="4" w:space="0"/>
              <w:left w:val="single" w:color="auto" w:sz="4" w:space="0"/>
              <w:bottom w:val="single" w:color="auto" w:sz="4" w:space="0"/>
              <w:right w:val="single" w:color="auto" w:sz="4" w:space="0"/>
            </w:tcBorders>
            <w:vAlign w:val="center"/>
          </w:tcPr>
          <w:p w14:paraId="286DA386">
            <w:pPr>
              <w:adjustRightInd w:val="0"/>
              <w:snapToGrid w:val="0"/>
              <w:spacing w:before="93" w:beforeLines="30" w:after="93" w:afterLines="30"/>
              <w:jc w:val="center"/>
              <w:rPr>
                <w:rFonts w:hint="eastAsia" w:ascii="仿宋" w:hAnsi="仿宋" w:eastAsia="仿宋" w:cs="仿宋"/>
                <w:bCs/>
                <w:kern w:val="0"/>
                <w:sz w:val="24"/>
              </w:rPr>
            </w:pPr>
            <w:r>
              <w:rPr>
                <w:rFonts w:hint="eastAsia" w:ascii="仿宋" w:hAnsi="仿宋" w:eastAsia="仿宋" w:cs="仿宋"/>
                <w:bCs/>
                <w:kern w:val="0"/>
                <w:sz w:val="24"/>
              </w:rPr>
              <w:t>套</w:t>
            </w:r>
          </w:p>
        </w:tc>
      </w:tr>
    </w:tbl>
    <w:p w14:paraId="3907CCF1">
      <w:pPr>
        <w:rPr>
          <w:rStyle w:val="191"/>
          <w:rFonts w:ascii="宋体" w:hAnsi="宋体"/>
          <w:b/>
          <w:bCs/>
          <w:color w:val="auto"/>
          <w:szCs w:val="21"/>
          <w:u w:val="none"/>
        </w:rPr>
      </w:pPr>
    </w:p>
    <w:p w14:paraId="4EF3639E">
      <w:pPr>
        <w:pStyle w:val="2"/>
      </w:pPr>
    </w:p>
    <w:p w14:paraId="49B3172D"/>
    <w:p w14:paraId="314498C1"/>
    <w:p w14:paraId="2CC930F3">
      <w:pPr>
        <w:pStyle w:val="2"/>
      </w:pPr>
    </w:p>
    <w:p w14:paraId="1904F770">
      <w:pPr>
        <w:pStyle w:val="2"/>
      </w:pPr>
    </w:p>
    <w:p w14:paraId="5E72EDCC">
      <w:pPr>
        <w:pStyle w:val="2"/>
        <w:numPr>
          <w:ilvl w:val="0"/>
          <w:numId w:val="4"/>
        </w:numPr>
        <w:rPr>
          <w:rFonts w:hint="eastAsia"/>
        </w:rPr>
        <w:sectPr>
          <w:headerReference r:id="rId19" w:type="first"/>
          <w:footerReference r:id="rId22" w:type="first"/>
          <w:headerReference r:id="rId17" w:type="default"/>
          <w:footerReference r:id="rId20" w:type="default"/>
          <w:headerReference r:id="rId18" w:type="even"/>
          <w:footerReference r:id="rId21" w:type="even"/>
          <w:pgSz w:w="11906" w:h="16838"/>
          <w:pgMar w:top="1134" w:right="1134" w:bottom="1134" w:left="1134" w:header="851" w:footer="992" w:gutter="0"/>
          <w:pgNumType w:fmt="decimal"/>
          <w:cols w:space="720" w:num="1"/>
          <w:docGrid w:type="linesAndChars" w:linePitch="312" w:charSpace="0"/>
        </w:sectPr>
      </w:pPr>
    </w:p>
    <w:p w14:paraId="49EC5613">
      <w:pPr>
        <w:pStyle w:val="2"/>
        <w:rPr>
          <w:rStyle w:val="191"/>
          <w:rFonts w:ascii="宋体" w:hAnsi="宋体"/>
          <w:b/>
          <w:bCs/>
          <w:color w:val="auto"/>
          <w:kern w:val="2"/>
          <w:sz w:val="21"/>
          <w:szCs w:val="21"/>
          <w:u w:val="none"/>
        </w:rPr>
      </w:pPr>
    </w:p>
    <w:p w14:paraId="52BFDF7D">
      <w:pPr>
        <w:pStyle w:val="2"/>
      </w:pPr>
    </w:p>
    <w:p w14:paraId="37AC6EC3">
      <w:pPr>
        <w:pStyle w:val="2"/>
      </w:pPr>
    </w:p>
    <w:p w14:paraId="66B8B214">
      <w:pPr>
        <w:pStyle w:val="2"/>
      </w:pPr>
    </w:p>
    <w:p w14:paraId="6182D65B">
      <w:pPr>
        <w:pStyle w:val="2"/>
      </w:pPr>
    </w:p>
    <w:p w14:paraId="3B81584A">
      <w:pPr>
        <w:pStyle w:val="2"/>
      </w:pPr>
    </w:p>
    <w:p w14:paraId="583108B2">
      <w:pPr>
        <w:pStyle w:val="2"/>
      </w:pPr>
    </w:p>
    <w:p w14:paraId="38884CDE">
      <w:pPr>
        <w:pStyle w:val="2"/>
      </w:pPr>
    </w:p>
    <w:p w14:paraId="4BFF01A4">
      <w:pPr>
        <w:pStyle w:val="2"/>
      </w:pPr>
    </w:p>
    <w:p w14:paraId="2294A625">
      <w:pPr>
        <w:pStyle w:val="2"/>
      </w:pPr>
    </w:p>
    <w:p w14:paraId="524B61E1">
      <w:pPr>
        <w:pStyle w:val="2"/>
      </w:pPr>
    </w:p>
    <w:p w14:paraId="3AA1D2F9">
      <w:pPr>
        <w:pStyle w:val="2"/>
      </w:pPr>
    </w:p>
    <w:p w14:paraId="279AD5B0">
      <w:pPr>
        <w:pStyle w:val="2"/>
      </w:pPr>
    </w:p>
    <w:p w14:paraId="5E84BDE9">
      <w:pPr>
        <w:pStyle w:val="2"/>
      </w:pPr>
    </w:p>
    <w:p w14:paraId="7073DE02">
      <w:pPr>
        <w:pStyle w:val="2"/>
      </w:pPr>
    </w:p>
    <w:p w14:paraId="2F252507">
      <w:pPr>
        <w:pStyle w:val="2"/>
      </w:pPr>
    </w:p>
    <w:p w14:paraId="4BD61060">
      <w:pPr>
        <w:pStyle w:val="2"/>
      </w:pPr>
    </w:p>
    <w:p w14:paraId="615C757E">
      <w:pPr>
        <w:pStyle w:val="3"/>
        <w:jc w:val="center"/>
      </w:pPr>
      <w:r>
        <w:rPr>
          <w:rFonts w:hint="eastAsia"/>
        </w:rPr>
        <w:t>第三章  投标人须知</w:t>
      </w:r>
      <w:bookmarkEnd w:id="8"/>
    </w:p>
    <w:p w14:paraId="48BA1D14">
      <w:pPr>
        <w:snapToGrid w:val="0"/>
        <w:jc w:val="center"/>
        <w:rPr>
          <w:rFonts w:ascii="黑体" w:hAnsi="宋体" w:eastAsia="黑体"/>
          <w:sz w:val="32"/>
          <w:szCs w:val="32"/>
        </w:rPr>
      </w:pPr>
    </w:p>
    <w:p w14:paraId="2AB745B7">
      <w:pPr>
        <w:snapToGrid w:val="0"/>
        <w:jc w:val="center"/>
        <w:rPr>
          <w:rFonts w:ascii="黑体" w:hAnsi="宋体" w:eastAsia="黑体"/>
          <w:sz w:val="32"/>
          <w:szCs w:val="32"/>
        </w:rPr>
      </w:pPr>
    </w:p>
    <w:p w14:paraId="0645F021">
      <w:pPr>
        <w:pageBreakBefore/>
        <w:snapToGrid w:val="0"/>
        <w:jc w:val="center"/>
        <w:rPr>
          <w:rFonts w:ascii="仿宋_GB2312" w:hAnsi="宋体" w:eastAsia="仿宋_GB2312"/>
          <w:b/>
          <w:szCs w:val="21"/>
        </w:rPr>
      </w:pPr>
      <w:r>
        <w:rPr>
          <w:rFonts w:hint="eastAsia" w:ascii="仿宋_GB2312" w:hAnsi="宋体" w:eastAsia="仿宋_GB2312"/>
          <w:b/>
          <w:sz w:val="32"/>
          <w:szCs w:val="32"/>
        </w:rPr>
        <w:t>投标</w:t>
      </w:r>
      <w:bookmarkStart w:id="9" w:name="_Toc254970667"/>
      <w:bookmarkStart w:id="10" w:name="_Toc254970526"/>
      <w:r>
        <w:rPr>
          <w:rFonts w:hint="eastAsia" w:ascii="仿宋_GB2312" w:hAnsi="宋体" w:eastAsia="仿宋_GB2312"/>
          <w:b/>
          <w:sz w:val="32"/>
          <w:szCs w:val="32"/>
        </w:rPr>
        <w:t>人须知及前附表</w:t>
      </w:r>
      <w:bookmarkEnd w:id="9"/>
      <w:bookmarkEnd w:id="10"/>
    </w:p>
    <w:tbl>
      <w:tblPr>
        <w:tblStyle w:val="5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8"/>
        <w:gridCol w:w="9099"/>
      </w:tblGrid>
      <w:tr w14:paraId="2CB6EF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648" w:type="dxa"/>
            <w:tcBorders>
              <w:top w:val="single" w:color="auto" w:sz="4" w:space="0"/>
              <w:left w:val="single" w:color="auto" w:sz="4" w:space="0"/>
              <w:bottom w:val="single" w:color="auto" w:sz="4" w:space="0"/>
              <w:right w:val="single" w:color="auto" w:sz="4" w:space="0"/>
            </w:tcBorders>
            <w:vAlign w:val="center"/>
          </w:tcPr>
          <w:p w14:paraId="60F00727">
            <w:pPr>
              <w:snapToGrid w:val="0"/>
              <w:spacing w:line="360" w:lineRule="exact"/>
              <w:jc w:val="center"/>
              <w:rPr>
                <w:rFonts w:ascii="宋体" w:hAnsi="宋体"/>
                <w:szCs w:val="21"/>
              </w:rPr>
            </w:pPr>
            <w:r>
              <w:rPr>
                <w:rFonts w:hint="eastAsia" w:ascii="宋体" w:hAnsi="宋体"/>
                <w:szCs w:val="21"/>
              </w:rPr>
              <w:t>序号</w:t>
            </w:r>
          </w:p>
        </w:tc>
        <w:tc>
          <w:tcPr>
            <w:tcW w:w="9099" w:type="dxa"/>
            <w:tcBorders>
              <w:top w:val="single" w:color="auto" w:sz="4" w:space="0"/>
              <w:left w:val="single" w:color="auto" w:sz="4" w:space="0"/>
              <w:bottom w:val="single" w:color="auto" w:sz="4" w:space="0"/>
              <w:right w:val="single" w:color="auto" w:sz="4" w:space="0"/>
            </w:tcBorders>
            <w:vAlign w:val="center"/>
          </w:tcPr>
          <w:p w14:paraId="2EE4C713">
            <w:pPr>
              <w:snapToGrid w:val="0"/>
              <w:spacing w:line="360" w:lineRule="exact"/>
              <w:jc w:val="center"/>
              <w:rPr>
                <w:rFonts w:ascii="宋体" w:hAnsi="宋体"/>
                <w:szCs w:val="21"/>
              </w:rPr>
            </w:pPr>
            <w:r>
              <w:rPr>
                <w:rFonts w:hint="eastAsia" w:ascii="宋体" w:hAnsi="宋体"/>
                <w:szCs w:val="21"/>
              </w:rPr>
              <w:t>内容、要求</w:t>
            </w:r>
          </w:p>
        </w:tc>
      </w:tr>
      <w:tr w14:paraId="43B8A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648" w:type="dxa"/>
            <w:tcBorders>
              <w:top w:val="single" w:color="auto" w:sz="4" w:space="0"/>
              <w:left w:val="single" w:color="auto" w:sz="4" w:space="0"/>
              <w:bottom w:val="single" w:color="auto" w:sz="4" w:space="0"/>
              <w:right w:val="single" w:color="auto" w:sz="4" w:space="0"/>
            </w:tcBorders>
            <w:vAlign w:val="center"/>
          </w:tcPr>
          <w:p w14:paraId="791382C1">
            <w:pPr>
              <w:snapToGrid w:val="0"/>
              <w:spacing w:line="360" w:lineRule="exact"/>
              <w:jc w:val="center"/>
              <w:rPr>
                <w:rFonts w:ascii="宋体" w:hAnsi="宋体"/>
                <w:szCs w:val="21"/>
              </w:rPr>
            </w:pPr>
            <w:r>
              <w:rPr>
                <w:rFonts w:hint="eastAsia" w:ascii="宋体" w:hAnsi="宋体"/>
                <w:szCs w:val="21"/>
              </w:rPr>
              <w:t>1</w:t>
            </w:r>
          </w:p>
        </w:tc>
        <w:tc>
          <w:tcPr>
            <w:tcW w:w="9099" w:type="dxa"/>
            <w:tcBorders>
              <w:top w:val="single" w:color="auto" w:sz="4" w:space="0"/>
              <w:left w:val="single" w:color="auto" w:sz="4" w:space="0"/>
              <w:bottom w:val="single" w:color="auto" w:sz="4" w:space="0"/>
              <w:right w:val="single" w:color="auto" w:sz="4" w:space="0"/>
            </w:tcBorders>
            <w:vAlign w:val="center"/>
          </w:tcPr>
          <w:p w14:paraId="5D1071E5">
            <w:pPr>
              <w:spacing w:line="400" w:lineRule="exact"/>
              <w:ind w:right="-109" w:rightChars="-52"/>
              <w:jc w:val="left"/>
              <w:rPr>
                <w:rFonts w:ascii="宋体" w:hAnsi="宋体"/>
                <w:b/>
                <w:szCs w:val="21"/>
                <w:lang w:val="en"/>
              </w:rPr>
            </w:pPr>
            <w:r>
              <w:rPr>
                <w:rFonts w:hint="eastAsia" w:ascii="宋体" w:hAnsi="宋体"/>
                <w:szCs w:val="21"/>
              </w:rPr>
              <w:t>项目名称：</w:t>
            </w:r>
            <w:r>
              <w:rPr>
                <w:rFonts w:ascii="宋体" w:hAnsi="宋体" w:cs="宋体"/>
                <w:szCs w:val="18"/>
                <w:lang w:val="en"/>
              </w:rPr>
              <w:t>202</w:t>
            </w:r>
            <w:r>
              <w:rPr>
                <w:rFonts w:hint="eastAsia" w:ascii="宋体" w:hAnsi="宋体" w:cs="宋体"/>
                <w:szCs w:val="18"/>
                <w:lang w:val="en"/>
              </w:rPr>
              <w:t>6</w:t>
            </w:r>
            <w:r>
              <w:rPr>
                <w:rFonts w:ascii="宋体" w:hAnsi="宋体" w:cs="宋体"/>
                <w:szCs w:val="18"/>
                <w:lang w:val="en"/>
              </w:rPr>
              <w:t>年广西大型医用设备(医用</w:t>
            </w:r>
            <w:r>
              <w:rPr>
                <w:rFonts w:hint="eastAsia" w:ascii="宋体" w:hAnsi="宋体" w:cs="宋体"/>
                <w:szCs w:val="18"/>
                <w:lang w:val="en"/>
              </w:rPr>
              <w:t>血管造影X射线机)集</w:t>
            </w:r>
            <w:r>
              <w:rPr>
                <w:rFonts w:ascii="宋体" w:hAnsi="宋体" w:cs="宋体"/>
                <w:szCs w:val="18"/>
                <w:lang w:val="en"/>
              </w:rPr>
              <w:t>中采购</w:t>
            </w:r>
          </w:p>
        </w:tc>
      </w:tr>
      <w:tr w14:paraId="5E975A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648" w:type="dxa"/>
            <w:tcBorders>
              <w:top w:val="single" w:color="auto" w:sz="4" w:space="0"/>
              <w:left w:val="single" w:color="auto" w:sz="4" w:space="0"/>
              <w:bottom w:val="single" w:color="auto" w:sz="4" w:space="0"/>
              <w:right w:val="single" w:color="auto" w:sz="4" w:space="0"/>
            </w:tcBorders>
            <w:vAlign w:val="center"/>
          </w:tcPr>
          <w:p w14:paraId="0A6E53ED">
            <w:pPr>
              <w:snapToGrid w:val="0"/>
              <w:spacing w:line="360" w:lineRule="exact"/>
              <w:jc w:val="center"/>
              <w:rPr>
                <w:rFonts w:ascii="宋体" w:hAnsi="宋体"/>
                <w:szCs w:val="21"/>
              </w:rPr>
            </w:pPr>
            <w:r>
              <w:rPr>
                <w:rFonts w:hint="eastAsia" w:ascii="宋体" w:hAnsi="宋体"/>
                <w:szCs w:val="21"/>
              </w:rPr>
              <w:t>2</w:t>
            </w:r>
          </w:p>
        </w:tc>
        <w:tc>
          <w:tcPr>
            <w:tcW w:w="9099" w:type="dxa"/>
            <w:tcBorders>
              <w:top w:val="single" w:color="auto" w:sz="4" w:space="0"/>
              <w:left w:val="single" w:color="auto" w:sz="4" w:space="0"/>
              <w:bottom w:val="single" w:color="auto" w:sz="4" w:space="0"/>
              <w:right w:val="single" w:color="auto" w:sz="4" w:space="0"/>
            </w:tcBorders>
            <w:vAlign w:val="center"/>
          </w:tcPr>
          <w:p w14:paraId="2F445C6E">
            <w:pPr>
              <w:snapToGrid w:val="0"/>
              <w:spacing w:line="380" w:lineRule="exact"/>
              <w:rPr>
                <w:rFonts w:ascii="宋体" w:hAnsi="宋体"/>
                <w:szCs w:val="21"/>
              </w:rPr>
            </w:pPr>
            <w:r>
              <w:rPr>
                <w:rFonts w:hint="eastAsia" w:ascii="宋体" w:hAnsi="宋体"/>
                <w:szCs w:val="21"/>
              </w:rPr>
              <w:t>投标报价及费用：1.本项目投标应以人民币报价；2.不论投标结果如何，投标人均应自行承担所有与投标有关的全部费用。</w:t>
            </w:r>
          </w:p>
        </w:tc>
      </w:tr>
      <w:tr w14:paraId="3AAC06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648" w:type="dxa"/>
            <w:tcBorders>
              <w:top w:val="single" w:color="auto" w:sz="4" w:space="0"/>
              <w:left w:val="single" w:color="auto" w:sz="4" w:space="0"/>
              <w:bottom w:val="single" w:color="auto" w:sz="4" w:space="0"/>
              <w:right w:val="single" w:color="auto" w:sz="4" w:space="0"/>
            </w:tcBorders>
            <w:vAlign w:val="center"/>
          </w:tcPr>
          <w:p w14:paraId="5D628794">
            <w:pPr>
              <w:snapToGrid w:val="0"/>
              <w:spacing w:line="360" w:lineRule="exact"/>
              <w:jc w:val="center"/>
              <w:rPr>
                <w:rFonts w:ascii="宋体" w:hAnsi="宋体"/>
                <w:szCs w:val="21"/>
              </w:rPr>
            </w:pPr>
            <w:r>
              <w:rPr>
                <w:rFonts w:hint="eastAsia" w:ascii="宋体" w:hAnsi="宋体"/>
                <w:szCs w:val="21"/>
              </w:rPr>
              <w:t>3</w:t>
            </w:r>
          </w:p>
        </w:tc>
        <w:tc>
          <w:tcPr>
            <w:tcW w:w="9099" w:type="dxa"/>
            <w:tcBorders>
              <w:top w:val="single" w:color="auto" w:sz="4" w:space="0"/>
              <w:left w:val="single" w:color="auto" w:sz="4" w:space="0"/>
              <w:bottom w:val="single" w:color="auto" w:sz="4" w:space="0"/>
              <w:right w:val="single" w:color="auto" w:sz="4" w:space="0"/>
            </w:tcBorders>
            <w:vAlign w:val="center"/>
          </w:tcPr>
          <w:p w14:paraId="27B9A299">
            <w:pPr>
              <w:snapToGrid w:val="0"/>
              <w:spacing w:line="380" w:lineRule="exact"/>
              <w:rPr>
                <w:rFonts w:ascii="宋体" w:hAnsi="宋体"/>
                <w:b/>
                <w:szCs w:val="21"/>
              </w:rPr>
            </w:pPr>
            <w:r>
              <w:rPr>
                <w:rFonts w:hint="eastAsia" w:ascii="宋体" w:hAnsi="宋体"/>
                <w:szCs w:val="21"/>
              </w:rPr>
              <w:t>投标保证金：详见本项目公开招标公告。</w:t>
            </w:r>
          </w:p>
          <w:p w14:paraId="3D43FFD9">
            <w:pPr>
              <w:snapToGrid w:val="0"/>
              <w:spacing w:line="380" w:lineRule="exact"/>
              <w:rPr>
                <w:rFonts w:ascii="宋体" w:hAnsi="宋体"/>
                <w:szCs w:val="21"/>
              </w:rPr>
            </w:pPr>
            <w:r>
              <w:rPr>
                <w:rFonts w:hint="eastAsia" w:ascii="宋体" w:hAnsi="宋体"/>
                <w:bCs/>
                <w:szCs w:val="21"/>
              </w:rPr>
              <w:t>实际交纳的保证金按上述要求，否则视为未交纳保证金</w:t>
            </w:r>
            <w:r>
              <w:rPr>
                <w:rFonts w:hint="eastAsia" w:ascii="宋体" w:hAnsi="宋体"/>
                <w:szCs w:val="21"/>
              </w:rPr>
              <w:t>。</w:t>
            </w:r>
          </w:p>
        </w:tc>
      </w:tr>
      <w:tr w14:paraId="4CEA1E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648" w:type="dxa"/>
            <w:tcBorders>
              <w:top w:val="single" w:color="auto" w:sz="4" w:space="0"/>
              <w:left w:val="single" w:color="auto" w:sz="4" w:space="0"/>
              <w:bottom w:val="single" w:color="auto" w:sz="4" w:space="0"/>
              <w:right w:val="single" w:color="auto" w:sz="4" w:space="0"/>
            </w:tcBorders>
            <w:vAlign w:val="center"/>
          </w:tcPr>
          <w:p w14:paraId="434BDBA7">
            <w:pPr>
              <w:snapToGrid w:val="0"/>
              <w:spacing w:line="360" w:lineRule="exact"/>
              <w:jc w:val="center"/>
              <w:rPr>
                <w:rFonts w:ascii="宋体" w:hAnsi="宋体"/>
                <w:b/>
                <w:szCs w:val="21"/>
              </w:rPr>
            </w:pPr>
            <w:r>
              <w:rPr>
                <w:rFonts w:hint="eastAsia" w:ascii="宋体" w:hAnsi="宋体"/>
                <w:b/>
                <w:szCs w:val="21"/>
              </w:rPr>
              <w:t>4</w:t>
            </w:r>
          </w:p>
        </w:tc>
        <w:tc>
          <w:tcPr>
            <w:tcW w:w="9099" w:type="dxa"/>
            <w:tcBorders>
              <w:top w:val="single" w:color="auto" w:sz="4" w:space="0"/>
              <w:left w:val="single" w:color="auto" w:sz="4" w:space="0"/>
              <w:bottom w:val="single" w:color="auto" w:sz="4" w:space="0"/>
              <w:right w:val="single" w:color="auto" w:sz="4" w:space="0"/>
            </w:tcBorders>
            <w:vAlign w:val="center"/>
          </w:tcPr>
          <w:p w14:paraId="403A2ABE">
            <w:pPr>
              <w:spacing w:line="360" w:lineRule="exact"/>
              <w:jc w:val="left"/>
              <w:rPr>
                <w:rFonts w:ascii="宋体" w:hAnsi="宋体"/>
                <w:b/>
                <w:szCs w:val="21"/>
              </w:rPr>
            </w:pPr>
            <w:r>
              <w:rPr>
                <w:rFonts w:hint="eastAsia" w:ascii="宋体" w:hAnsi="宋体"/>
                <w:b/>
                <w:szCs w:val="21"/>
              </w:rPr>
              <w:t>现场踏勘：详见采购需求（如有）。</w:t>
            </w:r>
          </w:p>
        </w:tc>
      </w:tr>
      <w:tr w14:paraId="59CF28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48" w:type="dxa"/>
            <w:tcBorders>
              <w:top w:val="single" w:color="auto" w:sz="4" w:space="0"/>
              <w:left w:val="single" w:color="auto" w:sz="4" w:space="0"/>
              <w:bottom w:val="single" w:color="auto" w:sz="4" w:space="0"/>
              <w:right w:val="single" w:color="auto" w:sz="4" w:space="0"/>
            </w:tcBorders>
            <w:vAlign w:val="center"/>
          </w:tcPr>
          <w:p w14:paraId="07CF6ABF">
            <w:pPr>
              <w:snapToGrid w:val="0"/>
              <w:spacing w:line="360" w:lineRule="exact"/>
              <w:jc w:val="center"/>
              <w:rPr>
                <w:rFonts w:ascii="宋体" w:hAnsi="宋体"/>
                <w:szCs w:val="21"/>
              </w:rPr>
            </w:pPr>
            <w:r>
              <w:rPr>
                <w:rFonts w:hint="eastAsia" w:ascii="宋体" w:hAnsi="宋体"/>
                <w:szCs w:val="21"/>
              </w:rPr>
              <w:t>5</w:t>
            </w:r>
          </w:p>
        </w:tc>
        <w:tc>
          <w:tcPr>
            <w:tcW w:w="9099" w:type="dxa"/>
            <w:tcBorders>
              <w:top w:val="single" w:color="auto" w:sz="4" w:space="0"/>
              <w:left w:val="single" w:color="auto" w:sz="4" w:space="0"/>
              <w:bottom w:val="single" w:color="auto" w:sz="4" w:space="0"/>
              <w:right w:val="single" w:color="auto" w:sz="4" w:space="0"/>
            </w:tcBorders>
            <w:vAlign w:val="center"/>
          </w:tcPr>
          <w:p w14:paraId="56FCA229">
            <w:pPr>
              <w:snapToGrid w:val="0"/>
              <w:spacing w:line="360" w:lineRule="exact"/>
              <w:rPr>
                <w:rFonts w:ascii="宋体" w:hAnsi="宋体"/>
                <w:szCs w:val="21"/>
              </w:rPr>
            </w:pPr>
            <w:r>
              <w:rPr>
                <w:rFonts w:hint="eastAsia" w:ascii="宋体" w:hAnsi="宋体"/>
                <w:szCs w:val="21"/>
              </w:rPr>
              <w:t>演示时间及地点：</w:t>
            </w:r>
            <w:r>
              <w:rPr>
                <w:rFonts w:hint="eastAsia" w:ascii="宋体" w:hAnsi="宋体"/>
                <w:szCs w:val="21"/>
                <w:u w:val="single"/>
              </w:rPr>
              <w:t>无</w:t>
            </w:r>
            <w:r>
              <w:rPr>
                <w:rFonts w:hint="eastAsia" w:ascii="宋体" w:hAnsi="宋体"/>
                <w:szCs w:val="21"/>
              </w:rPr>
              <w:t>。</w:t>
            </w:r>
          </w:p>
        </w:tc>
      </w:tr>
      <w:tr w14:paraId="20273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648" w:type="dxa"/>
            <w:tcBorders>
              <w:top w:val="single" w:color="auto" w:sz="4" w:space="0"/>
              <w:left w:val="single" w:color="auto" w:sz="4" w:space="0"/>
              <w:bottom w:val="single" w:color="auto" w:sz="4" w:space="0"/>
              <w:right w:val="single" w:color="auto" w:sz="4" w:space="0"/>
            </w:tcBorders>
            <w:vAlign w:val="center"/>
          </w:tcPr>
          <w:p w14:paraId="7BC9041C">
            <w:pPr>
              <w:snapToGrid w:val="0"/>
              <w:spacing w:line="360" w:lineRule="exact"/>
              <w:jc w:val="center"/>
              <w:rPr>
                <w:rFonts w:ascii="宋体" w:hAnsi="宋体"/>
                <w:szCs w:val="21"/>
              </w:rPr>
            </w:pPr>
            <w:r>
              <w:rPr>
                <w:rFonts w:hint="eastAsia" w:ascii="宋体" w:hAnsi="宋体"/>
                <w:szCs w:val="21"/>
              </w:rPr>
              <w:t>6</w:t>
            </w:r>
          </w:p>
        </w:tc>
        <w:tc>
          <w:tcPr>
            <w:tcW w:w="9099" w:type="dxa"/>
            <w:tcBorders>
              <w:top w:val="single" w:color="auto" w:sz="4" w:space="0"/>
              <w:left w:val="single" w:color="auto" w:sz="4" w:space="0"/>
              <w:bottom w:val="single" w:color="auto" w:sz="4" w:space="0"/>
              <w:right w:val="single" w:color="auto" w:sz="4" w:space="0"/>
            </w:tcBorders>
            <w:vAlign w:val="center"/>
          </w:tcPr>
          <w:p w14:paraId="2AE43414">
            <w:pPr>
              <w:snapToGrid w:val="0"/>
              <w:spacing w:line="300" w:lineRule="exact"/>
              <w:rPr>
                <w:szCs w:val="21"/>
              </w:rPr>
            </w:pPr>
            <w:r>
              <w:rPr>
                <w:rFonts w:hint="eastAsia"/>
                <w:szCs w:val="21"/>
              </w:rPr>
              <w:t>（1）答疑、澄清：</w:t>
            </w:r>
            <w:r>
              <w:rPr>
                <w:rFonts w:hint="eastAsia"/>
                <w:b/>
                <w:szCs w:val="21"/>
                <w:u w:val="single"/>
              </w:rPr>
              <w:t>如投标人认为招标文件表述不清晰、</w:t>
            </w:r>
            <w:r>
              <w:rPr>
                <w:rFonts w:hint="eastAsia"/>
                <w:b/>
                <w:bCs/>
                <w:u w:val="single"/>
              </w:rPr>
              <w:t>有误或有不合理要求的</w:t>
            </w:r>
            <w:r>
              <w:rPr>
                <w:rFonts w:hint="eastAsia"/>
                <w:szCs w:val="21"/>
              </w:rPr>
              <w:t>，</w:t>
            </w:r>
            <w:r>
              <w:rPr>
                <w:szCs w:val="21"/>
              </w:rPr>
              <w:t>应当以书面形式要求本中心作出书面答疑、澄清</w:t>
            </w:r>
            <w:r>
              <w:rPr>
                <w:rFonts w:hint="eastAsia"/>
                <w:szCs w:val="21"/>
              </w:rPr>
              <w:t>；</w:t>
            </w:r>
          </w:p>
          <w:p w14:paraId="271D2126">
            <w:pPr>
              <w:snapToGrid w:val="0"/>
              <w:spacing w:line="300" w:lineRule="exact"/>
              <w:rPr>
                <w:rFonts w:ascii="宋体" w:hAnsi="宋体" w:cs="宋体"/>
                <w:szCs w:val="21"/>
              </w:rPr>
            </w:pPr>
            <w:r>
              <w:rPr>
                <w:rFonts w:hint="eastAsia" w:hAnsi="宋体"/>
                <w:szCs w:val="21"/>
              </w:rPr>
              <w:t>（2）询问、质疑：</w:t>
            </w:r>
            <w:r>
              <w:rPr>
                <w:rFonts w:hint="eastAsia" w:hAnsi="宋体"/>
                <w:b/>
                <w:szCs w:val="21"/>
                <w:u w:val="single"/>
              </w:rPr>
              <w:t>如投标人对</w:t>
            </w:r>
            <w:r>
              <w:rPr>
                <w:rFonts w:hint="eastAsia" w:ascii="宋体" w:hAnsi="宋体" w:cs="宋体"/>
                <w:szCs w:val="21"/>
                <w:shd w:val="clear" w:color="auto" w:fill="FFFFFF"/>
              </w:rPr>
              <w:t>政府采购活动事项有疑问或认为招标文件、采购过程和中标结果使其权益受到损害的</w:t>
            </w:r>
            <w:r>
              <w:rPr>
                <w:rFonts w:hint="eastAsia" w:ascii="宋体" w:hAnsi="宋体" w:cs="宋体"/>
                <w:szCs w:val="21"/>
              </w:rPr>
              <w:t>，按投标人须知“一、总则（九）询问、质疑和投诉”中的要求向本中心提出书面询问、质疑，并提供必要的证明材料。</w:t>
            </w:r>
          </w:p>
          <w:p w14:paraId="196348D1">
            <w:pPr>
              <w:snapToGrid w:val="0"/>
              <w:spacing w:line="320" w:lineRule="exact"/>
              <w:rPr>
                <w:rFonts w:ascii="宋体" w:hAnsi="宋体"/>
                <w:szCs w:val="21"/>
              </w:rPr>
            </w:pPr>
            <w:r>
              <w:rPr>
                <w:rFonts w:hint="eastAsia" w:ascii="宋体" w:hAnsi="宋体" w:cs="宋体"/>
                <w:szCs w:val="21"/>
              </w:rPr>
              <w:t>答疑、澄清内容是招标文件的组成部分，本中心将以书面形式送达所有已报名的投标人。</w:t>
            </w:r>
            <w:r>
              <w:rPr>
                <w:rFonts w:hint="eastAsia" w:ascii="宋体" w:hAnsi="宋体" w:cs="宋体"/>
              </w:rPr>
              <w:t>本中心可以视采购具体情况，延长招标文件或者资格预审文件提供期限，并在财政部门指定的政府采购信息发布媒体及本中心网站上发布公告。</w:t>
            </w:r>
          </w:p>
        </w:tc>
      </w:tr>
      <w:tr w14:paraId="434DD0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1DB2155D">
            <w:pPr>
              <w:snapToGrid w:val="0"/>
              <w:spacing w:line="360" w:lineRule="exact"/>
              <w:jc w:val="center"/>
              <w:rPr>
                <w:rFonts w:ascii="宋体" w:hAnsi="宋体"/>
                <w:szCs w:val="21"/>
              </w:rPr>
            </w:pPr>
            <w:r>
              <w:rPr>
                <w:rFonts w:hint="eastAsia" w:ascii="宋体" w:hAnsi="宋体"/>
                <w:szCs w:val="21"/>
              </w:rPr>
              <w:t>7</w:t>
            </w:r>
          </w:p>
        </w:tc>
        <w:tc>
          <w:tcPr>
            <w:tcW w:w="9099" w:type="dxa"/>
            <w:tcBorders>
              <w:top w:val="single" w:color="auto" w:sz="4" w:space="0"/>
              <w:left w:val="single" w:color="auto" w:sz="4" w:space="0"/>
              <w:bottom w:val="single" w:color="auto" w:sz="4" w:space="0"/>
              <w:right w:val="single" w:color="auto" w:sz="4" w:space="0"/>
            </w:tcBorders>
            <w:vAlign w:val="center"/>
          </w:tcPr>
          <w:p w14:paraId="3F784789">
            <w:pPr>
              <w:spacing w:line="300" w:lineRule="exact"/>
              <w:rPr>
                <w:rFonts w:ascii="宋体" w:hAnsi="宋体"/>
                <w:snapToGrid w:val="0"/>
                <w:szCs w:val="21"/>
              </w:rPr>
            </w:pPr>
            <w:r>
              <w:rPr>
                <w:rFonts w:hint="eastAsia" w:ascii="宋体" w:hAnsi="宋体"/>
                <w:szCs w:val="21"/>
              </w:rPr>
              <w:t>投标文件形式：</w:t>
            </w:r>
            <w:r>
              <w:rPr>
                <w:rFonts w:hint="eastAsia" w:ascii="宋体" w:hAnsi="宋体"/>
                <w:snapToGrid w:val="0"/>
                <w:szCs w:val="21"/>
              </w:rPr>
              <w:t>投标供应商应准备电子投标文件。</w:t>
            </w:r>
          </w:p>
          <w:p w14:paraId="3CCAFC03">
            <w:pPr>
              <w:autoSpaceDE w:val="0"/>
              <w:autoSpaceDN w:val="0"/>
              <w:snapToGrid w:val="0"/>
              <w:spacing w:line="360" w:lineRule="exact"/>
              <w:textAlignment w:val="bottom"/>
              <w:rPr>
                <w:rFonts w:ascii="宋体" w:hAnsi="宋体"/>
                <w:szCs w:val="21"/>
              </w:rPr>
            </w:pPr>
            <w:r>
              <w:rPr>
                <w:rFonts w:hint="eastAsia" w:ascii="宋体" w:hAnsi="宋体"/>
                <w:snapToGrid w:val="0"/>
                <w:szCs w:val="21"/>
              </w:rPr>
              <w:t>电子投标文件是指通过“</w:t>
            </w:r>
            <w:r>
              <w:rPr>
                <w:rFonts w:ascii="宋体" w:hAnsi="宋体"/>
                <w:snapToGrid w:val="0"/>
                <w:szCs w:val="21"/>
                <w:lang w:val="en"/>
              </w:rPr>
              <w:t>广西政府采购云平台新版客户端</w:t>
            </w:r>
            <w:r>
              <w:rPr>
                <w:rFonts w:hint="eastAsia" w:ascii="宋体" w:hAnsi="宋体"/>
                <w:snapToGrid w:val="0"/>
                <w:szCs w:val="21"/>
              </w:rPr>
              <w:t>”完成投标文件编制后生成并加密的数据电文形式的电子加密投标文件。</w:t>
            </w:r>
          </w:p>
        </w:tc>
      </w:tr>
      <w:tr w14:paraId="3A4995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3A0890A3">
            <w:pPr>
              <w:snapToGrid w:val="0"/>
              <w:spacing w:line="360" w:lineRule="exact"/>
              <w:jc w:val="center"/>
              <w:rPr>
                <w:rFonts w:ascii="宋体" w:hAnsi="宋体"/>
                <w:szCs w:val="21"/>
              </w:rPr>
            </w:pPr>
            <w:r>
              <w:rPr>
                <w:rFonts w:hint="eastAsia" w:ascii="宋体" w:hAnsi="宋体"/>
                <w:szCs w:val="21"/>
              </w:rPr>
              <w:t>8</w:t>
            </w:r>
          </w:p>
        </w:tc>
        <w:tc>
          <w:tcPr>
            <w:tcW w:w="9099" w:type="dxa"/>
            <w:tcBorders>
              <w:top w:val="single" w:color="auto" w:sz="4" w:space="0"/>
              <w:left w:val="single" w:color="auto" w:sz="4" w:space="0"/>
              <w:bottom w:val="single" w:color="auto" w:sz="4" w:space="0"/>
              <w:right w:val="single" w:color="auto" w:sz="4" w:space="0"/>
            </w:tcBorders>
            <w:vAlign w:val="center"/>
          </w:tcPr>
          <w:p w14:paraId="74012C95">
            <w:pPr>
              <w:spacing w:line="300" w:lineRule="exact"/>
              <w:rPr>
                <w:rFonts w:ascii="宋体" w:hAnsi="宋体"/>
                <w:szCs w:val="21"/>
              </w:rPr>
            </w:pPr>
            <w:r>
              <w:rPr>
                <w:rFonts w:hint="eastAsia" w:ascii="宋体" w:hAnsi="宋体"/>
                <w:snapToGrid w:val="0"/>
                <w:szCs w:val="21"/>
              </w:rPr>
              <w:t>投标文件的编制：供应商应先安装“</w:t>
            </w:r>
            <w:r>
              <w:rPr>
                <w:rFonts w:ascii="宋体" w:hAnsi="宋体"/>
                <w:snapToGrid w:val="0"/>
                <w:szCs w:val="21"/>
                <w:lang w:val="en"/>
              </w:rPr>
              <w:t>广西政府采购云平台新版客户端</w:t>
            </w:r>
            <w:r>
              <w:rPr>
                <w:rFonts w:hint="eastAsia" w:ascii="宋体" w:hAnsi="宋体"/>
                <w:snapToGrid w:val="0"/>
                <w:szCs w:val="21"/>
              </w:rPr>
              <w:t>”，并按照本招标文件和“广西政府采购云平台”的要求，通过“</w:t>
            </w:r>
            <w:r>
              <w:rPr>
                <w:rFonts w:ascii="宋体" w:hAnsi="宋体"/>
                <w:snapToGrid w:val="0"/>
                <w:szCs w:val="21"/>
                <w:lang w:val="en"/>
              </w:rPr>
              <w:t>广西政府采购云平台新版客户端</w:t>
            </w:r>
            <w:r>
              <w:rPr>
                <w:rFonts w:hint="eastAsia" w:ascii="宋体" w:hAnsi="宋体"/>
                <w:snapToGrid w:val="0"/>
                <w:szCs w:val="21"/>
              </w:rPr>
              <w:t>”编制并加密投标文件。</w:t>
            </w:r>
          </w:p>
        </w:tc>
      </w:tr>
      <w:tr w14:paraId="356D2F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21D17DD3">
            <w:pPr>
              <w:snapToGrid w:val="0"/>
              <w:spacing w:line="360" w:lineRule="exact"/>
              <w:jc w:val="center"/>
              <w:rPr>
                <w:rFonts w:ascii="宋体" w:hAnsi="宋体"/>
                <w:szCs w:val="21"/>
              </w:rPr>
            </w:pPr>
            <w:r>
              <w:rPr>
                <w:rFonts w:hint="eastAsia" w:ascii="宋体" w:hAnsi="宋体"/>
                <w:szCs w:val="21"/>
              </w:rPr>
              <w:t>9</w:t>
            </w:r>
          </w:p>
        </w:tc>
        <w:tc>
          <w:tcPr>
            <w:tcW w:w="9099" w:type="dxa"/>
            <w:tcBorders>
              <w:top w:val="single" w:color="auto" w:sz="4" w:space="0"/>
              <w:left w:val="single" w:color="auto" w:sz="4" w:space="0"/>
              <w:bottom w:val="single" w:color="auto" w:sz="4" w:space="0"/>
              <w:right w:val="single" w:color="auto" w:sz="4" w:space="0"/>
            </w:tcBorders>
            <w:vAlign w:val="center"/>
          </w:tcPr>
          <w:p w14:paraId="4FFC83DC">
            <w:pPr>
              <w:spacing w:line="300" w:lineRule="exact"/>
              <w:rPr>
                <w:rFonts w:ascii="宋体" w:hAnsi="宋体"/>
                <w:snapToGrid w:val="0"/>
                <w:szCs w:val="21"/>
              </w:rPr>
            </w:pPr>
            <w:r>
              <w:rPr>
                <w:rFonts w:hint="eastAsia" w:ascii="宋体" w:hAnsi="宋体"/>
                <w:snapToGrid w:val="0"/>
                <w:szCs w:val="21"/>
              </w:rPr>
              <w:t>投标文件的盖章：投标文件中所涉及的加盖公章均采用CA电子签章。</w:t>
            </w:r>
          </w:p>
        </w:tc>
      </w:tr>
      <w:tr w14:paraId="634960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2413A0EF">
            <w:pPr>
              <w:snapToGrid w:val="0"/>
              <w:spacing w:line="360" w:lineRule="exact"/>
              <w:jc w:val="center"/>
              <w:rPr>
                <w:rFonts w:ascii="宋体" w:hAnsi="宋体"/>
                <w:szCs w:val="21"/>
              </w:rPr>
            </w:pPr>
            <w:r>
              <w:rPr>
                <w:rFonts w:hint="eastAsia" w:ascii="宋体" w:hAnsi="宋体"/>
                <w:szCs w:val="21"/>
              </w:rPr>
              <w:t>10</w:t>
            </w:r>
          </w:p>
        </w:tc>
        <w:tc>
          <w:tcPr>
            <w:tcW w:w="9099" w:type="dxa"/>
            <w:tcBorders>
              <w:top w:val="single" w:color="auto" w:sz="4" w:space="0"/>
              <w:left w:val="single" w:color="auto" w:sz="4" w:space="0"/>
              <w:bottom w:val="single" w:color="auto" w:sz="4" w:space="0"/>
              <w:right w:val="single" w:color="auto" w:sz="4" w:space="0"/>
            </w:tcBorders>
            <w:vAlign w:val="center"/>
          </w:tcPr>
          <w:p w14:paraId="3A0CCA45">
            <w:pPr>
              <w:spacing w:line="300" w:lineRule="exact"/>
              <w:rPr>
                <w:rFonts w:ascii="宋体" w:hAnsi="宋体"/>
                <w:snapToGrid w:val="0"/>
                <w:szCs w:val="21"/>
              </w:rPr>
            </w:pPr>
            <w:r>
              <w:rPr>
                <w:rFonts w:hint="eastAsia" w:ascii="宋体" w:hAnsi="宋体"/>
                <w:snapToGrid w:val="0"/>
                <w:szCs w:val="21"/>
              </w:rPr>
              <w:t>法定代表人或其授权代表签字或盖章：本招标文件所涉及的法定代表人或其授权代表签字或盖章的内容，如果投标单位没有法定代表人电子签章，涉及的法定代表人或其授权代表签字或盖章的内容，投标单位可以线下签字或盖章后扫描上传。</w:t>
            </w:r>
          </w:p>
        </w:tc>
      </w:tr>
      <w:tr w14:paraId="27EE3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1691996B">
            <w:pPr>
              <w:snapToGrid w:val="0"/>
              <w:spacing w:line="360" w:lineRule="exact"/>
              <w:jc w:val="center"/>
              <w:rPr>
                <w:rFonts w:ascii="宋体" w:hAnsi="宋体"/>
                <w:szCs w:val="21"/>
              </w:rPr>
            </w:pPr>
            <w:r>
              <w:rPr>
                <w:rFonts w:hint="eastAsia" w:ascii="宋体" w:hAnsi="宋体"/>
                <w:szCs w:val="21"/>
              </w:rPr>
              <w:t>11</w:t>
            </w:r>
          </w:p>
        </w:tc>
        <w:tc>
          <w:tcPr>
            <w:tcW w:w="9099" w:type="dxa"/>
            <w:tcBorders>
              <w:top w:val="single" w:color="auto" w:sz="4" w:space="0"/>
              <w:left w:val="single" w:color="auto" w:sz="4" w:space="0"/>
              <w:bottom w:val="single" w:color="auto" w:sz="4" w:space="0"/>
              <w:right w:val="single" w:color="auto" w:sz="4" w:space="0"/>
            </w:tcBorders>
            <w:vAlign w:val="center"/>
          </w:tcPr>
          <w:p w14:paraId="0B5A9297">
            <w:pPr>
              <w:spacing w:line="300" w:lineRule="exact"/>
              <w:rPr>
                <w:rFonts w:ascii="宋体" w:hAnsi="宋体"/>
                <w:snapToGrid w:val="0"/>
                <w:szCs w:val="21"/>
              </w:rPr>
            </w:pPr>
            <w:r>
              <w:rPr>
                <w:rFonts w:hint="eastAsia" w:ascii="宋体" w:hAnsi="宋体"/>
                <w:snapToGrid w:val="0"/>
                <w:szCs w:val="21"/>
              </w:rPr>
              <w:t>投标文件份数：电子加密投标文件在线上传提交一份。</w:t>
            </w:r>
          </w:p>
        </w:tc>
      </w:tr>
      <w:tr w14:paraId="65FEEE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788CAE16">
            <w:pPr>
              <w:snapToGrid w:val="0"/>
              <w:spacing w:line="360" w:lineRule="exact"/>
              <w:jc w:val="center"/>
              <w:rPr>
                <w:rFonts w:ascii="宋体" w:hAnsi="宋体"/>
                <w:szCs w:val="21"/>
              </w:rPr>
            </w:pPr>
            <w:r>
              <w:rPr>
                <w:rFonts w:hint="eastAsia" w:ascii="宋体" w:hAnsi="宋体"/>
                <w:szCs w:val="21"/>
              </w:rPr>
              <w:t>12</w:t>
            </w:r>
          </w:p>
        </w:tc>
        <w:tc>
          <w:tcPr>
            <w:tcW w:w="9099" w:type="dxa"/>
            <w:tcBorders>
              <w:top w:val="single" w:color="auto" w:sz="4" w:space="0"/>
              <w:left w:val="single" w:color="auto" w:sz="4" w:space="0"/>
              <w:bottom w:val="single" w:color="auto" w:sz="4" w:space="0"/>
              <w:right w:val="single" w:color="auto" w:sz="4" w:space="0"/>
            </w:tcBorders>
            <w:vAlign w:val="center"/>
          </w:tcPr>
          <w:p w14:paraId="39740975">
            <w:pPr>
              <w:spacing w:line="300" w:lineRule="exact"/>
              <w:rPr>
                <w:rFonts w:ascii="宋体" w:hAnsi="宋体"/>
                <w:snapToGrid w:val="0"/>
                <w:szCs w:val="21"/>
              </w:rPr>
            </w:pPr>
            <w:r>
              <w:rPr>
                <w:rFonts w:hint="eastAsia" w:ascii="宋体" w:hAnsi="宋体"/>
                <w:snapToGrid w:val="0"/>
                <w:szCs w:val="21"/>
              </w:rPr>
              <w:t>投标文件的上传和提交：本项目通过“广西政府采购云平台（</w:t>
            </w:r>
            <w:r>
              <w:rPr>
                <w:rFonts w:ascii="宋体" w:hAnsi="宋体"/>
                <w:snapToGrid w:val="0"/>
                <w:szCs w:val="21"/>
                <w:lang w:val="en"/>
              </w:rPr>
              <w:t>http://www.gcy.zfcg.gxzf.gov.cn</w:t>
            </w:r>
            <w:r>
              <w:rPr>
                <w:rFonts w:ascii="宋体" w:hAnsi="宋体"/>
                <w:snapToGrid w:val="0"/>
                <w:szCs w:val="21"/>
              </w:rPr>
              <w:t>）”实行在线投标响应（电子投标），投标供应商应当在投标截止时间前，将生成的“电子加密投标文件”上传提交至“</w:t>
            </w:r>
            <w:r>
              <w:rPr>
                <w:rFonts w:hint="eastAsia" w:ascii="宋体" w:hAnsi="宋体"/>
                <w:snapToGrid w:val="0"/>
                <w:szCs w:val="21"/>
              </w:rPr>
              <w:t>广西政府采购云平台</w:t>
            </w:r>
            <w:r>
              <w:rPr>
                <w:rFonts w:ascii="宋体" w:hAnsi="宋体"/>
                <w:snapToGrid w:val="0"/>
                <w:szCs w:val="21"/>
              </w:rPr>
              <w:t>”。</w:t>
            </w:r>
          </w:p>
          <w:p w14:paraId="38D9BED8">
            <w:pPr>
              <w:spacing w:line="300" w:lineRule="exact"/>
              <w:rPr>
                <w:rFonts w:ascii="宋体" w:hAnsi="宋体"/>
                <w:snapToGrid w:val="0"/>
                <w:szCs w:val="21"/>
              </w:rPr>
            </w:pPr>
            <w:r>
              <w:rPr>
                <w:rFonts w:hint="eastAsia" w:ascii="宋体" w:hAnsi="宋体"/>
                <w:snapToGrid w:val="0"/>
                <w:szCs w:val="21"/>
              </w:rPr>
              <w:t>“电子加密投标文件”的上传、提交：</w:t>
            </w:r>
          </w:p>
          <w:p w14:paraId="6756A1E1">
            <w:pPr>
              <w:spacing w:line="300" w:lineRule="exact"/>
              <w:rPr>
                <w:rFonts w:ascii="宋体" w:hAnsi="宋体"/>
                <w:snapToGrid w:val="0"/>
                <w:szCs w:val="21"/>
              </w:rPr>
            </w:pPr>
            <w:r>
              <w:rPr>
                <w:rFonts w:hint="eastAsia" w:ascii="宋体" w:hAnsi="宋体"/>
                <w:snapToGrid w:val="0"/>
                <w:szCs w:val="21"/>
              </w:rPr>
              <w:t>a.投标供应商应在投标截止时间前将“电子加密投标文件”成功上传提交至“广西政府采购云平台”，否则投标无效。</w:t>
            </w:r>
          </w:p>
          <w:p w14:paraId="1D784D63">
            <w:pPr>
              <w:spacing w:line="300" w:lineRule="exact"/>
              <w:rPr>
                <w:rFonts w:ascii="宋体" w:hAnsi="宋体"/>
                <w:snapToGrid w:val="0"/>
                <w:szCs w:val="21"/>
              </w:rPr>
            </w:pPr>
            <w:r>
              <w:rPr>
                <w:rFonts w:hint="eastAsia" w:ascii="宋体" w:hAnsi="宋体"/>
                <w:snapToGrid w:val="0"/>
                <w:szCs w:val="21"/>
              </w:rPr>
              <w:t>b.“电子加密投标文件”成功上传提交后，供应商可自行打印投标文件接收回执。</w:t>
            </w:r>
          </w:p>
        </w:tc>
      </w:tr>
      <w:tr w14:paraId="47369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3E1E5F4E">
            <w:pPr>
              <w:snapToGrid w:val="0"/>
              <w:spacing w:line="360" w:lineRule="exact"/>
              <w:jc w:val="center"/>
              <w:rPr>
                <w:rFonts w:ascii="宋体" w:hAnsi="宋体"/>
                <w:szCs w:val="21"/>
              </w:rPr>
            </w:pPr>
            <w:r>
              <w:rPr>
                <w:rFonts w:hint="eastAsia" w:ascii="宋体" w:hAnsi="宋体"/>
                <w:szCs w:val="21"/>
              </w:rPr>
              <w:t>13</w:t>
            </w:r>
          </w:p>
        </w:tc>
        <w:tc>
          <w:tcPr>
            <w:tcW w:w="9099" w:type="dxa"/>
            <w:tcBorders>
              <w:top w:val="single" w:color="auto" w:sz="4" w:space="0"/>
              <w:left w:val="single" w:color="auto" w:sz="4" w:space="0"/>
              <w:bottom w:val="single" w:color="auto" w:sz="4" w:space="0"/>
              <w:right w:val="single" w:color="auto" w:sz="4" w:space="0"/>
            </w:tcBorders>
            <w:vAlign w:val="center"/>
          </w:tcPr>
          <w:p w14:paraId="5F0F892D">
            <w:pPr>
              <w:spacing w:line="300" w:lineRule="exact"/>
              <w:rPr>
                <w:rFonts w:ascii="宋体" w:hAnsi="宋体"/>
                <w:snapToGrid w:val="0"/>
                <w:szCs w:val="21"/>
              </w:rPr>
            </w:pPr>
            <w:r>
              <w:rPr>
                <w:rFonts w:hint="eastAsia" w:ascii="宋体" w:hAnsi="宋体"/>
                <w:snapToGrid w:val="0"/>
                <w:szCs w:val="21"/>
              </w:rPr>
              <w:t>电子加密投标文件的解密：</w:t>
            </w:r>
          </w:p>
          <w:p w14:paraId="23C8B774">
            <w:pPr>
              <w:spacing w:line="300" w:lineRule="exact"/>
              <w:rPr>
                <w:rFonts w:ascii="宋体" w:hAnsi="宋体"/>
                <w:snapToGrid w:val="0"/>
                <w:szCs w:val="21"/>
              </w:rPr>
            </w:pPr>
            <w:r>
              <w:rPr>
                <w:rFonts w:hint="eastAsia" w:ascii="宋体" w:hAnsi="宋体"/>
                <w:snapToGrid w:val="0"/>
                <w:szCs w:val="21"/>
              </w:rPr>
              <w:t>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tc>
      </w:tr>
      <w:tr w14:paraId="652CC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648" w:type="dxa"/>
            <w:tcBorders>
              <w:top w:val="single" w:color="auto" w:sz="4" w:space="0"/>
              <w:left w:val="single" w:color="auto" w:sz="4" w:space="0"/>
              <w:bottom w:val="single" w:color="auto" w:sz="4" w:space="0"/>
              <w:right w:val="single" w:color="auto" w:sz="4" w:space="0"/>
            </w:tcBorders>
            <w:vAlign w:val="center"/>
          </w:tcPr>
          <w:p w14:paraId="211EAD1C">
            <w:pPr>
              <w:snapToGrid w:val="0"/>
              <w:spacing w:line="360" w:lineRule="exact"/>
              <w:jc w:val="center"/>
              <w:rPr>
                <w:rFonts w:ascii="宋体" w:hAnsi="宋体"/>
                <w:szCs w:val="21"/>
              </w:rPr>
            </w:pPr>
            <w:r>
              <w:rPr>
                <w:rFonts w:hint="eastAsia" w:ascii="宋体" w:hAnsi="宋体"/>
                <w:szCs w:val="21"/>
              </w:rPr>
              <w:t>14</w:t>
            </w:r>
          </w:p>
        </w:tc>
        <w:tc>
          <w:tcPr>
            <w:tcW w:w="9099" w:type="dxa"/>
            <w:tcBorders>
              <w:top w:val="single" w:color="auto" w:sz="4" w:space="0"/>
              <w:left w:val="single" w:color="auto" w:sz="4" w:space="0"/>
              <w:bottom w:val="single" w:color="auto" w:sz="4" w:space="0"/>
              <w:right w:val="single" w:color="auto" w:sz="4" w:space="0"/>
            </w:tcBorders>
            <w:vAlign w:val="center"/>
          </w:tcPr>
          <w:p w14:paraId="67A7C01C">
            <w:pPr>
              <w:snapToGrid w:val="0"/>
              <w:spacing w:line="300" w:lineRule="exact"/>
              <w:rPr>
                <w:rFonts w:ascii="宋体" w:hAnsi="宋体"/>
                <w:szCs w:val="21"/>
              </w:rPr>
            </w:pPr>
            <w:r>
              <w:rPr>
                <w:rFonts w:hint="eastAsia" w:ascii="宋体" w:hAnsi="宋体"/>
                <w:szCs w:val="21"/>
              </w:rPr>
              <w:t>投标截止时间及地点：</w:t>
            </w:r>
            <w:r>
              <w:rPr>
                <w:rFonts w:hint="eastAsia" w:ascii="宋体" w:hAnsi="宋体"/>
                <w:b/>
                <w:szCs w:val="21"/>
                <w:u w:val="single"/>
              </w:rPr>
              <w:t>2026</w:t>
            </w:r>
            <w:r>
              <w:rPr>
                <w:rFonts w:ascii="宋体" w:hAnsi="宋体"/>
                <w:b/>
                <w:szCs w:val="21"/>
                <w:u w:val="single"/>
                <w:lang w:val="en"/>
              </w:rPr>
              <w:t>年</w:t>
            </w:r>
            <w:r>
              <w:rPr>
                <w:rFonts w:hint="eastAsia" w:ascii="宋体" w:hAnsi="宋体"/>
                <w:b/>
                <w:szCs w:val="21"/>
                <w:u w:val="single"/>
              </w:rPr>
              <w:t xml:space="preserve"> </w:t>
            </w:r>
            <w:r>
              <w:rPr>
                <w:rFonts w:ascii="宋体" w:hAnsi="宋体"/>
                <w:b/>
                <w:szCs w:val="21"/>
                <w:u w:val="single"/>
                <w:lang w:val="en"/>
              </w:rPr>
              <w:t>月</w:t>
            </w:r>
            <w:r>
              <w:rPr>
                <w:rFonts w:hint="eastAsia" w:ascii="宋体" w:hAnsi="宋体"/>
                <w:b/>
                <w:szCs w:val="21"/>
                <w:u w:val="single"/>
              </w:rPr>
              <w:t xml:space="preserve"> </w:t>
            </w:r>
            <w:r>
              <w:rPr>
                <w:rFonts w:ascii="宋体" w:hAnsi="宋体"/>
                <w:b/>
                <w:szCs w:val="21"/>
                <w:u w:val="single"/>
                <w:lang w:val="en"/>
              </w:rPr>
              <w:t>日</w:t>
            </w:r>
            <w:r>
              <w:rPr>
                <w:rFonts w:hint="eastAsia" w:ascii="宋体" w:hAnsi="宋体"/>
                <w:b/>
                <w:szCs w:val="21"/>
              </w:rPr>
              <w:t>上午10时整，</w:t>
            </w:r>
            <w:r>
              <w:rPr>
                <w:rFonts w:hint="eastAsia" w:ascii="宋体" w:hAnsi="宋体"/>
                <w:b/>
                <w:szCs w:val="21"/>
                <w:u w:val="single"/>
              </w:rPr>
              <w:t>南宁市星湖路22号</w:t>
            </w:r>
            <w:r>
              <w:rPr>
                <w:rFonts w:ascii="宋体" w:hAnsi="宋体" w:cs="Arial"/>
                <w:b/>
                <w:szCs w:val="21"/>
                <w:u w:val="single"/>
                <w:lang w:val="en"/>
              </w:rPr>
              <w:t>广西壮族自治区公共资源交易中心</w:t>
            </w:r>
            <w:r>
              <w:rPr>
                <w:rFonts w:hint="eastAsia" w:ascii="宋体" w:hAnsi="宋体" w:cs="Arial"/>
                <w:b/>
                <w:szCs w:val="21"/>
                <w:u w:val="single"/>
              </w:rPr>
              <w:t>开标室</w:t>
            </w:r>
            <w:r>
              <w:rPr>
                <w:rFonts w:hint="eastAsia" w:ascii="宋体" w:hAnsi="宋体"/>
                <w:b/>
                <w:szCs w:val="21"/>
                <w:u w:val="none"/>
              </w:rPr>
              <w:t>。</w:t>
            </w:r>
            <w:r>
              <w:rPr>
                <w:rFonts w:hint="eastAsia" w:ascii="宋体" w:hAnsi="宋体"/>
                <w:b/>
                <w:szCs w:val="21"/>
              </w:rPr>
              <w:t>（</w:t>
            </w:r>
            <w:r>
              <w:rPr>
                <w:rFonts w:hint="eastAsia" w:ascii="宋体" w:hAnsi="宋体"/>
                <w:szCs w:val="21"/>
              </w:rPr>
              <w:t>本项目采用在线开评标方式，投标供应商无须前往开标现场</w:t>
            </w:r>
            <w:r>
              <w:rPr>
                <w:rFonts w:hint="eastAsia" w:ascii="宋体" w:hAnsi="宋体"/>
                <w:b/>
                <w:szCs w:val="21"/>
              </w:rPr>
              <w:t>）</w:t>
            </w:r>
          </w:p>
        </w:tc>
      </w:tr>
      <w:tr w14:paraId="75FE8B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7F269D81">
            <w:pPr>
              <w:snapToGrid w:val="0"/>
              <w:spacing w:line="360" w:lineRule="exact"/>
              <w:jc w:val="center"/>
              <w:rPr>
                <w:rFonts w:ascii="宋体" w:hAnsi="宋体"/>
                <w:szCs w:val="21"/>
              </w:rPr>
            </w:pPr>
            <w:r>
              <w:rPr>
                <w:rFonts w:hint="eastAsia" w:ascii="宋体" w:hAnsi="宋体"/>
                <w:szCs w:val="21"/>
              </w:rPr>
              <w:t>15</w:t>
            </w:r>
          </w:p>
        </w:tc>
        <w:tc>
          <w:tcPr>
            <w:tcW w:w="9099" w:type="dxa"/>
            <w:tcBorders>
              <w:top w:val="single" w:color="auto" w:sz="4" w:space="0"/>
              <w:left w:val="single" w:color="auto" w:sz="4" w:space="0"/>
              <w:bottom w:val="single" w:color="auto" w:sz="4" w:space="0"/>
              <w:right w:val="single" w:color="auto" w:sz="4" w:space="0"/>
            </w:tcBorders>
            <w:vAlign w:val="center"/>
          </w:tcPr>
          <w:p w14:paraId="134FE377">
            <w:pPr>
              <w:snapToGrid w:val="0"/>
              <w:spacing w:line="300" w:lineRule="exact"/>
              <w:rPr>
                <w:rFonts w:ascii="宋体" w:hAnsi="宋体"/>
                <w:szCs w:val="21"/>
              </w:rPr>
            </w:pPr>
            <w:r>
              <w:rPr>
                <w:rFonts w:hint="eastAsia" w:ascii="宋体" w:hAnsi="宋体"/>
                <w:szCs w:val="21"/>
              </w:rPr>
              <w:t>开标时间及地点：</w:t>
            </w:r>
            <w:r>
              <w:rPr>
                <w:rFonts w:hint="eastAsia" w:ascii="宋体" w:hAnsi="宋体"/>
                <w:b/>
                <w:szCs w:val="21"/>
                <w:u w:val="single"/>
              </w:rPr>
              <w:t>2026</w:t>
            </w:r>
            <w:r>
              <w:rPr>
                <w:rFonts w:ascii="宋体" w:hAnsi="宋体"/>
                <w:b/>
                <w:szCs w:val="21"/>
                <w:u w:val="single"/>
                <w:lang w:val="en"/>
              </w:rPr>
              <w:t>年</w:t>
            </w:r>
            <w:r>
              <w:rPr>
                <w:rFonts w:hint="eastAsia" w:ascii="宋体" w:hAnsi="宋体"/>
                <w:b/>
                <w:szCs w:val="21"/>
                <w:u w:val="single"/>
              </w:rPr>
              <w:t xml:space="preserve"> </w:t>
            </w:r>
            <w:r>
              <w:rPr>
                <w:rFonts w:ascii="宋体" w:hAnsi="宋体"/>
                <w:b/>
                <w:szCs w:val="21"/>
                <w:u w:val="single"/>
                <w:lang w:val="en"/>
              </w:rPr>
              <w:t>月</w:t>
            </w:r>
            <w:r>
              <w:rPr>
                <w:rFonts w:hint="eastAsia" w:ascii="宋体" w:hAnsi="宋体"/>
                <w:b/>
                <w:szCs w:val="21"/>
                <w:u w:val="single"/>
              </w:rPr>
              <w:t xml:space="preserve"> </w:t>
            </w:r>
            <w:r>
              <w:rPr>
                <w:rFonts w:ascii="宋体" w:hAnsi="宋体"/>
                <w:b/>
                <w:szCs w:val="21"/>
                <w:u w:val="single"/>
                <w:lang w:val="en"/>
              </w:rPr>
              <w:t>日</w:t>
            </w:r>
            <w:r>
              <w:rPr>
                <w:rFonts w:hint="eastAsia" w:ascii="宋体" w:hAnsi="宋体"/>
                <w:b/>
                <w:szCs w:val="21"/>
              </w:rPr>
              <w:t>上午10时整，</w:t>
            </w:r>
            <w:r>
              <w:rPr>
                <w:rFonts w:hint="eastAsia" w:ascii="宋体" w:hAnsi="宋体"/>
                <w:b/>
                <w:szCs w:val="21"/>
                <w:u w:val="single"/>
              </w:rPr>
              <w:t>南宁市星湖路22号</w:t>
            </w:r>
            <w:r>
              <w:rPr>
                <w:rFonts w:ascii="宋体" w:hAnsi="宋体" w:cs="Arial"/>
                <w:b/>
                <w:szCs w:val="21"/>
                <w:u w:val="single"/>
                <w:lang w:val="en"/>
              </w:rPr>
              <w:t>广西壮族自治区公共资源交易中心</w:t>
            </w:r>
            <w:r>
              <w:rPr>
                <w:rFonts w:hint="eastAsia" w:ascii="宋体" w:hAnsi="宋体" w:cs="Arial"/>
                <w:b/>
                <w:szCs w:val="21"/>
                <w:u w:val="single"/>
              </w:rPr>
              <w:t>开标室</w:t>
            </w:r>
            <w:r>
              <w:rPr>
                <w:rFonts w:hint="eastAsia" w:ascii="宋体" w:hAnsi="宋体"/>
                <w:b/>
                <w:szCs w:val="21"/>
                <w:u w:val="none"/>
              </w:rPr>
              <w:t>。（</w:t>
            </w:r>
            <w:r>
              <w:rPr>
                <w:rFonts w:hint="eastAsia" w:ascii="宋体" w:hAnsi="宋体"/>
                <w:szCs w:val="21"/>
              </w:rPr>
              <w:t>本项目采用在线开评标方式，投标供应商无须前往开标现场</w:t>
            </w:r>
            <w:r>
              <w:rPr>
                <w:rFonts w:hint="eastAsia" w:ascii="宋体" w:hAnsi="宋体"/>
                <w:b/>
                <w:szCs w:val="21"/>
                <w:u w:val="none"/>
              </w:rPr>
              <w:t>）</w:t>
            </w:r>
          </w:p>
        </w:tc>
      </w:tr>
      <w:tr w14:paraId="2DD331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14:paraId="7A9D8BEF">
            <w:pPr>
              <w:snapToGrid w:val="0"/>
              <w:spacing w:line="360" w:lineRule="exact"/>
              <w:jc w:val="center"/>
              <w:rPr>
                <w:rFonts w:ascii="宋体" w:hAnsi="宋体"/>
                <w:szCs w:val="21"/>
              </w:rPr>
            </w:pPr>
            <w:r>
              <w:rPr>
                <w:rFonts w:hint="eastAsia" w:ascii="宋体" w:hAnsi="宋体"/>
                <w:szCs w:val="21"/>
              </w:rPr>
              <w:t>16</w:t>
            </w:r>
          </w:p>
        </w:tc>
        <w:tc>
          <w:tcPr>
            <w:tcW w:w="9099" w:type="dxa"/>
            <w:tcBorders>
              <w:top w:val="single" w:color="auto" w:sz="4" w:space="0"/>
              <w:left w:val="single" w:color="auto" w:sz="4" w:space="0"/>
              <w:bottom w:val="single" w:color="auto" w:sz="4" w:space="0"/>
              <w:right w:val="single" w:color="auto" w:sz="4" w:space="0"/>
            </w:tcBorders>
            <w:vAlign w:val="center"/>
          </w:tcPr>
          <w:p w14:paraId="0C70B6C0">
            <w:pPr>
              <w:autoSpaceDE w:val="0"/>
              <w:autoSpaceDN w:val="0"/>
              <w:snapToGrid w:val="0"/>
              <w:spacing w:line="360" w:lineRule="exact"/>
              <w:textAlignment w:val="bottom"/>
              <w:rPr>
                <w:rFonts w:ascii="宋体" w:hAnsi="宋体"/>
                <w:szCs w:val="21"/>
              </w:rPr>
            </w:pPr>
            <w:r>
              <w:rPr>
                <w:rFonts w:hint="eastAsia" w:ascii="宋体" w:hAnsi="宋体"/>
                <w:szCs w:val="21"/>
              </w:rPr>
              <w:t>评标方法：综合评分法</w:t>
            </w:r>
          </w:p>
        </w:tc>
      </w:tr>
      <w:tr w14:paraId="3E97E2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648" w:type="dxa"/>
            <w:tcBorders>
              <w:top w:val="single" w:color="auto" w:sz="4" w:space="0"/>
              <w:left w:val="single" w:color="auto" w:sz="4" w:space="0"/>
              <w:bottom w:val="single" w:color="auto" w:sz="4" w:space="0"/>
              <w:right w:val="single" w:color="auto" w:sz="4" w:space="0"/>
            </w:tcBorders>
            <w:vAlign w:val="center"/>
          </w:tcPr>
          <w:p w14:paraId="4FE1CDBD">
            <w:pPr>
              <w:snapToGrid w:val="0"/>
              <w:spacing w:line="360" w:lineRule="exact"/>
              <w:jc w:val="center"/>
              <w:rPr>
                <w:rFonts w:ascii="宋体" w:hAnsi="宋体"/>
                <w:szCs w:val="21"/>
              </w:rPr>
            </w:pPr>
            <w:r>
              <w:rPr>
                <w:rFonts w:hint="eastAsia" w:ascii="宋体" w:hAnsi="宋体"/>
                <w:szCs w:val="21"/>
              </w:rPr>
              <w:t>17</w:t>
            </w:r>
          </w:p>
        </w:tc>
        <w:tc>
          <w:tcPr>
            <w:tcW w:w="9099" w:type="dxa"/>
            <w:tcBorders>
              <w:top w:val="single" w:color="auto" w:sz="4" w:space="0"/>
              <w:left w:val="single" w:color="auto" w:sz="4" w:space="0"/>
              <w:bottom w:val="single" w:color="auto" w:sz="4" w:space="0"/>
              <w:right w:val="single" w:color="auto" w:sz="4" w:space="0"/>
            </w:tcBorders>
            <w:vAlign w:val="center"/>
          </w:tcPr>
          <w:p w14:paraId="31030E98">
            <w:pPr>
              <w:autoSpaceDE w:val="0"/>
              <w:autoSpaceDN w:val="0"/>
              <w:snapToGrid w:val="0"/>
              <w:spacing w:line="300" w:lineRule="exact"/>
              <w:textAlignment w:val="bottom"/>
              <w:rPr>
                <w:rFonts w:ascii="宋体" w:hAnsi="宋体"/>
                <w:szCs w:val="21"/>
              </w:rPr>
            </w:pPr>
            <w:r>
              <w:rPr>
                <w:rFonts w:hint="eastAsia" w:ascii="宋体" w:hAnsi="宋体"/>
                <w:szCs w:val="21"/>
              </w:rPr>
              <w:t>中标公告及中标通知书：本中心在采购人依法确认中标人后二个工作日内发布中标公告和中标通知书，中标公告发布于上述媒体</w:t>
            </w:r>
            <w:r>
              <w:rPr>
                <w:rFonts w:hint="eastAsia" w:ascii="宋体" w:hAnsi="宋体" w:cs="Courier New"/>
                <w:szCs w:val="21"/>
              </w:rPr>
              <w:t>（详细见公告中公布的网站）</w:t>
            </w:r>
            <w:r>
              <w:rPr>
                <w:rFonts w:hint="eastAsia" w:ascii="宋体" w:hAnsi="宋体"/>
                <w:szCs w:val="21"/>
              </w:rPr>
              <w:t>。</w:t>
            </w:r>
          </w:p>
        </w:tc>
      </w:tr>
      <w:tr w14:paraId="6CB627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48" w:type="dxa"/>
            <w:tcBorders>
              <w:top w:val="single" w:color="auto" w:sz="4" w:space="0"/>
              <w:left w:val="single" w:color="auto" w:sz="4" w:space="0"/>
              <w:bottom w:val="single" w:color="auto" w:sz="4" w:space="0"/>
              <w:right w:val="single" w:color="auto" w:sz="4" w:space="0"/>
            </w:tcBorders>
            <w:vAlign w:val="center"/>
          </w:tcPr>
          <w:p w14:paraId="355CA78C">
            <w:pPr>
              <w:snapToGrid w:val="0"/>
              <w:spacing w:line="360" w:lineRule="exact"/>
              <w:jc w:val="center"/>
              <w:rPr>
                <w:rFonts w:ascii="宋体" w:hAnsi="宋体"/>
                <w:szCs w:val="21"/>
              </w:rPr>
            </w:pPr>
            <w:r>
              <w:rPr>
                <w:rFonts w:hint="eastAsia" w:ascii="宋体" w:hAnsi="宋体"/>
                <w:szCs w:val="21"/>
              </w:rPr>
              <w:t>18</w:t>
            </w:r>
          </w:p>
        </w:tc>
        <w:tc>
          <w:tcPr>
            <w:tcW w:w="9099" w:type="dxa"/>
            <w:tcBorders>
              <w:top w:val="single" w:color="auto" w:sz="4" w:space="0"/>
              <w:left w:val="single" w:color="auto" w:sz="4" w:space="0"/>
              <w:bottom w:val="single" w:color="auto" w:sz="4" w:space="0"/>
              <w:right w:val="single" w:color="auto" w:sz="4" w:space="0"/>
            </w:tcBorders>
            <w:vAlign w:val="center"/>
          </w:tcPr>
          <w:p w14:paraId="7A930F45">
            <w:pPr>
              <w:autoSpaceDE w:val="0"/>
              <w:autoSpaceDN w:val="0"/>
              <w:snapToGrid w:val="0"/>
              <w:spacing w:line="320" w:lineRule="exact"/>
              <w:textAlignment w:val="bottom"/>
              <w:rPr>
                <w:rFonts w:ascii="宋体" w:hAnsi="宋体"/>
                <w:szCs w:val="21"/>
              </w:rPr>
            </w:pPr>
            <w:r>
              <w:rPr>
                <w:rFonts w:hint="eastAsia" w:ascii="宋体" w:hAnsi="宋体"/>
                <w:szCs w:val="21"/>
              </w:rPr>
              <w:t>采购资金来源：财政性资金。</w:t>
            </w:r>
          </w:p>
        </w:tc>
      </w:tr>
      <w:tr w14:paraId="2D65E6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48" w:type="dxa"/>
            <w:tcBorders>
              <w:top w:val="single" w:color="auto" w:sz="4" w:space="0"/>
              <w:left w:val="single" w:color="auto" w:sz="4" w:space="0"/>
              <w:bottom w:val="single" w:color="auto" w:sz="4" w:space="0"/>
              <w:right w:val="single" w:color="auto" w:sz="4" w:space="0"/>
            </w:tcBorders>
            <w:vAlign w:val="center"/>
          </w:tcPr>
          <w:p w14:paraId="4F766613">
            <w:pPr>
              <w:snapToGrid w:val="0"/>
              <w:spacing w:line="360" w:lineRule="exact"/>
              <w:jc w:val="center"/>
              <w:rPr>
                <w:rFonts w:ascii="宋体" w:hAnsi="宋体"/>
                <w:szCs w:val="21"/>
              </w:rPr>
            </w:pPr>
            <w:r>
              <w:rPr>
                <w:rFonts w:hint="eastAsia" w:ascii="宋体" w:hAnsi="宋体"/>
                <w:szCs w:val="21"/>
              </w:rPr>
              <w:t>19</w:t>
            </w:r>
          </w:p>
        </w:tc>
        <w:tc>
          <w:tcPr>
            <w:tcW w:w="9099" w:type="dxa"/>
            <w:tcBorders>
              <w:top w:val="single" w:color="auto" w:sz="4" w:space="0"/>
              <w:left w:val="single" w:color="auto" w:sz="4" w:space="0"/>
              <w:bottom w:val="single" w:color="auto" w:sz="4" w:space="0"/>
              <w:right w:val="single" w:color="auto" w:sz="4" w:space="0"/>
            </w:tcBorders>
            <w:vAlign w:val="center"/>
          </w:tcPr>
          <w:p w14:paraId="40F3D617">
            <w:pPr>
              <w:widowControl/>
              <w:spacing w:line="400" w:lineRule="exact"/>
              <w:rPr>
                <w:rFonts w:ascii="宋体" w:hAnsi="宋体" w:cs="宋体"/>
                <w:kern w:val="0"/>
                <w:szCs w:val="21"/>
              </w:rPr>
            </w:pPr>
            <w:r>
              <w:rPr>
                <w:rFonts w:hint="eastAsia" w:ascii="宋体" w:hAnsi="宋体"/>
                <w:szCs w:val="21"/>
              </w:rPr>
              <w:t>付款方式：</w:t>
            </w:r>
            <w:r>
              <w:rPr>
                <w:rFonts w:hint="eastAsia" w:ascii="宋体" w:hAnsi="宋体" w:cs="宋体"/>
                <w:kern w:val="0"/>
                <w:szCs w:val="21"/>
              </w:rPr>
              <w:t>见招标项目采购需求。</w:t>
            </w:r>
          </w:p>
        </w:tc>
      </w:tr>
      <w:tr w14:paraId="013FD1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648" w:type="dxa"/>
            <w:tcBorders>
              <w:top w:val="single" w:color="auto" w:sz="4" w:space="0"/>
              <w:left w:val="single" w:color="auto" w:sz="4" w:space="0"/>
              <w:bottom w:val="single" w:color="auto" w:sz="4" w:space="0"/>
              <w:right w:val="single" w:color="auto" w:sz="4" w:space="0"/>
            </w:tcBorders>
            <w:vAlign w:val="center"/>
          </w:tcPr>
          <w:p w14:paraId="18F4B8C5">
            <w:pPr>
              <w:snapToGrid w:val="0"/>
              <w:spacing w:line="360" w:lineRule="exact"/>
              <w:jc w:val="center"/>
              <w:rPr>
                <w:rFonts w:ascii="宋体" w:hAnsi="宋体"/>
                <w:szCs w:val="21"/>
              </w:rPr>
            </w:pPr>
            <w:r>
              <w:rPr>
                <w:rFonts w:hint="eastAsia" w:ascii="宋体" w:hAnsi="宋体"/>
                <w:szCs w:val="21"/>
              </w:rPr>
              <w:t>20</w:t>
            </w:r>
          </w:p>
        </w:tc>
        <w:tc>
          <w:tcPr>
            <w:tcW w:w="9099" w:type="dxa"/>
            <w:tcBorders>
              <w:top w:val="single" w:color="auto" w:sz="4" w:space="0"/>
              <w:left w:val="single" w:color="auto" w:sz="4" w:space="0"/>
              <w:bottom w:val="single" w:color="auto" w:sz="4" w:space="0"/>
              <w:right w:val="single" w:color="auto" w:sz="4" w:space="0"/>
            </w:tcBorders>
            <w:vAlign w:val="center"/>
          </w:tcPr>
          <w:p w14:paraId="4BD8E6D8">
            <w:pPr>
              <w:snapToGrid w:val="0"/>
              <w:spacing w:line="360" w:lineRule="exact"/>
              <w:rPr>
                <w:rFonts w:ascii="宋体" w:hAnsi="宋体"/>
                <w:szCs w:val="21"/>
              </w:rPr>
            </w:pPr>
            <w:r>
              <w:rPr>
                <w:rFonts w:hint="eastAsia" w:ascii="宋体" w:hAnsi="宋体"/>
                <w:szCs w:val="21"/>
              </w:rPr>
              <w:t>投标文件有效期：</w:t>
            </w:r>
            <w:r>
              <w:rPr>
                <w:rFonts w:hint="eastAsia" w:ascii="宋体" w:hAnsi="宋体" w:cs="Arial"/>
                <w:szCs w:val="21"/>
                <w:u w:val="single"/>
              </w:rPr>
              <w:t xml:space="preserve"> 六十日。</w:t>
            </w:r>
          </w:p>
        </w:tc>
      </w:tr>
      <w:tr w14:paraId="50198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vMerge w:val="restart"/>
            <w:tcBorders>
              <w:top w:val="single" w:color="auto" w:sz="4" w:space="0"/>
              <w:left w:val="single" w:color="auto" w:sz="4" w:space="0"/>
              <w:right w:val="single" w:color="auto" w:sz="4" w:space="0"/>
            </w:tcBorders>
            <w:vAlign w:val="center"/>
          </w:tcPr>
          <w:p w14:paraId="37129D04">
            <w:pPr>
              <w:snapToGrid w:val="0"/>
              <w:spacing w:line="360" w:lineRule="exact"/>
              <w:jc w:val="center"/>
              <w:rPr>
                <w:rFonts w:ascii="宋体" w:hAnsi="宋体"/>
                <w:szCs w:val="21"/>
              </w:rPr>
            </w:pPr>
            <w:r>
              <w:rPr>
                <w:rFonts w:hint="eastAsia" w:ascii="宋体" w:hAnsi="宋体"/>
                <w:szCs w:val="21"/>
              </w:rPr>
              <w:t>21</w:t>
            </w:r>
          </w:p>
        </w:tc>
        <w:tc>
          <w:tcPr>
            <w:tcW w:w="9099" w:type="dxa"/>
            <w:tcBorders>
              <w:top w:val="single" w:color="auto" w:sz="4" w:space="0"/>
              <w:left w:val="single" w:color="auto" w:sz="4" w:space="0"/>
              <w:bottom w:val="single" w:color="auto" w:sz="4" w:space="0"/>
              <w:right w:val="single" w:color="auto" w:sz="4" w:space="0"/>
            </w:tcBorders>
            <w:vAlign w:val="center"/>
          </w:tcPr>
          <w:p w14:paraId="348BD6D0">
            <w:pPr>
              <w:widowControl/>
              <w:jc w:val="left"/>
              <w:rPr>
                <w:rFonts w:ascii="宋体" w:hAnsi="宋体"/>
                <w:szCs w:val="21"/>
              </w:rPr>
            </w:pPr>
            <w:r>
              <w:rPr>
                <w:rFonts w:hint="eastAsia" w:ascii="宋体" w:hAnsi="宋体"/>
                <w:b/>
                <w:bCs/>
                <w:szCs w:val="21"/>
              </w:rPr>
              <w:t>对招标文件、采购过程或者中标结果的质疑由</w:t>
            </w:r>
            <w:r>
              <w:rPr>
                <w:rFonts w:hint="eastAsia" w:ascii="宋体" w:hAnsi="宋体"/>
                <w:b/>
                <w:bCs/>
                <w:szCs w:val="21"/>
                <w:lang w:bidi="ar"/>
              </w:rPr>
              <w:t>自治区公共资源交易中心按相关规定组织专家组论证后答复</w:t>
            </w:r>
            <w:r>
              <w:rPr>
                <w:rFonts w:hint="eastAsia" w:ascii="宋体" w:hAnsi="宋体"/>
                <w:b/>
                <w:bCs/>
                <w:szCs w:val="21"/>
              </w:rPr>
              <w:t>。</w:t>
            </w:r>
          </w:p>
        </w:tc>
      </w:tr>
      <w:tr w14:paraId="2F0550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vMerge w:val="continue"/>
            <w:tcBorders>
              <w:left w:val="single" w:color="auto" w:sz="4" w:space="0"/>
              <w:right w:val="single" w:color="auto" w:sz="4" w:space="0"/>
            </w:tcBorders>
            <w:vAlign w:val="center"/>
          </w:tcPr>
          <w:p w14:paraId="74488C57">
            <w:pPr>
              <w:snapToGrid w:val="0"/>
              <w:spacing w:line="360" w:lineRule="exact"/>
              <w:jc w:val="center"/>
              <w:rPr>
                <w:rFonts w:ascii="宋体" w:hAnsi="宋体"/>
                <w:szCs w:val="21"/>
              </w:rPr>
            </w:pPr>
          </w:p>
        </w:tc>
        <w:tc>
          <w:tcPr>
            <w:tcW w:w="9099" w:type="dxa"/>
            <w:tcBorders>
              <w:top w:val="single" w:color="auto" w:sz="4" w:space="0"/>
              <w:left w:val="single" w:color="auto" w:sz="4" w:space="0"/>
              <w:bottom w:val="single" w:color="auto" w:sz="4" w:space="0"/>
              <w:right w:val="single" w:color="auto" w:sz="4" w:space="0"/>
            </w:tcBorders>
            <w:vAlign w:val="center"/>
          </w:tcPr>
          <w:p w14:paraId="3A5E5586">
            <w:pPr>
              <w:snapToGrid w:val="0"/>
              <w:spacing w:line="360" w:lineRule="exact"/>
              <w:rPr>
                <w:rFonts w:ascii="宋体" w:hAnsi="宋体"/>
                <w:szCs w:val="21"/>
              </w:rPr>
            </w:pPr>
            <w:r>
              <w:rPr>
                <w:rFonts w:hint="eastAsia" w:ascii="宋体" w:hAnsi="宋体"/>
                <w:szCs w:val="21"/>
              </w:rPr>
              <w:t>接收质疑函方式：以书面形式。</w:t>
            </w:r>
          </w:p>
        </w:tc>
      </w:tr>
      <w:tr w14:paraId="6F9314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vMerge w:val="continue"/>
            <w:tcBorders>
              <w:left w:val="single" w:color="auto" w:sz="4" w:space="0"/>
              <w:right w:val="single" w:color="auto" w:sz="4" w:space="0"/>
            </w:tcBorders>
            <w:vAlign w:val="center"/>
          </w:tcPr>
          <w:p w14:paraId="730A9769">
            <w:pPr>
              <w:snapToGrid w:val="0"/>
              <w:spacing w:line="360" w:lineRule="exact"/>
              <w:jc w:val="center"/>
              <w:rPr>
                <w:rFonts w:ascii="宋体" w:hAnsi="宋体"/>
                <w:szCs w:val="21"/>
              </w:rPr>
            </w:pPr>
          </w:p>
        </w:tc>
        <w:tc>
          <w:tcPr>
            <w:tcW w:w="9099" w:type="dxa"/>
            <w:tcBorders>
              <w:top w:val="single" w:color="auto" w:sz="4" w:space="0"/>
              <w:left w:val="single" w:color="auto" w:sz="4" w:space="0"/>
              <w:bottom w:val="single" w:color="auto" w:sz="4" w:space="0"/>
              <w:right w:val="single" w:color="auto" w:sz="4" w:space="0"/>
            </w:tcBorders>
            <w:vAlign w:val="center"/>
          </w:tcPr>
          <w:p w14:paraId="3FB47274">
            <w:pPr>
              <w:snapToGrid w:val="0"/>
              <w:spacing w:line="360" w:lineRule="exact"/>
            </w:pPr>
            <w:r>
              <w:rPr>
                <w:rFonts w:hint="eastAsia" w:ascii="宋体" w:hAnsi="宋体"/>
                <w:szCs w:val="21"/>
              </w:rPr>
              <w:t>质疑</w:t>
            </w:r>
            <w:r>
              <w:rPr>
                <w:rFonts w:hint="eastAsia"/>
              </w:rPr>
              <w:t>联系部门及联系方式：</w:t>
            </w:r>
          </w:p>
          <w:p w14:paraId="742C391E">
            <w:pPr>
              <w:snapToGrid w:val="0"/>
              <w:spacing w:line="360" w:lineRule="exact"/>
              <w:ind w:firstLine="420" w:firstLineChars="200"/>
            </w:pPr>
            <w:r>
              <w:rPr>
                <w:lang w:val="en"/>
              </w:rPr>
              <w:t>广西壮族自治区公共资源交易中心</w:t>
            </w:r>
            <w:r>
              <w:rPr>
                <w:rFonts w:hint="eastAsia"/>
              </w:rPr>
              <w:t xml:space="preserve">交易监督处     </w:t>
            </w:r>
          </w:p>
          <w:p w14:paraId="6D6717C6">
            <w:pPr>
              <w:snapToGrid w:val="0"/>
              <w:spacing w:line="360" w:lineRule="exact"/>
              <w:ind w:firstLine="420" w:firstLineChars="200"/>
            </w:pPr>
            <w:r>
              <w:rPr>
                <w:rFonts w:hint="eastAsia"/>
              </w:rPr>
              <w:t>电话：0771-8600304</w:t>
            </w:r>
          </w:p>
          <w:p w14:paraId="733FDC0A">
            <w:pPr>
              <w:snapToGrid w:val="0"/>
              <w:spacing w:line="360" w:lineRule="exact"/>
              <w:ind w:firstLine="420" w:firstLineChars="200"/>
              <w:rPr>
                <w:rFonts w:ascii="宋体" w:hAnsi="宋体"/>
                <w:szCs w:val="21"/>
                <w:lang w:val="en"/>
              </w:rPr>
            </w:pPr>
            <w:r>
              <w:rPr>
                <w:rFonts w:hint="eastAsia"/>
              </w:rPr>
              <w:t>地址：广西南宁市星湖路22号</w:t>
            </w:r>
          </w:p>
        </w:tc>
      </w:tr>
      <w:tr w14:paraId="1226BA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vMerge w:val="continue"/>
            <w:tcBorders>
              <w:left w:val="single" w:color="auto" w:sz="4" w:space="0"/>
              <w:bottom w:val="single" w:color="auto" w:sz="4" w:space="0"/>
              <w:right w:val="single" w:color="auto" w:sz="4" w:space="0"/>
            </w:tcBorders>
            <w:vAlign w:val="center"/>
          </w:tcPr>
          <w:p w14:paraId="1263E83E">
            <w:pPr>
              <w:snapToGrid w:val="0"/>
              <w:spacing w:line="360" w:lineRule="exact"/>
              <w:jc w:val="center"/>
              <w:rPr>
                <w:rFonts w:ascii="宋体" w:hAnsi="宋体"/>
                <w:szCs w:val="21"/>
              </w:rPr>
            </w:pPr>
          </w:p>
        </w:tc>
        <w:tc>
          <w:tcPr>
            <w:tcW w:w="9099" w:type="dxa"/>
            <w:tcBorders>
              <w:top w:val="single" w:color="auto" w:sz="4" w:space="0"/>
              <w:left w:val="single" w:color="auto" w:sz="4" w:space="0"/>
              <w:bottom w:val="single" w:color="auto" w:sz="4" w:space="0"/>
              <w:right w:val="single" w:color="auto" w:sz="4" w:space="0"/>
            </w:tcBorders>
            <w:vAlign w:val="center"/>
          </w:tcPr>
          <w:p w14:paraId="126E8931">
            <w:pPr>
              <w:snapToGrid w:val="0"/>
              <w:spacing w:line="360" w:lineRule="exact"/>
              <w:rPr>
                <w:rFonts w:ascii="宋体" w:hAnsi="宋体"/>
                <w:szCs w:val="21"/>
              </w:rPr>
            </w:pPr>
            <w:r>
              <w:rPr>
                <w:rFonts w:hint="eastAsia" w:ascii="宋体" w:hAnsi="宋体"/>
                <w:szCs w:val="21"/>
              </w:rPr>
              <w:t>现场提交质疑办理业务时间：质疑期内每个工作日正常工作时间（8：30-12：00，13：30-17：00）</w:t>
            </w:r>
          </w:p>
        </w:tc>
      </w:tr>
      <w:tr w14:paraId="6F637F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tcBorders>
              <w:top w:val="single" w:color="auto" w:sz="4" w:space="0"/>
              <w:left w:val="single" w:color="auto" w:sz="4" w:space="0"/>
              <w:bottom w:val="single" w:color="auto" w:sz="4" w:space="0"/>
              <w:right w:val="single" w:color="auto" w:sz="4" w:space="0"/>
            </w:tcBorders>
            <w:vAlign w:val="center"/>
          </w:tcPr>
          <w:p w14:paraId="5F18C2F8">
            <w:pPr>
              <w:snapToGrid w:val="0"/>
              <w:spacing w:line="360" w:lineRule="exact"/>
              <w:jc w:val="center"/>
              <w:rPr>
                <w:rFonts w:ascii="宋体" w:hAnsi="宋体"/>
                <w:szCs w:val="21"/>
              </w:rPr>
            </w:pPr>
            <w:r>
              <w:rPr>
                <w:rFonts w:hint="eastAsia" w:ascii="宋体" w:hAnsi="宋体"/>
                <w:szCs w:val="21"/>
              </w:rPr>
              <w:t>22</w:t>
            </w:r>
          </w:p>
        </w:tc>
        <w:tc>
          <w:tcPr>
            <w:tcW w:w="9099" w:type="dxa"/>
            <w:tcBorders>
              <w:top w:val="single" w:color="auto" w:sz="4" w:space="0"/>
              <w:left w:val="single" w:color="auto" w:sz="4" w:space="0"/>
              <w:bottom w:val="single" w:color="auto" w:sz="4" w:space="0"/>
              <w:right w:val="single" w:color="auto" w:sz="4" w:space="0"/>
            </w:tcBorders>
            <w:vAlign w:val="center"/>
          </w:tcPr>
          <w:p w14:paraId="2BC5F1FB">
            <w:pPr>
              <w:snapToGrid w:val="0"/>
              <w:spacing w:line="360" w:lineRule="exact"/>
              <w:rPr>
                <w:rFonts w:ascii="宋体" w:hAnsi="宋体"/>
                <w:szCs w:val="21"/>
              </w:rPr>
            </w:pPr>
            <w:r>
              <w:rPr>
                <w:rFonts w:hint="eastAsia" w:ascii="宋体" w:hAnsi="宋体"/>
                <w:szCs w:val="21"/>
              </w:rPr>
              <w:t>本招标文件解释权属</w:t>
            </w:r>
            <w:r>
              <w:rPr>
                <w:rFonts w:ascii="宋体" w:hAnsi="宋体"/>
                <w:szCs w:val="21"/>
                <w:lang w:val="en"/>
              </w:rPr>
              <w:t>广西壮族自治区公共资源交易中心</w:t>
            </w:r>
            <w:r>
              <w:rPr>
                <w:rFonts w:hint="eastAsia" w:ascii="宋体" w:hAnsi="宋体"/>
                <w:szCs w:val="21"/>
              </w:rPr>
              <w:t>。</w:t>
            </w:r>
          </w:p>
        </w:tc>
      </w:tr>
    </w:tbl>
    <w:p w14:paraId="4F8C5927">
      <w:pPr>
        <w:pStyle w:val="29"/>
        <w:pageBreakBefore/>
        <w:snapToGrid w:val="0"/>
        <w:spacing w:before="120" w:after="120" w:line="360" w:lineRule="exact"/>
        <w:jc w:val="center"/>
        <w:rPr>
          <w:rFonts w:hAnsi="宋体"/>
          <w:b/>
        </w:rPr>
      </w:pPr>
      <w:r>
        <w:rPr>
          <w:rFonts w:hint="eastAsia" w:ascii="仿宋_GB2312" w:hAnsi="宋体" w:eastAsia="仿宋_GB2312"/>
          <w:b/>
          <w:sz w:val="32"/>
          <w:szCs w:val="32"/>
        </w:rPr>
        <w:t>投标人须知</w:t>
      </w:r>
    </w:p>
    <w:p w14:paraId="3BE2DE38">
      <w:pPr>
        <w:pStyle w:val="29"/>
        <w:adjustRightInd w:val="0"/>
        <w:snapToGrid w:val="0"/>
        <w:spacing w:line="400" w:lineRule="exact"/>
        <w:rPr>
          <w:rFonts w:hAnsi="宋体"/>
          <w:b/>
        </w:rPr>
      </w:pPr>
      <w:r>
        <w:rPr>
          <w:rFonts w:hint="eastAsia" w:hAnsi="宋体"/>
          <w:b/>
        </w:rPr>
        <w:t>一、总  则</w:t>
      </w:r>
    </w:p>
    <w:p w14:paraId="7E44067A">
      <w:pPr>
        <w:adjustRightInd w:val="0"/>
        <w:snapToGrid w:val="0"/>
        <w:spacing w:line="400" w:lineRule="exact"/>
        <w:ind w:firstLine="420" w:firstLineChars="200"/>
        <w:rPr>
          <w:rFonts w:ascii="宋体" w:hAnsi="宋体"/>
          <w:b/>
          <w:szCs w:val="21"/>
        </w:rPr>
      </w:pPr>
      <w:bookmarkStart w:id="11" w:name="_Toc254970527"/>
      <w:bookmarkStart w:id="12" w:name="_Toc254970668"/>
      <w:r>
        <w:rPr>
          <w:rFonts w:hint="eastAsia" w:ascii="宋体" w:hAnsi="宋体"/>
          <w:b/>
          <w:szCs w:val="21"/>
        </w:rPr>
        <w:t>（一） 适用范围</w:t>
      </w:r>
      <w:bookmarkEnd w:id="11"/>
      <w:bookmarkEnd w:id="12"/>
    </w:p>
    <w:p w14:paraId="53D48595">
      <w:pPr>
        <w:adjustRightInd w:val="0"/>
        <w:snapToGrid w:val="0"/>
        <w:spacing w:line="400" w:lineRule="exact"/>
        <w:ind w:firstLine="420" w:firstLineChars="200"/>
        <w:jc w:val="left"/>
        <w:rPr>
          <w:rFonts w:ascii="宋体" w:hAnsi="宋体"/>
          <w:szCs w:val="21"/>
        </w:rPr>
      </w:pPr>
      <w:r>
        <w:rPr>
          <w:rFonts w:hint="eastAsia" w:ascii="宋体" w:hAnsi="宋体"/>
          <w:szCs w:val="21"/>
        </w:rPr>
        <w:t>本招标文件适用于</w:t>
      </w:r>
      <w:r>
        <w:rPr>
          <w:rFonts w:hint="eastAsia" w:ascii="宋体" w:hAnsi="宋体"/>
          <w:bCs/>
          <w:szCs w:val="21"/>
        </w:rPr>
        <w:t>本</w:t>
      </w:r>
      <w:r>
        <w:rPr>
          <w:rFonts w:hint="eastAsia" w:ascii="宋体" w:hAnsi="宋体"/>
          <w:szCs w:val="21"/>
        </w:rPr>
        <w:t>项目的招标、投标、评标、定标、验收、合同履约、付款等行为（法律、法规另有规定的，从其规定）。</w:t>
      </w:r>
    </w:p>
    <w:p w14:paraId="390EF978">
      <w:pPr>
        <w:adjustRightInd w:val="0"/>
        <w:snapToGrid w:val="0"/>
        <w:spacing w:line="400" w:lineRule="exact"/>
        <w:ind w:firstLine="420" w:firstLineChars="200"/>
        <w:rPr>
          <w:rFonts w:ascii="宋体" w:hAnsi="宋体"/>
          <w:b/>
          <w:szCs w:val="21"/>
        </w:rPr>
      </w:pPr>
      <w:bookmarkStart w:id="13" w:name="_Toc254970528"/>
      <w:bookmarkStart w:id="14" w:name="_Toc254970669"/>
      <w:bookmarkStart w:id="15" w:name="_Toc254970689"/>
      <w:bookmarkStart w:id="16" w:name="_Toc254970548"/>
      <w:r>
        <w:rPr>
          <w:rFonts w:hint="eastAsia" w:ascii="宋体" w:hAnsi="宋体"/>
          <w:b/>
          <w:szCs w:val="21"/>
        </w:rPr>
        <w:t>（二）定义</w:t>
      </w:r>
      <w:bookmarkEnd w:id="13"/>
      <w:bookmarkEnd w:id="14"/>
    </w:p>
    <w:p w14:paraId="76116CFD">
      <w:pPr>
        <w:adjustRightInd w:val="0"/>
        <w:snapToGrid w:val="0"/>
        <w:spacing w:line="400" w:lineRule="exact"/>
        <w:ind w:firstLine="420" w:firstLineChars="200"/>
        <w:jc w:val="left"/>
        <w:rPr>
          <w:rFonts w:ascii="宋体" w:hAnsi="宋体"/>
          <w:szCs w:val="21"/>
        </w:rPr>
      </w:pPr>
      <w:bookmarkStart w:id="17" w:name="_Toc254970670"/>
      <w:bookmarkStart w:id="18" w:name="_Toc254970529"/>
      <w:r>
        <w:rPr>
          <w:rFonts w:hint="eastAsia" w:ascii="宋体" w:hAnsi="宋体"/>
          <w:szCs w:val="21"/>
        </w:rPr>
        <w:t>1.“配置单位”系指参与本次集中采购的医疗卫生机构。</w:t>
      </w:r>
    </w:p>
    <w:p w14:paraId="6FA962F9">
      <w:pPr>
        <w:adjustRightInd w:val="0"/>
        <w:snapToGrid w:val="0"/>
        <w:spacing w:line="400" w:lineRule="exact"/>
        <w:ind w:firstLine="420" w:firstLineChars="200"/>
        <w:jc w:val="left"/>
        <w:rPr>
          <w:rFonts w:ascii="宋体" w:hAnsi="宋体"/>
          <w:szCs w:val="21"/>
        </w:rPr>
      </w:pPr>
      <w:r>
        <w:rPr>
          <w:rFonts w:hint="eastAsia" w:ascii="宋体" w:hAnsi="宋体"/>
          <w:szCs w:val="21"/>
        </w:rPr>
        <w:t>2.“采购人”系指接受医疗卫生机构委托代为实施集中采购工作的实施机构，本次集中采购的实施机构为</w:t>
      </w:r>
      <w:r>
        <w:rPr>
          <w:rFonts w:ascii="宋体" w:hAnsi="宋体"/>
          <w:szCs w:val="21"/>
          <w:lang w:val="en"/>
        </w:rPr>
        <w:t>广西壮族自治区公共资源交易中心</w:t>
      </w:r>
      <w:r>
        <w:rPr>
          <w:rFonts w:hint="eastAsia" w:ascii="宋体" w:hAnsi="宋体"/>
          <w:szCs w:val="21"/>
        </w:rPr>
        <w:t>（以下简称“本中心”）。</w:t>
      </w:r>
    </w:p>
    <w:p w14:paraId="2DBBEBC4">
      <w:pPr>
        <w:adjustRightInd w:val="0"/>
        <w:snapToGrid w:val="0"/>
        <w:spacing w:line="400" w:lineRule="exact"/>
        <w:ind w:firstLine="420" w:firstLineChars="200"/>
        <w:jc w:val="left"/>
        <w:rPr>
          <w:rFonts w:ascii="宋体" w:hAnsi="宋体"/>
          <w:szCs w:val="21"/>
        </w:rPr>
      </w:pPr>
      <w:r>
        <w:rPr>
          <w:rFonts w:hint="eastAsia" w:ascii="宋体" w:hAnsi="宋体"/>
          <w:szCs w:val="21"/>
        </w:rPr>
        <w:t>3.“投标人”系指响应招标、参加投标竞争的法人、其他组织或者自然人。</w:t>
      </w:r>
    </w:p>
    <w:p w14:paraId="21311E1D">
      <w:pPr>
        <w:adjustRightInd w:val="0"/>
        <w:snapToGrid w:val="0"/>
        <w:spacing w:line="400" w:lineRule="exact"/>
        <w:ind w:firstLine="420" w:firstLineChars="200"/>
        <w:jc w:val="left"/>
        <w:rPr>
          <w:rFonts w:ascii="宋体" w:hAnsi="宋体"/>
          <w:szCs w:val="21"/>
        </w:rPr>
      </w:pPr>
      <w:r>
        <w:rPr>
          <w:rFonts w:hint="eastAsia" w:ascii="宋体" w:hAnsi="宋体"/>
          <w:szCs w:val="21"/>
        </w:rPr>
        <w:t>4.“产品”系指供方按招标文件规定，须向配置单位提供的一切设备、保险、税金、备品备件、工具、手册及其它有关技术资料和材料。</w:t>
      </w:r>
    </w:p>
    <w:p w14:paraId="189AAFE6">
      <w:pPr>
        <w:adjustRightInd w:val="0"/>
        <w:snapToGrid w:val="0"/>
        <w:spacing w:line="400" w:lineRule="exact"/>
        <w:ind w:firstLine="420" w:firstLineChars="200"/>
        <w:jc w:val="left"/>
        <w:rPr>
          <w:rFonts w:ascii="宋体" w:hAnsi="宋体"/>
          <w:szCs w:val="21"/>
        </w:rPr>
      </w:pPr>
      <w:r>
        <w:rPr>
          <w:rFonts w:hint="eastAsia" w:ascii="宋体" w:hAnsi="宋体"/>
          <w:szCs w:val="21"/>
        </w:rPr>
        <w:t>5.“服务”系指招标文件规定投标人须承担的安装、调试、技术协助、校准、培训、技术指导以及其他类似的义务。</w:t>
      </w:r>
    </w:p>
    <w:p w14:paraId="397FA616">
      <w:pPr>
        <w:adjustRightInd w:val="0"/>
        <w:snapToGrid w:val="0"/>
        <w:spacing w:line="400" w:lineRule="exact"/>
        <w:ind w:firstLine="420" w:firstLineChars="200"/>
        <w:jc w:val="left"/>
        <w:rPr>
          <w:rFonts w:ascii="宋体" w:hAnsi="宋体"/>
          <w:szCs w:val="21"/>
        </w:rPr>
      </w:pPr>
      <w:r>
        <w:rPr>
          <w:rFonts w:hint="eastAsia" w:ascii="宋体" w:hAnsi="宋体"/>
          <w:szCs w:val="21"/>
        </w:rPr>
        <w:t>6.“项目”系指投标人按招标文件规定向配置单位提供的产品和服务。</w:t>
      </w:r>
    </w:p>
    <w:p w14:paraId="522155AE">
      <w:pPr>
        <w:adjustRightInd w:val="0"/>
        <w:snapToGrid w:val="0"/>
        <w:spacing w:line="400" w:lineRule="exact"/>
        <w:ind w:firstLine="420" w:firstLineChars="200"/>
        <w:jc w:val="left"/>
        <w:rPr>
          <w:rFonts w:ascii="宋体" w:hAnsi="宋体"/>
          <w:szCs w:val="21"/>
        </w:rPr>
      </w:pPr>
      <w:r>
        <w:rPr>
          <w:rFonts w:hint="eastAsia" w:ascii="宋体" w:hAnsi="宋体"/>
          <w:szCs w:val="21"/>
        </w:rPr>
        <w:t>7.“书面形式”包括信函、传真、电报等。</w:t>
      </w:r>
    </w:p>
    <w:p w14:paraId="2C94D409">
      <w:pPr>
        <w:adjustRightInd w:val="0"/>
        <w:snapToGrid w:val="0"/>
        <w:spacing w:line="400" w:lineRule="exact"/>
        <w:ind w:firstLine="420" w:firstLineChars="200"/>
        <w:jc w:val="left"/>
        <w:rPr>
          <w:rFonts w:ascii="宋体" w:hAnsi="宋体"/>
          <w:szCs w:val="21"/>
        </w:rPr>
      </w:pPr>
      <w:r>
        <w:rPr>
          <w:rFonts w:hint="eastAsia" w:ascii="宋体" w:hAnsi="宋体"/>
          <w:szCs w:val="21"/>
        </w:rPr>
        <w:t>8.“▲”系指实质性要求条款。</w:t>
      </w:r>
    </w:p>
    <w:p w14:paraId="48142B9B">
      <w:pPr>
        <w:adjustRightInd w:val="0"/>
        <w:snapToGrid w:val="0"/>
        <w:spacing w:line="400" w:lineRule="exact"/>
        <w:ind w:firstLine="420" w:firstLineChars="200"/>
        <w:rPr>
          <w:rFonts w:ascii="宋体" w:hAnsi="宋体"/>
          <w:b/>
          <w:szCs w:val="21"/>
        </w:rPr>
      </w:pPr>
      <w:r>
        <w:rPr>
          <w:rFonts w:hint="eastAsia" w:ascii="宋体" w:hAnsi="宋体"/>
          <w:b/>
          <w:szCs w:val="21"/>
        </w:rPr>
        <w:t>（三）招标方式</w:t>
      </w:r>
      <w:bookmarkEnd w:id="17"/>
      <w:bookmarkEnd w:id="18"/>
    </w:p>
    <w:p w14:paraId="2A76A11E">
      <w:pPr>
        <w:adjustRightInd w:val="0"/>
        <w:snapToGrid w:val="0"/>
        <w:spacing w:line="400" w:lineRule="exact"/>
        <w:ind w:firstLine="420" w:firstLineChars="200"/>
        <w:jc w:val="left"/>
        <w:rPr>
          <w:rFonts w:ascii="宋体" w:hAnsi="宋体"/>
          <w:szCs w:val="21"/>
        </w:rPr>
      </w:pPr>
      <w:r>
        <w:rPr>
          <w:rFonts w:hint="eastAsia" w:ascii="宋体" w:hAnsi="宋体"/>
          <w:szCs w:val="21"/>
        </w:rPr>
        <w:t>公开招标方式。</w:t>
      </w:r>
    </w:p>
    <w:p w14:paraId="19E2E2FE">
      <w:pPr>
        <w:adjustRightInd w:val="0"/>
        <w:snapToGrid w:val="0"/>
        <w:spacing w:line="400" w:lineRule="exact"/>
        <w:ind w:firstLine="420" w:firstLineChars="200"/>
        <w:rPr>
          <w:rFonts w:ascii="宋体" w:hAnsi="宋体"/>
          <w:b/>
          <w:szCs w:val="21"/>
        </w:rPr>
      </w:pPr>
      <w:bookmarkStart w:id="19" w:name="_Toc254970530"/>
      <w:bookmarkStart w:id="20" w:name="_Toc254970671"/>
      <w:r>
        <w:rPr>
          <w:rFonts w:hint="eastAsia" w:ascii="宋体" w:hAnsi="宋体"/>
          <w:b/>
          <w:szCs w:val="21"/>
        </w:rPr>
        <w:t>（四）投标委托</w:t>
      </w:r>
      <w:bookmarkEnd w:id="19"/>
      <w:bookmarkEnd w:id="20"/>
    </w:p>
    <w:p w14:paraId="0E4F7DE6">
      <w:pPr>
        <w:pStyle w:val="22"/>
        <w:adjustRightInd w:val="0"/>
        <w:snapToGrid w:val="0"/>
        <w:spacing w:line="400" w:lineRule="exact"/>
        <w:ind w:firstLine="420" w:firstLineChars="200"/>
        <w:jc w:val="left"/>
        <w:rPr>
          <w:rFonts w:ascii="宋体" w:hAnsi="宋体" w:eastAsia="宋体"/>
          <w:sz w:val="21"/>
          <w:szCs w:val="21"/>
        </w:rPr>
      </w:pPr>
      <w:r>
        <w:rPr>
          <w:rFonts w:hint="eastAsia" w:ascii="宋体" w:hAnsi="宋体" w:eastAsia="宋体"/>
          <w:sz w:val="21"/>
          <w:szCs w:val="21"/>
        </w:rPr>
        <w:t>如投标人代表不是法定代表人，须有法定代表人出具的授权委托书，格式见第六章《投标文件格式》。</w:t>
      </w:r>
    </w:p>
    <w:p w14:paraId="004C549C">
      <w:pPr>
        <w:adjustRightInd w:val="0"/>
        <w:snapToGrid w:val="0"/>
        <w:spacing w:line="400" w:lineRule="exact"/>
        <w:ind w:firstLine="420" w:firstLineChars="200"/>
        <w:rPr>
          <w:rFonts w:ascii="宋体" w:hAnsi="宋体"/>
          <w:b/>
          <w:szCs w:val="21"/>
        </w:rPr>
      </w:pPr>
      <w:bookmarkStart w:id="21" w:name="_Toc254970672"/>
      <w:bookmarkStart w:id="22" w:name="_Toc254970531"/>
      <w:r>
        <w:rPr>
          <w:rFonts w:hint="eastAsia" w:ascii="宋体" w:hAnsi="宋体"/>
          <w:b/>
          <w:szCs w:val="21"/>
        </w:rPr>
        <w:t>（五）投标费用</w:t>
      </w:r>
      <w:bookmarkEnd w:id="21"/>
      <w:bookmarkEnd w:id="22"/>
    </w:p>
    <w:p w14:paraId="7E74B1FC">
      <w:pPr>
        <w:adjustRightInd w:val="0"/>
        <w:snapToGrid w:val="0"/>
        <w:spacing w:line="400" w:lineRule="exact"/>
        <w:ind w:firstLine="420" w:firstLineChars="200"/>
        <w:jc w:val="left"/>
        <w:rPr>
          <w:rFonts w:ascii="宋体" w:hAnsi="宋体"/>
          <w:szCs w:val="21"/>
        </w:rPr>
      </w:pPr>
      <w:r>
        <w:rPr>
          <w:rFonts w:hint="eastAsia" w:ascii="宋体" w:hAnsi="宋体"/>
          <w:szCs w:val="21"/>
        </w:rPr>
        <w:t>投标人均应自行承担所有与投标有关的全部费用（招标文件有相关的规定除外）。</w:t>
      </w:r>
    </w:p>
    <w:p w14:paraId="56D4790B">
      <w:pPr>
        <w:adjustRightInd w:val="0"/>
        <w:snapToGrid w:val="0"/>
        <w:spacing w:line="400" w:lineRule="exact"/>
        <w:ind w:firstLine="420" w:firstLineChars="200"/>
        <w:rPr>
          <w:rFonts w:ascii="宋体" w:hAnsi="宋体"/>
          <w:szCs w:val="21"/>
        </w:rPr>
      </w:pPr>
      <w:r>
        <w:rPr>
          <w:rFonts w:hint="eastAsia" w:ascii="宋体" w:hAnsi="宋体"/>
          <w:b/>
          <w:szCs w:val="21"/>
        </w:rPr>
        <w:t>（六）</w:t>
      </w:r>
      <w:r>
        <w:rPr>
          <w:rFonts w:hint="eastAsia" w:ascii="宋体" w:hAnsi="宋体"/>
          <w:b/>
          <w:bCs/>
          <w:szCs w:val="21"/>
        </w:rPr>
        <w:t>本项目不接受联合体投标。</w:t>
      </w:r>
    </w:p>
    <w:p w14:paraId="357613CD">
      <w:pPr>
        <w:adjustRightInd w:val="0"/>
        <w:snapToGrid w:val="0"/>
        <w:spacing w:line="400" w:lineRule="exact"/>
        <w:ind w:firstLine="420" w:firstLineChars="200"/>
        <w:rPr>
          <w:rFonts w:ascii="宋体" w:hAnsi="宋体" w:cs="宋体"/>
          <w:b/>
          <w:kern w:val="0"/>
          <w:szCs w:val="21"/>
        </w:rPr>
      </w:pPr>
      <w:r>
        <w:rPr>
          <w:rFonts w:hint="eastAsia" w:ascii="宋体" w:hAnsi="宋体"/>
          <w:b/>
          <w:szCs w:val="21"/>
        </w:rPr>
        <w:t xml:space="preserve">（七）转包与分包     </w:t>
      </w:r>
      <w:r>
        <w:rPr>
          <w:rFonts w:hint="eastAsia" w:ascii="宋体" w:hAnsi="宋体" w:cs="宋体"/>
          <w:b/>
          <w:kern w:val="0"/>
          <w:szCs w:val="21"/>
        </w:rPr>
        <w:t xml:space="preserve">        </w:t>
      </w:r>
    </w:p>
    <w:p w14:paraId="18CA0F0C">
      <w:pPr>
        <w:adjustRightInd w:val="0"/>
        <w:snapToGrid w:val="0"/>
        <w:spacing w:line="400" w:lineRule="exact"/>
        <w:ind w:firstLine="420" w:firstLineChars="200"/>
        <w:rPr>
          <w:rFonts w:ascii="宋体" w:hAnsi="宋体" w:cs="宋体"/>
          <w:kern w:val="0"/>
          <w:szCs w:val="21"/>
        </w:rPr>
      </w:pPr>
      <w:r>
        <w:rPr>
          <w:rFonts w:hint="eastAsia" w:ascii="宋体" w:hAnsi="宋体" w:cs="宋体"/>
          <w:kern w:val="0"/>
          <w:szCs w:val="21"/>
        </w:rPr>
        <w:t>1.本项目不允许转包。</w:t>
      </w:r>
    </w:p>
    <w:p w14:paraId="3231D862">
      <w:pPr>
        <w:adjustRightInd w:val="0"/>
        <w:snapToGrid w:val="0"/>
        <w:spacing w:line="400" w:lineRule="exact"/>
        <w:ind w:firstLine="420" w:firstLineChars="200"/>
        <w:rPr>
          <w:rFonts w:ascii="宋体" w:hAnsi="宋体"/>
          <w:szCs w:val="21"/>
        </w:rPr>
      </w:pPr>
      <w:r>
        <w:rPr>
          <w:rFonts w:hint="eastAsia" w:ascii="宋体" w:hAnsi="宋体" w:cs="宋体"/>
          <w:kern w:val="0"/>
          <w:szCs w:val="21"/>
        </w:rPr>
        <w:t>2.本项目不可以分包。</w:t>
      </w:r>
    </w:p>
    <w:p w14:paraId="72AE697E">
      <w:pPr>
        <w:adjustRightInd w:val="0"/>
        <w:snapToGrid w:val="0"/>
        <w:spacing w:line="400" w:lineRule="exact"/>
        <w:ind w:firstLine="420" w:firstLineChars="200"/>
        <w:rPr>
          <w:rFonts w:ascii="宋体" w:hAnsi="宋体"/>
          <w:b/>
          <w:szCs w:val="21"/>
        </w:rPr>
      </w:pPr>
      <w:bookmarkStart w:id="23" w:name="_Toc254970673"/>
      <w:bookmarkStart w:id="24" w:name="_Toc254970532"/>
      <w:r>
        <w:rPr>
          <w:rFonts w:hint="eastAsia" w:ascii="宋体" w:hAnsi="宋体"/>
          <w:b/>
          <w:szCs w:val="21"/>
        </w:rPr>
        <w:t>（八）特别说明：</w:t>
      </w:r>
      <w:bookmarkEnd w:id="23"/>
      <w:bookmarkEnd w:id="24"/>
    </w:p>
    <w:p w14:paraId="2152B990">
      <w:pPr>
        <w:pStyle w:val="29"/>
        <w:adjustRightInd w:val="0"/>
        <w:snapToGrid w:val="0"/>
        <w:spacing w:line="400" w:lineRule="exact"/>
        <w:ind w:left="2" w:leftChars="1" w:firstLine="420" w:firstLineChars="200"/>
        <w:rPr>
          <w:rFonts w:hAnsi="宋体" w:cs="Times New Roman"/>
        </w:rPr>
      </w:pPr>
      <w:r>
        <w:rPr>
          <w:rFonts w:hint="eastAsia" w:hAnsi="宋体" w:cs="Times New Roman"/>
        </w:rPr>
        <w:t>▲1.单位负责人为同一人或者存在直接控股、管理关系的不同供应商，不得参加同一合同项下的政府采购活动。</w:t>
      </w:r>
    </w:p>
    <w:p w14:paraId="4663910D">
      <w:pPr>
        <w:adjustRightInd w:val="0"/>
        <w:snapToGrid w:val="0"/>
        <w:spacing w:line="400" w:lineRule="exact"/>
        <w:ind w:firstLine="420" w:firstLineChars="200"/>
        <w:rPr>
          <w:rFonts w:ascii="宋体" w:hAnsi="宋体" w:cs="宋体"/>
          <w:kern w:val="0"/>
          <w:szCs w:val="21"/>
        </w:rPr>
      </w:pPr>
      <w:r>
        <w:rPr>
          <w:rFonts w:hint="eastAsia" w:ascii="宋体" w:hAnsi="宋体" w:cs="宋体"/>
          <w:kern w:val="0"/>
          <w:szCs w:val="21"/>
        </w:rPr>
        <w:t>▲2.</w:t>
      </w:r>
      <w:r>
        <w:rPr>
          <w:rFonts w:hint="eastAsia" w:ascii="宋体" w:hAnsi="宋体"/>
          <w:szCs w:val="21"/>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评标方法及评分标准》中的推荐原则确定一个投标人获得中标人推荐资格，其他同品牌投标人不作为中标候选人。</w:t>
      </w:r>
    </w:p>
    <w:p w14:paraId="4125E3C7">
      <w:pPr>
        <w:pStyle w:val="29"/>
        <w:adjustRightInd w:val="0"/>
        <w:snapToGrid w:val="0"/>
        <w:spacing w:line="400" w:lineRule="exact"/>
        <w:ind w:left="2" w:leftChars="1" w:firstLine="420" w:firstLineChars="200"/>
        <w:rPr>
          <w:rFonts w:hAnsi="宋体" w:cs="Times New Roman"/>
        </w:rPr>
      </w:pPr>
      <w:r>
        <w:rPr>
          <w:rFonts w:hint="eastAsia" w:hAnsi="宋体" w:cs="Times New Roman"/>
        </w:rPr>
        <w:t>非单一产品采购项目中，多家投标人提供的招标文件中载明的核心产品品牌相同的，视为提供相同品牌产品。</w:t>
      </w:r>
    </w:p>
    <w:p w14:paraId="6C8DB64B">
      <w:pPr>
        <w:pStyle w:val="29"/>
        <w:adjustRightInd w:val="0"/>
        <w:snapToGrid w:val="0"/>
        <w:spacing w:line="400" w:lineRule="exact"/>
        <w:ind w:left="2" w:leftChars="1" w:firstLine="420" w:firstLineChars="200"/>
        <w:rPr>
          <w:rFonts w:hAnsi="宋体" w:cs="Times New Roman"/>
        </w:rPr>
      </w:pPr>
      <w:r>
        <w:rPr>
          <w:rFonts w:hint="eastAsia" w:hAnsi="宋体" w:cs="Times New Roman"/>
        </w:rPr>
        <w:t>▲3.投标人应仔细阅读招标文件的所有内容，按照招标文件的要求提交投标文件，并对所提供的全部资料的真实性承担法律责任。</w:t>
      </w:r>
    </w:p>
    <w:p w14:paraId="43EE5911">
      <w:pPr>
        <w:pStyle w:val="29"/>
        <w:adjustRightInd w:val="0"/>
        <w:snapToGrid w:val="0"/>
        <w:spacing w:line="400" w:lineRule="exact"/>
        <w:ind w:left="2" w:leftChars="1" w:firstLine="420" w:firstLineChars="200"/>
        <w:rPr>
          <w:rFonts w:hAnsi="宋体" w:cs="Times New Roman"/>
        </w:rPr>
      </w:pPr>
      <w:r>
        <w:rPr>
          <w:rFonts w:hint="eastAsia" w:hAnsi="宋体" w:cs="Times New Roman"/>
        </w:rPr>
        <w:t>▲4.投标人在投标活动中提供任何虚假材料、互相串通投标，其投标无效，并报监管部门查处。</w:t>
      </w:r>
    </w:p>
    <w:p w14:paraId="0731E32B">
      <w:pPr>
        <w:pStyle w:val="29"/>
        <w:adjustRightInd w:val="0"/>
        <w:snapToGrid w:val="0"/>
        <w:spacing w:line="400" w:lineRule="exact"/>
        <w:ind w:left="2" w:leftChars="1" w:firstLine="420" w:firstLineChars="200"/>
        <w:rPr>
          <w:rFonts w:hAnsi="宋体" w:cs="宋体"/>
          <w:color w:val="000000" w:themeColor="text1"/>
          <w:kern w:val="0"/>
          <w14:textFill>
            <w14:solidFill>
              <w14:schemeClr w14:val="tx1"/>
            </w14:solidFill>
          </w14:textFill>
        </w:rPr>
      </w:pPr>
      <w:r>
        <w:rPr>
          <w:rFonts w:hint="eastAsia" w:hAnsi="宋体" w:cs="Times New Roman"/>
        </w:rPr>
        <w:t>▲5.</w:t>
      </w:r>
      <w:r>
        <w:rPr>
          <w:rFonts w:hint="eastAsia" w:hAnsi="宋体" w:cs="宋体"/>
          <w:color w:val="000000" w:themeColor="text1"/>
          <w:kern w:val="0"/>
          <w14:textFill>
            <w14:solidFill>
              <w14:schemeClr w14:val="tx1"/>
            </w14:solidFill>
          </w14:textFill>
        </w:rPr>
        <w:t>中小企业价格评审优惠：根据《政府采购促进中小企业发展管理办法》（财库〔2020〕46号）的规定，本项目对符合条件的小型、微型企业的报价给予价格扣除优惠，扣除比例详见评标方法及评分标准。投标人如申请享受此项价格扣除，必须按本文件“投标文件格式”要求，填写并提交《中小企业声明函》。未提交或提交不符合要求的，不享受扣除，按其原报价计算价格分。</w:t>
      </w:r>
    </w:p>
    <w:p w14:paraId="0126A097">
      <w:pPr>
        <w:snapToGrid w:val="0"/>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6.本国产品价格扣除：根据《国务院办公厅关于在政府采购中实施本国产品标准及相关政策的通知》（国办发〔2025〕34号），在政府采购活动中既有本国产品又有非本国产品参与竞争的情况下，依法对本国产品给予价格评审优惠。 本项目对本国产品给予价格扣除，扣除比例详见评标方法及评分标准。投标人如申请享受此项价格扣除，必须按本文件“投标文件格式”要求，填写并提交《关于符合本国产品标准的声明函》。未提交或提交不符合要求的，不享受扣除，按其原报价计算价格分。</w:t>
      </w:r>
    </w:p>
    <w:p w14:paraId="361FA5D0">
      <w:pPr>
        <w:snapToGrid w:val="0"/>
        <w:spacing w:line="36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7.异常低价投标的风险警示：为维护公平竞争和项目质量，评标委员会将对疑似异常低价的投标进行认定。若投标人的报价被认定为异常低价且无法在合理期限内证明其报价合理性的，其投标将被视为无效投标。具体认定标准和处理程序，详见“评标程序”及“评标方法及评分标准”。</w:t>
      </w:r>
    </w:p>
    <w:p w14:paraId="26893AEB">
      <w:pPr>
        <w:pStyle w:val="29"/>
        <w:snapToGrid w:val="0"/>
        <w:spacing w:line="360" w:lineRule="exact"/>
        <w:ind w:firstLine="308" w:firstLineChars="147"/>
        <w:outlineLvl w:val="0"/>
        <w:rPr>
          <w:b/>
          <w:bCs/>
        </w:rPr>
      </w:pPr>
      <w:bookmarkStart w:id="25" w:name="_Toc254970675"/>
      <w:bookmarkStart w:id="26" w:name="_Toc254970534"/>
      <w:r>
        <w:rPr>
          <w:rFonts w:hint="eastAsia"/>
          <w:b/>
          <w:bCs/>
        </w:rPr>
        <w:t>（九）</w:t>
      </w:r>
      <w:r>
        <w:rPr>
          <w:rFonts w:hint="eastAsia"/>
          <w:b/>
        </w:rPr>
        <w:t>询问、质疑和投诉</w:t>
      </w:r>
    </w:p>
    <w:p w14:paraId="5FC9917B">
      <w:pPr>
        <w:pStyle w:val="29"/>
        <w:snapToGrid w:val="0"/>
        <w:spacing w:line="360" w:lineRule="exact"/>
        <w:ind w:firstLine="420" w:firstLineChars="200"/>
      </w:pPr>
      <w:r>
        <w:rPr>
          <w:rFonts w:hint="eastAsia"/>
        </w:rPr>
        <w:t>1.投标人对政府采购活动事项有疑问的，可以向</w:t>
      </w:r>
      <w:r>
        <w:rPr>
          <w:rFonts w:hint="eastAsia" w:hAnsi="宋体"/>
        </w:rPr>
        <w:t>本中心</w:t>
      </w:r>
      <w:r>
        <w:rPr>
          <w:rFonts w:hint="eastAsia"/>
        </w:rPr>
        <w:t>提出询问。</w:t>
      </w:r>
    </w:p>
    <w:p w14:paraId="085C11A8">
      <w:pPr>
        <w:pStyle w:val="29"/>
        <w:snapToGrid w:val="0"/>
        <w:spacing w:line="360" w:lineRule="exact"/>
        <w:ind w:firstLine="420" w:firstLineChars="200"/>
      </w:pPr>
      <w:r>
        <w:rPr>
          <w:rFonts w:hint="eastAsia"/>
        </w:rPr>
        <w:t>2.投标人认为招标文件、采购过程或中标结果使自己的合法权益受到损害的，应当在知道或者应知其权益受到损害之日起七个工作日内，以书面形式向</w:t>
      </w:r>
      <w:r>
        <w:rPr>
          <w:rFonts w:hint="eastAsia" w:hAnsi="宋体"/>
        </w:rPr>
        <w:t>本中心</w:t>
      </w:r>
      <w:r>
        <w:rPr>
          <w:rFonts w:hint="eastAsia"/>
        </w:rPr>
        <w:t>提出质疑。具体计算时间如下：</w:t>
      </w:r>
    </w:p>
    <w:p w14:paraId="6B0B6759">
      <w:pPr>
        <w:pStyle w:val="29"/>
        <w:snapToGrid w:val="0"/>
        <w:spacing w:line="360" w:lineRule="exact"/>
        <w:ind w:firstLine="420" w:firstLineChars="200"/>
        <w:rPr>
          <w:b/>
        </w:rPr>
      </w:pPr>
      <w:r>
        <w:rPr>
          <w:rFonts w:hint="eastAsia"/>
          <w:b/>
        </w:rPr>
        <w:t>（1）对可以质疑的招标文件提出质疑的，为收到招标文件之日；</w:t>
      </w:r>
    </w:p>
    <w:p w14:paraId="4E371725">
      <w:pPr>
        <w:widowControl/>
        <w:spacing w:line="360" w:lineRule="exact"/>
        <w:ind w:firstLine="420" w:firstLineChars="200"/>
        <w:jc w:val="left"/>
        <w:rPr>
          <w:rFonts w:ascii="宋体" w:cs="Courier New"/>
          <w:b/>
          <w:szCs w:val="21"/>
        </w:rPr>
      </w:pPr>
      <w:r>
        <w:rPr>
          <w:rFonts w:hint="eastAsia" w:ascii="宋体" w:cs="Courier New"/>
          <w:b/>
          <w:szCs w:val="21"/>
        </w:rPr>
        <w:t>（2）对采购过程提出质疑的，为各采购程序环节结束之日；</w:t>
      </w:r>
    </w:p>
    <w:p w14:paraId="20571F52">
      <w:pPr>
        <w:widowControl/>
        <w:spacing w:line="360" w:lineRule="exact"/>
        <w:ind w:firstLine="420" w:firstLineChars="200"/>
        <w:jc w:val="left"/>
        <w:rPr>
          <w:rFonts w:ascii="宋体" w:cs="Courier New"/>
          <w:b/>
          <w:szCs w:val="21"/>
        </w:rPr>
      </w:pPr>
      <w:r>
        <w:rPr>
          <w:rFonts w:hint="eastAsia" w:ascii="宋体" w:hAnsi="Courier New" w:eastAsia="宋体" w:cs="Courier New"/>
          <w:b/>
          <w:kern w:val="2"/>
          <w:sz w:val="21"/>
          <w:szCs w:val="21"/>
          <w:lang w:val="en-US" w:eastAsia="zh-CN" w:bidi="ar-SA"/>
        </w:rPr>
        <w:t>（3）</w:t>
      </w:r>
      <w:r>
        <w:rPr>
          <w:rFonts w:hint="eastAsia" w:cs="Courier New"/>
          <w:b/>
          <w:szCs w:val="21"/>
        </w:rPr>
        <w:t>对中标结果提出质疑的，为中标结果公告期限届满之日。投标人对本中心的质疑答复不满意或者</w:t>
      </w:r>
      <w:r>
        <w:rPr>
          <w:rFonts w:hint="eastAsia" w:ascii="宋体" w:hAnsi="宋体"/>
          <w:b/>
          <w:bCs/>
          <w:szCs w:val="21"/>
        </w:rPr>
        <w:t>本</w:t>
      </w:r>
      <w:r>
        <w:rPr>
          <w:rFonts w:hint="eastAsia" w:cs="Courier New"/>
          <w:b/>
          <w:szCs w:val="21"/>
        </w:rPr>
        <w:t>中心未在规定时间内作出答复的，可以在答复期满后十五个工作日内向同级政府采购监督管理部门投诉。</w:t>
      </w:r>
    </w:p>
    <w:p w14:paraId="0BEE0932">
      <w:pPr>
        <w:pStyle w:val="29"/>
        <w:snapToGrid w:val="0"/>
        <w:spacing w:line="360" w:lineRule="exact"/>
        <w:ind w:firstLine="420" w:firstLineChars="200"/>
        <w:rPr>
          <w:bCs/>
        </w:rPr>
      </w:pPr>
      <w:r>
        <w:rPr>
          <w:rFonts w:hint="eastAsia"/>
          <w:bCs/>
        </w:rPr>
        <w:t>3.质疑、投诉应当采用书面形式，质疑函、投诉书均应明确阐述招标文件、采购过程、中标结果中使自己合法权益受到损害的实质性内容，提供相关事实、明确的请求、必要的证明材料，便于有关单位调查、答复和处理。</w:t>
      </w:r>
    </w:p>
    <w:p w14:paraId="7F319A8E">
      <w:pPr>
        <w:pStyle w:val="29"/>
        <w:snapToGrid w:val="0"/>
        <w:spacing w:line="360" w:lineRule="exact"/>
        <w:ind w:firstLine="420" w:firstLineChars="200"/>
        <w:rPr>
          <w:bCs/>
        </w:rPr>
      </w:pPr>
      <w:r>
        <w:rPr>
          <w:rFonts w:hint="eastAsia"/>
          <w:bCs/>
        </w:rPr>
        <w:t>4.</w:t>
      </w:r>
      <w:r>
        <w:rPr>
          <w:rFonts w:hint="eastAsia" w:hAnsi="宋体"/>
        </w:rPr>
        <w:t>本中心</w:t>
      </w:r>
      <w:r>
        <w:rPr>
          <w:rFonts w:hint="eastAsia"/>
          <w:bCs/>
        </w:rPr>
        <w:t>接收质疑函的方式、联系部门、联系电话和地址等信息详见“投标人须知前附表”。</w:t>
      </w:r>
    </w:p>
    <w:p w14:paraId="2A64281F">
      <w:pPr>
        <w:pStyle w:val="29"/>
        <w:snapToGrid w:val="0"/>
        <w:spacing w:line="360" w:lineRule="exact"/>
        <w:ind w:firstLine="420" w:firstLineChars="200"/>
        <w:rPr>
          <w:rFonts w:hAnsi="宋体"/>
        </w:rPr>
      </w:pPr>
      <w:r>
        <w:rPr>
          <w:rFonts w:hint="eastAsia"/>
          <w:bCs/>
        </w:rPr>
        <w:t>5.</w:t>
      </w:r>
      <w:r>
        <w:rPr>
          <w:rFonts w:hint="eastAsia" w:hAnsi="宋体"/>
        </w:rPr>
        <w:t>质疑供应商提起质疑应当符合下列条件：</w:t>
      </w:r>
    </w:p>
    <w:p w14:paraId="467D42A0">
      <w:pPr>
        <w:pStyle w:val="29"/>
        <w:snapToGrid w:val="0"/>
        <w:spacing w:line="360" w:lineRule="exact"/>
        <w:ind w:firstLine="420" w:firstLineChars="200"/>
        <w:rPr>
          <w:rFonts w:hAnsi="宋体"/>
        </w:rPr>
      </w:pPr>
      <w:r>
        <w:rPr>
          <w:rFonts w:hint="eastAsia" w:hAnsi="宋体"/>
        </w:rPr>
        <w:t>（1）质疑供应商是参与所质疑项目采购活动的供应商（潜在供应商已依法获取可之一的采购文件的，可以对该采购文件质疑）；</w:t>
      </w:r>
    </w:p>
    <w:p w14:paraId="2B6D784D">
      <w:pPr>
        <w:pStyle w:val="29"/>
        <w:snapToGrid w:val="0"/>
        <w:spacing w:line="360" w:lineRule="exact"/>
        <w:ind w:firstLine="420" w:firstLineChars="200"/>
        <w:rPr>
          <w:rFonts w:hAnsi="宋体"/>
        </w:rPr>
      </w:pPr>
      <w:r>
        <w:rPr>
          <w:rFonts w:hint="eastAsia" w:hAnsi="宋体"/>
        </w:rPr>
        <w:t>（2）质疑函内容符合本章第3项的规定；</w:t>
      </w:r>
    </w:p>
    <w:p w14:paraId="55415E55">
      <w:pPr>
        <w:pStyle w:val="29"/>
        <w:snapToGrid w:val="0"/>
        <w:spacing w:line="360" w:lineRule="exact"/>
        <w:ind w:firstLine="420" w:firstLineChars="200"/>
        <w:rPr>
          <w:rFonts w:hAnsi="宋体"/>
        </w:rPr>
      </w:pPr>
      <w:r>
        <w:rPr>
          <w:rFonts w:hint="eastAsia" w:hAnsi="宋体"/>
        </w:rPr>
        <w:t>（3）在质疑有效期限内提起质疑；</w:t>
      </w:r>
    </w:p>
    <w:p w14:paraId="1CA43163">
      <w:pPr>
        <w:pStyle w:val="29"/>
        <w:snapToGrid w:val="0"/>
        <w:spacing w:line="360" w:lineRule="exact"/>
        <w:ind w:firstLine="420" w:firstLineChars="200"/>
        <w:rPr>
          <w:rFonts w:hAnsi="宋体"/>
        </w:rPr>
      </w:pPr>
      <w:r>
        <w:rPr>
          <w:rFonts w:hint="eastAsia" w:hAnsi="宋体"/>
        </w:rPr>
        <w:t>（4）属于所质疑的采购人或采购人委托的采购代理机构组织的采购活动；</w:t>
      </w:r>
    </w:p>
    <w:p w14:paraId="73923B17">
      <w:pPr>
        <w:pStyle w:val="29"/>
        <w:snapToGrid w:val="0"/>
        <w:spacing w:line="360" w:lineRule="exact"/>
        <w:ind w:firstLine="420" w:firstLineChars="200"/>
        <w:rPr>
          <w:rFonts w:hAnsi="宋体"/>
        </w:rPr>
      </w:pPr>
      <w:r>
        <w:rPr>
          <w:rFonts w:hint="eastAsia" w:hAnsi="宋体"/>
        </w:rPr>
        <w:t xml:space="preserve">（5）同一质疑事项未经采购人或采购人委托的采购代理机构质疑处理； </w:t>
      </w:r>
    </w:p>
    <w:p w14:paraId="7B85ECF8">
      <w:pPr>
        <w:pStyle w:val="29"/>
        <w:snapToGrid w:val="0"/>
        <w:spacing w:line="360" w:lineRule="exact"/>
        <w:ind w:firstLine="420" w:firstLineChars="200"/>
        <w:rPr>
          <w:rFonts w:hAnsi="宋体"/>
        </w:rPr>
      </w:pPr>
      <w:r>
        <w:rPr>
          <w:rFonts w:hint="eastAsia" w:hAnsi="宋体"/>
        </w:rPr>
        <w:t>（6）供应商对同一采购程序环节的质疑应当在质疑有效期内一次性提出；</w:t>
      </w:r>
    </w:p>
    <w:p w14:paraId="2219F88C">
      <w:pPr>
        <w:pStyle w:val="29"/>
        <w:snapToGrid w:val="0"/>
        <w:spacing w:line="360" w:lineRule="exact"/>
        <w:ind w:firstLine="420" w:firstLineChars="200"/>
        <w:rPr>
          <w:rFonts w:hAnsi="宋体"/>
        </w:rPr>
      </w:pPr>
      <w:r>
        <w:rPr>
          <w:rFonts w:hint="eastAsia" w:hAnsi="宋体"/>
        </w:rPr>
        <w:t>（7）供应商提交质疑应当提交必要的证明材料，证明材料应以合法手段取得；</w:t>
      </w:r>
    </w:p>
    <w:p w14:paraId="72936B77">
      <w:pPr>
        <w:pStyle w:val="29"/>
        <w:spacing w:line="360" w:lineRule="exact"/>
        <w:ind w:firstLine="420" w:firstLineChars="200"/>
        <w:rPr>
          <w:b/>
        </w:rPr>
      </w:pPr>
      <w:r>
        <w:rPr>
          <w:rFonts w:hint="eastAsia" w:hAnsi="宋体"/>
        </w:rPr>
        <w:t>（8）财政部门规定的其他条件。</w:t>
      </w:r>
    </w:p>
    <w:p w14:paraId="288B1258">
      <w:pPr>
        <w:pStyle w:val="29"/>
        <w:adjustRightInd w:val="0"/>
        <w:snapToGrid w:val="0"/>
        <w:spacing w:line="400" w:lineRule="exact"/>
        <w:rPr>
          <w:rFonts w:hAnsi="宋体"/>
          <w:b/>
        </w:rPr>
      </w:pPr>
      <w:r>
        <w:rPr>
          <w:rFonts w:hint="eastAsia" w:hAnsi="宋体"/>
          <w:b/>
        </w:rPr>
        <w:t>二、招标文件</w:t>
      </w:r>
      <w:bookmarkEnd w:id="25"/>
      <w:bookmarkEnd w:id="26"/>
    </w:p>
    <w:p w14:paraId="724771D8">
      <w:pPr>
        <w:adjustRightInd w:val="0"/>
        <w:snapToGrid w:val="0"/>
        <w:spacing w:line="400" w:lineRule="exact"/>
        <w:ind w:firstLine="420" w:firstLineChars="200"/>
        <w:rPr>
          <w:rFonts w:ascii="宋体" w:hAnsi="宋体"/>
          <w:b/>
          <w:szCs w:val="21"/>
        </w:rPr>
      </w:pPr>
      <w:r>
        <w:rPr>
          <w:rFonts w:hint="eastAsia" w:ascii="宋体" w:hAnsi="宋体"/>
          <w:b/>
          <w:szCs w:val="21"/>
        </w:rPr>
        <w:t>（一）招标文件的构成。</w:t>
      </w:r>
    </w:p>
    <w:p w14:paraId="1909FD60">
      <w:pPr>
        <w:adjustRightInd w:val="0"/>
        <w:snapToGrid w:val="0"/>
        <w:spacing w:line="400" w:lineRule="exact"/>
        <w:ind w:firstLine="420" w:firstLineChars="200"/>
        <w:jc w:val="left"/>
        <w:rPr>
          <w:rFonts w:ascii="宋体" w:hAnsi="宋体"/>
          <w:szCs w:val="21"/>
        </w:rPr>
      </w:pPr>
      <w:r>
        <w:rPr>
          <w:rFonts w:hint="eastAsia" w:ascii="宋体" w:hAnsi="宋体"/>
          <w:szCs w:val="21"/>
        </w:rPr>
        <w:t>1.公开招标公告；</w:t>
      </w:r>
    </w:p>
    <w:p w14:paraId="3169512D">
      <w:pPr>
        <w:adjustRightInd w:val="0"/>
        <w:snapToGrid w:val="0"/>
        <w:spacing w:line="400" w:lineRule="exact"/>
        <w:ind w:firstLine="420" w:firstLineChars="200"/>
        <w:jc w:val="left"/>
        <w:rPr>
          <w:rFonts w:ascii="宋体" w:hAnsi="宋体"/>
          <w:szCs w:val="21"/>
        </w:rPr>
      </w:pPr>
      <w:r>
        <w:rPr>
          <w:rFonts w:hint="eastAsia" w:ascii="宋体" w:hAnsi="宋体"/>
          <w:szCs w:val="21"/>
        </w:rPr>
        <w:t>2.招标项目采购需求</w:t>
      </w:r>
    </w:p>
    <w:p w14:paraId="0B07D3FC">
      <w:pPr>
        <w:adjustRightInd w:val="0"/>
        <w:snapToGrid w:val="0"/>
        <w:spacing w:line="400" w:lineRule="exact"/>
        <w:ind w:firstLine="420" w:firstLineChars="200"/>
        <w:jc w:val="left"/>
        <w:rPr>
          <w:rFonts w:ascii="宋体" w:hAnsi="宋体"/>
          <w:szCs w:val="21"/>
        </w:rPr>
      </w:pPr>
      <w:r>
        <w:rPr>
          <w:rFonts w:hint="eastAsia" w:ascii="宋体" w:hAnsi="宋体"/>
          <w:szCs w:val="21"/>
        </w:rPr>
        <w:t>3.投标人须知；</w:t>
      </w:r>
    </w:p>
    <w:p w14:paraId="49AD48F3">
      <w:pPr>
        <w:adjustRightInd w:val="0"/>
        <w:snapToGrid w:val="0"/>
        <w:spacing w:line="400" w:lineRule="exact"/>
        <w:ind w:firstLine="420" w:firstLineChars="200"/>
        <w:jc w:val="left"/>
        <w:rPr>
          <w:rFonts w:ascii="宋体" w:hAnsi="宋体"/>
          <w:szCs w:val="21"/>
        </w:rPr>
      </w:pPr>
      <w:r>
        <w:rPr>
          <w:rFonts w:hint="eastAsia" w:ascii="宋体" w:hAnsi="宋体"/>
          <w:szCs w:val="21"/>
        </w:rPr>
        <w:t>4.评标办法及评分标准；</w:t>
      </w:r>
    </w:p>
    <w:p w14:paraId="0C38143C">
      <w:pPr>
        <w:adjustRightInd w:val="0"/>
        <w:snapToGrid w:val="0"/>
        <w:spacing w:line="400" w:lineRule="exact"/>
        <w:ind w:firstLine="420" w:firstLineChars="200"/>
        <w:jc w:val="left"/>
        <w:rPr>
          <w:rFonts w:ascii="宋体" w:hAnsi="宋体"/>
          <w:szCs w:val="21"/>
        </w:rPr>
      </w:pPr>
      <w:r>
        <w:rPr>
          <w:rFonts w:hint="eastAsia" w:ascii="宋体" w:hAnsi="宋体"/>
          <w:szCs w:val="21"/>
        </w:rPr>
        <w:t>5.政府采购合同主要条款；</w:t>
      </w:r>
    </w:p>
    <w:p w14:paraId="59999C68">
      <w:pPr>
        <w:adjustRightInd w:val="0"/>
        <w:snapToGrid w:val="0"/>
        <w:spacing w:line="400" w:lineRule="exact"/>
        <w:ind w:firstLine="420" w:firstLineChars="200"/>
        <w:jc w:val="left"/>
        <w:rPr>
          <w:rFonts w:ascii="宋体" w:hAnsi="宋体"/>
          <w:szCs w:val="21"/>
        </w:rPr>
      </w:pPr>
      <w:r>
        <w:rPr>
          <w:rFonts w:hint="eastAsia" w:ascii="宋体" w:hAnsi="宋体"/>
          <w:szCs w:val="21"/>
        </w:rPr>
        <w:t>6.投标文件格式。</w:t>
      </w:r>
    </w:p>
    <w:p w14:paraId="1AA0ADC5">
      <w:pPr>
        <w:adjustRightInd w:val="0"/>
        <w:snapToGrid w:val="0"/>
        <w:spacing w:line="400" w:lineRule="exact"/>
        <w:ind w:firstLine="420" w:firstLineChars="200"/>
        <w:rPr>
          <w:rFonts w:ascii="宋体" w:hAnsi="宋体"/>
          <w:b/>
          <w:szCs w:val="21"/>
        </w:rPr>
      </w:pPr>
      <w:r>
        <w:rPr>
          <w:rFonts w:hint="eastAsia" w:ascii="宋体" w:hAnsi="宋体"/>
          <w:b/>
          <w:szCs w:val="21"/>
        </w:rPr>
        <w:t>（二）投标人的风险</w:t>
      </w:r>
    </w:p>
    <w:p w14:paraId="2BA60381">
      <w:pPr>
        <w:tabs>
          <w:tab w:val="left" w:pos="180"/>
          <w:tab w:val="left" w:pos="1620"/>
        </w:tabs>
        <w:adjustRightInd w:val="0"/>
        <w:snapToGrid w:val="0"/>
        <w:spacing w:line="400" w:lineRule="exact"/>
        <w:ind w:firstLine="420" w:firstLineChars="200"/>
        <w:rPr>
          <w:rFonts w:ascii="宋体" w:hAnsi="宋体" w:cs="Courier New"/>
          <w:szCs w:val="21"/>
        </w:rPr>
      </w:pPr>
      <w:r>
        <w:rPr>
          <w:rFonts w:hint="eastAsia" w:ascii="宋体" w:hAnsi="宋体" w:cs="Courier New"/>
          <w:szCs w:val="21"/>
        </w:rPr>
        <w:t>1.投标人应认真阅读招标文件，按照招标文件的要求编制投标文件。投标文件应对招标文件提出的要求和条件作出明确响应。投标人没有按照招标文件要求提供全部资料，或者投标人没有对招标文件在各方面作出明确响应是投标人的风险，并可能导致其投标被拒绝。</w:t>
      </w:r>
    </w:p>
    <w:p w14:paraId="24C14AD6">
      <w:pPr>
        <w:tabs>
          <w:tab w:val="left" w:pos="180"/>
          <w:tab w:val="left" w:pos="1620"/>
        </w:tabs>
        <w:adjustRightInd w:val="0"/>
        <w:snapToGrid w:val="0"/>
        <w:spacing w:line="400" w:lineRule="exact"/>
        <w:ind w:firstLine="420" w:firstLineChars="200"/>
        <w:rPr>
          <w:rFonts w:ascii="宋体" w:hAnsi="宋体" w:cs="Courier New"/>
          <w:szCs w:val="21"/>
        </w:rPr>
      </w:pPr>
      <w:r>
        <w:rPr>
          <w:rFonts w:hint="eastAsia" w:ascii="宋体" w:hAnsi="宋体" w:cs="Courier New"/>
          <w:szCs w:val="21"/>
        </w:rPr>
        <w:t xml:space="preserve">2.对招标文件提出的实质性要求和条件作出明确响应是指投标人必须对招标文件中涉及招标项目的价格、采购服务的服务要求及其它要求、合同主要条款等内容作出明确响应。 </w:t>
      </w:r>
    </w:p>
    <w:p w14:paraId="63950B64">
      <w:pPr>
        <w:adjustRightInd w:val="0"/>
        <w:snapToGrid w:val="0"/>
        <w:spacing w:line="400" w:lineRule="exact"/>
        <w:ind w:firstLine="420" w:firstLineChars="200"/>
        <w:rPr>
          <w:rFonts w:ascii="宋体" w:hAnsi="宋体"/>
          <w:b/>
          <w:szCs w:val="21"/>
        </w:rPr>
      </w:pPr>
      <w:r>
        <w:rPr>
          <w:rFonts w:hint="eastAsia" w:ascii="宋体" w:hAnsi="宋体"/>
          <w:b/>
          <w:szCs w:val="21"/>
        </w:rPr>
        <w:t xml:space="preserve">（三）招标文件的澄清与修改 </w:t>
      </w:r>
    </w:p>
    <w:p w14:paraId="35DA3F4E">
      <w:pPr>
        <w:pStyle w:val="29"/>
        <w:adjustRightInd w:val="0"/>
        <w:snapToGrid w:val="0"/>
        <w:spacing w:line="400" w:lineRule="exact"/>
        <w:ind w:firstLine="420" w:firstLineChars="200"/>
        <w:rPr>
          <w:rFonts w:hAnsi="宋体"/>
        </w:rPr>
      </w:pPr>
      <w:r>
        <w:rPr>
          <w:rFonts w:hint="eastAsia" w:hAnsi="宋体"/>
        </w:rPr>
        <w:t>1.</w:t>
      </w:r>
      <w:r>
        <w:rPr>
          <w:rFonts w:hint="eastAsia" w:hAnsi="宋体"/>
          <w:bCs/>
        </w:rPr>
        <w:t>投标人应认真阅读本招标文件，发现其中有误或有不合理要求的，投标人</w:t>
      </w:r>
      <w:r>
        <w:rPr>
          <w:rFonts w:hint="eastAsia" w:hAnsi="宋体"/>
          <w:b/>
          <w:bCs/>
        </w:rPr>
        <w:t>应当</w:t>
      </w:r>
      <w:r>
        <w:rPr>
          <w:rFonts w:hint="eastAsia" w:hAnsi="宋体"/>
          <w:bCs/>
        </w:rPr>
        <w:t>在</w:t>
      </w:r>
      <w:r>
        <w:rPr>
          <w:rFonts w:hint="eastAsia" w:hAnsi="宋体"/>
          <w:bCs/>
          <w:u w:val="single"/>
        </w:rPr>
        <w:t>“采购文件：第三章 《投标人须知及前附表》序号6”规定的时间</w:t>
      </w:r>
      <w:r>
        <w:rPr>
          <w:rFonts w:hint="eastAsia" w:hAnsi="宋体"/>
          <w:bCs/>
        </w:rPr>
        <w:t>前以书面形式要求本中心</w:t>
      </w:r>
      <w:r>
        <w:rPr>
          <w:rFonts w:hint="eastAsia" w:hAnsi="宋体"/>
        </w:rPr>
        <w:t>答疑、澄清</w:t>
      </w:r>
      <w:r>
        <w:rPr>
          <w:rFonts w:hint="eastAsia" w:hAnsi="宋体"/>
          <w:bCs/>
        </w:rPr>
        <w:t>。本中心对已发出的招标文件进行必要澄清或者修改</w:t>
      </w:r>
      <w:r>
        <w:rPr>
          <w:rFonts w:hint="eastAsia" w:hAnsi="宋体"/>
          <w:b/>
          <w:bCs/>
        </w:rPr>
        <w:t>可能影响投标文件编制的</w:t>
      </w:r>
      <w:r>
        <w:rPr>
          <w:rFonts w:hint="eastAsia" w:hAnsi="宋体"/>
          <w:bCs/>
        </w:rPr>
        <w:t>，应当在招标文件要求提交投标文件截止时间十五日前，在财政部门指定的政府采购信息发布媒体及本中心网站上发布更正公告，并以书面形式通知所有招标文件收受人。该澄清或者修改的内容为招标文件的组成部分</w:t>
      </w:r>
      <w:r>
        <w:rPr>
          <w:rFonts w:hint="eastAsia" w:hAnsi="宋体"/>
        </w:rPr>
        <w:t>。</w:t>
      </w:r>
    </w:p>
    <w:p w14:paraId="7721D0B6">
      <w:pPr>
        <w:pStyle w:val="29"/>
        <w:adjustRightInd w:val="0"/>
        <w:snapToGrid w:val="0"/>
        <w:spacing w:line="400" w:lineRule="exact"/>
        <w:ind w:firstLine="420" w:firstLineChars="200"/>
        <w:rPr>
          <w:rFonts w:hAnsi="宋体"/>
        </w:rPr>
      </w:pPr>
      <w:r>
        <w:rPr>
          <w:rFonts w:hint="eastAsia" w:hAnsi="宋体"/>
        </w:rPr>
        <w:t>2.本中心必须以书面形式答复投标人要求澄清的问题，并将不包含问题来源的答复书面通知所有购买招标文件的投标人；除书面答复以外的其他澄清方式及澄清内容均无效。</w:t>
      </w:r>
    </w:p>
    <w:p w14:paraId="44E7FDF6">
      <w:pPr>
        <w:pStyle w:val="29"/>
        <w:adjustRightInd w:val="0"/>
        <w:snapToGrid w:val="0"/>
        <w:spacing w:line="400" w:lineRule="exact"/>
        <w:ind w:firstLine="420" w:firstLineChars="200"/>
        <w:rPr>
          <w:rFonts w:hAnsi="宋体"/>
        </w:rPr>
      </w:pPr>
      <w:r>
        <w:rPr>
          <w:rFonts w:hint="eastAsia" w:hAnsi="宋体"/>
        </w:rPr>
        <w:t>3.招标文件的答疑、澄清、修改、补充的内容为招标文件的组成部分。当招标文件与招标文件的答疑、澄清、修改、补充通知就同一内容的表述不一致时，以最后发出的书面文件为准。</w:t>
      </w:r>
    </w:p>
    <w:p w14:paraId="774EE50D">
      <w:pPr>
        <w:pStyle w:val="29"/>
        <w:adjustRightInd w:val="0"/>
        <w:snapToGrid w:val="0"/>
        <w:spacing w:line="400" w:lineRule="exact"/>
        <w:ind w:firstLine="420" w:firstLineChars="200"/>
        <w:rPr>
          <w:rFonts w:hAnsi="宋体"/>
        </w:rPr>
      </w:pPr>
      <w:r>
        <w:rPr>
          <w:rFonts w:hint="eastAsia" w:hAnsi="宋体"/>
        </w:rPr>
        <w:t>4.招标文件的答疑、澄清、修改、补充都应该通过本中心以法定形式发布，配置单位非通过本机构，不得擅自答疑、澄清、修改、补充招标文件。</w:t>
      </w:r>
    </w:p>
    <w:p w14:paraId="5E97F027">
      <w:pPr>
        <w:pStyle w:val="29"/>
        <w:adjustRightInd w:val="0"/>
        <w:snapToGrid w:val="0"/>
        <w:spacing w:line="400" w:lineRule="exact"/>
        <w:ind w:firstLine="420" w:firstLineChars="200"/>
        <w:rPr>
          <w:rFonts w:hAnsi="宋体"/>
        </w:rPr>
      </w:pPr>
      <w:r>
        <w:rPr>
          <w:rFonts w:hint="eastAsia" w:hAnsi="宋体"/>
        </w:rPr>
        <w:t>5.本中心可以视采购具体情况，延长招标文件或者资格预审文件提供期限，并在财政部门指定的政府采购信息发布媒体及本中心网站上发布公告。</w:t>
      </w:r>
    </w:p>
    <w:p w14:paraId="0F3353E6">
      <w:pPr>
        <w:pStyle w:val="29"/>
        <w:adjustRightInd w:val="0"/>
        <w:snapToGrid w:val="0"/>
        <w:spacing w:line="400" w:lineRule="exact"/>
        <w:rPr>
          <w:rFonts w:hAnsi="宋体"/>
          <w:b/>
        </w:rPr>
      </w:pPr>
      <w:bookmarkStart w:id="27" w:name="_Toc254970676"/>
      <w:bookmarkStart w:id="28" w:name="_Toc254970535"/>
      <w:r>
        <w:rPr>
          <w:rFonts w:hint="eastAsia" w:hAnsi="宋体"/>
          <w:b/>
        </w:rPr>
        <w:t>三、投标文件的编制</w:t>
      </w:r>
      <w:bookmarkEnd w:id="27"/>
      <w:bookmarkEnd w:id="28"/>
    </w:p>
    <w:p w14:paraId="1DF10395">
      <w:pPr>
        <w:adjustRightInd w:val="0"/>
        <w:snapToGrid w:val="0"/>
        <w:spacing w:line="400" w:lineRule="exact"/>
        <w:ind w:firstLine="420" w:firstLineChars="200"/>
        <w:rPr>
          <w:rFonts w:ascii="宋体" w:hAnsi="宋体"/>
          <w:b/>
          <w:szCs w:val="21"/>
        </w:rPr>
      </w:pPr>
      <w:bookmarkStart w:id="29" w:name="_Toc254970536"/>
      <w:bookmarkStart w:id="30" w:name="_Toc254970677"/>
      <w:r>
        <w:rPr>
          <w:rFonts w:hint="eastAsia" w:ascii="宋体" w:hAnsi="宋体"/>
          <w:b/>
          <w:szCs w:val="21"/>
        </w:rPr>
        <w:t>（一）投标文件的组成</w:t>
      </w:r>
      <w:bookmarkEnd w:id="29"/>
      <w:bookmarkEnd w:id="30"/>
    </w:p>
    <w:p w14:paraId="61568174">
      <w:pPr>
        <w:snapToGrid w:val="0"/>
        <w:spacing w:line="360" w:lineRule="exact"/>
        <w:ind w:firstLine="420" w:firstLineChars="200"/>
        <w:jc w:val="left"/>
        <w:rPr>
          <w:rFonts w:ascii="宋体" w:hAnsi="宋体"/>
          <w:szCs w:val="21"/>
        </w:rPr>
      </w:pPr>
      <w:r>
        <w:rPr>
          <w:rFonts w:hint="eastAsia" w:ascii="宋体"/>
          <w:szCs w:val="21"/>
        </w:rPr>
        <w:t>投标文件由资格文件、商务文件及资信、技术文件、投标报价文件</w:t>
      </w:r>
      <w:r>
        <w:rPr>
          <w:rFonts w:hint="eastAsia" w:ascii="宋体"/>
          <w:b/>
          <w:szCs w:val="21"/>
        </w:rPr>
        <w:t>四部分</w:t>
      </w:r>
      <w:r>
        <w:rPr>
          <w:rFonts w:hint="eastAsia" w:ascii="宋体"/>
          <w:szCs w:val="21"/>
        </w:rPr>
        <w:t>组成。</w:t>
      </w:r>
    </w:p>
    <w:p w14:paraId="5A6C5FC9">
      <w:pPr>
        <w:adjustRightInd w:val="0"/>
        <w:snapToGrid w:val="0"/>
        <w:spacing w:line="400" w:lineRule="exact"/>
        <w:ind w:firstLine="411" w:firstLineChars="196"/>
        <w:jc w:val="left"/>
        <w:rPr>
          <w:rFonts w:ascii="宋体" w:hAnsi="宋体"/>
          <w:b/>
          <w:szCs w:val="21"/>
        </w:rPr>
      </w:pPr>
      <w:r>
        <w:rPr>
          <w:rFonts w:hint="eastAsia" w:ascii="宋体" w:hAnsi="宋体"/>
          <w:b/>
          <w:szCs w:val="21"/>
        </w:rPr>
        <w:t>1.资格文件：</w:t>
      </w:r>
    </w:p>
    <w:p w14:paraId="3EC9C36D">
      <w:pPr>
        <w:adjustRightInd w:val="0"/>
        <w:snapToGrid w:val="0"/>
        <w:spacing w:line="400" w:lineRule="exact"/>
        <w:ind w:firstLine="411" w:firstLineChars="196"/>
        <w:jc w:val="left"/>
        <w:rPr>
          <w:rFonts w:ascii="宋体" w:hAnsi="宋体"/>
          <w:szCs w:val="21"/>
        </w:rPr>
      </w:pPr>
      <w:r>
        <w:rPr>
          <w:rFonts w:hint="eastAsia" w:ascii="宋体" w:hAnsi="宋体"/>
          <w:b/>
          <w:szCs w:val="21"/>
        </w:rPr>
        <w:t>（1）</w:t>
      </w:r>
      <w:r>
        <w:rPr>
          <w:rFonts w:hint="eastAsia" w:ascii="宋体" w:hAnsi="宋体"/>
          <w:szCs w:val="21"/>
        </w:rPr>
        <w:t>有效的营业执照等证明文件；</w:t>
      </w:r>
    </w:p>
    <w:p w14:paraId="10C72B11">
      <w:pPr>
        <w:pStyle w:val="29"/>
        <w:adjustRightInd w:val="0"/>
        <w:snapToGrid w:val="0"/>
        <w:spacing w:line="400" w:lineRule="exact"/>
        <w:ind w:firstLine="525" w:firstLineChars="250"/>
        <w:rPr>
          <w:rFonts w:hAnsi="宋体"/>
          <w:b/>
        </w:rPr>
      </w:pPr>
      <w:r>
        <w:rPr>
          <w:rFonts w:hint="eastAsia" w:hAnsi="宋体"/>
        </w:rPr>
        <w:t>①投标人有效的营业执照等证明文件扫描件或其他电子文件，同时要加盖单位公章</w:t>
      </w:r>
      <w:r>
        <w:rPr>
          <w:rFonts w:hint="eastAsia" w:hAnsi="宋体"/>
          <w:b/>
        </w:rPr>
        <w:t>（必须提供）</w:t>
      </w:r>
      <w:r>
        <w:rPr>
          <w:rFonts w:hint="eastAsia" w:hAnsi="宋体"/>
        </w:rPr>
        <w:t>；</w:t>
      </w:r>
    </w:p>
    <w:p w14:paraId="7E5A7BE2">
      <w:pPr>
        <w:pStyle w:val="29"/>
        <w:adjustRightInd w:val="0"/>
        <w:snapToGrid w:val="0"/>
        <w:spacing w:line="400" w:lineRule="exact"/>
        <w:ind w:firstLine="525" w:firstLineChars="250"/>
        <w:rPr>
          <w:rFonts w:hAnsi="宋体"/>
          <w:b/>
        </w:rPr>
      </w:pPr>
      <w:r>
        <w:rPr>
          <w:rFonts w:hint="eastAsia" w:hAnsi="宋体"/>
        </w:rPr>
        <w:t>②对于有经营资质要求的，投标人提供有效的经营资质证书副本内页扫描件或其他电子文件，同时要加盖单位公章。</w:t>
      </w:r>
      <w:r>
        <w:rPr>
          <w:rFonts w:hint="eastAsia" w:hAnsi="宋体"/>
          <w:b/>
        </w:rPr>
        <w:t>（必须提供）</w:t>
      </w:r>
    </w:p>
    <w:p w14:paraId="4621CFD3">
      <w:pPr>
        <w:adjustRightInd w:val="0"/>
        <w:snapToGrid w:val="0"/>
        <w:spacing w:line="400" w:lineRule="exact"/>
        <w:ind w:firstLine="411" w:firstLineChars="196"/>
        <w:jc w:val="left"/>
        <w:rPr>
          <w:rFonts w:ascii="宋体" w:hAnsi="宋体"/>
          <w:b/>
          <w:szCs w:val="21"/>
        </w:rPr>
      </w:pPr>
      <w:r>
        <w:rPr>
          <w:rFonts w:hint="eastAsia" w:ascii="宋体" w:hAnsi="宋体"/>
          <w:b/>
          <w:szCs w:val="21"/>
        </w:rPr>
        <w:t>（2）</w:t>
      </w:r>
      <w:r>
        <w:rPr>
          <w:rFonts w:hint="eastAsia" w:ascii="宋体" w:hAnsi="宋体" w:cs="宋体"/>
          <w:kern w:val="0"/>
          <w:szCs w:val="21"/>
        </w:rPr>
        <w:t>参加政府采购活动前三年内在经营活动中没有</w:t>
      </w:r>
      <w:r>
        <w:rPr>
          <w:rFonts w:hint="eastAsia" w:ascii="宋体" w:hAnsi="宋体" w:cs="宋体"/>
          <w:b/>
          <w:kern w:val="0"/>
          <w:szCs w:val="21"/>
        </w:rPr>
        <w:t>重大违法记录的书面声明</w:t>
      </w:r>
      <w:r>
        <w:rPr>
          <w:rFonts w:hint="eastAsia" w:ascii="宋体" w:hAnsi="宋体"/>
          <w:b/>
          <w:szCs w:val="21"/>
        </w:rPr>
        <w:t>和信用记录查询方法；</w:t>
      </w:r>
    </w:p>
    <w:p w14:paraId="25E0538B">
      <w:pPr>
        <w:adjustRightInd w:val="0"/>
        <w:snapToGrid w:val="0"/>
        <w:spacing w:line="400" w:lineRule="exact"/>
        <w:ind w:firstLine="411" w:firstLineChars="196"/>
        <w:jc w:val="left"/>
        <w:rPr>
          <w:rFonts w:ascii="宋体" w:hAnsi="宋体"/>
          <w:szCs w:val="21"/>
        </w:rPr>
      </w:pPr>
      <w:r>
        <w:rPr>
          <w:rFonts w:hint="eastAsia" w:ascii="宋体" w:hAnsi="宋体"/>
          <w:szCs w:val="21"/>
        </w:rPr>
        <w:t>①</w:t>
      </w:r>
      <w:r>
        <w:rPr>
          <w:rFonts w:hint="eastAsia" w:ascii="宋体" w:hAnsi="宋体" w:cs="宋体"/>
          <w:kern w:val="0"/>
          <w:szCs w:val="21"/>
        </w:rPr>
        <w:t>参加政府采购活动前三年内在经营活动中没有</w:t>
      </w:r>
      <w:r>
        <w:rPr>
          <w:rFonts w:hint="eastAsia" w:ascii="宋体" w:hAnsi="宋体" w:cs="宋体"/>
          <w:b/>
          <w:kern w:val="0"/>
          <w:szCs w:val="21"/>
        </w:rPr>
        <w:t>重大违法记录的书面声明</w:t>
      </w:r>
      <w:r>
        <w:rPr>
          <w:rFonts w:hint="eastAsia" w:ascii="宋体" w:hAnsi="宋体"/>
          <w:szCs w:val="21"/>
        </w:rPr>
        <w:t>（格式自拟，必须提供）；</w:t>
      </w:r>
    </w:p>
    <w:p w14:paraId="4737EC57">
      <w:pPr>
        <w:adjustRightInd w:val="0"/>
        <w:snapToGrid w:val="0"/>
        <w:spacing w:line="400" w:lineRule="exact"/>
        <w:ind w:firstLine="411" w:firstLineChars="196"/>
        <w:jc w:val="left"/>
        <w:rPr>
          <w:rFonts w:ascii="宋体" w:hAnsi="宋体"/>
          <w:szCs w:val="21"/>
        </w:rPr>
      </w:pPr>
      <w:r>
        <w:rPr>
          <w:rFonts w:hint="eastAsia" w:ascii="宋体" w:hAnsi="宋体"/>
          <w:szCs w:val="21"/>
        </w:rPr>
        <w:t>②供应商可在“信用中国”网站（www.creditchina.gov.cn）、中国政府采购网（www.ccgp.gov.cn）查询相关供应商主体信用记录。</w:t>
      </w:r>
    </w:p>
    <w:p w14:paraId="7A838227">
      <w:pPr>
        <w:adjustRightInd w:val="0"/>
        <w:snapToGrid w:val="0"/>
        <w:spacing w:line="400" w:lineRule="exact"/>
        <w:ind w:firstLine="411" w:firstLineChars="196"/>
        <w:jc w:val="left"/>
        <w:rPr>
          <w:rFonts w:ascii="宋体" w:hAnsi="宋体"/>
          <w:szCs w:val="21"/>
        </w:rPr>
      </w:pPr>
      <w:r>
        <w:rPr>
          <w:rFonts w:hint="eastAsia" w:ascii="宋体" w:hAnsi="宋体"/>
          <w:szCs w:val="21"/>
        </w:rPr>
        <w:t>“信用中国”网站查询方法：投标人在本项目投标截止时间前10日内，进入投标人基本信息页面，点击“下载信用报告”后点击“下载”。</w:t>
      </w:r>
    </w:p>
    <w:p w14:paraId="3BCBB037">
      <w:pPr>
        <w:adjustRightInd w:val="0"/>
        <w:snapToGrid w:val="0"/>
        <w:spacing w:line="400" w:lineRule="exact"/>
        <w:ind w:firstLine="411" w:firstLineChars="196"/>
        <w:jc w:val="left"/>
        <w:rPr>
          <w:rFonts w:ascii="宋体" w:hAnsi="宋体"/>
          <w:szCs w:val="21"/>
        </w:rPr>
      </w:pPr>
      <w:r>
        <w:rPr>
          <w:rFonts w:hint="eastAsia" w:ascii="宋体" w:hAnsi="宋体"/>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14:paraId="6FB5A640">
      <w:pPr>
        <w:adjustRightInd w:val="0"/>
        <w:snapToGrid w:val="0"/>
        <w:spacing w:line="400" w:lineRule="exact"/>
        <w:ind w:firstLine="411" w:firstLineChars="196"/>
        <w:jc w:val="left"/>
        <w:rPr>
          <w:rFonts w:ascii="宋体" w:hAnsi="宋体"/>
          <w:szCs w:val="21"/>
        </w:rPr>
      </w:pPr>
      <w:r>
        <w:rPr>
          <w:rFonts w:hint="eastAsia" w:ascii="宋体" w:hAnsi="宋体"/>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0C97CED5">
      <w:pPr>
        <w:adjustRightInd w:val="0"/>
        <w:snapToGrid w:val="0"/>
        <w:spacing w:line="400" w:lineRule="exact"/>
        <w:ind w:firstLine="411" w:firstLineChars="196"/>
        <w:jc w:val="left"/>
        <w:rPr>
          <w:rFonts w:ascii="宋体" w:hAnsi="宋体"/>
          <w:b/>
          <w:szCs w:val="21"/>
        </w:rPr>
      </w:pPr>
      <w:r>
        <w:rPr>
          <w:rFonts w:hint="eastAsia" w:ascii="宋体" w:hAnsi="宋体"/>
          <w:b/>
          <w:szCs w:val="21"/>
        </w:rPr>
        <w:t>2.商务文件及资信：</w:t>
      </w:r>
    </w:p>
    <w:p w14:paraId="4836B252">
      <w:pPr>
        <w:adjustRightInd w:val="0"/>
        <w:snapToGrid w:val="0"/>
        <w:spacing w:line="440" w:lineRule="exact"/>
        <w:ind w:firstLine="411" w:firstLineChars="196"/>
        <w:jc w:val="left"/>
        <w:rPr>
          <w:rFonts w:ascii="宋体" w:hAnsi="宋体"/>
          <w:szCs w:val="21"/>
        </w:rPr>
      </w:pPr>
      <w:r>
        <w:rPr>
          <w:rFonts w:hint="eastAsia" w:ascii="宋体" w:hAnsi="宋体"/>
          <w:b/>
          <w:szCs w:val="21"/>
        </w:rPr>
        <w:t>（1）</w:t>
      </w:r>
      <w:r>
        <w:rPr>
          <w:rFonts w:hint="eastAsia" w:ascii="宋体" w:hAnsi="宋体"/>
          <w:szCs w:val="21"/>
        </w:rPr>
        <w:t>投标保证金的相关证明扫描件或其他电子文件</w:t>
      </w:r>
      <w:r>
        <w:rPr>
          <w:rFonts w:hint="eastAsia" w:ascii="宋体" w:hAnsi="宋体"/>
          <w:b/>
          <w:szCs w:val="21"/>
        </w:rPr>
        <w:t>（必须提供）</w:t>
      </w:r>
      <w:r>
        <w:rPr>
          <w:rFonts w:hint="eastAsia" w:ascii="宋体" w:hAnsi="宋体"/>
          <w:szCs w:val="21"/>
        </w:rPr>
        <w:t>；</w:t>
      </w:r>
    </w:p>
    <w:p w14:paraId="7A1F9CDC">
      <w:pPr>
        <w:adjustRightInd w:val="0"/>
        <w:snapToGrid w:val="0"/>
        <w:spacing w:line="440" w:lineRule="exact"/>
        <w:ind w:firstLine="411" w:firstLineChars="196"/>
        <w:jc w:val="left"/>
        <w:rPr>
          <w:rFonts w:ascii="宋体" w:hAnsi="宋体"/>
          <w:szCs w:val="21"/>
        </w:rPr>
      </w:pPr>
      <w:r>
        <w:rPr>
          <w:rFonts w:hint="eastAsia" w:ascii="宋体" w:hAnsi="宋体"/>
          <w:b/>
          <w:szCs w:val="21"/>
        </w:rPr>
        <w:t>（2）</w:t>
      </w:r>
      <w:r>
        <w:rPr>
          <w:rFonts w:hint="eastAsia" w:ascii="宋体" w:hAnsi="宋体"/>
          <w:szCs w:val="21"/>
        </w:rPr>
        <w:t>投标声明书 （格式见第六章）</w:t>
      </w:r>
      <w:r>
        <w:rPr>
          <w:rFonts w:hint="eastAsia" w:ascii="宋体" w:hAnsi="宋体"/>
          <w:b/>
          <w:szCs w:val="21"/>
        </w:rPr>
        <w:t>（必须提供）</w:t>
      </w:r>
      <w:r>
        <w:rPr>
          <w:rFonts w:hint="eastAsia" w:ascii="宋体" w:hAnsi="宋体"/>
          <w:szCs w:val="21"/>
        </w:rPr>
        <w:t>；</w:t>
      </w:r>
    </w:p>
    <w:p w14:paraId="29640808">
      <w:pPr>
        <w:adjustRightInd w:val="0"/>
        <w:snapToGrid w:val="0"/>
        <w:spacing w:line="440" w:lineRule="exact"/>
        <w:ind w:firstLine="411" w:firstLineChars="196"/>
        <w:jc w:val="left"/>
        <w:rPr>
          <w:rFonts w:ascii="宋体" w:hAnsi="宋体"/>
          <w:szCs w:val="21"/>
        </w:rPr>
      </w:pPr>
      <w:r>
        <w:rPr>
          <w:rFonts w:hint="eastAsia" w:ascii="宋体" w:hAnsi="宋体"/>
          <w:b/>
          <w:szCs w:val="21"/>
        </w:rPr>
        <w:t>（3）</w:t>
      </w:r>
      <w:r>
        <w:rPr>
          <w:rFonts w:hint="eastAsia" w:ascii="宋体" w:hAnsi="宋体"/>
          <w:szCs w:val="21"/>
        </w:rPr>
        <w:t>法定代表人授权委托书和委托代理人身份证扫描件（格式见第六章）</w:t>
      </w:r>
      <w:r>
        <w:rPr>
          <w:rFonts w:hint="eastAsia" w:ascii="宋体" w:hAnsi="宋体"/>
          <w:b/>
          <w:szCs w:val="21"/>
        </w:rPr>
        <w:t>（必须提供）</w:t>
      </w:r>
      <w:r>
        <w:rPr>
          <w:rFonts w:hint="eastAsia" w:ascii="宋体" w:hAnsi="宋体"/>
          <w:szCs w:val="21"/>
        </w:rPr>
        <w:t>；当法定代表人参加投标时，必须提供</w:t>
      </w:r>
      <w:r>
        <w:rPr>
          <w:rFonts w:hint="eastAsia" w:ascii="宋体" w:hAnsi="宋体" w:cs="宋体"/>
          <w:kern w:val="0"/>
          <w:szCs w:val="21"/>
        </w:rPr>
        <w:t>法定代表人的身份证扫描件</w:t>
      </w:r>
      <w:r>
        <w:rPr>
          <w:rFonts w:hint="eastAsia" w:ascii="宋体" w:hAnsi="宋体"/>
          <w:szCs w:val="21"/>
        </w:rPr>
        <w:t>；</w:t>
      </w:r>
    </w:p>
    <w:p w14:paraId="0E2BCCB7">
      <w:pPr>
        <w:adjustRightInd w:val="0"/>
        <w:snapToGrid w:val="0"/>
        <w:spacing w:line="440" w:lineRule="exact"/>
        <w:ind w:firstLine="411" w:firstLineChars="196"/>
        <w:jc w:val="left"/>
        <w:rPr>
          <w:rFonts w:ascii="宋体" w:hAnsi="宋体"/>
          <w:b/>
          <w:szCs w:val="21"/>
        </w:rPr>
      </w:pPr>
      <w:r>
        <w:rPr>
          <w:rFonts w:hint="eastAsia" w:ascii="宋体" w:hAnsi="宋体"/>
          <w:b/>
          <w:szCs w:val="21"/>
        </w:rPr>
        <w:t>（4）投标截止之日前半年内投标人连续三个月</w:t>
      </w:r>
      <w:r>
        <w:rPr>
          <w:rFonts w:hint="eastAsia" w:ascii="宋体" w:hAnsi="宋体"/>
          <w:szCs w:val="21"/>
        </w:rPr>
        <w:t>依法纳税的依法缴纳税费或依法免缴税费的证明</w:t>
      </w:r>
      <w:r>
        <w:rPr>
          <w:rFonts w:hint="eastAsia" w:ascii="宋体" w:hAnsi="宋体"/>
          <w:b/>
          <w:szCs w:val="21"/>
        </w:rPr>
        <w:t>（扫描件或其他电子文件，格式自拟）（必须提供）；</w:t>
      </w:r>
      <w:r>
        <w:rPr>
          <w:rFonts w:hint="eastAsia" w:ascii="宋体" w:hAnsi="宋体"/>
          <w:szCs w:val="21"/>
        </w:rPr>
        <w:t>无纳税记录的，应提供由投标人所在地主管国税或地税部门出具的《依法纳税或依法免税证明》（格式自拟，扫描件或其他电子文件）</w:t>
      </w:r>
      <w:r>
        <w:rPr>
          <w:rFonts w:hint="eastAsia" w:ascii="宋体" w:hAnsi="宋体"/>
          <w:b/>
          <w:szCs w:val="21"/>
        </w:rPr>
        <w:t>。</w:t>
      </w:r>
    </w:p>
    <w:p w14:paraId="349FA3FB">
      <w:pPr>
        <w:adjustRightInd w:val="0"/>
        <w:snapToGrid w:val="0"/>
        <w:spacing w:line="440" w:lineRule="exact"/>
        <w:rPr>
          <w:rFonts w:ascii="宋体" w:hAnsi="宋体"/>
          <w:szCs w:val="21"/>
        </w:rPr>
      </w:pPr>
      <w:r>
        <w:rPr>
          <w:rFonts w:hint="eastAsia" w:ascii="宋体" w:hAnsi="宋体"/>
          <w:b/>
          <w:szCs w:val="21"/>
        </w:rPr>
        <w:t xml:space="preserve">    （5）</w:t>
      </w:r>
      <w:r>
        <w:rPr>
          <w:rFonts w:hint="eastAsia" w:ascii="宋体" w:hAnsi="宋体"/>
          <w:szCs w:val="21"/>
        </w:rPr>
        <w:t>投标截止之日前半年内投标人连续三个月的依法缴纳社保费的缴费凭证（</w:t>
      </w:r>
      <w:r>
        <w:rPr>
          <w:rFonts w:hint="eastAsia" w:ascii="宋体" w:hAnsi="宋体"/>
          <w:b/>
          <w:szCs w:val="21"/>
        </w:rPr>
        <w:t>扫描件或其他电子文件，原件备查，格式自拟）（必须提供）；</w:t>
      </w:r>
      <w:r>
        <w:rPr>
          <w:rFonts w:hint="eastAsia" w:ascii="宋体" w:hAnsi="宋体"/>
          <w:szCs w:val="21"/>
        </w:rPr>
        <w:t>无缴费记录的，应提供由投标人所在地社保部门出具的《依法缴纳或依法免缴社保费证明》（格式自拟，扫描件或其他电子文件）。</w:t>
      </w:r>
    </w:p>
    <w:p w14:paraId="590C1504">
      <w:pPr>
        <w:adjustRightInd w:val="0"/>
        <w:snapToGrid w:val="0"/>
        <w:spacing w:line="440" w:lineRule="exact"/>
        <w:jc w:val="left"/>
        <w:rPr>
          <w:rFonts w:ascii="宋体" w:hAnsi="宋体"/>
          <w:b/>
          <w:szCs w:val="21"/>
        </w:rPr>
      </w:pPr>
      <w:r>
        <w:rPr>
          <w:rFonts w:hint="eastAsia" w:ascii="宋体" w:hAnsi="宋体"/>
          <w:b/>
          <w:szCs w:val="21"/>
        </w:rPr>
        <w:t xml:space="preserve">    （6）</w:t>
      </w:r>
      <w:r>
        <w:rPr>
          <w:rFonts w:hint="eastAsia" w:ascii="宋体" w:hAnsi="宋体"/>
          <w:szCs w:val="21"/>
        </w:rPr>
        <w:t>财务状况报告</w:t>
      </w:r>
      <w:r>
        <w:rPr>
          <w:rFonts w:hint="eastAsia" w:ascii="宋体" w:hAnsi="宋体"/>
          <w:b/>
          <w:szCs w:val="21"/>
        </w:rPr>
        <w:t>（必须提供）；</w:t>
      </w:r>
    </w:p>
    <w:p w14:paraId="326D68AE">
      <w:pPr>
        <w:adjustRightInd w:val="0"/>
        <w:snapToGrid w:val="0"/>
        <w:spacing w:line="440" w:lineRule="exact"/>
        <w:ind w:firstLine="411" w:firstLineChars="196"/>
        <w:jc w:val="left"/>
        <w:rPr>
          <w:rFonts w:ascii="宋体" w:hAnsi="宋体" w:cs="宋体"/>
          <w:b/>
          <w:kern w:val="0"/>
          <w:szCs w:val="21"/>
        </w:rPr>
      </w:pPr>
      <w:r>
        <w:rPr>
          <w:rFonts w:hint="eastAsia" w:ascii="宋体" w:hAnsi="宋体" w:cs="宋体"/>
          <w:b/>
          <w:kern w:val="0"/>
          <w:szCs w:val="21"/>
        </w:rPr>
        <w:t>（7）</w:t>
      </w:r>
      <w:r>
        <w:rPr>
          <w:rFonts w:hint="eastAsia" w:ascii="宋体" w:hAnsi="宋体"/>
          <w:szCs w:val="21"/>
        </w:rPr>
        <w:t>具备履行合同所必需的设备和专业技术能力的证明材料</w:t>
      </w:r>
      <w:r>
        <w:rPr>
          <w:rFonts w:hint="eastAsia" w:ascii="宋体" w:hAnsi="宋体"/>
          <w:b/>
          <w:szCs w:val="21"/>
        </w:rPr>
        <w:t>（格式自拟，必须提供）</w:t>
      </w:r>
      <w:r>
        <w:rPr>
          <w:rFonts w:hint="eastAsia" w:ascii="宋体" w:hAnsi="宋体" w:cs="宋体"/>
          <w:b/>
          <w:kern w:val="0"/>
          <w:szCs w:val="21"/>
        </w:rPr>
        <w:t>；</w:t>
      </w:r>
    </w:p>
    <w:p w14:paraId="1E5748B9">
      <w:pPr>
        <w:adjustRightInd w:val="0"/>
        <w:snapToGrid w:val="0"/>
        <w:spacing w:line="440" w:lineRule="exact"/>
        <w:ind w:firstLine="411" w:firstLineChars="196"/>
        <w:jc w:val="left"/>
        <w:rPr>
          <w:rFonts w:ascii="宋体" w:hAnsi="宋体"/>
          <w:szCs w:val="21"/>
        </w:rPr>
      </w:pPr>
      <w:r>
        <w:rPr>
          <w:rFonts w:hint="eastAsia" w:ascii="宋体" w:hAnsi="宋体" w:cs="宋体"/>
          <w:b/>
          <w:bCs/>
          <w:kern w:val="0"/>
          <w:szCs w:val="21"/>
        </w:rPr>
        <w:t>（8）</w:t>
      </w:r>
      <w:r>
        <w:rPr>
          <w:rFonts w:hint="eastAsia" w:ascii="宋体" w:hAnsi="宋体"/>
          <w:szCs w:val="21"/>
        </w:rPr>
        <w:t>商务响应表（格式见第六章）</w:t>
      </w:r>
      <w:r>
        <w:rPr>
          <w:rFonts w:hint="eastAsia" w:ascii="宋体" w:hAnsi="宋体"/>
          <w:b/>
          <w:szCs w:val="21"/>
        </w:rPr>
        <w:t>（必须提供）；</w:t>
      </w:r>
    </w:p>
    <w:p w14:paraId="2C7A1135">
      <w:pPr>
        <w:adjustRightInd w:val="0"/>
        <w:snapToGrid w:val="0"/>
        <w:spacing w:line="440" w:lineRule="exact"/>
        <w:ind w:firstLine="411" w:firstLineChars="196"/>
        <w:jc w:val="left"/>
        <w:rPr>
          <w:rFonts w:ascii="宋体" w:hAnsi="宋体"/>
          <w:b/>
          <w:szCs w:val="21"/>
        </w:rPr>
      </w:pPr>
      <w:r>
        <w:rPr>
          <w:rFonts w:hint="eastAsia" w:ascii="宋体" w:hAnsi="宋体"/>
        </w:rPr>
        <w:t>▲</w:t>
      </w:r>
      <w:r>
        <w:rPr>
          <w:rFonts w:hint="eastAsia" w:ascii="宋体" w:hAnsi="宋体"/>
          <w:b/>
          <w:bCs/>
          <w:szCs w:val="21"/>
        </w:rPr>
        <w:t>（9）</w:t>
      </w:r>
      <w:r>
        <w:rPr>
          <w:rFonts w:hint="eastAsia" w:ascii="宋体" w:hAnsi="宋体"/>
          <w:b/>
          <w:szCs w:val="21"/>
        </w:rPr>
        <w:t>招标项目采购需求中要求必须提供的材料等；</w:t>
      </w:r>
    </w:p>
    <w:p w14:paraId="260BC051">
      <w:pPr>
        <w:adjustRightInd w:val="0"/>
        <w:snapToGrid w:val="0"/>
        <w:spacing w:line="440" w:lineRule="exact"/>
        <w:ind w:firstLine="411" w:firstLineChars="196"/>
        <w:jc w:val="left"/>
        <w:rPr>
          <w:rFonts w:ascii="宋体" w:hAnsi="宋体"/>
          <w:bCs/>
          <w:szCs w:val="21"/>
        </w:rPr>
      </w:pPr>
      <w:r>
        <w:rPr>
          <w:rFonts w:hint="eastAsia" w:ascii="宋体" w:hAnsi="宋体"/>
          <w:bCs/>
          <w:szCs w:val="21"/>
        </w:rPr>
        <w:t>（10）</w:t>
      </w:r>
      <w:r>
        <w:rPr>
          <w:rFonts w:hint="eastAsia" w:ascii="宋体" w:hAnsi="宋体"/>
          <w:szCs w:val="21"/>
        </w:rPr>
        <w:t>具备法律、行政法规规定的其他条件的证明材料（</w:t>
      </w:r>
      <w:r>
        <w:rPr>
          <w:rFonts w:hint="eastAsia" w:ascii="宋体" w:hAnsi="宋体"/>
          <w:b/>
          <w:szCs w:val="21"/>
        </w:rPr>
        <w:t>如有规定，则必须提供）。</w:t>
      </w:r>
    </w:p>
    <w:p w14:paraId="4546E40F">
      <w:pPr>
        <w:adjustRightInd w:val="0"/>
        <w:snapToGrid w:val="0"/>
        <w:spacing w:line="440" w:lineRule="exact"/>
        <w:ind w:firstLine="411" w:firstLineChars="196"/>
        <w:jc w:val="left"/>
        <w:rPr>
          <w:rFonts w:ascii="宋体" w:hAnsi="宋体"/>
          <w:b/>
          <w:szCs w:val="21"/>
        </w:rPr>
      </w:pPr>
      <w:r>
        <w:rPr>
          <w:rFonts w:hint="eastAsia" w:ascii="宋体" w:hAnsi="宋体"/>
          <w:b/>
          <w:bCs/>
          <w:szCs w:val="21"/>
        </w:rPr>
        <w:t xml:space="preserve">可作为投标人资信评分的资质证明材料（可选）  </w:t>
      </w:r>
    </w:p>
    <w:p w14:paraId="15CA77C1">
      <w:pPr>
        <w:adjustRightInd w:val="0"/>
        <w:snapToGrid w:val="0"/>
        <w:spacing w:line="440" w:lineRule="exact"/>
        <w:ind w:firstLine="411" w:firstLineChars="196"/>
        <w:jc w:val="left"/>
        <w:rPr>
          <w:rFonts w:ascii="宋体" w:hAnsi="宋体"/>
          <w:szCs w:val="21"/>
        </w:rPr>
      </w:pPr>
      <w:r>
        <w:rPr>
          <w:rFonts w:hint="eastAsia" w:ascii="宋体" w:hAnsi="宋体"/>
          <w:szCs w:val="21"/>
        </w:rPr>
        <w:t>（11）类似案例成功的业绩（投标人同类项目实施情况一览表、合同</w:t>
      </w:r>
      <w:r>
        <w:rPr>
          <w:rFonts w:hint="eastAsia" w:hAnsi="宋体"/>
        </w:rPr>
        <w:t>扫描件</w:t>
      </w:r>
      <w:r>
        <w:rPr>
          <w:rFonts w:hint="eastAsia" w:ascii="宋体" w:hAnsi="宋体"/>
          <w:szCs w:val="21"/>
        </w:rPr>
        <w:t>）；</w:t>
      </w:r>
    </w:p>
    <w:p w14:paraId="63A0BD17">
      <w:pPr>
        <w:adjustRightInd w:val="0"/>
        <w:snapToGrid w:val="0"/>
        <w:spacing w:line="440" w:lineRule="exact"/>
        <w:ind w:firstLine="420" w:firstLineChars="200"/>
        <w:jc w:val="left"/>
        <w:rPr>
          <w:rFonts w:ascii="宋体" w:hAnsi="宋体"/>
          <w:szCs w:val="21"/>
        </w:rPr>
      </w:pPr>
      <w:r>
        <w:rPr>
          <w:rFonts w:hint="eastAsia" w:ascii="宋体" w:hAnsi="宋体"/>
          <w:szCs w:val="21"/>
        </w:rPr>
        <w:t>（12）其他特殊资质证书（如本地化服务能力等）；</w:t>
      </w:r>
    </w:p>
    <w:p w14:paraId="0DB2C5B1">
      <w:pPr>
        <w:adjustRightInd w:val="0"/>
        <w:snapToGrid w:val="0"/>
        <w:spacing w:line="440" w:lineRule="exact"/>
        <w:ind w:firstLine="411" w:firstLineChars="196"/>
        <w:jc w:val="left"/>
        <w:rPr>
          <w:rFonts w:hAnsi="宋体"/>
          <w:szCs w:val="21"/>
        </w:rPr>
      </w:pPr>
      <w:r>
        <w:rPr>
          <w:rFonts w:hint="eastAsia" w:ascii="宋体" w:hAnsi="宋体"/>
          <w:bCs/>
          <w:szCs w:val="21"/>
        </w:rPr>
        <w:t>（13）</w:t>
      </w:r>
      <w:r>
        <w:rPr>
          <w:rFonts w:hint="eastAsia" w:hAnsi="宋体"/>
          <w:szCs w:val="21"/>
        </w:rPr>
        <w:t>节能环保产品或政府强制采购节能产品清单证书；</w:t>
      </w:r>
    </w:p>
    <w:p w14:paraId="3F75B0FD">
      <w:pPr>
        <w:adjustRightInd w:val="0"/>
        <w:snapToGrid w:val="0"/>
        <w:spacing w:line="440" w:lineRule="exact"/>
        <w:ind w:firstLine="411" w:firstLineChars="196"/>
        <w:jc w:val="left"/>
        <w:rPr>
          <w:rFonts w:ascii="宋体" w:hAnsi="宋体"/>
          <w:szCs w:val="21"/>
        </w:rPr>
      </w:pPr>
      <w:r>
        <w:rPr>
          <w:rFonts w:hint="eastAsia" w:ascii="宋体" w:hAnsi="宋体"/>
          <w:szCs w:val="21"/>
        </w:rPr>
        <w:t>（14）投标人质量管理和质量保证体系等方面的认证证书；</w:t>
      </w:r>
    </w:p>
    <w:p w14:paraId="642E04B6">
      <w:pPr>
        <w:adjustRightInd w:val="0"/>
        <w:snapToGrid w:val="0"/>
        <w:spacing w:line="440" w:lineRule="exact"/>
        <w:ind w:firstLine="411" w:firstLineChars="196"/>
        <w:jc w:val="left"/>
        <w:rPr>
          <w:rFonts w:ascii="宋体" w:hAnsi="宋体"/>
          <w:szCs w:val="21"/>
        </w:rPr>
      </w:pPr>
      <w:r>
        <w:rPr>
          <w:rFonts w:hint="eastAsia" w:ascii="宋体" w:hAnsi="宋体"/>
          <w:szCs w:val="21"/>
        </w:rPr>
        <w:t>（15）投标人认为可以证明其能力或业绩的其他材料；</w:t>
      </w:r>
    </w:p>
    <w:p w14:paraId="0F34AF59">
      <w:pPr>
        <w:adjustRightInd w:val="0"/>
        <w:snapToGrid w:val="0"/>
        <w:spacing w:line="440" w:lineRule="exact"/>
        <w:ind w:firstLine="411" w:firstLineChars="196"/>
        <w:jc w:val="left"/>
        <w:rPr>
          <w:rFonts w:ascii="宋体" w:hAnsi="宋体"/>
          <w:szCs w:val="21"/>
        </w:rPr>
      </w:pPr>
      <w:r>
        <w:rPr>
          <w:rFonts w:hint="eastAsia" w:ascii="宋体" w:hAnsi="宋体"/>
          <w:szCs w:val="21"/>
        </w:rPr>
        <w:t>（16）</w:t>
      </w:r>
      <w:r>
        <w:rPr>
          <w:rFonts w:hint="eastAsia" w:hAnsi="宋体"/>
          <w:szCs w:val="21"/>
        </w:rPr>
        <w:t>投标人关于产品生产时间、升级或者更新淘汰计划、配件供应以及本单位债务纠纷、违法违规记录等方面的情况（内容见投标声明书）；</w:t>
      </w:r>
    </w:p>
    <w:p w14:paraId="4AE6442C">
      <w:pPr>
        <w:adjustRightInd w:val="0"/>
        <w:snapToGrid w:val="0"/>
        <w:spacing w:line="440" w:lineRule="exact"/>
        <w:ind w:firstLine="411" w:firstLineChars="196"/>
        <w:jc w:val="left"/>
        <w:rPr>
          <w:rFonts w:ascii="宋体" w:hAnsi="宋体"/>
          <w:szCs w:val="21"/>
        </w:rPr>
      </w:pPr>
      <w:r>
        <w:rPr>
          <w:rFonts w:hint="eastAsia" w:ascii="宋体" w:hAnsi="宋体"/>
          <w:szCs w:val="21"/>
        </w:rPr>
        <w:t>（17）投标人情况介绍；</w:t>
      </w:r>
    </w:p>
    <w:p w14:paraId="08DE05D5">
      <w:pPr>
        <w:adjustRightInd w:val="0"/>
        <w:snapToGrid w:val="0"/>
        <w:spacing w:line="400" w:lineRule="exact"/>
        <w:ind w:firstLine="411" w:firstLineChars="196"/>
        <w:jc w:val="left"/>
        <w:rPr>
          <w:rFonts w:ascii="宋体" w:hAnsi="宋体"/>
          <w:szCs w:val="21"/>
        </w:rPr>
      </w:pPr>
      <w:r>
        <w:rPr>
          <w:rFonts w:hint="eastAsia" w:hAnsi="宋体"/>
          <w:szCs w:val="21"/>
        </w:rPr>
        <w:t>（18）</w:t>
      </w:r>
      <w:r>
        <w:rPr>
          <w:rFonts w:hint="eastAsia" w:ascii="宋体" w:hAnsi="宋体"/>
          <w:szCs w:val="21"/>
        </w:rPr>
        <w:t>中小企业声明函（格式见第六章，如有请提供）；</w:t>
      </w:r>
    </w:p>
    <w:p w14:paraId="05C81D95">
      <w:pPr>
        <w:pStyle w:val="2"/>
        <w:spacing w:line="440" w:lineRule="exact"/>
        <w:ind w:firstLine="420" w:firstLineChars="200"/>
        <w:rPr>
          <w:rFonts w:hAnsi="宋体" w:cs="Times New Roman"/>
          <w:color w:val="auto"/>
          <w:kern w:val="2"/>
          <w:sz w:val="21"/>
          <w:szCs w:val="21"/>
        </w:rPr>
      </w:pPr>
      <w:r>
        <w:rPr>
          <w:rFonts w:hint="eastAsia" w:hAnsi="宋体" w:cs="Times New Roman"/>
          <w:color w:val="auto"/>
          <w:kern w:val="2"/>
          <w:sz w:val="21"/>
          <w:szCs w:val="21"/>
        </w:rPr>
        <w:t>（19）关于符合本国产品标准的声明函（格式见第六章，如有请提供）。</w:t>
      </w:r>
    </w:p>
    <w:p w14:paraId="1BFBD76C">
      <w:pPr>
        <w:adjustRightInd w:val="0"/>
        <w:snapToGrid w:val="0"/>
        <w:spacing w:line="400" w:lineRule="exact"/>
        <w:ind w:firstLine="411" w:firstLineChars="196"/>
        <w:jc w:val="left"/>
        <w:rPr>
          <w:rFonts w:ascii="宋体" w:hAnsi="宋体"/>
          <w:b/>
          <w:bCs/>
          <w:szCs w:val="21"/>
        </w:rPr>
      </w:pPr>
      <w:r>
        <w:rPr>
          <w:rFonts w:hint="eastAsia" w:ascii="宋体" w:hAnsi="宋体"/>
          <w:b/>
          <w:bCs/>
          <w:szCs w:val="21"/>
        </w:rPr>
        <w:t>3.技术文件</w:t>
      </w:r>
    </w:p>
    <w:p w14:paraId="057466E1">
      <w:pPr>
        <w:snapToGrid w:val="0"/>
        <w:spacing w:line="360" w:lineRule="exact"/>
        <w:ind w:firstLine="420" w:firstLineChars="200"/>
        <w:jc w:val="left"/>
        <w:rPr>
          <w:rFonts w:ascii="宋体" w:hAnsi="宋体"/>
          <w:szCs w:val="21"/>
        </w:rPr>
      </w:pPr>
      <w:r>
        <w:rPr>
          <w:rFonts w:hint="eastAsia" w:ascii="宋体" w:hAnsi="宋体"/>
          <w:szCs w:val="21"/>
        </w:rPr>
        <w:t>（1）对本项目系统总体要求的理解；</w:t>
      </w:r>
    </w:p>
    <w:p w14:paraId="21E993D9">
      <w:pPr>
        <w:snapToGrid w:val="0"/>
        <w:spacing w:line="360" w:lineRule="exact"/>
        <w:ind w:firstLine="420" w:firstLineChars="200"/>
        <w:jc w:val="left"/>
        <w:rPr>
          <w:rFonts w:ascii="宋体" w:hAnsi="宋体"/>
          <w:szCs w:val="21"/>
        </w:rPr>
      </w:pPr>
      <w:r>
        <w:rPr>
          <w:rFonts w:hint="eastAsia" w:ascii="宋体" w:hAnsi="宋体"/>
          <w:szCs w:val="21"/>
        </w:rPr>
        <w:t>（2）技术响应表（</w:t>
      </w:r>
      <w:r>
        <w:rPr>
          <w:rFonts w:hint="eastAsia" w:ascii="宋体" w:hAnsi="宋体"/>
          <w:b/>
          <w:szCs w:val="21"/>
          <w:u w:val="single"/>
        </w:rPr>
        <w:t>必须提供</w:t>
      </w:r>
      <w:r>
        <w:rPr>
          <w:rFonts w:hint="eastAsia" w:ascii="宋体" w:hAnsi="宋体"/>
          <w:szCs w:val="21"/>
        </w:rPr>
        <w:t>）；</w:t>
      </w:r>
    </w:p>
    <w:p w14:paraId="736CCFA8">
      <w:pPr>
        <w:snapToGrid w:val="0"/>
        <w:spacing w:line="360" w:lineRule="exact"/>
        <w:ind w:firstLine="420" w:firstLineChars="200"/>
        <w:jc w:val="left"/>
        <w:rPr>
          <w:rFonts w:ascii="宋体" w:hAnsi="宋体"/>
          <w:szCs w:val="21"/>
        </w:rPr>
      </w:pPr>
      <w:r>
        <w:rPr>
          <w:rFonts w:hint="eastAsia" w:ascii="宋体" w:hAnsi="宋体"/>
          <w:szCs w:val="21"/>
        </w:rPr>
        <w:t>（3）设备配置清单（格式见第六章，</w:t>
      </w:r>
      <w:r>
        <w:rPr>
          <w:rFonts w:hint="eastAsia" w:ascii="宋体" w:hAnsi="宋体"/>
          <w:b/>
          <w:bCs/>
          <w:szCs w:val="21"/>
        </w:rPr>
        <w:t>必须提供</w:t>
      </w:r>
      <w:r>
        <w:rPr>
          <w:rFonts w:hint="eastAsia" w:ascii="宋体" w:hAnsi="宋体"/>
          <w:szCs w:val="21"/>
        </w:rPr>
        <w:t>）；</w:t>
      </w:r>
    </w:p>
    <w:p w14:paraId="01C33871">
      <w:pPr>
        <w:snapToGrid w:val="0"/>
        <w:spacing w:line="360" w:lineRule="exact"/>
        <w:ind w:firstLine="420" w:firstLineChars="200"/>
        <w:jc w:val="left"/>
        <w:rPr>
          <w:rFonts w:ascii="宋体" w:hAnsi="宋体"/>
          <w:szCs w:val="21"/>
        </w:rPr>
      </w:pPr>
      <w:r>
        <w:rPr>
          <w:rFonts w:hint="eastAsia" w:ascii="宋体" w:hAnsi="宋体"/>
          <w:szCs w:val="21"/>
        </w:rPr>
        <w:t>（4）</w:t>
      </w:r>
      <w:r>
        <w:rPr>
          <w:rFonts w:hint="eastAsia"/>
          <w:bCs/>
        </w:rPr>
        <w:t>售后服务承诺书</w:t>
      </w:r>
      <w:r>
        <w:rPr>
          <w:rFonts w:hint="eastAsia"/>
        </w:rPr>
        <w:t>（应据项目实际要求描述如：</w:t>
      </w:r>
      <w:r>
        <w:rPr>
          <w:rFonts w:hint="eastAsia" w:ascii="宋体" w:hAnsi="宋体"/>
          <w:szCs w:val="21"/>
        </w:rPr>
        <w:t>投标人建议的安装、调试、验收方法或方案；技术服务、技术培训、售后服务的内容和措施等）</w:t>
      </w:r>
      <w:r>
        <w:rPr>
          <w:rFonts w:hint="eastAsia" w:ascii="宋体" w:hAnsi="宋体"/>
          <w:b/>
          <w:szCs w:val="21"/>
        </w:rPr>
        <w:t>(</w:t>
      </w:r>
      <w:r>
        <w:rPr>
          <w:rFonts w:hint="eastAsia" w:ascii="宋体" w:hAnsi="宋体"/>
          <w:b/>
          <w:szCs w:val="21"/>
          <w:u w:val="single"/>
        </w:rPr>
        <w:t>格式自拟，必须提供</w:t>
      </w:r>
      <w:r>
        <w:rPr>
          <w:rFonts w:hint="eastAsia" w:ascii="宋体" w:hAnsi="宋体"/>
          <w:b/>
          <w:szCs w:val="21"/>
        </w:rPr>
        <w:t>)</w:t>
      </w:r>
      <w:r>
        <w:rPr>
          <w:rFonts w:hint="eastAsia" w:ascii="宋体" w:hAnsi="宋体"/>
          <w:szCs w:val="21"/>
        </w:rPr>
        <w:t>；</w:t>
      </w:r>
    </w:p>
    <w:p w14:paraId="113F5D4F">
      <w:pPr>
        <w:snapToGrid w:val="0"/>
        <w:spacing w:line="360" w:lineRule="exact"/>
        <w:ind w:firstLine="420" w:firstLineChars="200"/>
        <w:jc w:val="left"/>
        <w:rPr>
          <w:rFonts w:ascii="宋体" w:hAnsi="宋体"/>
          <w:szCs w:val="21"/>
        </w:rPr>
      </w:pPr>
      <w:r>
        <w:rPr>
          <w:rFonts w:hint="eastAsia" w:ascii="宋体" w:hAnsi="宋体"/>
          <w:szCs w:val="21"/>
        </w:rPr>
        <w:t xml:space="preserve">（5）投标人拥有主要装备和检测设施的情况和现状（格式自拟）及项目实施人员一览表； </w:t>
      </w:r>
    </w:p>
    <w:p w14:paraId="1F050002">
      <w:pPr>
        <w:snapToGrid w:val="0"/>
        <w:spacing w:line="360" w:lineRule="exact"/>
        <w:ind w:firstLine="420" w:firstLineChars="200"/>
        <w:jc w:val="left"/>
        <w:rPr>
          <w:rFonts w:ascii="宋体" w:hAnsi="宋体"/>
          <w:szCs w:val="21"/>
        </w:rPr>
      </w:pPr>
      <w:r>
        <w:rPr>
          <w:rFonts w:hint="eastAsia" w:ascii="宋体" w:hAnsi="宋体"/>
          <w:szCs w:val="21"/>
        </w:rPr>
        <w:t>（6）优惠条件：投标人承诺给予招标人的各种优惠条件，包括备品备件、专用耗材、售后服务等方面的优惠；</w:t>
      </w:r>
    </w:p>
    <w:p w14:paraId="38078603">
      <w:pPr>
        <w:snapToGrid w:val="0"/>
        <w:spacing w:line="360" w:lineRule="exact"/>
        <w:ind w:firstLine="420" w:firstLineChars="200"/>
        <w:jc w:val="left"/>
        <w:rPr>
          <w:rFonts w:ascii="宋体" w:hAnsi="宋体"/>
          <w:szCs w:val="21"/>
        </w:rPr>
      </w:pPr>
      <w:r>
        <w:rPr>
          <w:rFonts w:hint="eastAsia" w:ascii="宋体" w:hAnsi="宋体"/>
          <w:szCs w:val="21"/>
        </w:rPr>
        <w:t>（7）投标人对本项目的合理化建议和改进措施；</w:t>
      </w:r>
    </w:p>
    <w:p w14:paraId="2A6E4E6A">
      <w:pPr>
        <w:snapToGrid w:val="0"/>
        <w:spacing w:line="360" w:lineRule="exact"/>
        <w:ind w:firstLine="420" w:firstLineChars="200"/>
        <w:jc w:val="left"/>
        <w:rPr>
          <w:rFonts w:ascii="宋体" w:hAnsi="宋体"/>
          <w:szCs w:val="21"/>
        </w:rPr>
      </w:pPr>
      <w:r>
        <w:rPr>
          <w:rFonts w:hint="eastAsia" w:ascii="宋体" w:hAnsi="宋体"/>
          <w:szCs w:val="21"/>
        </w:rPr>
        <w:t>（8）投标人需要说明的其他文件和说明（格式略）；</w:t>
      </w:r>
    </w:p>
    <w:p w14:paraId="3E9DA6C7">
      <w:pPr>
        <w:snapToGrid w:val="0"/>
        <w:spacing w:line="360" w:lineRule="exact"/>
        <w:ind w:firstLine="420" w:firstLineChars="200"/>
        <w:jc w:val="left"/>
        <w:rPr>
          <w:rFonts w:ascii="宋体" w:hAnsi="宋体"/>
          <w:szCs w:val="21"/>
        </w:rPr>
      </w:pPr>
      <w:r>
        <w:rPr>
          <w:rFonts w:hint="eastAsia" w:ascii="宋体" w:hAnsi="宋体"/>
          <w:szCs w:val="21"/>
        </w:rPr>
        <w:t>▲（9）招标项目采购需求中要求必须提供的材料。</w:t>
      </w:r>
    </w:p>
    <w:p w14:paraId="4313F711">
      <w:pPr>
        <w:adjustRightInd w:val="0"/>
        <w:snapToGrid w:val="0"/>
        <w:spacing w:line="400" w:lineRule="exact"/>
        <w:ind w:firstLine="411" w:firstLineChars="196"/>
        <w:jc w:val="left"/>
        <w:rPr>
          <w:rFonts w:ascii="宋体" w:hAnsi="宋体"/>
          <w:b/>
          <w:szCs w:val="21"/>
        </w:rPr>
      </w:pPr>
      <w:r>
        <w:rPr>
          <w:rFonts w:hint="eastAsia" w:ascii="宋体" w:hAnsi="宋体"/>
          <w:b/>
          <w:szCs w:val="21"/>
        </w:rPr>
        <w:t>4.报价文件：</w:t>
      </w:r>
    </w:p>
    <w:p w14:paraId="3D2E0D93">
      <w:pPr>
        <w:tabs>
          <w:tab w:val="left" w:pos="3870"/>
          <w:tab w:val="left" w:pos="4085"/>
        </w:tabs>
        <w:adjustRightInd w:val="0"/>
        <w:snapToGrid w:val="0"/>
        <w:spacing w:line="400" w:lineRule="exact"/>
        <w:ind w:firstLine="420" w:firstLineChars="200"/>
        <w:jc w:val="left"/>
        <w:rPr>
          <w:rFonts w:ascii="宋体" w:hAnsi="宋体"/>
          <w:szCs w:val="21"/>
        </w:rPr>
      </w:pPr>
      <w:r>
        <w:rPr>
          <w:rFonts w:hint="eastAsia" w:ascii="宋体" w:hAnsi="宋体"/>
          <w:szCs w:val="21"/>
        </w:rPr>
        <w:t>（1）投标函（格式见第六章）； （</w:t>
      </w:r>
      <w:r>
        <w:rPr>
          <w:rFonts w:hint="eastAsia" w:ascii="宋体" w:hAnsi="宋体"/>
          <w:b/>
          <w:szCs w:val="21"/>
          <w:u w:val="single"/>
        </w:rPr>
        <w:t>必须提供</w:t>
      </w:r>
      <w:r>
        <w:rPr>
          <w:rFonts w:hint="eastAsia" w:ascii="宋体" w:hAnsi="宋体"/>
          <w:szCs w:val="21"/>
        </w:rPr>
        <w:t>）</w:t>
      </w:r>
    </w:p>
    <w:p w14:paraId="4E7A1DE1">
      <w:pPr>
        <w:tabs>
          <w:tab w:val="left" w:pos="3870"/>
          <w:tab w:val="left" w:pos="4085"/>
        </w:tabs>
        <w:adjustRightInd w:val="0"/>
        <w:snapToGrid w:val="0"/>
        <w:spacing w:line="400" w:lineRule="exact"/>
        <w:ind w:firstLine="420" w:firstLineChars="200"/>
        <w:jc w:val="left"/>
        <w:rPr>
          <w:rFonts w:ascii="宋体" w:hAnsi="宋体"/>
          <w:szCs w:val="21"/>
        </w:rPr>
      </w:pPr>
      <w:r>
        <w:rPr>
          <w:rFonts w:hint="eastAsia" w:ascii="宋体" w:hAnsi="宋体"/>
          <w:szCs w:val="21"/>
        </w:rPr>
        <w:t>（2）投标报价明细表（格式见第六章）；（</w:t>
      </w:r>
      <w:r>
        <w:rPr>
          <w:rFonts w:hint="eastAsia" w:ascii="宋体" w:hAnsi="宋体"/>
          <w:b/>
          <w:szCs w:val="21"/>
          <w:u w:val="single"/>
        </w:rPr>
        <w:t>必须提供</w:t>
      </w:r>
      <w:r>
        <w:rPr>
          <w:rFonts w:hint="eastAsia" w:ascii="宋体" w:hAnsi="宋体"/>
          <w:szCs w:val="21"/>
        </w:rPr>
        <w:t>）</w:t>
      </w:r>
    </w:p>
    <w:p w14:paraId="5B5E72F7">
      <w:pPr>
        <w:tabs>
          <w:tab w:val="left" w:pos="3870"/>
          <w:tab w:val="left" w:pos="4085"/>
        </w:tabs>
        <w:adjustRightInd w:val="0"/>
        <w:snapToGrid w:val="0"/>
        <w:spacing w:line="400" w:lineRule="exact"/>
        <w:ind w:firstLine="420" w:firstLineChars="200"/>
        <w:jc w:val="left"/>
        <w:rPr>
          <w:rFonts w:ascii="宋体" w:hAnsi="宋体"/>
          <w:szCs w:val="21"/>
        </w:rPr>
      </w:pPr>
      <w:r>
        <w:rPr>
          <w:rFonts w:hint="eastAsia" w:ascii="宋体" w:hAnsi="宋体"/>
          <w:szCs w:val="21"/>
        </w:rPr>
        <w:t>（3）投标人针对报价需要说明的其他文件和说明（格式自拟）；</w:t>
      </w:r>
    </w:p>
    <w:p w14:paraId="4247FC04">
      <w:pPr>
        <w:tabs>
          <w:tab w:val="left" w:pos="3870"/>
          <w:tab w:val="left" w:pos="4085"/>
        </w:tabs>
        <w:adjustRightInd w:val="0"/>
        <w:snapToGrid w:val="0"/>
        <w:spacing w:line="400" w:lineRule="exact"/>
        <w:ind w:firstLine="420" w:firstLineChars="200"/>
        <w:jc w:val="left"/>
        <w:rPr>
          <w:rFonts w:ascii="宋体" w:hAnsi="宋体"/>
          <w:szCs w:val="21"/>
        </w:rPr>
      </w:pPr>
      <w:r>
        <w:rPr>
          <w:rFonts w:hint="eastAsia" w:ascii="宋体" w:hAnsi="宋体"/>
          <w:szCs w:val="21"/>
        </w:rPr>
        <w:t>（4）开标一览表（格式见第六章）（</w:t>
      </w:r>
      <w:r>
        <w:rPr>
          <w:rFonts w:hint="eastAsia" w:ascii="宋体" w:hAnsi="宋体"/>
          <w:b/>
          <w:szCs w:val="21"/>
          <w:u w:val="single"/>
        </w:rPr>
        <w:t>必须提供</w:t>
      </w:r>
      <w:r>
        <w:rPr>
          <w:rFonts w:hint="eastAsia" w:ascii="宋体" w:hAnsi="宋体"/>
          <w:szCs w:val="21"/>
        </w:rPr>
        <w:t>）。</w:t>
      </w:r>
    </w:p>
    <w:p w14:paraId="64CBA7D8">
      <w:pPr>
        <w:pStyle w:val="48"/>
        <w:adjustRightInd w:val="0"/>
        <w:snapToGrid w:val="0"/>
        <w:spacing w:after="0" w:line="400" w:lineRule="exact"/>
        <w:ind w:firstLine="420" w:firstLineChars="200"/>
        <w:rPr>
          <w:rFonts w:ascii="宋体" w:hAnsi="宋体"/>
          <w:szCs w:val="21"/>
        </w:rPr>
      </w:pPr>
      <w:r>
        <w:rPr>
          <w:rFonts w:hint="eastAsia" w:ascii="宋体" w:hAnsi="宋体"/>
          <w:szCs w:val="21"/>
        </w:rPr>
        <w:t>▲</w:t>
      </w:r>
      <w:r>
        <w:rPr>
          <w:rFonts w:hint="eastAsia" w:ascii="宋体" w:hAnsi="宋体"/>
          <w:b/>
          <w:szCs w:val="21"/>
        </w:rPr>
        <w:t>注：法定代表人授权委托书、投标声明书、投标函、开标一览表</w:t>
      </w:r>
      <w:r>
        <w:rPr>
          <w:rFonts w:hint="eastAsia" w:ascii="宋体" w:hAnsi="宋体"/>
          <w:b/>
          <w:bCs/>
          <w:szCs w:val="21"/>
        </w:rPr>
        <w:t>必须按</w:t>
      </w:r>
      <w:r>
        <w:rPr>
          <w:rFonts w:hint="eastAsia" w:ascii="宋体" w:hAnsi="宋体"/>
          <w:b/>
          <w:szCs w:val="21"/>
        </w:rPr>
        <w:t>招标文件格式要求</w:t>
      </w:r>
      <w:r>
        <w:rPr>
          <w:rFonts w:ascii="宋体" w:hAnsi="宋体"/>
          <w:b/>
          <w:szCs w:val="21"/>
          <w:lang w:val="en"/>
        </w:rPr>
        <w:t>签字或签章</w:t>
      </w:r>
      <w:r>
        <w:rPr>
          <w:rFonts w:hint="eastAsia" w:ascii="宋体" w:hAnsi="宋体"/>
          <w:b/>
          <w:bCs/>
          <w:szCs w:val="21"/>
        </w:rPr>
        <w:t>并加盖单位公章</w:t>
      </w:r>
      <w:r>
        <w:rPr>
          <w:rFonts w:hint="eastAsia" w:ascii="宋体" w:hAnsi="宋体"/>
          <w:b/>
          <w:szCs w:val="21"/>
        </w:rPr>
        <w:t>。</w:t>
      </w:r>
    </w:p>
    <w:p w14:paraId="6D522D12">
      <w:pPr>
        <w:adjustRightInd w:val="0"/>
        <w:snapToGrid w:val="0"/>
        <w:spacing w:line="400" w:lineRule="exact"/>
        <w:ind w:firstLine="420" w:firstLineChars="200"/>
        <w:rPr>
          <w:rFonts w:ascii="宋体" w:hAnsi="宋体"/>
          <w:b/>
          <w:szCs w:val="21"/>
        </w:rPr>
      </w:pPr>
      <w:bookmarkStart w:id="31" w:name="_Toc254970678"/>
      <w:bookmarkStart w:id="32" w:name="_Toc254970537"/>
      <w:r>
        <w:rPr>
          <w:rFonts w:hint="eastAsia" w:ascii="宋体" w:hAnsi="宋体"/>
          <w:b/>
          <w:szCs w:val="21"/>
        </w:rPr>
        <w:t>（二）投标文件的语言及计量</w:t>
      </w:r>
      <w:bookmarkEnd w:id="31"/>
      <w:bookmarkEnd w:id="32"/>
    </w:p>
    <w:p w14:paraId="44FAC232">
      <w:pPr>
        <w:adjustRightInd w:val="0"/>
        <w:snapToGrid w:val="0"/>
        <w:spacing w:line="400" w:lineRule="exact"/>
        <w:ind w:firstLine="420" w:firstLineChars="200"/>
        <w:jc w:val="left"/>
        <w:rPr>
          <w:rFonts w:ascii="宋体" w:hAnsi="宋体"/>
          <w:szCs w:val="21"/>
        </w:rPr>
      </w:pPr>
      <w:r>
        <w:rPr>
          <w:rFonts w:hint="eastAsia" w:ascii="宋体" w:hAnsi="宋体"/>
          <w:szCs w:val="21"/>
        </w:rPr>
        <w:t>▲1.投标文件以及投标方与招标方就有关投标事宜的所有来往函电，均应以中文汉语书写。除签名、盖章、专用名称等特殊情形外，以中文汉语以外的文字表述的投标文件视同未提供。</w:t>
      </w:r>
    </w:p>
    <w:p w14:paraId="2B405CB8">
      <w:pPr>
        <w:adjustRightInd w:val="0"/>
        <w:snapToGrid w:val="0"/>
        <w:spacing w:line="400" w:lineRule="exact"/>
        <w:ind w:firstLine="420" w:firstLineChars="200"/>
        <w:jc w:val="left"/>
        <w:rPr>
          <w:rFonts w:ascii="宋体" w:hAnsi="宋体"/>
          <w:szCs w:val="21"/>
        </w:rPr>
      </w:pPr>
      <w:r>
        <w:rPr>
          <w:rFonts w:hint="eastAsia" w:ascii="宋体" w:hAnsi="宋体"/>
          <w:szCs w:val="21"/>
        </w:rPr>
        <w:t>▲2.投标计量单位，招标文件已有明确规定的，使用招标文件规定的计量单位；招标文件没有规定的，应采用中华人民共和国法定计量单位（货币单位：人民币元），否则视同未响应。</w:t>
      </w:r>
    </w:p>
    <w:p w14:paraId="57F91EA3">
      <w:pPr>
        <w:adjustRightInd w:val="0"/>
        <w:snapToGrid w:val="0"/>
        <w:spacing w:line="400" w:lineRule="exact"/>
        <w:ind w:firstLine="420" w:firstLineChars="200"/>
        <w:rPr>
          <w:rFonts w:ascii="宋体" w:hAnsi="宋体"/>
          <w:b/>
          <w:szCs w:val="21"/>
        </w:rPr>
      </w:pPr>
      <w:bookmarkStart w:id="33" w:name="_Toc254970679"/>
      <w:bookmarkStart w:id="34" w:name="_Toc254970538"/>
      <w:r>
        <w:rPr>
          <w:rFonts w:hint="eastAsia" w:ascii="宋体" w:hAnsi="宋体"/>
          <w:b/>
          <w:szCs w:val="21"/>
        </w:rPr>
        <w:t>（三）投标报价</w:t>
      </w:r>
      <w:bookmarkEnd w:id="33"/>
      <w:bookmarkEnd w:id="34"/>
    </w:p>
    <w:p w14:paraId="466B9774">
      <w:pPr>
        <w:pStyle w:val="29"/>
        <w:snapToGrid w:val="0"/>
        <w:spacing w:line="360" w:lineRule="exact"/>
        <w:ind w:firstLine="420" w:firstLineChars="200"/>
        <w:jc w:val="left"/>
        <w:rPr>
          <w:rFonts w:hAnsi="宋体"/>
        </w:rPr>
      </w:pPr>
      <w:r>
        <w:rPr>
          <w:rFonts w:hint="eastAsia" w:hAnsi="宋体"/>
        </w:rPr>
        <w:t>1.投标报价应按招标文件中相关附表格式填写。</w:t>
      </w:r>
      <w:r>
        <w:rPr>
          <w:rFonts w:hint="eastAsia" w:hAnsi="宋体"/>
          <w:b/>
          <w:bCs/>
        </w:rPr>
        <w:t>投标人可就《项目采购需求》中所有分标的货物和服务内容按分标分别作完整唯一报价，也可对某个分标或几个分标的货物和服务内容按分标分别作完整唯一报价。</w:t>
      </w:r>
    </w:p>
    <w:p w14:paraId="2534A0C5">
      <w:pPr>
        <w:pStyle w:val="29"/>
        <w:adjustRightInd w:val="0"/>
        <w:snapToGrid w:val="0"/>
        <w:spacing w:line="360" w:lineRule="exact"/>
        <w:ind w:firstLine="420" w:firstLineChars="200"/>
        <w:jc w:val="left"/>
        <w:rPr>
          <w:rFonts w:hAnsi="宋体"/>
        </w:rPr>
      </w:pPr>
      <w:r>
        <w:rPr>
          <w:rFonts w:hint="eastAsia" w:hAnsi="宋体"/>
        </w:rPr>
        <w:t>2.投标报价是履行合同的最终价格，应包括货款、标准附件、备品备件、专用工具、包装、运输、装卸、保险、税金、货到就位以及安装、调试、培训、保修等一切税金和费用。</w:t>
      </w:r>
    </w:p>
    <w:p w14:paraId="374F136A">
      <w:pPr>
        <w:tabs>
          <w:tab w:val="left" w:pos="525"/>
        </w:tabs>
        <w:adjustRightInd w:val="0"/>
        <w:snapToGrid w:val="0"/>
        <w:spacing w:line="360" w:lineRule="exact"/>
        <w:ind w:firstLine="420" w:firstLineChars="200"/>
        <w:jc w:val="left"/>
        <w:rPr>
          <w:rFonts w:ascii="宋体" w:hAnsi="宋体"/>
          <w:szCs w:val="21"/>
        </w:rPr>
      </w:pPr>
      <w:r>
        <w:rPr>
          <w:rFonts w:hint="eastAsia" w:ascii="宋体" w:hAnsi="宋体"/>
          <w:szCs w:val="21"/>
        </w:rPr>
        <w:t>3.投标文件只允许有一个报价，有选择的或有条件的报价将不予接受。</w:t>
      </w:r>
    </w:p>
    <w:p w14:paraId="397FBD78">
      <w:pPr>
        <w:adjustRightInd w:val="0"/>
        <w:snapToGrid w:val="0"/>
        <w:spacing w:line="400" w:lineRule="exact"/>
        <w:ind w:firstLine="420" w:firstLineChars="200"/>
        <w:rPr>
          <w:rFonts w:ascii="宋体" w:hAnsi="宋体"/>
          <w:b/>
          <w:szCs w:val="21"/>
        </w:rPr>
      </w:pPr>
      <w:r>
        <w:rPr>
          <w:rFonts w:hint="eastAsia" w:ascii="宋体" w:hAnsi="宋体"/>
          <w:b/>
          <w:szCs w:val="21"/>
        </w:rPr>
        <w:t>（四）投标文件的有效期</w:t>
      </w:r>
    </w:p>
    <w:p w14:paraId="7F73D0F7">
      <w:pPr>
        <w:pStyle w:val="14"/>
        <w:widowControl w:val="0"/>
        <w:tabs>
          <w:tab w:val="clear" w:pos="454"/>
        </w:tabs>
        <w:adjustRightInd w:val="0"/>
        <w:snapToGrid w:val="0"/>
        <w:spacing w:after="0" w:afterLines="0" w:line="400" w:lineRule="exact"/>
        <w:ind w:left="0" w:firstLine="424" w:firstLineChars="202"/>
        <w:rPr>
          <w:rFonts w:ascii="宋体" w:hAnsi="宋体"/>
          <w:sz w:val="21"/>
          <w:szCs w:val="21"/>
        </w:rPr>
      </w:pPr>
      <w:r>
        <w:rPr>
          <w:rFonts w:hint="eastAsia" w:ascii="宋体" w:hAnsi="宋体"/>
          <w:sz w:val="21"/>
          <w:szCs w:val="21"/>
        </w:rPr>
        <w:t>1.自投标截止日起</w:t>
      </w:r>
      <w:r>
        <w:rPr>
          <w:rFonts w:hint="eastAsia" w:ascii="宋体" w:hAnsi="宋体"/>
          <w:sz w:val="21"/>
          <w:szCs w:val="21"/>
          <w:u w:val="single"/>
        </w:rPr>
        <w:t>六十日</w:t>
      </w:r>
      <w:r>
        <w:rPr>
          <w:rFonts w:hint="eastAsia" w:ascii="宋体" w:hAnsi="宋体"/>
          <w:sz w:val="21"/>
          <w:szCs w:val="21"/>
        </w:rPr>
        <w:t>投标文件应保持有效。有效期不足的投标文件将被拒绝。</w:t>
      </w:r>
    </w:p>
    <w:p w14:paraId="10C9B4D8">
      <w:pPr>
        <w:pStyle w:val="14"/>
        <w:widowControl w:val="0"/>
        <w:tabs>
          <w:tab w:val="clear" w:pos="454"/>
        </w:tabs>
        <w:adjustRightInd w:val="0"/>
        <w:snapToGrid w:val="0"/>
        <w:spacing w:after="0" w:afterLines="0" w:line="400" w:lineRule="exact"/>
        <w:ind w:left="0" w:firstLine="424" w:firstLineChars="202"/>
        <w:rPr>
          <w:rFonts w:ascii="宋体" w:hAnsi="宋体"/>
          <w:sz w:val="21"/>
          <w:szCs w:val="21"/>
        </w:rPr>
      </w:pPr>
      <w:r>
        <w:rPr>
          <w:rFonts w:hint="eastAsia" w:ascii="宋体" w:hAnsi="宋体"/>
          <w:sz w:val="21"/>
          <w:szCs w:val="21"/>
        </w:rPr>
        <w:t>2.在特殊情况下，招标人可与投标人协商延长投标书的有效期，这种要求和答复均以书面形式进行。</w:t>
      </w:r>
    </w:p>
    <w:p w14:paraId="145B7C83">
      <w:pPr>
        <w:pStyle w:val="14"/>
        <w:widowControl w:val="0"/>
        <w:tabs>
          <w:tab w:val="clear" w:pos="454"/>
        </w:tabs>
        <w:adjustRightInd w:val="0"/>
        <w:snapToGrid w:val="0"/>
        <w:spacing w:after="0" w:afterLines="0" w:line="400" w:lineRule="exact"/>
        <w:ind w:left="0" w:firstLine="424" w:firstLineChars="202"/>
        <w:rPr>
          <w:rFonts w:ascii="宋体" w:hAnsi="宋体"/>
          <w:sz w:val="21"/>
          <w:szCs w:val="21"/>
        </w:rPr>
      </w:pPr>
      <w:bookmarkStart w:id="35" w:name="_Toc254970539"/>
      <w:bookmarkStart w:id="36" w:name="_Toc254970680"/>
      <w:r>
        <w:rPr>
          <w:rFonts w:hint="eastAsia" w:ascii="宋体" w:hAnsi="宋体"/>
          <w:sz w:val="21"/>
          <w:szCs w:val="21"/>
        </w:rPr>
        <w:t>3.投标人可拒绝接受延期要求而不会导致投标保证金被没收。同意延长有效期的投标人需要相应延长投标保证金的有效期，但不能修改投标文件。</w:t>
      </w:r>
      <w:bookmarkEnd w:id="35"/>
      <w:bookmarkEnd w:id="36"/>
      <w:r>
        <w:rPr>
          <w:rFonts w:hint="eastAsia" w:ascii="宋体" w:hAnsi="宋体"/>
          <w:sz w:val="21"/>
          <w:szCs w:val="21"/>
        </w:rPr>
        <w:t xml:space="preserve"> </w:t>
      </w:r>
    </w:p>
    <w:p w14:paraId="31E96693">
      <w:pPr>
        <w:pStyle w:val="14"/>
        <w:widowControl w:val="0"/>
        <w:tabs>
          <w:tab w:val="clear" w:pos="454"/>
        </w:tabs>
        <w:adjustRightInd w:val="0"/>
        <w:snapToGrid w:val="0"/>
        <w:spacing w:after="0" w:afterLines="0" w:line="400" w:lineRule="exact"/>
        <w:ind w:left="0" w:firstLine="424" w:firstLineChars="202"/>
        <w:rPr>
          <w:rFonts w:ascii="宋体" w:hAnsi="宋体"/>
          <w:sz w:val="21"/>
          <w:szCs w:val="21"/>
        </w:rPr>
      </w:pPr>
      <w:bookmarkStart w:id="37" w:name="_Toc254970540"/>
      <w:bookmarkStart w:id="38" w:name="_Toc254970681"/>
      <w:r>
        <w:rPr>
          <w:rFonts w:hint="eastAsia" w:ascii="宋体" w:hAnsi="宋体"/>
          <w:sz w:val="21"/>
          <w:szCs w:val="21"/>
        </w:rPr>
        <w:t>4.中标人的投标文件自开标之日起至合同履行完毕止均应保持有效。</w:t>
      </w:r>
      <w:bookmarkEnd w:id="37"/>
      <w:bookmarkEnd w:id="38"/>
    </w:p>
    <w:p w14:paraId="6F00F4A7">
      <w:pPr>
        <w:adjustRightInd w:val="0"/>
        <w:snapToGrid w:val="0"/>
        <w:spacing w:line="400" w:lineRule="exact"/>
        <w:ind w:firstLine="420" w:firstLineChars="200"/>
        <w:rPr>
          <w:rFonts w:ascii="宋体" w:hAnsi="宋体"/>
          <w:b/>
          <w:szCs w:val="21"/>
        </w:rPr>
      </w:pPr>
      <w:bookmarkStart w:id="39" w:name="_Toc254970541"/>
      <w:bookmarkStart w:id="40" w:name="_Toc254970682"/>
      <w:r>
        <w:rPr>
          <w:rFonts w:hint="eastAsia" w:ascii="宋体" w:hAnsi="宋体"/>
          <w:b/>
          <w:szCs w:val="21"/>
        </w:rPr>
        <w:t>（五）投标保证金</w:t>
      </w:r>
      <w:bookmarkEnd w:id="39"/>
      <w:bookmarkEnd w:id="40"/>
    </w:p>
    <w:p w14:paraId="2170E6EE">
      <w:pPr>
        <w:pStyle w:val="29"/>
        <w:adjustRightInd w:val="0"/>
        <w:snapToGrid w:val="0"/>
        <w:spacing w:line="400" w:lineRule="exact"/>
        <w:ind w:left="840" w:leftChars="200" w:hanging="420" w:hangingChars="200"/>
        <w:rPr>
          <w:rFonts w:hAnsi="宋体" w:cs="宋体"/>
        </w:rPr>
      </w:pPr>
      <w:r>
        <w:rPr>
          <w:rFonts w:hint="eastAsia" w:hAnsi="宋体" w:cs="宋体"/>
        </w:rPr>
        <w:t>1.投标保证金应用人民币，投标人须按规定提交投标保证金。否则，其投标将被拒绝。</w:t>
      </w:r>
    </w:p>
    <w:p w14:paraId="752AC7F8">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2.保证金交纳形式：</w:t>
      </w:r>
      <w:r>
        <w:rPr>
          <w:rFonts w:ascii="宋体" w:hAnsi="宋体"/>
          <w:szCs w:val="21"/>
        </w:rPr>
        <w:t>支票、汇票、本票、网上银行或者</w:t>
      </w:r>
      <w:r>
        <w:rPr>
          <w:rFonts w:hint="eastAsia" w:ascii="宋体" w:hAnsi="宋体"/>
          <w:szCs w:val="21"/>
        </w:rPr>
        <w:t>金融</w:t>
      </w:r>
      <w:r>
        <w:rPr>
          <w:rFonts w:ascii="宋体" w:hAnsi="宋体"/>
          <w:szCs w:val="21"/>
        </w:rPr>
        <w:t>、</w:t>
      </w:r>
      <w:r>
        <w:rPr>
          <w:rFonts w:hint="eastAsia" w:ascii="宋体" w:hAnsi="宋体"/>
          <w:szCs w:val="21"/>
        </w:rPr>
        <w:t>担保</w:t>
      </w:r>
      <w:r>
        <w:rPr>
          <w:rFonts w:ascii="宋体" w:hAnsi="宋体"/>
          <w:szCs w:val="21"/>
        </w:rPr>
        <w:t>机构出具的保函等非现金形式提交</w:t>
      </w:r>
      <w:r>
        <w:rPr>
          <w:rFonts w:hint="eastAsia" w:ascii="宋体" w:hAnsi="宋体" w:cs="宋体"/>
          <w:szCs w:val="21"/>
        </w:rPr>
        <w:t>。</w:t>
      </w:r>
    </w:p>
    <w:p w14:paraId="2B70513F">
      <w:pPr>
        <w:adjustRightInd w:val="0"/>
        <w:snapToGrid w:val="0"/>
        <w:spacing w:line="400" w:lineRule="exact"/>
        <w:ind w:firstLine="420" w:firstLineChars="200"/>
        <w:jc w:val="left"/>
        <w:rPr>
          <w:rFonts w:ascii="宋体" w:hAnsi="宋体"/>
          <w:szCs w:val="21"/>
        </w:rPr>
      </w:pPr>
      <w:r>
        <w:rPr>
          <w:rFonts w:hint="eastAsia" w:ascii="宋体" w:hAnsi="宋体" w:cs="宋体"/>
          <w:szCs w:val="21"/>
        </w:rPr>
        <w:t>3.投标人应按本须知及招标公告中所明确的开户名称、开户银行、账号，于投标截止前交到本中心账户上</w:t>
      </w:r>
      <w:r>
        <w:rPr>
          <w:rFonts w:ascii="宋体" w:hAnsi="宋体"/>
          <w:szCs w:val="21"/>
        </w:rPr>
        <w:t>或本中心财务处</w:t>
      </w:r>
      <w:r>
        <w:rPr>
          <w:rFonts w:hint="eastAsia" w:ascii="宋体" w:hAnsi="宋体" w:cs="宋体"/>
          <w:szCs w:val="21"/>
        </w:rPr>
        <w:t>（投标人交纳投标保证金时应充分考虑保证金到达本中心账户上的清算时间）。</w:t>
      </w:r>
    </w:p>
    <w:p w14:paraId="6A07495E">
      <w:pPr>
        <w:adjustRightInd w:val="0"/>
        <w:snapToGrid w:val="0"/>
        <w:spacing w:line="400" w:lineRule="exact"/>
        <w:ind w:firstLine="562" w:firstLineChars="268"/>
        <w:jc w:val="left"/>
        <w:rPr>
          <w:rFonts w:ascii="宋体" w:hAnsi="宋体"/>
          <w:b/>
          <w:szCs w:val="21"/>
        </w:rPr>
      </w:pPr>
      <w:r>
        <w:rPr>
          <w:rFonts w:hint="eastAsia" w:ascii="宋体" w:hAnsi="宋体"/>
          <w:b/>
          <w:szCs w:val="21"/>
        </w:rPr>
        <w:t>本项目保证金事宜请联系本中心财务处（电话：0771-8600309，地址：南宁市星湖路22号）。</w:t>
      </w:r>
    </w:p>
    <w:p w14:paraId="7863D8A2">
      <w:pPr>
        <w:pStyle w:val="29"/>
        <w:adjustRightInd w:val="0"/>
        <w:snapToGrid w:val="0"/>
        <w:spacing w:line="400" w:lineRule="exact"/>
        <w:ind w:firstLine="562" w:firstLineChars="268"/>
        <w:rPr>
          <w:rFonts w:hAnsi="宋体"/>
          <w:b/>
        </w:rPr>
      </w:pPr>
      <w:r>
        <w:rPr>
          <w:rFonts w:hint="eastAsia" w:hAnsi="宋体"/>
          <w:b/>
        </w:rPr>
        <w:t>注：①办理投标保证金手续时，请务必在保证金凭据上注明或写明项目名称及项目编号，以免耽误投标。</w:t>
      </w:r>
    </w:p>
    <w:p w14:paraId="33515419">
      <w:pPr>
        <w:adjustRightInd w:val="0"/>
        <w:snapToGrid w:val="0"/>
        <w:spacing w:line="400" w:lineRule="exact"/>
        <w:ind w:firstLine="562" w:firstLineChars="268"/>
        <w:jc w:val="left"/>
        <w:rPr>
          <w:rFonts w:ascii="宋体" w:hAnsi="宋体"/>
          <w:b/>
          <w:szCs w:val="21"/>
        </w:rPr>
      </w:pPr>
      <w:r>
        <w:rPr>
          <w:rFonts w:hint="eastAsia" w:ascii="宋体" w:hAnsi="宋体"/>
          <w:b/>
          <w:szCs w:val="21"/>
        </w:rPr>
        <w:t>②未中标供应商的投标保证金在中标通知书发出后五个工作日内退还，不计利息。</w:t>
      </w:r>
    </w:p>
    <w:p w14:paraId="4811BDA9">
      <w:pPr>
        <w:adjustRightInd w:val="0"/>
        <w:snapToGrid w:val="0"/>
        <w:spacing w:line="400" w:lineRule="exact"/>
        <w:ind w:firstLine="562" w:firstLineChars="268"/>
        <w:jc w:val="left"/>
        <w:rPr>
          <w:rFonts w:ascii="宋体" w:hAnsi="宋体"/>
          <w:b/>
          <w:szCs w:val="21"/>
        </w:rPr>
      </w:pPr>
      <w:r>
        <w:rPr>
          <w:rFonts w:hint="eastAsia" w:ascii="宋体" w:hAnsi="宋体"/>
          <w:b/>
          <w:szCs w:val="21"/>
        </w:rPr>
        <w:t>③中标供应商的投标保证金自政府采购合同签订之日起五个工作日内（合同签订后送达本中心)后退还，不计利息。</w:t>
      </w:r>
    </w:p>
    <w:p w14:paraId="19DD9985">
      <w:pPr>
        <w:adjustRightInd w:val="0"/>
        <w:snapToGrid w:val="0"/>
        <w:spacing w:line="400" w:lineRule="exact"/>
        <w:ind w:firstLine="420" w:firstLineChars="200"/>
        <w:jc w:val="left"/>
        <w:rPr>
          <w:rFonts w:ascii="宋体" w:hAnsi="宋体"/>
          <w:szCs w:val="21"/>
        </w:rPr>
      </w:pPr>
      <w:r>
        <w:rPr>
          <w:rFonts w:hint="eastAsia" w:ascii="宋体" w:hAnsi="宋体"/>
          <w:szCs w:val="21"/>
        </w:rPr>
        <w:t>4.</w:t>
      </w:r>
      <w:r>
        <w:rPr>
          <w:rFonts w:hint="eastAsia" w:ascii="宋体" w:hAnsi="宋体" w:cs="宋体"/>
          <w:kern w:val="0"/>
          <w:szCs w:val="21"/>
        </w:rPr>
        <w:t>中标人应在中标通知书发出之日起</w:t>
      </w:r>
      <w:r>
        <w:rPr>
          <w:rFonts w:hint="eastAsia" w:ascii="宋体" w:hAnsi="宋体"/>
          <w:szCs w:val="21"/>
          <w:u w:val="single"/>
        </w:rPr>
        <w:t>二十五</w:t>
      </w:r>
      <w:r>
        <w:rPr>
          <w:rFonts w:hint="eastAsia" w:ascii="宋体" w:hAnsi="宋体"/>
          <w:szCs w:val="21"/>
        </w:rPr>
        <w:t>日内与配置单位签订合同。</w:t>
      </w:r>
      <w:r>
        <w:rPr>
          <w:rFonts w:hint="eastAsia" w:ascii="宋体" w:hAnsi="宋体"/>
          <w:bCs/>
          <w:szCs w:val="21"/>
        </w:rPr>
        <w:t>采购需求另有要求的，按照其要求执行。</w:t>
      </w:r>
    </w:p>
    <w:p w14:paraId="558592A9">
      <w:pPr>
        <w:pStyle w:val="29"/>
        <w:adjustRightInd w:val="0"/>
        <w:snapToGrid w:val="0"/>
        <w:spacing w:line="400" w:lineRule="exact"/>
        <w:ind w:firstLine="420" w:firstLineChars="200"/>
        <w:rPr>
          <w:rFonts w:hAnsi="宋体"/>
        </w:rPr>
      </w:pPr>
      <w:r>
        <w:rPr>
          <w:rFonts w:hint="eastAsia" w:hAnsi="宋体"/>
        </w:rPr>
        <w:t>5.投标保证金不计息。</w:t>
      </w:r>
    </w:p>
    <w:p w14:paraId="1580D108">
      <w:pPr>
        <w:adjustRightInd w:val="0"/>
        <w:snapToGrid w:val="0"/>
        <w:spacing w:line="400" w:lineRule="exact"/>
        <w:ind w:firstLine="411" w:firstLineChars="196"/>
        <w:jc w:val="left"/>
        <w:rPr>
          <w:rFonts w:ascii="宋体" w:hAnsi="宋体"/>
          <w:b/>
          <w:bCs/>
          <w:szCs w:val="21"/>
        </w:rPr>
      </w:pPr>
      <w:r>
        <w:rPr>
          <w:rFonts w:hint="eastAsia" w:ascii="宋体" w:hAnsi="宋体"/>
          <w:b/>
          <w:bCs/>
          <w:szCs w:val="21"/>
        </w:rPr>
        <w:t>6.投标人有下列情形之一的，投标保证金将不予退还：</w:t>
      </w:r>
    </w:p>
    <w:p w14:paraId="4635C0F9">
      <w:pPr>
        <w:adjustRightInd w:val="0"/>
        <w:snapToGrid w:val="0"/>
        <w:spacing w:line="400" w:lineRule="exact"/>
        <w:ind w:firstLine="411" w:firstLineChars="196"/>
        <w:jc w:val="left"/>
        <w:rPr>
          <w:rFonts w:ascii="宋体" w:hAnsi="宋体"/>
          <w:bCs/>
          <w:szCs w:val="21"/>
        </w:rPr>
      </w:pPr>
      <w:r>
        <w:rPr>
          <w:rFonts w:hint="eastAsia" w:ascii="宋体" w:hAnsi="宋体"/>
          <w:bCs/>
          <w:szCs w:val="21"/>
        </w:rPr>
        <w:t>（1）投标人在投标有效期内撤回投标文件的；</w:t>
      </w:r>
    </w:p>
    <w:p w14:paraId="25C9E946">
      <w:pPr>
        <w:adjustRightInd w:val="0"/>
        <w:snapToGrid w:val="0"/>
        <w:spacing w:line="400" w:lineRule="exact"/>
        <w:ind w:firstLine="411" w:firstLineChars="196"/>
        <w:jc w:val="left"/>
        <w:rPr>
          <w:rFonts w:ascii="宋体" w:hAnsi="宋体"/>
          <w:bCs/>
          <w:szCs w:val="21"/>
        </w:rPr>
      </w:pPr>
      <w:r>
        <w:rPr>
          <w:rFonts w:hint="eastAsia" w:ascii="宋体" w:hAnsi="宋体"/>
          <w:bCs/>
          <w:szCs w:val="21"/>
        </w:rPr>
        <w:t>（2）投标人在投标过程中弄虚作假，提供虚假材料的；</w:t>
      </w:r>
    </w:p>
    <w:p w14:paraId="2D0DB553">
      <w:pPr>
        <w:adjustRightInd w:val="0"/>
        <w:snapToGrid w:val="0"/>
        <w:spacing w:line="400" w:lineRule="exact"/>
        <w:ind w:firstLine="411" w:firstLineChars="196"/>
        <w:jc w:val="left"/>
        <w:rPr>
          <w:rFonts w:ascii="宋体" w:hAnsi="宋体"/>
          <w:bCs/>
          <w:szCs w:val="21"/>
        </w:rPr>
      </w:pPr>
      <w:r>
        <w:rPr>
          <w:rFonts w:hint="eastAsia" w:ascii="宋体" w:hAnsi="宋体"/>
          <w:bCs/>
          <w:szCs w:val="21"/>
        </w:rPr>
        <w:t>（3）中标人无正当理由不与配置单位签订合同的；</w:t>
      </w:r>
    </w:p>
    <w:p w14:paraId="192430EE">
      <w:pPr>
        <w:adjustRightInd w:val="0"/>
        <w:snapToGrid w:val="0"/>
        <w:spacing w:line="400" w:lineRule="exact"/>
        <w:ind w:firstLine="411" w:firstLineChars="196"/>
        <w:rPr>
          <w:rFonts w:ascii="宋体" w:hAnsi="宋体"/>
          <w:bCs/>
          <w:szCs w:val="21"/>
        </w:rPr>
      </w:pPr>
      <w:r>
        <w:rPr>
          <w:rFonts w:hint="eastAsia" w:ascii="宋体" w:hAnsi="宋体"/>
          <w:bCs/>
          <w:szCs w:val="21"/>
        </w:rPr>
        <w:t>（4）</w:t>
      </w:r>
      <w:r>
        <w:rPr>
          <w:rFonts w:hint="eastAsia" w:ascii="宋体" w:hAnsi="宋体"/>
          <w:bCs/>
          <w:spacing w:val="-4"/>
          <w:szCs w:val="21"/>
        </w:rPr>
        <w:t>将中标项目转让给他人或者在投标文件中未说明且未经招标采购人同意，将中标项目分包给他人的；</w:t>
      </w:r>
    </w:p>
    <w:p w14:paraId="11E23576">
      <w:pPr>
        <w:adjustRightInd w:val="0"/>
        <w:snapToGrid w:val="0"/>
        <w:spacing w:line="400" w:lineRule="exact"/>
        <w:ind w:firstLine="411" w:firstLineChars="196"/>
        <w:rPr>
          <w:rFonts w:ascii="宋体" w:hAnsi="宋体"/>
          <w:b/>
          <w:szCs w:val="21"/>
        </w:rPr>
      </w:pPr>
      <w:r>
        <w:rPr>
          <w:rFonts w:hint="eastAsia" w:ascii="宋体" w:hAnsi="宋体"/>
          <w:bCs/>
          <w:szCs w:val="21"/>
        </w:rPr>
        <w:t>（5）拒绝履</w:t>
      </w:r>
      <w:r>
        <w:rPr>
          <w:rFonts w:hint="eastAsia" w:ascii="宋体" w:hAnsi="宋体"/>
          <w:szCs w:val="21"/>
        </w:rPr>
        <w:t>行合同义务的；</w:t>
      </w:r>
    </w:p>
    <w:p w14:paraId="30F76065">
      <w:pPr>
        <w:adjustRightInd w:val="0"/>
        <w:snapToGrid w:val="0"/>
        <w:spacing w:line="400" w:lineRule="exact"/>
        <w:ind w:firstLine="420" w:firstLineChars="200"/>
        <w:rPr>
          <w:rFonts w:ascii="宋体" w:hAnsi="宋体"/>
          <w:szCs w:val="21"/>
        </w:rPr>
      </w:pPr>
      <w:r>
        <w:rPr>
          <w:rFonts w:hint="eastAsia" w:ascii="宋体" w:hAnsi="宋体"/>
          <w:szCs w:val="21"/>
        </w:rPr>
        <w:t>（6）其他严重扰乱招投标程序的。</w:t>
      </w:r>
    </w:p>
    <w:p w14:paraId="54D84C6C">
      <w:pPr>
        <w:adjustRightInd w:val="0"/>
        <w:snapToGrid w:val="0"/>
        <w:spacing w:line="400" w:lineRule="exact"/>
        <w:ind w:firstLine="420" w:firstLineChars="200"/>
        <w:rPr>
          <w:rFonts w:ascii="宋体" w:hAnsi="宋体"/>
          <w:b/>
          <w:szCs w:val="21"/>
        </w:rPr>
      </w:pPr>
      <w:bookmarkStart w:id="41" w:name="_Toc254970683"/>
      <w:bookmarkStart w:id="42" w:name="_Toc254970542"/>
      <w:r>
        <w:rPr>
          <w:rFonts w:hint="eastAsia" w:ascii="宋体" w:hAnsi="宋体"/>
          <w:b/>
          <w:szCs w:val="21"/>
        </w:rPr>
        <w:t>（六）投标文件的签署和份数</w:t>
      </w:r>
      <w:bookmarkEnd w:id="41"/>
      <w:bookmarkEnd w:id="42"/>
    </w:p>
    <w:p w14:paraId="28D05B63">
      <w:pPr>
        <w:adjustRightInd w:val="0"/>
        <w:snapToGrid w:val="0"/>
        <w:spacing w:line="400" w:lineRule="exact"/>
        <w:ind w:firstLine="420" w:firstLineChars="200"/>
        <w:jc w:val="left"/>
        <w:rPr>
          <w:rFonts w:ascii="宋体" w:hAnsi="宋体"/>
          <w:szCs w:val="21"/>
        </w:rPr>
      </w:pPr>
      <w:r>
        <w:rPr>
          <w:rFonts w:hint="eastAsia" w:ascii="宋体" w:hAnsi="宋体"/>
          <w:szCs w:val="21"/>
        </w:rPr>
        <w:t>1.投标人应按本招标文件规定的格式和顺序编制并标注页码，投标文件内容不完整、编排混乱导致投标文件被误读、漏读或者查找不到相关内容的，是投标人的责任。</w:t>
      </w:r>
    </w:p>
    <w:p w14:paraId="3A2DCFE5">
      <w:pPr>
        <w:adjustRightInd w:val="0"/>
        <w:snapToGrid w:val="0"/>
        <w:spacing w:line="400" w:lineRule="exact"/>
        <w:ind w:firstLine="420" w:firstLineChars="200"/>
        <w:jc w:val="left"/>
        <w:rPr>
          <w:rFonts w:ascii="宋体" w:hAnsi="宋体"/>
          <w:szCs w:val="21"/>
        </w:rPr>
      </w:pPr>
      <w:r>
        <w:rPr>
          <w:rFonts w:hint="eastAsia" w:ascii="宋体" w:hAnsi="宋体"/>
          <w:szCs w:val="21"/>
        </w:rPr>
        <w:t>2.投标文件份数：见投标人须知及前附表。</w:t>
      </w:r>
    </w:p>
    <w:p w14:paraId="39E86325">
      <w:pPr>
        <w:adjustRightInd w:val="0"/>
        <w:snapToGrid w:val="0"/>
        <w:spacing w:line="400" w:lineRule="exact"/>
        <w:ind w:firstLine="420" w:firstLineChars="200"/>
        <w:jc w:val="left"/>
        <w:rPr>
          <w:rFonts w:ascii="宋体" w:hAnsi="宋体"/>
          <w:szCs w:val="21"/>
        </w:rPr>
      </w:pPr>
      <w:r>
        <w:rPr>
          <w:rFonts w:hint="eastAsia" w:ascii="宋体" w:hAnsi="宋体"/>
          <w:szCs w:val="21"/>
        </w:rPr>
        <w:t>3.投标文件须由投标人在规定位置盖章并由法定代表人或法定代表人的授权委托人签署，投标人应写全称。</w:t>
      </w:r>
    </w:p>
    <w:p w14:paraId="1FC37BEE">
      <w:pPr>
        <w:adjustRightInd w:val="0"/>
        <w:snapToGrid w:val="0"/>
        <w:spacing w:line="400" w:lineRule="exact"/>
        <w:ind w:firstLine="420" w:firstLineChars="200"/>
        <w:jc w:val="left"/>
        <w:rPr>
          <w:rFonts w:ascii="宋体" w:hAnsi="宋体"/>
          <w:szCs w:val="21"/>
        </w:rPr>
      </w:pPr>
      <w:r>
        <w:rPr>
          <w:rFonts w:hint="eastAsia" w:ascii="宋体" w:hAnsi="宋体"/>
          <w:szCs w:val="21"/>
        </w:rPr>
        <w:t>4.投标文件不得涂改，若有修改错漏处，须加盖单位公章或者法定代表人或授权委托人签字或盖章。投标文件因扫描不清晰或乱码或表达不清所引起的后果由投标人负责。</w:t>
      </w:r>
    </w:p>
    <w:p w14:paraId="18E1EC86">
      <w:pPr>
        <w:adjustRightInd w:val="0"/>
        <w:snapToGrid w:val="0"/>
        <w:spacing w:line="400" w:lineRule="exact"/>
        <w:ind w:firstLine="420" w:firstLineChars="200"/>
        <w:rPr>
          <w:rFonts w:ascii="宋体" w:hAnsi="宋体"/>
          <w:b/>
          <w:szCs w:val="21"/>
        </w:rPr>
      </w:pPr>
      <w:r>
        <w:rPr>
          <w:rFonts w:hint="eastAsia" w:ascii="宋体" w:hAnsi="宋体"/>
          <w:b/>
          <w:szCs w:val="21"/>
        </w:rPr>
        <w:t>（七）投标文件的上传、提交、修改、撤回和解密</w:t>
      </w:r>
    </w:p>
    <w:p w14:paraId="6DCCBFC7">
      <w:pPr>
        <w:adjustRightInd w:val="0"/>
        <w:snapToGrid w:val="0"/>
        <w:spacing w:line="400" w:lineRule="exact"/>
        <w:ind w:firstLine="420"/>
        <w:jc w:val="left"/>
        <w:rPr>
          <w:rFonts w:ascii="宋体" w:hAnsi="宋体"/>
          <w:b/>
          <w:szCs w:val="21"/>
        </w:rPr>
      </w:pPr>
      <w:r>
        <w:rPr>
          <w:rFonts w:hint="eastAsia" w:ascii="宋体" w:hAnsi="宋体"/>
          <w:szCs w:val="21"/>
        </w:rPr>
        <w:t>▲1.</w:t>
      </w:r>
      <w:r>
        <w:rPr>
          <w:rFonts w:hint="eastAsia" w:ascii="宋体" w:hAnsi="宋体"/>
          <w:b/>
          <w:szCs w:val="21"/>
        </w:rPr>
        <w:t>投标文件的上传、提交：见投标人须知及前附表。</w:t>
      </w:r>
    </w:p>
    <w:p w14:paraId="6FF59884">
      <w:pPr>
        <w:adjustRightInd w:val="0"/>
        <w:snapToGrid w:val="0"/>
        <w:spacing w:line="400" w:lineRule="exact"/>
        <w:ind w:firstLine="420"/>
        <w:jc w:val="left"/>
        <w:rPr>
          <w:rFonts w:ascii="宋体" w:hAnsi="宋体"/>
          <w:szCs w:val="21"/>
        </w:rPr>
      </w:pPr>
      <w:r>
        <w:rPr>
          <w:rFonts w:hint="eastAsia" w:ascii="宋体" w:hAnsi="宋体"/>
          <w:szCs w:val="21"/>
        </w:rPr>
        <w:t>2.</w:t>
      </w:r>
      <w:r>
        <w:rPr>
          <w:rFonts w:hint="eastAsia" w:ascii="宋体" w:hAnsi="宋体" w:cs="仿宋_GB2312"/>
          <w:kern w:val="0"/>
          <w:szCs w:val="21"/>
          <w:lang w:val="zh-CN"/>
        </w:rPr>
        <w:t>投标文件的修改和撤回：供应商应当在投标截止时间前完成投标文件的上传、提交，并可以补充、修改或者撤回投标文件。补充或者修改投标文件的，应当先行撤回原文件，补充、修改后重新上传、提交。投标截止时间前未完成上传、提交的，视为撤回投标文件。投标截止时间后提交的投标文件，“广西政府采购云平台”将予以拒收。投标截止时间后，投标供应商不得撤回、修改投标文件。</w:t>
      </w:r>
    </w:p>
    <w:p w14:paraId="714FC2BA">
      <w:pPr>
        <w:adjustRightInd w:val="0"/>
        <w:snapToGrid w:val="0"/>
        <w:spacing w:line="400" w:lineRule="exact"/>
        <w:ind w:firstLine="424" w:firstLineChars="210"/>
        <w:rPr>
          <w:rFonts w:ascii="宋体" w:hAnsi="宋体"/>
          <w:spacing w:val="-4"/>
          <w:szCs w:val="21"/>
        </w:rPr>
      </w:pPr>
      <w:bookmarkStart w:id="43" w:name="_Toc254970684"/>
      <w:bookmarkStart w:id="44" w:name="_Toc254970543"/>
      <w:r>
        <w:rPr>
          <w:rFonts w:hint="eastAsia" w:ascii="宋体" w:hAnsi="宋体"/>
          <w:spacing w:val="-4"/>
          <w:szCs w:val="21"/>
        </w:rPr>
        <w:t>3.</w:t>
      </w:r>
      <w:r>
        <w:rPr>
          <w:rFonts w:hint="eastAsia" w:ascii="宋体" w:hAnsi="宋体"/>
          <w:snapToGrid w:val="0"/>
          <w:szCs w:val="21"/>
        </w:rPr>
        <w:t>电子加密投标文件的解密：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p w14:paraId="23CCC0FF">
      <w:pPr>
        <w:adjustRightInd w:val="0"/>
        <w:snapToGrid w:val="0"/>
        <w:spacing w:line="400" w:lineRule="exact"/>
        <w:ind w:firstLine="420"/>
        <w:jc w:val="left"/>
        <w:rPr>
          <w:rFonts w:ascii="宋体" w:hAnsi="宋体"/>
          <w:spacing w:val="-4"/>
          <w:szCs w:val="21"/>
        </w:rPr>
      </w:pPr>
      <w:r>
        <w:rPr>
          <w:rFonts w:hint="eastAsia" w:ascii="宋体" w:hAnsi="宋体"/>
          <w:spacing w:val="-4"/>
          <w:szCs w:val="21"/>
        </w:rPr>
        <w:t>4.投标人已经被推荐为第一中标候选供应商后撤回投标或放弃中标的，其投标保证金将不予退还，并上缴国库，给配置单位造成损失的，还应当赔偿损失，并作为不良行为记录在案。</w:t>
      </w:r>
    </w:p>
    <w:p w14:paraId="7FFAA9E0">
      <w:pPr>
        <w:adjustRightInd w:val="0"/>
        <w:snapToGrid w:val="0"/>
        <w:spacing w:line="400" w:lineRule="exact"/>
        <w:ind w:firstLine="420" w:firstLineChars="200"/>
        <w:rPr>
          <w:rFonts w:ascii="宋体" w:hAnsi="宋体"/>
          <w:b/>
          <w:szCs w:val="21"/>
        </w:rPr>
      </w:pPr>
      <w:r>
        <w:rPr>
          <w:rFonts w:hint="eastAsia" w:ascii="宋体" w:hAnsi="宋体"/>
          <w:b/>
          <w:szCs w:val="21"/>
        </w:rPr>
        <w:t>（八）投标无效的情形</w:t>
      </w:r>
      <w:bookmarkEnd w:id="43"/>
      <w:bookmarkEnd w:id="44"/>
    </w:p>
    <w:p w14:paraId="57591CE5">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实质上没有响应招标文件要求的投标将被视为无效投标。投标人不得通过修正或撤销不合要求的偏离或保留从而使其投标成为实质上响应的投标，但经评标委会认定属于投标人疏忽、笔误所造成的差错，应当允许其在评标结束之前在广西政府采购云平台上进行修改或者补正并加盖单位公章。在评标委员会发出询标函规定的回复限期内不补正或经补正后仍不符合招标文件要求的，应认定其投标无效。投标人修改、补正投标文件后，不影响评标委员会对其投标文件所作的评价和评分结果。</w:t>
      </w:r>
    </w:p>
    <w:p w14:paraId="5E0EC3E0">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1.在符合性审查和资格性审查时，如发现下列情形之一的，投标文件将被视为无效：</w:t>
      </w:r>
    </w:p>
    <w:p w14:paraId="6FFC41A7">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（1）超越了按照法律法规规定必须获得行政许可或者行政审批的经营范围的；</w:t>
      </w:r>
    </w:p>
    <w:p w14:paraId="71E933EE">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（2）资格证明文件不全的，或者不符合招标文件标明的资格要求的；</w:t>
      </w:r>
    </w:p>
    <w:p w14:paraId="4247517B">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（3）投标文件无法定代表人或其授权委托代理人签字，或未提供法定代表人授权委托书、投标声明书或者填写项目不齐全的；</w:t>
      </w:r>
    </w:p>
    <w:p w14:paraId="7A4E7D1E">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（4）投标代表人未能出具身份证明或与法定代表人授权委托人身份不符的；</w:t>
      </w:r>
    </w:p>
    <w:p w14:paraId="43F37637">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（5）项目不齐全或者内容虚假的；</w:t>
      </w:r>
    </w:p>
    <w:p w14:paraId="1415FA5D">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（6）投标文件的实质性内容未使用中文表述、意思表述不明确、前后矛盾或者使用计量单位不符合投标文件要求的（经评标委员会认定并允许其在线更正的笔误除外）；</w:t>
      </w:r>
    </w:p>
    <w:p w14:paraId="50A52F8A">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（7）投标有效期、交付使用时间、质保期等商务条款不能满足招标文件要求的；</w:t>
      </w:r>
    </w:p>
    <w:p w14:paraId="1A381B8E">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（8）未实质性响应招标文件要求或者投标文件有招标方不能接受的附加条件的；</w:t>
      </w:r>
    </w:p>
    <w:p w14:paraId="5927BC57">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（9）</w:t>
      </w:r>
      <w:r>
        <w:rPr>
          <w:rFonts w:ascii="宋体" w:hAnsi="宋体" w:eastAsia="宋体"/>
          <w:spacing w:val="-4"/>
          <w:sz w:val="21"/>
          <w:szCs w:val="21"/>
        </w:rPr>
        <w:t>未按照招标文件的规定提交投标保证金的</w:t>
      </w:r>
      <w:r>
        <w:rPr>
          <w:rFonts w:hint="eastAsia" w:ascii="宋体" w:hAnsi="宋体" w:eastAsia="宋体"/>
          <w:bCs/>
          <w:sz w:val="21"/>
          <w:szCs w:val="21"/>
        </w:rPr>
        <w:t>（说明：评标时，评标委员会将以本中心财务室编制的《采购文件购买名单及保证金收缴情况表》作为评审依据）。</w:t>
      </w:r>
    </w:p>
    <w:p w14:paraId="5FE41C6D">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2.在技术评审时，如发现下列情形之一的，投标文件将被视为无效：</w:t>
      </w:r>
    </w:p>
    <w:p w14:paraId="0894D42F">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（1）未提供或未如实提供投标货物的技术参数，或者投标文件标明的响应或偏离与事实不符或虚假投标的；</w:t>
      </w:r>
    </w:p>
    <w:p w14:paraId="1DCBAD70">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（2）明显不符合招标文件要求的规格型号、质量标准，或者与招标文件中的技术指标、主要功能项目发生实质性偏离的；</w:t>
      </w:r>
    </w:p>
    <w:p w14:paraId="280949A1">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（3）项目采购需求中要求带“▲”的内容项目发生负偏离达1项（含）以上的；</w:t>
      </w:r>
    </w:p>
    <w:p w14:paraId="4ED823CE">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（4）投标技术方案不明确，存在一个或一个以上备选（替换）投标方案的；</w:t>
      </w:r>
    </w:p>
    <w:p w14:paraId="0A6D40C9">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（5）与其他参加本次投标供应商的投标文件（技术文件）的文字表述内容差错相同二处以上的。</w:t>
      </w:r>
    </w:p>
    <w:p w14:paraId="31D16916">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3.在报价评审时，如发现下列情形之一的，投标文件将被视为无效：</w:t>
      </w:r>
    </w:p>
    <w:p w14:paraId="0AF20149">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（1）未采用人民币报价或者未按照招标文件标明的币种报价的；</w:t>
      </w:r>
    </w:p>
    <w:p w14:paraId="2760B8F9">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（2）报价超出最高限价，或者超出采购预算金额，配置单位不能支付的；</w:t>
      </w:r>
    </w:p>
    <w:p w14:paraId="1CE0C4DB">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（3）投标报价具有选择性，或者开标价格与投标文件承诺的优惠（折扣）价格不一致的。</w:t>
      </w:r>
    </w:p>
    <w:p w14:paraId="0D5B5A1A">
      <w:pPr>
        <w:pStyle w:val="22"/>
        <w:adjustRightInd w:val="0"/>
        <w:snapToGrid w:val="0"/>
        <w:spacing w:line="400" w:lineRule="exact"/>
        <w:ind w:firstLine="395" w:firstLineChars="196"/>
        <w:rPr>
          <w:rFonts w:ascii="宋体" w:hAnsi="宋体" w:eastAsia="宋体"/>
          <w:bCs/>
          <w:sz w:val="21"/>
          <w:szCs w:val="21"/>
        </w:rPr>
      </w:pPr>
      <w:r>
        <w:rPr>
          <w:rFonts w:hint="eastAsia" w:ascii="宋体" w:hAnsi="宋体" w:eastAsia="宋体"/>
          <w:spacing w:val="-4"/>
          <w:sz w:val="21"/>
          <w:szCs w:val="21"/>
        </w:rPr>
        <w:t>（4）评标委员会在评审中，经启动异常低价审查程序后供应商未能证明其报价合理性的。</w:t>
      </w:r>
    </w:p>
    <w:p w14:paraId="62298947">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4.有下列情形之一的视为投标人相互串通投标，投标文件将被视为无效:</w:t>
      </w:r>
    </w:p>
    <w:p w14:paraId="3C6A41B3">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（1）不同投标人的投标文件由同一单位或者个人编制；或不同投标人报名的IP地址一致的；</w:t>
      </w:r>
    </w:p>
    <w:p w14:paraId="1AE71087">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（2）不同投标人委托同一单位或者个人办理投标事宜；</w:t>
      </w:r>
    </w:p>
    <w:p w14:paraId="4B50B02E">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spacing w:val="-4"/>
          <w:sz w:val="21"/>
          <w:szCs w:val="21"/>
        </w:rPr>
        <w:t>不同投标人的投标文件载明的项目管理成员或者联系人员为同一人</w:t>
      </w:r>
      <w:r>
        <w:rPr>
          <w:rFonts w:hint="eastAsia" w:ascii="宋体" w:hAnsi="宋体" w:eastAsia="宋体"/>
          <w:bCs/>
          <w:sz w:val="21"/>
          <w:szCs w:val="21"/>
        </w:rPr>
        <w:t>；</w:t>
      </w:r>
    </w:p>
    <w:p w14:paraId="0FBC48F8">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（4）不同投标人的投标文件异常一致或投标报价呈规律性差异；</w:t>
      </w:r>
    </w:p>
    <w:p w14:paraId="78770451">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（5）不同投标人的投标文件相互混装；</w:t>
      </w:r>
    </w:p>
    <w:p w14:paraId="2AF001D7">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（6）不同投标人的投标保证金从同一个单位或者个人账户转出。</w:t>
      </w:r>
    </w:p>
    <w:p w14:paraId="06EE85F6">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5.其他投标无效的情形：</w:t>
      </w:r>
    </w:p>
    <w:p w14:paraId="6A301C95">
      <w:pPr>
        <w:pStyle w:val="22"/>
        <w:adjustRightInd w:val="0"/>
        <w:snapToGrid w:val="0"/>
        <w:spacing w:line="400" w:lineRule="exact"/>
        <w:ind w:firstLine="411" w:firstLineChars="196"/>
        <w:rPr>
          <w:rFonts w:ascii="宋体" w:hAnsi="宋体" w:eastAsia="宋体"/>
          <w:b/>
          <w:bCs/>
          <w:sz w:val="21"/>
          <w:szCs w:val="21"/>
        </w:rPr>
      </w:pPr>
      <w:r>
        <w:rPr>
          <w:rFonts w:hint="eastAsia" w:ascii="宋体" w:hAnsi="宋体" w:eastAsia="宋体"/>
          <w:b/>
          <w:bCs/>
          <w:sz w:val="21"/>
          <w:szCs w:val="21"/>
        </w:rPr>
        <w:t>（1）</w:t>
      </w:r>
      <w:r>
        <w:rPr>
          <w:rFonts w:ascii="宋体" w:hAnsi="宋体" w:eastAsia="宋体"/>
          <w:b/>
          <w:bCs/>
          <w:sz w:val="21"/>
          <w:szCs w:val="21"/>
        </w:rPr>
        <w:t>投标文件未按招标文件要求签署</w:t>
      </w:r>
      <w:r>
        <w:rPr>
          <w:rFonts w:hint="eastAsia" w:ascii="宋体" w:hAnsi="宋体" w:eastAsia="宋体"/>
          <w:b/>
          <w:bCs/>
          <w:sz w:val="21"/>
          <w:szCs w:val="21"/>
        </w:rPr>
        <w:t>或</w:t>
      </w:r>
      <w:r>
        <w:rPr>
          <w:rFonts w:ascii="宋体" w:hAnsi="宋体" w:eastAsia="宋体"/>
          <w:b/>
          <w:bCs/>
          <w:sz w:val="21"/>
          <w:szCs w:val="21"/>
        </w:rPr>
        <w:t>CA电子签章的；</w:t>
      </w:r>
    </w:p>
    <w:p w14:paraId="5118E465">
      <w:pPr>
        <w:pStyle w:val="22"/>
        <w:adjustRightInd w:val="0"/>
        <w:snapToGrid w:val="0"/>
        <w:spacing w:line="400" w:lineRule="exact"/>
        <w:ind w:firstLine="411" w:firstLineChars="196"/>
        <w:rPr>
          <w:rFonts w:ascii="宋体" w:hAnsi="宋体" w:eastAsia="宋体"/>
          <w:b/>
          <w:bCs/>
          <w:sz w:val="21"/>
          <w:szCs w:val="21"/>
        </w:rPr>
      </w:pPr>
      <w:r>
        <w:rPr>
          <w:rFonts w:hint="eastAsia" w:ascii="宋体" w:hAnsi="宋体" w:eastAsia="宋体"/>
          <w:b/>
          <w:bCs/>
          <w:sz w:val="21"/>
          <w:szCs w:val="21"/>
        </w:rPr>
        <w:t>（2）</w:t>
      </w:r>
      <w:r>
        <w:rPr>
          <w:rFonts w:ascii="宋体" w:hAnsi="宋体" w:eastAsia="宋体"/>
          <w:b/>
          <w:bCs/>
          <w:sz w:val="21"/>
          <w:szCs w:val="21"/>
        </w:rPr>
        <w:t>供应商提交两份或两份以上内容不同的投标文件；</w:t>
      </w:r>
    </w:p>
    <w:p w14:paraId="37EE3730">
      <w:pPr>
        <w:pStyle w:val="29"/>
        <w:adjustRightInd w:val="0"/>
        <w:snapToGrid w:val="0"/>
        <w:spacing w:line="400" w:lineRule="exact"/>
        <w:ind w:firstLine="420" w:firstLineChars="200"/>
        <w:rPr>
          <w:rFonts w:hAnsi="宋体"/>
          <w:b/>
          <w:bCs/>
        </w:rPr>
      </w:pPr>
      <w:r>
        <w:rPr>
          <w:rFonts w:hint="eastAsia" w:hAnsi="宋体"/>
          <w:b/>
          <w:bCs/>
        </w:rPr>
        <w:t>（3）</w:t>
      </w:r>
      <w:r>
        <w:rPr>
          <w:rFonts w:hAnsi="宋体"/>
          <w:b/>
          <w:bCs/>
        </w:rPr>
        <w:t>投标供应商在线制作投标文件时</w:t>
      </w:r>
      <w:r>
        <w:rPr>
          <w:rFonts w:hint="eastAsia" w:hAnsi="宋体"/>
          <w:b/>
          <w:bCs/>
        </w:rPr>
        <w:t>填写的报价金额</w:t>
      </w:r>
      <w:r>
        <w:rPr>
          <w:rFonts w:hAnsi="宋体"/>
          <w:b/>
          <w:bCs/>
        </w:rPr>
        <w:t>与解密后“电子加密投标文件”中《开标一览表》填写的金额不一致并拒绝按招标文件要求接受调整的；</w:t>
      </w:r>
    </w:p>
    <w:p w14:paraId="50CBDA2F">
      <w:pPr>
        <w:pStyle w:val="22"/>
        <w:adjustRightInd w:val="0"/>
        <w:snapToGrid w:val="0"/>
        <w:spacing w:line="400" w:lineRule="exact"/>
        <w:ind w:firstLine="411" w:firstLineChars="196"/>
        <w:rPr>
          <w:rFonts w:ascii="宋体" w:hAnsi="宋体" w:eastAsia="宋体" w:cs="Courier New"/>
          <w:b/>
          <w:bCs/>
          <w:sz w:val="21"/>
          <w:szCs w:val="21"/>
        </w:rPr>
      </w:pPr>
      <w:r>
        <w:rPr>
          <w:rFonts w:hint="eastAsia" w:ascii="宋体" w:hAnsi="宋体" w:eastAsia="宋体" w:cs="Courier New"/>
          <w:b/>
          <w:bCs/>
          <w:sz w:val="21"/>
          <w:szCs w:val="21"/>
        </w:rPr>
        <w:t>（4）</w:t>
      </w:r>
      <w:r>
        <w:rPr>
          <w:rFonts w:ascii="宋体" w:hAnsi="宋体" w:eastAsia="宋体" w:cs="Courier New"/>
          <w:b/>
          <w:bCs/>
          <w:sz w:val="21"/>
          <w:szCs w:val="21"/>
        </w:rPr>
        <w:t>法律、法规和招标文件规定的其他无效情形（或出现重大偏差）。</w:t>
      </w:r>
    </w:p>
    <w:p w14:paraId="444BE270">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6.被拒绝的投标文件为无效。</w:t>
      </w:r>
    </w:p>
    <w:p w14:paraId="2933B516">
      <w:pPr>
        <w:pStyle w:val="29"/>
        <w:adjustRightInd w:val="0"/>
        <w:snapToGrid w:val="0"/>
        <w:spacing w:line="400" w:lineRule="exact"/>
        <w:rPr>
          <w:rFonts w:hAnsi="宋体"/>
          <w:b/>
        </w:rPr>
      </w:pPr>
      <w:bookmarkStart w:id="45" w:name="_Toc254970685"/>
      <w:bookmarkStart w:id="46" w:name="_Toc254970544"/>
      <w:r>
        <w:rPr>
          <w:rFonts w:hint="eastAsia" w:hAnsi="宋体"/>
          <w:b/>
        </w:rPr>
        <w:t>四、开标</w:t>
      </w:r>
      <w:bookmarkEnd w:id="45"/>
      <w:bookmarkEnd w:id="46"/>
    </w:p>
    <w:p w14:paraId="22DAA81B">
      <w:pPr>
        <w:adjustRightInd w:val="0"/>
        <w:snapToGrid w:val="0"/>
        <w:spacing w:line="400" w:lineRule="exact"/>
        <w:ind w:firstLine="420" w:firstLineChars="200"/>
        <w:rPr>
          <w:rFonts w:ascii="宋体" w:hAnsi="宋体"/>
          <w:b/>
          <w:szCs w:val="21"/>
        </w:rPr>
      </w:pPr>
      <w:r>
        <w:rPr>
          <w:rFonts w:hint="eastAsia" w:ascii="宋体" w:hAnsi="宋体"/>
          <w:b/>
          <w:szCs w:val="21"/>
        </w:rPr>
        <w:t>（一）开标准备</w:t>
      </w:r>
    </w:p>
    <w:p w14:paraId="1D9625EF">
      <w:pPr>
        <w:adjustRightInd w:val="0"/>
        <w:snapToGrid w:val="0"/>
        <w:spacing w:line="400" w:lineRule="exact"/>
        <w:ind w:firstLine="420" w:firstLineChars="200"/>
        <w:rPr>
          <w:rFonts w:ascii="宋体" w:hAnsi="宋体"/>
          <w:bCs/>
          <w:szCs w:val="21"/>
        </w:rPr>
      </w:pPr>
      <w:r>
        <w:rPr>
          <w:rFonts w:hint="eastAsia" w:ascii="宋体" w:hAnsi="宋体"/>
          <w:szCs w:val="21"/>
        </w:rPr>
        <w:t>本中心按招标文件规定的时间、地点通过“广西政府采购云平台”组织开标、开启投标文件，所有供应商均应当准时在线参加。投</w:t>
      </w:r>
      <w:r>
        <w:rPr>
          <w:rFonts w:ascii="宋体" w:hAnsi="宋体"/>
          <w:szCs w:val="21"/>
        </w:rPr>
        <w:t>标供应商因未在线参加开标而导致投标文件无法按时解密等一切后果由供应商自</w:t>
      </w:r>
      <w:r>
        <w:rPr>
          <w:rFonts w:hint="eastAsia" w:ascii="宋体" w:hAnsi="宋体"/>
          <w:szCs w:val="21"/>
        </w:rPr>
        <w:t>行</w:t>
      </w:r>
      <w:r>
        <w:rPr>
          <w:rFonts w:ascii="宋体" w:hAnsi="宋体"/>
          <w:szCs w:val="21"/>
        </w:rPr>
        <w:t>承担。</w:t>
      </w:r>
    </w:p>
    <w:p w14:paraId="31061BB7">
      <w:pPr>
        <w:adjustRightInd w:val="0"/>
        <w:snapToGrid w:val="0"/>
        <w:spacing w:line="400" w:lineRule="exact"/>
        <w:ind w:firstLine="420" w:firstLineChars="200"/>
        <w:rPr>
          <w:rFonts w:ascii="宋体" w:hAnsi="宋体"/>
          <w:b/>
          <w:szCs w:val="21"/>
        </w:rPr>
      </w:pPr>
      <w:r>
        <w:rPr>
          <w:rFonts w:hint="eastAsia" w:ascii="宋体" w:hAnsi="宋体"/>
          <w:b/>
          <w:szCs w:val="21"/>
        </w:rPr>
        <w:t>（二） 开标程序：</w:t>
      </w:r>
    </w:p>
    <w:p w14:paraId="4EB1AF33">
      <w:pPr>
        <w:pStyle w:val="29"/>
        <w:adjustRightInd w:val="0"/>
        <w:snapToGrid w:val="0"/>
        <w:spacing w:line="400" w:lineRule="exact"/>
        <w:ind w:firstLine="420" w:firstLineChars="200"/>
        <w:rPr>
          <w:rFonts w:hAnsi="宋体"/>
        </w:rPr>
      </w:pPr>
      <w:r>
        <w:rPr>
          <w:rFonts w:hint="eastAsia" w:hAnsi="宋体"/>
        </w:rPr>
        <w:t>1.电子开标会由本中心主持。</w:t>
      </w:r>
    </w:p>
    <w:p w14:paraId="107ABF3F">
      <w:pPr>
        <w:pStyle w:val="29"/>
        <w:adjustRightInd w:val="0"/>
        <w:snapToGrid w:val="0"/>
        <w:spacing w:line="400" w:lineRule="exact"/>
        <w:ind w:firstLine="420" w:firstLineChars="200"/>
        <w:rPr>
          <w:rFonts w:hAnsi="宋体"/>
        </w:rPr>
      </w:pPr>
      <w:r>
        <w:rPr>
          <w:rFonts w:hint="eastAsia" w:hAnsi="宋体"/>
        </w:rPr>
        <w:t>2.本中心工作人员向各投标供应商发出电子加密投标文件【开始解密】通知，由供应商按招标文件规定的时间内自行进行投标文件解密。</w:t>
      </w:r>
      <w:r>
        <w:rPr>
          <w:rFonts w:hint="eastAsia" w:hAnsi="宋体"/>
          <w:snapToGrid w:val="0"/>
        </w:rPr>
        <w:t>投标供应商未在规定时间内完成解密的，系统默认自动放弃。</w:t>
      </w:r>
    </w:p>
    <w:p w14:paraId="2CD5A5AA">
      <w:pPr>
        <w:pStyle w:val="29"/>
        <w:adjustRightInd w:val="0"/>
        <w:snapToGrid w:val="0"/>
        <w:spacing w:line="400" w:lineRule="exact"/>
        <w:ind w:firstLine="420" w:firstLineChars="200"/>
        <w:rPr>
          <w:rFonts w:hAnsi="宋体"/>
        </w:rPr>
      </w:pPr>
      <w:r>
        <w:rPr>
          <w:rFonts w:hint="eastAsia" w:hAnsi="宋体"/>
        </w:rPr>
        <w:t>3.</w:t>
      </w:r>
      <w:r>
        <w:rPr>
          <w:rFonts w:hAnsi="宋体"/>
        </w:rPr>
        <w:t>投标文件解密结束，开启</w:t>
      </w:r>
      <w:r>
        <w:rPr>
          <w:rFonts w:hint="eastAsia" w:hAnsi="宋体"/>
        </w:rPr>
        <w:t>报价文件。投标供应商在线制作投标文件时填写的报价金额</w:t>
      </w:r>
      <w:r>
        <w:rPr>
          <w:rFonts w:hAnsi="宋体"/>
        </w:rPr>
        <w:t>与解密后“电子加密投标文件”中《开标一览表》填写的金额不一致的，以解密后“电子加密投标文件”中《开标一览表》填写的金额为准，投标供应商拒绝接受此调整的，按无效投标处理。</w:t>
      </w:r>
    </w:p>
    <w:p w14:paraId="7C2F86B7">
      <w:pPr>
        <w:pStyle w:val="29"/>
        <w:adjustRightInd w:val="0"/>
        <w:snapToGrid w:val="0"/>
        <w:spacing w:line="400" w:lineRule="exact"/>
        <w:ind w:firstLine="420" w:firstLineChars="200"/>
        <w:rPr>
          <w:rFonts w:hAnsi="宋体"/>
        </w:rPr>
      </w:pPr>
      <w:r>
        <w:rPr>
          <w:rFonts w:hint="eastAsia" w:hAnsi="宋体"/>
        </w:rPr>
        <w:t>4.进入</w:t>
      </w:r>
      <w:r>
        <w:rPr>
          <w:rFonts w:hAnsi="宋体"/>
        </w:rPr>
        <w:t>资格文件</w:t>
      </w:r>
      <w:r>
        <w:rPr>
          <w:rFonts w:hint="eastAsia" w:hAnsi="宋体"/>
        </w:rPr>
        <w:t>审查环节</w:t>
      </w:r>
      <w:r>
        <w:rPr>
          <w:rFonts w:hAnsi="宋体"/>
        </w:rPr>
        <w:t>，</w:t>
      </w:r>
      <w:r>
        <w:rPr>
          <w:rFonts w:hint="eastAsia" w:hAnsi="宋体"/>
        </w:rPr>
        <w:t>本中心或者招标采购单位</w:t>
      </w:r>
      <w:r>
        <w:rPr>
          <w:rFonts w:hAnsi="宋体"/>
        </w:rPr>
        <w:t>依法对投标供应商的资格进行审查。</w:t>
      </w:r>
    </w:p>
    <w:p w14:paraId="0A445C7C">
      <w:pPr>
        <w:pStyle w:val="29"/>
        <w:adjustRightInd w:val="0"/>
        <w:snapToGrid w:val="0"/>
        <w:spacing w:line="400" w:lineRule="exact"/>
        <w:ind w:firstLine="420" w:firstLineChars="200"/>
        <w:rPr>
          <w:rFonts w:hAnsi="宋体"/>
        </w:rPr>
      </w:pPr>
      <w:r>
        <w:rPr>
          <w:rFonts w:hint="eastAsia" w:hAnsi="宋体"/>
        </w:rPr>
        <w:t>5.</w:t>
      </w:r>
      <w:r>
        <w:rPr>
          <w:rFonts w:hAnsi="宋体"/>
        </w:rPr>
        <w:t>开启资格审查通过的投标供应商的商务技术文件进入符合性审查及商务技术评审</w:t>
      </w:r>
      <w:r>
        <w:rPr>
          <w:rFonts w:hint="eastAsia" w:hAnsi="宋体"/>
        </w:rPr>
        <w:t>。</w:t>
      </w:r>
    </w:p>
    <w:p w14:paraId="0A9B1602">
      <w:pPr>
        <w:pStyle w:val="29"/>
        <w:adjustRightInd w:val="0"/>
        <w:snapToGrid w:val="0"/>
        <w:spacing w:line="400" w:lineRule="exact"/>
        <w:ind w:firstLine="420"/>
        <w:rPr>
          <w:rFonts w:hAnsi="宋体"/>
        </w:rPr>
      </w:pPr>
      <w:r>
        <w:rPr>
          <w:rFonts w:hint="eastAsia" w:hAnsi="宋体"/>
        </w:rPr>
        <w:t>注：①当整个招标项目的投标人不足3家的不开标，本中心将按政府采购管理的有关规定处理。</w:t>
      </w:r>
    </w:p>
    <w:p w14:paraId="08827ADA">
      <w:pPr>
        <w:pStyle w:val="29"/>
        <w:adjustRightInd w:val="0"/>
        <w:snapToGrid w:val="0"/>
        <w:spacing w:line="400" w:lineRule="exact"/>
        <w:ind w:firstLine="840" w:firstLineChars="400"/>
        <w:rPr>
          <w:rFonts w:hAnsi="宋体"/>
        </w:rPr>
      </w:pPr>
      <w:r>
        <w:rPr>
          <w:rFonts w:hint="eastAsia" w:hAnsi="宋体"/>
        </w:rPr>
        <w:t>②开标后，某分标投标人不足3家的，本中心将按政府采购管理的有关规定处理。</w:t>
      </w:r>
    </w:p>
    <w:p w14:paraId="7F5AE2F1">
      <w:pPr>
        <w:pStyle w:val="29"/>
        <w:adjustRightInd w:val="0"/>
        <w:snapToGrid w:val="0"/>
        <w:spacing w:line="400" w:lineRule="exact"/>
        <w:ind w:firstLine="420" w:firstLineChars="200"/>
        <w:rPr>
          <w:rFonts w:hAnsi="宋体"/>
        </w:rPr>
      </w:pPr>
      <w:r>
        <w:rPr>
          <w:rFonts w:hAnsi="宋体"/>
          <w:b/>
          <w:bCs/>
        </w:rPr>
        <w:t>特别说明：如遇“</w:t>
      </w:r>
      <w:r>
        <w:rPr>
          <w:rFonts w:hint="eastAsia" w:hAnsi="宋体"/>
          <w:b/>
          <w:bCs/>
        </w:rPr>
        <w:t>广西政府采购云平台</w:t>
      </w:r>
      <w:r>
        <w:rPr>
          <w:rFonts w:hAnsi="宋体"/>
          <w:b/>
          <w:bCs/>
        </w:rPr>
        <w:t>”电子化开标或评审程序调整的，按调整后程序执行。</w:t>
      </w:r>
    </w:p>
    <w:p w14:paraId="7A5146C6">
      <w:pPr>
        <w:pStyle w:val="29"/>
        <w:adjustRightInd w:val="0"/>
        <w:snapToGrid w:val="0"/>
        <w:spacing w:line="400" w:lineRule="exact"/>
        <w:rPr>
          <w:rFonts w:hAnsi="宋体"/>
          <w:b/>
        </w:rPr>
      </w:pPr>
      <w:bookmarkStart w:id="47" w:name="_Toc254970686"/>
      <w:bookmarkStart w:id="48" w:name="_Toc254970545"/>
      <w:r>
        <w:rPr>
          <w:rFonts w:hint="eastAsia" w:hAnsi="宋体"/>
          <w:b/>
        </w:rPr>
        <w:t>五、资格审查</w:t>
      </w:r>
    </w:p>
    <w:p w14:paraId="1E3E3294">
      <w:pPr>
        <w:pStyle w:val="29"/>
        <w:adjustRightInd w:val="0"/>
        <w:snapToGrid w:val="0"/>
        <w:spacing w:line="400" w:lineRule="exact"/>
        <w:ind w:firstLine="567" w:firstLineChars="270"/>
        <w:rPr>
          <w:rFonts w:hAnsi="宋体"/>
        </w:rPr>
      </w:pPr>
      <w:r>
        <w:rPr>
          <w:rFonts w:hint="eastAsia" w:hAnsi="宋体" w:cs="宋体"/>
        </w:rPr>
        <w:t>采购人依法对投标人的资格进行审查。合格投标人不足3家的，不得评标。</w:t>
      </w:r>
    </w:p>
    <w:p w14:paraId="6148943D">
      <w:pPr>
        <w:pStyle w:val="29"/>
        <w:adjustRightInd w:val="0"/>
        <w:snapToGrid w:val="0"/>
        <w:spacing w:line="400" w:lineRule="exact"/>
        <w:rPr>
          <w:rFonts w:hAnsi="宋体"/>
          <w:b/>
        </w:rPr>
      </w:pPr>
      <w:r>
        <w:rPr>
          <w:rFonts w:hint="eastAsia" w:hAnsi="宋体"/>
          <w:b/>
        </w:rPr>
        <w:t>六、评标</w:t>
      </w:r>
      <w:bookmarkEnd w:id="47"/>
      <w:bookmarkEnd w:id="48"/>
    </w:p>
    <w:p w14:paraId="21E0FC43">
      <w:pPr>
        <w:adjustRightInd w:val="0"/>
        <w:snapToGrid w:val="0"/>
        <w:spacing w:line="400" w:lineRule="exact"/>
        <w:ind w:firstLine="420" w:firstLineChars="200"/>
        <w:rPr>
          <w:rFonts w:ascii="宋体" w:hAnsi="宋体"/>
          <w:b/>
          <w:szCs w:val="21"/>
        </w:rPr>
      </w:pPr>
      <w:r>
        <w:rPr>
          <w:rFonts w:hint="eastAsia" w:ascii="宋体" w:hAnsi="宋体"/>
          <w:b/>
          <w:szCs w:val="21"/>
        </w:rPr>
        <w:t>（一）组建评标委员会</w:t>
      </w:r>
    </w:p>
    <w:p w14:paraId="04F32D61">
      <w:pPr>
        <w:pStyle w:val="29"/>
        <w:adjustRightInd w:val="0"/>
        <w:snapToGrid w:val="0"/>
        <w:spacing w:line="400" w:lineRule="exact"/>
        <w:ind w:firstLine="420" w:firstLineChars="200"/>
        <w:rPr>
          <w:rFonts w:hAnsi="宋体"/>
        </w:rPr>
      </w:pPr>
      <w:r>
        <w:rPr>
          <w:rFonts w:hint="eastAsia" w:hAnsi="宋体"/>
          <w:bCs/>
        </w:rPr>
        <w:t>本招标采购项目的</w:t>
      </w:r>
      <w:r>
        <w:rPr>
          <w:rFonts w:hAnsi="宋体"/>
          <w:spacing w:val="-4"/>
        </w:rPr>
        <w:t>评标委员会由采购人代表和评审专家组成，成员人数应当为</w:t>
      </w:r>
      <w:r>
        <w:rPr>
          <w:rFonts w:hint="eastAsia" w:hAnsi="宋体"/>
          <w:spacing w:val="-4"/>
        </w:rPr>
        <w:t>7</w:t>
      </w:r>
      <w:r>
        <w:rPr>
          <w:rFonts w:hAnsi="宋体"/>
          <w:spacing w:val="-4"/>
        </w:rPr>
        <w:t>人以上单数，其中评审专家不得少于成员总数的三分之二。</w:t>
      </w:r>
    </w:p>
    <w:p w14:paraId="4AA7E32D">
      <w:pPr>
        <w:adjustRightInd w:val="0"/>
        <w:snapToGrid w:val="0"/>
        <w:spacing w:line="400" w:lineRule="exact"/>
        <w:ind w:firstLine="420" w:firstLineChars="200"/>
        <w:rPr>
          <w:rFonts w:ascii="宋体" w:hAnsi="宋体"/>
          <w:b/>
          <w:szCs w:val="21"/>
        </w:rPr>
      </w:pPr>
      <w:r>
        <w:rPr>
          <w:rFonts w:hint="eastAsia" w:ascii="宋体" w:hAnsi="宋体"/>
          <w:b/>
          <w:szCs w:val="21"/>
        </w:rPr>
        <w:t>（二）评标的方式</w:t>
      </w:r>
    </w:p>
    <w:p w14:paraId="6A71AED0">
      <w:pPr>
        <w:pStyle w:val="29"/>
        <w:adjustRightInd w:val="0"/>
        <w:snapToGrid w:val="0"/>
        <w:spacing w:line="400" w:lineRule="exact"/>
        <w:ind w:left="688" w:leftChars="228" w:hanging="210" w:hangingChars="100"/>
        <w:rPr>
          <w:rFonts w:hAnsi="宋体"/>
          <w:b/>
        </w:rPr>
      </w:pPr>
      <w:r>
        <w:rPr>
          <w:rFonts w:hint="eastAsia" w:hAnsi="宋体"/>
          <w:b/>
        </w:rPr>
        <w:t>本项目采用</w:t>
      </w:r>
      <w:r>
        <w:rPr>
          <w:rFonts w:hint="eastAsia" w:hAnsi="宋体"/>
          <w:b/>
          <w:highlight w:val="none"/>
        </w:rPr>
        <w:t>不公开方式评标，</w:t>
      </w:r>
      <w:r>
        <w:rPr>
          <w:rFonts w:hint="eastAsia" w:hAnsi="宋体"/>
          <w:b/>
        </w:rPr>
        <w:t>评标的依据为招标文件和投标文件。</w:t>
      </w:r>
    </w:p>
    <w:p w14:paraId="0612D252">
      <w:pPr>
        <w:adjustRightInd w:val="0"/>
        <w:snapToGrid w:val="0"/>
        <w:spacing w:line="400" w:lineRule="exact"/>
        <w:ind w:firstLine="420" w:firstLineChars="200"/>
        <w:rPr>
          <w:rFonts w:ascii="宋体" w:hAnsi="宋体"/>
          <w:b/>
          <w:szCs w:val="21"/>
        </w:rPr>
      </w:pPr>
      <w:r>
        <w:rPr>
          <w:rFonts w:hint="eastAsia" w:ascii="宋体" w:hAnsi="宋体"/>
          <w:b/>
          <w:szCs w:val="21"/>
        </w:rPr>
        <w:t>（三）评标程序</w:t>
      </w:r>
    </w:p>
    <w:p w14:paraId="06CC75D8">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评标委员会仅对通过资格审查的投标文件进行后续评审，程序如下：</w:t>
      </w:r>
    </w:p>
    <w:p w14:paraId="0555CA8C">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（1）符合性审查：评标委员会审查投标文件是否实质性响应招标文件要求。未通过审查的投标，不进入详细评审。</w:t>
      </w:r>
    </w:p>
    <w:p w14:paraId="1DFD8F9E">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询标与澄清：在评标过程中，如评标委员会认为有必要，可通过广西政府采购云平台的电子询标功能，要求投标人对投标文件中的有关事项进行澄清或说明。投标人须在规定时间内，通过系统以加盖电子签章的正式文件进行回复。澄清或说明的内容不得改变投标文件的实质性内容。 投标人代表超过规定时间或者拒绝澄清，或者澄清的内容改变了投标文件实质性内容的，评标委员会有权否决其投标。</w:t>
      </w:r>
    </w:p>
    <w:p w14:paraId="7F78C9C0">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（3）商务与技术评审：评标委员会依据评分标准，对通过符合性审查的投标进行详细评审。</w:t>
      </w:r>
    </w:p>
    <w:p w14:paraId="7A580929">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（4）报价评审</w:t>
      </w:r>
    </w:p>
    <w:p w14:paraId="4248E8DD">
      <w:pPr>
        <w:snapToGrid w:val="0"/>
        <w:spacing w:line="360" w:lineRule="exact"/>
        <w:ind w:firstLine="630" w:firstLineChars="300"/>
        <w:rPr>
          <w:rFonts w:ascii="宋体" w:hAnsi="宋体"/>
          <w:color w:val="000000" w:themeColor="text1"/>
          <w:szCs w:val="21"/>
          <w14:textFill>
            <w14:solidFill>
              <w14:schemeClr w14:val="tx1"/>
            </w14:solidFill>
          </w14:textFill>
        </w:rPr>
      </w:pPr>
      <w:r>
        <w:rPr>
          <w:rFonts w:ascii="宋体" w:hAnsi="宋体"/>
          <w:color w:val="000000" w:themeColor="text1"/>
          <w:szCs w:val="21"/>
          <w:lang w:val="en"/>
          <w14:textFill>
            <w14:solidFill>
              <w14:schemeClr w14:val="tx1"/>
            </w14:solidFill>
          </w14:textFill>
        </w:rPr>
        <w:t>a)</w:t>
      </w:r>
      <w:r>
        <w:rPr>
          <w:rFonts w:hint="eastAsia" w:ascii="宋体" w:hAnsi="宋体"/>
          <w:color w:val="000000" w:themeColor="text1"/>
          <w:szCs w:val="21"/>
          <w14:textFill>
            <w14:solidFill>
              <w14:schemeClr w14:val="tx1"/>
            </w14:solidFill>
          </w14:textFill>
        </w:rPr>
        <w:t xml:space="preserve"> 报价符合性审查：评标委员会审查投标报价是否符合招标文件关于报价的格式、币种、范围（如报价是否完全响应并覆盖招标文件“采购需求”及“货物</w:t>
      </w:r>
      <w:r>
        <w:rPr>
          <w:rFonts w:ascii="宋体" w:hAnsi="宋体"/>
          <w:color w:val="000000" w:themeColor="text1"/>
          <w:szCs w:val="21"/>
          <w:lang w:val="en"/>
          <w14:textFill>
            <w14:solidFill>
              <w14:schemeClr w14:val="tx1"/>
            </w14:solidFill>
          </w14:textFill>
        </w:rPr>
        <w:t>/</w:t>
      </w:r>
      <w:r>
        <w:rPr>
          <w:rFonts w:hint="eastAsia" w:ascii="宋体" w:hAnsi="宋体"/>
          <w:color w:val="000000" w:themeColor="text1"/>
          <w:szCs w:val="21"/>
          <w14:textFill>
            <w14:solidFill>
              <w14:schemeClr w14:val="tx1"/>
            </w14:solidFill>
          </w14:textFill>
        </w:rPr>
        <w:t>服务</w:t>
      </w:r>
      <w:r>
        <w:rPr>
          <w:rFonts w:ascii="宋体" w:hAnsi="宋体"/>
          <w:color w:val="000000" w:themeColor="text1"/>
          <w:szCs w:val="21"/>
          <w:lang w:val="en"/>
          <w14:textFill>
            <w14:solidFill>
              <w14:schemeClr w14:val="tx1"/>
            </w14:solidFill>
          </w14:textFill>
        </w:rPr>
        <w:t>”</w:t>
      </w:r>
      <w:r>
        <w:rPr>
          <w:rFonts w:hint="eastAsia" w:ascii="宋体" w:hAnsi="宋体"/>
          <w:color w:val="000000" w:themeColor="text1"/>
          <w:szCs w:val="21"/>
          <w14:textFill>
            <w14:solidFill>
              <w14:schemeClr w14:val="tx1"/>
            </w14:solidFill>
          </w14:textFill>
        </w:rPr>
        <w:t>清单中所列全部内容、是否超采购预算或最高限价）等基础要求。</w:t>
      </w:r>
    </w:p>
    <w:p w14:paraId="51F0F26B">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ascii="宋体" w:hAnsi="宋体"/>
          <w:color w:val="000000" w:themeColor="text1"/>
          <w:szCs w:val="21"/>
          <w:lang w:val="en"/>
          <w14:textFill>
            <w14:solidFill>
              <w14:schemeClr w14:val="tx1"/>
            </w14:solidFill>
          </w14:textFill>
        </w:rPr>
        <w:t>b)</w:t>
      </w:r>
      <w:r>
        <w:rPr>
          <w:rFonts w:hint="eastAsia" w:ascii="宋体" w:hAnsi="宋体"/>
          <w:color w:val="000000" w:themeColor="text1"/>
          <w:szCs w:val="21"/>
          <w14:textFill>
            <w14:solidFill>
              <w14:schemeClr w14:val="tx1"/>
            </w14:solidFill>
          </w14:textFill>
        </w:rPr>
        <w:t xml:space="preserve"> 异常低价甄别与说明：对通过报价符合性审查的投标，如触发下列情形，评标委员会应当启动异常低价审查程序：</w:t>
      </w:r>
    </w:p>
    <w:p w14:paraId="4769B38F">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）报价低于全部通过符合性审查投标人投标报价平均值50%的；</w:t>
      </w:r>
    </w:p>
    <w:p w14:paraId="6E436004">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）报价低于通过符合性审查的次低报价投标人投标报价50%的；</w:t>
      </w:r>
    </w:p>
    <w:p w14:paraId="583FFC5F">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）报价低于采购项目最高限价</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5%的；</w:t>
      </w:r>
    </w:p>
    <w:p w14:paraId="45976598">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）评标委员会基于专业判断，认为投标人报价过低，有可能影响产品质量或者不能诚信履约的其他情形。</w:t>
      </w:r>
    </w:p>
    <w:p w14:paraId="044096BC">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评标委员会通过电子询标方式，要求相关投标人在规定时间内</w:t>
      </w:r>
      <w:r>
        <w:rPr>
          <w:rFonts w:hint="eastAsia"/>
          <w:bCs/>
        </w:rPr>
        <w:t>提供项目具体成本测算等与报价合理性相关的书面说明及必要的证明材料，包括但不限于原材料成本、人工成本、制造费用等；投标人不能提供书面说明、证明材料，或者提供的书面说明、证明材料不能证明其报价合理性的，评标委员会应当将其作为无效投标处理。</w:t>
      </w:r>
    </w:p>
    <w:p w14:paraId="5D231513">
      <w:pPr>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ascii="宋体" w:hAnsi="宋体"/>
          <w:color w:val="000000" w:themeColor="text1"/>
          <w:szCs w:val="21"/>
          <w:lang w:val="en"/>
          <w14:textFill>
            <w14:solidFill>
              <w14:schemeClr w14:val="tx1"/>
            </w14:solidFill>
          </w14:textFill>
        </w:rPr>
        <w:t>c)</w:t>
      </w:r>
      <w:r>
        <w:rPr>
          <w:rFonts w:hint="eastAsia" w:ascii="宋体" w:hAnsi="宋体"/>
          <w:color w:val="000000" w:themeColor="text1"/>
          <w:szCs w:val="21"/>
          <w14:textFill>
            <w14:solidFill>
              <w14:schemeClr w14:val="tx1"/>
            </w14:solidFill>
          </w14:textFill>
        </w:rPr>
        <w:t xml:space="preserve"> 价格评分：对通过上述全部审查的有效报价，由系统按招标文件规定计算价格分。</w:t>
      </w:r>
    </w:p>
    <w:p w14:paraId="45BE55A1">
      <w:pPr>
        <w:snapToGrid w:val="0"/>
        <w:spacing w:line="360" w:lineRule="exact"/>
        <w:ind w:firstLine="420" w:firstLineChars="200"/>
        <w:outlineLvl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（5）评分汇总与推荐：评标委员会在评审系统内完成评审后，系统将自动计算、汇总得分并生成排序结果。评标委员会据此集体审议推荐中标候选人，并对《评标报告》予以确认。</w:t>
      </w:r>
    </w:p>
    <w:p w14:paraId="42A4876D">
      <w:pPr>
        <w:adjustRightInd w:val="0"/>
        <w:snapToGrid w:val="0"/>
        <w:spacing w:line="400" w:lineRule="exact"/>
        <w:ind w:firstLine="420" w:firstLineChars="200"/>
        <w:rPr>
          <w:rFonts w:ascii="宋体" w:hAnsi="宋体"/>
          <w:b/>
          <w:szCs w:val="21"/>
        </w:rPr>
      </w:pPr>
      <w:r>
        <w:rPr>
          <w:rFonts w:hint="eastAsia" w:ascii="宋体" w:hAnsi="宋体"/>
          <w:b/>
          <w:szCs w:val="21"/>
        </w:rPr>
        <w:t>（四）错误修正</w:t>
      </w:r>
    </w:p>
    <w:p w14:paraId="3FE1982F">
      <w:pPr>
        <w:pStyle w:val="29"/>
        <w:adjustRightInd w:val="0"/>
        <w:snapToGrid w:val="0"/>
        <w:spacing w:line="400" w:lineRule="exact"/>
        <w:ind w:left="688" w:leftChars="228" w:hanging="210" w:hangingChars="100"/>
        <w:rPr>
          <w:rFonts w:hAnsi="宋体"/>
        </w:rPr>
      </w:pPr>
      <w:r>
        <w:rPr>
          <w:rFonts w:hint="eastAsia" w:hAnsi="宋体"/>
        </w:rPr>
        <w:t>投标文件如果出现计算或表达上的错误，修正错误的原则如下：</w:t>
      </w:r>
    </w:p>
    <w:p w14:paraId="1F846845">
      <w:pPr>
        <w:pStyle w:val="29"/>
        <w:adjustRightInd w:val="0"/>
        <w:snapToGrid w:val="0"/>
        <w:spacing w:line="400" w:lineRule="exact"/>
        <w:ind w:firstLine="420" w:firstLineChars="200"/>
        <w:rPr>
          <w:rFonts w:hAnsi="宋体"/>
        </w:rPr>
      </w:pPr>
      <w:r>
        <w:rPr>
          <w:rFonts w:hint="eastAsia" w:hAnsi="宋体"/>
        </w:rPr>
        <w:t>1.投标文件中开标一览表（报价表）内容与投标文件中相应内容不一致的，以开标一览表（报价表）为准；</w:t>
      </w:r>
    </w:p>
    <w:p w14:paraId="0AD3C4FC">
      <w:pPr>
        <w:pStyle w:val="29"/>
        <w:adjustRightInd w:val="0"/>
        <w:snapToGrid w:val="0"/>
        <w:spacing w:line="400" w:lineRule="exact"/>
        <w:ind w:firstLine="420" w:firstLineChars="200"/>
        <w:rPr>
          <w:rFonts w:hAnsi="宋体"/>
        </w:rPr>
      </w:pPr>
      <w:r>
        <w:rPr>
          <w:rFonts w:hint="eastAsia" w:hAnsi="宋体"/>
        </w:rPr>
        <w:t>2.大写金额和小写金额不一致的，以大写金额为准；</w:t>
      </w:r>
    </w:p>
    <w:p w14:paraId="6C178473">
      <w:pPr>
        <w:pStyle w:val="29"/>
        <w:adjustRightInd w:val="0"/>
        <w:snapToGrid w:val="0"/>
        <w:spacing w:line="400" w:lineRule="exact"/>
        <w:ind w:firstLine="420" w:firstLineChars="200"/>
        <w:rPr>
          <w:rFonts w:hAnsi="宋体"/>
        </w:rPr>
      </w:pPr>
      <w:r>
        <w:rPr>
          <w:rFonts w:hint="eastAsia" w:hAnsi="宋体"/>
        </w:rPr>
        <w:t>3.单价金额小数点或者百分比有明显错位的，以开标一览表的总价为准，并修改单价；</w:t>
      </w:r>
    </w:p>
    <w:p w14:paraId="699BBBF1">
      <w:pPr>
        <w:pStyle w:val="29"/>
        <w:adjustRightInd w:val="0"/>
        <w:snapToGrid w:val="0"/>
        <w:spacing w:line="400" w:lineRule="exact"/>
        <w:ind w:firstLine="420" w:firstLineChars="200"/>
        <w:rPr>
          <w:rFonts w:hAnsi="宋体"/>
        </w:rPr>
      </w:pPr>
      <w:r>
        <w:rPr>
          <w:rFonts w:hint="eastAsia" w:hAnsi="宋体"/>
        </w:rPr>
        <w:t>4.总价金额与按单价汇总金额不一致的，以单价金额计算结果为准。</w:t>
      </w:r>
    </w:p>
    <w:p w14:paraId="1FA039A5">
      <w:pPr>
        <w:pStyle w:val="29"/>
        <w:adjustRightInd w:val="0"/>
        <w:snapToGrid w:val="0"/>
        <w:spacing w:line="400" w:lineRule="exact"/>
        <w:ind w:firstLine="420" w:firstLineChars="200"/>
        <w:rPr>
          <w:rFonts w:hAnsi="宋体"/>
        </w:rPr>
      </w:pPr>
      <w:r>
        <w:rPr>
          <w:rFonts w:hint="eastAsia" w:hAnsi="宋体"/>
        </w:rPr>
        <w:t>5.对不同文字文本投标文件的解释发生异议的，以中文文本为准。</w:t>
      </w:r>
    </w:p>
    <w:p w14:paraId="2A6A2548">
      <w:pPr>
        <w:pStyle w:val="29"/>
        <w:adjustRightInd w:val="0"/>
        <w:snapToGrid w:val="0"/>
        <w:spacing w:line="400" w:lineRule="exact"/>
        <w:ind w:firstLine="420" w:firstLineChars="200"/>
        <w:rPr>
          <w:rFonts w:hAnsi="宋体"/>
        </w:rPr>
      </w:pPr>
      <w:r>
        <w:rPr>
          <w:rFonts w:hint="eastAsia" w:hAnsi="宋体"/>
        </w:rPr>
        <w:t>同时出现两种以上不一致的，按照前款规定的顺序修正。</w:t>
      </w:r>
    </w:p>
    <w:p w14:paraId="7A69102F">
      <w:pPr>
        <w:pStyle w:val="29"/>
        <w:adjustRightInd w:val="0"/>
        <w:snapToGrid w:val="0"/>
        <w:spacing w:line="400" w:lineRule="exact"/>
        <w:ind w:firstLine="420" w:firstLineChars="200"/>
        <w:rPr>
          <w:rFonts w:hAnsi="宋体"/>
          <w:b/>
          <w:bCs/>
        </w:rPr>
      </w:pPr>
      <w:r>
        <w:rPr>
          <w:rFonts w:hint="eastAsia" w:hAnsi="宋体"/>
          <w:b/>
          <w:bCs/>
        </w:rPr>
        <w:t>按上述修正错误的原则及方法调整或修正投标文件的投标报价，投标人须在线同意并签字确认，调整后的投标报价对投标人具有约束作用。如果投标人不接受修正后的报价，则其投标将作为无效投标处理。</w:t>
      </w:r>
    </w:p>
    <w:p w14:paraId="5C3F31CF">
      <w:pPr>
        <w:adjustRightInd w:val="0"/>
        <w:snapToGrid w:val="0"/>
        <w:spacing w:line="400" w:lineRule="exact"/>
        <w:ind w:firstLine="420" w:firstLineChars="200"/>
        <w:rPr>
          <w:rFonts w:ascii="宋体" w:hAnsi="宋体"/>
          <w:b/>
          <w:szCs w:val="21"/>
        </w:rPr>
      </w:pPr>
      <w:r>
        <w:rPr>
          <w:rFonts w:hint="eastAsia" w:ascii="宋体" w:hAnsi="宋体"/>
          <w:b/>
          <w:szCs w:val="21"/>
        </w:rPr>
        <w:t>（五）评标原则和评标办法</w:t>
      </w:r>
    </w:p>
    <w:p w14:paraId="3D06521D">
      <w:pPr>
        <w:pStyle w:val="29"/>
        <w:adjustRightInd w:val="0"/>
        <w:snapToGrid w:val="0"/>
        <w:spacing w:line="400" w:lineRule="exact"/>
        <w:ind w:firstLine="42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701A4EBA">
      <w:pPr>
        <w:pStyle w:val="29"/>
        <w:adjustRightInd w:val="0"/>
        <w:snapToGrid w:val="0"/>
        <w:spacing w:line="400" w:lineRule="exact"/>
        <w:ind w:firstLine="420" w:firstLineChars="200"/>
        <w:rPr>
          <w:rFonts w:hAnsi="宋体"/>
        </w:rPr>
      </w:pPr>
      <w:r>
        <w:rPr>
          <w:rFonts w:hint="eastAsia" w:hAnsi="宋体"/>
        </w:rPr>
        <w:t>2.评标办法。本项目评标办法是</w:t>
      </w:r>
      <w:r>
        <w:rPr>
          <w:rFonts w:hint="eastAsia" w:hAnsi="宋体"/>
          <w:b/>
          <w:u w:val="single"/>
        </w:rPr>
        <w:t>综合评分法</w:t>
      </w:r>
      <w:r>
        <w:rPr>
          <w:rFonts w:hint="eastAsia" w:hAnsi="宋体"/>
        </w:rPr>
        <w:t>，具体评标内容及评分标准等详见第四章：评标办法及评分标准。</w:t>
      </w:r>
    </w:p>
    <w:p w14:paraId="1F61223A">
      <w:pPr>
        <w:adjustRightInd w:val="0"/>
        <w:snapToGrid w:val="0"/>
        <w:spacing w:line="400" w:lineRule="exact"/>
        <w:ind w:firstLine="420" w:firstLineChars="200"/>
        <w:rPr>
          <w:rFonts w:ascii="宋体" w:hAnsi="宋体"/>
          <w:b/>
          <w:szCs w:val="21"/>
        </w:rPr>
      </w:pPr>
      <w:r>
        <w:rPr>
          <w:rFonts w:hint="eastAsia" w:ascii="宋体" w:hAnsi="宋体"/>
          <w:b/>
          <w:szCs w:val="21"/>
        </w:rPr>
        <w:t>（六）评标过程的监控</w:t>
      </w:r>
    </w:p>
    <w:p w14:paraId="11F28758">
      <w:pPr>
        <w:pStyle w:val="29"/>
        <w:adjustRightInd w:val="0"/>
        <w:snapToGrid w:val="0"/>
        <w:spacing w:line="400" w:lineRule="exact"/>
        <w:ind w:firstLine="420" w:firstLineChars="200"/>
        <w:rPr>
          <w:rFonts w:hAnsi="宋体"/>
        </w:rPr>
      </w:pPr>
      <w:r>
        <w:rPr>
          <w:rFonts w:hint="eastAsia" w:hAnsi="宋体"/>
        </w:rPr>
        <w:t>本项目评标过程实行全程录音、录像监控，投标人在评标过程中所进行的试图影响评标结果的不公正活动，可能导致其投标被拒绝。</w:t>
      </w:r>
    </w:p>
    <w:p w14:paraId="00B9A0E2">
      <w:pPr>
        <w:pStyle w:val="29"/>
        <w:adjustRightInd w:val="0"/>
        <w:snapToGrid w:val="0"/>
        <w:spacing w:line="400" w:lineRule="exact"/>
        <w:rPr>
          <w:rFonts w:hAnsi="宋体"/>
          <w:b/>
        </w:rPr>
      </w:pPr>
      <w:bookmarkStart w:id="49" w:name="_Toc254970546"/>
      <w:bookmarkStart w:id="50" w:name="_Toc254970687"/>
      <w:r>
        <w:rPr>
          <w:rFonts w:hint="eastAsia" w:hAnsi="宋体"/>
          <w:b/>
        </w:rPr>
        <w:t>七、评标结果</w:t>
      </w:r>
      <w:bookmarkEnd w:id="49"/>
      <w:bookmarkEnd w:id="50"/>
    </w:p>
    <w:p w14:paraId="6D76BFEF">
      <w:pPr>
        <w:pStyle w:val="29"/>
        <w:adjustRightInd w:val="0"/>
        <w:snapToGrid w:val="0"/>
        <w:spacing w:line="400" w:lineRule="exact"/>
        <w:ind w:firstLine="420"/>
        <w:rPr>
          <w:rFonts w:hAnsi="宋体"/>
        </w:rPr>
      </w:pPr>
      <w:r>
        <w:rPr>
          <w:rFonts w:hint="eastAsia" w:hAnsi="宋体"/>
        </w:rPr>
        <w:t>（一）采购人在5个工作日内按照评标报告中推荐的中标候选供应商顺序确定中标供应商。采购人也可以事先授权评标委员会直接确定中标供应商。</w:t>
      </w:r>
    </w:p>
    <w:p w14:paraId="5EFB530A">
      <w:pPr>
        <w:pStyle w:val="29"/>
        <w:adjustRightInd w:val="0"/>
        <w:snapToGrid w:val="0"/>
        <w:spacing w:line="400" w:lineRule="exact"/>
        <w:ind w:firstLine="420"/>
        <w:rPr>
          <w:rFonts w:hAnsi="宋体"/>
        </w:rPr>
      </w:pPr>
      <w:r>
        <w:rPr>
          <w:rFonts w:hint="eastAsia" w:hAnsi="宋体"/>
        </w:rPr>
        <w:t>（二）中标供应商确定后，本中心在中国政府采购网、广西政府采购网、</w:t>
      </w:r>
      <w:r>
        <w:rPr>
          <w:rFonts w:hAnsi="宋体"/>
          <w:lang w:val="en"/>
        </w:rPr>
        <w:t>广西壮族自治区公共资源交易中心</w:t>
      </w:r>
      <w:r>
        <w:rPr>
          <w:rFonts w:hint="eastAsia" w:hAnsi="宋体"/>
        </w:rPr>
        <w:t>网站发布中标公告。</w:t>
      </w:r>
    </w:p>
    <w:p w14:paraId="40424ABB">
      <w:pPr>
        <w:pStyle w:val="29"/>
        <w:adjustRightInd w:val="0"/>
        <w:snapToGrid w:val="0"/>
        <w:spacing w:line="400" w:lineRule="exact"/>
        <w:ind w:firstLine="420"/>
        <w:rPr>
          <w:rFonts w:hAnsi="宋体"/>
        </w:rPr>
      </w:pPr>
      <w:r>
        <w:rPr>
          <w:rFonts w:hint="eastAsia" w:hAnsi="宋体"/>
        </w:rPr>
        <w:t>（三）在发布中标公告的同时，本中心向中标供应商发出中标通知书。</w:t>
      </w:r>
    </w:p>
    <w:p w14:paraId="74E4E963">
      <w:pPr>
        <w:pStyle w:val="29"/>
        <w:spacing w:line="400" w:lineRule="exact"/>
        <w:ind w:firstLine="420" w:firstLineChars="200"/>
        <w:rPr>
          <w:rFonts w:hAnsi="宋体"/>
          <w:bCs/>
        </w:rPr>
      </w:pPr>
      <w:r>
        <w:rPr>
          <w:rFonts w:hint="eastAsia" w:hAnsi="宋体"/>
        </w:rPr>
        <w:t>（四）</w:t>
      </w:r>
      <w:r>
        <w:rPr>
          <w:rFonts w:hint="eastAsia" w:hAnsi="宋体"/>
          <w:bCs/>
        </w:rPr>
        <w:t>投标人认为招标文件、招标过程和中标结果使自己的权益受到损害的，可以在知道或者应知其权益受到损害之日起七个工作日内，以书面形式向本中心提出质疑，并及时索要书面回执。</w:t>
      </w:r>
    </w:p>
    <w:p w14:paraId="57599EE1">
      <w:pPr>
        <w:pStyle w:val="29"/>
        <w:spacing w:line="400" w:lineRule="exact"/>
        <w:ind w:firstLine="420"/>
        <w:rPr>
          <w:rFonts w:hAnsi="宋体"/>
        </w:rPr>
      </w:pPr>
      <w:r>
        <w:rPr>
          <w:rFonts w:hint="eastAsia" w:hAnsi="宋体"/>
        </w:rPr>
        <w:t>（五）</w:t>
      </w:r>
      <w:r>
        <w:rPr>
          <w:rFonts w:hint="eastAsia" w:hAnsi="宋体"/>
          <w:bCs/>
        </w:rPr>
        <w:t>本中心应当按照有关规定就配置单位委托授权范围内的事项在收到投标人的书面质疑后七个工作日内做出答复，但答复的内容不得涉及商业秘密。</w:t>
      </w:r>
    </w:p>
    <w:p w14:paraId="303750DE">
      <w:pPr>
        <w:pStyle w:val="29"/>
        <w:adjustRightInd w:val="0"/>
        <w:snapToGrid w:val="0"/>
        <w:spacing w:line="400" w:lineRule="exact"/>
        <w:rPr>
          <w:rFonts w:hAnsi="宋体"/>
          <w:b/>
        </w:rPr>
      </w:pPr>
      <w:r>
        <w:rPr>
          <w:rFonts w:hint="eastAsia" w:hAnsi="宋体"/>
          <w:b/>
        </w:rPr>
        <w:t>八、签订合同</w:t>
      </w:r>
    </w:p>
    <w:p w14:paraId="69ABF970">
      <w:pPr>
        <w:adjustRightInd w:val="0"/>
        <w:snapToGrid w:val="0"/>
        <w:spacing w:line="400" w:lineRule="exact"/>
        <w:ind w:firstLine="420" w:firstLineChars="200"/>
        <w:rPr>
          <w:rFonts w:ascii="宋体" w:hAnsi="宋体"/>
          <w:b/>
          <w:szCs w:val="21"/>
        </w:rPr>
      </w:pPr>
      <w:r>
        <w:rPr>
          <w:rFonts w:hint="eastAsia" w:ascii="宋体" w:hAnsi="宋体"/>
          <w:b/>
          <w:szCs w:val="21"/>
        </w:rPr>
        <w:t>（一）合同授予标准</w:t>
      </w:r>
    </w:p>
    <w:p w14:paraId="687B0C27">
      <w:pPr>
        <w:pStyle w:val="29"/>
        <w:spacing w:line="440" w:lineRule="exact"/>
        <w:ind w:firstLine="420"/>
        <w:rPr>
          <w:rFonts w:hAnsi="宋体"/>
        </w:rPr>
      </w:pPr>
      <w:r>
        <w:rPr>
          <w:rFonts w:hint="eastAsia" w:hAnsi="宋体"/>
        </w:rPr>
        <w:t>合同将授予被确定投标文件满足招标文件全部实质性要求，具备履行合同能力，评审得分最高，综合评分排名第一的供应商。</w:t>
      </w:r>
    </w:p>
    <w:p w14:paraId="69B93B62">
      <w:pPr>
        <w:adjustRightInd w:val="0"/>
        <w:snapToGrid w:val="0"/>
        <w:spacing w:line="400" w:lineRule="exact"/>
        <w:ind w:firstLine="420" w:firstLineChars="200"/>
        <w:rPr>
          <w:rFonts w:ascii="宋体" w:hAnsi="宋体"/>
          <w:b/>
          <w:szCs w:val="21"/>
        </w:rPr>
      </w:pPr>
      <w:r>
        <w:rPr>
          <w:rFonts w:hint="eastAsia" w:ascii="宋体" w:hAnsi="宋体"/>
          <w:b/>
          <w:szCs w:val="21"/>
        </w:rPr>
        <w:t>（二）签订合同</w:t>
      </w:r>
    </w:p>
    <w:p w14:paraId="4A301F3D">
      <w:pPr>
        <w:pStyle w:val="29"/>
        <w:adjustRightInd w:val="0"/>
        <w:snapToGrid w:val="0"/>
        <w:spacing w:line="400" w:lineRule="exact"/>
        <w:ind w:firstLine="420"/>
        <w:rPr>
          <w:rFonts w:hAnsi="宋体"/>
        </w:rPr>
      </w:pPr>
      <w:r>
        <w:rPr>
          <w:rFonts w:hint="eastAsia" w:hAnsi="宋体"/>
        </w:rPr>
        <w:t>（1）投标人接到中标通知书后，应按中标通知书规定的时间、地点与配置单位签订合同。中标人无正当理由不得放弃中标。</w:t>
      </w:r>
    </w:p>
    <w:p w14:paraId="151963C2">
      <w:pPr>
        <w:pStyle w:val="29"/>
        <w:adjustRightInd w:val="0"/>
        <w:snapToGrid w:val="0"/>
        <w:spacing w:line="400" w:lineRule="exact"/>
        <w:ind w:firstLine="420"/>
        <w:rPr>
          <w:rFonts w:hAnsi="宋体"/>
        </w:rPr>
      </w:pPr>
      <w:r>
        <w:rPr>
          <w:rFonts w:hint="eastAsia" w:hAnsi="宋体"/>
        </w:rPr>
        <w:t>（2）如中标供应商不按中标通知书的规定签订合同，则按中标供应商违约处理，本中心将没收中标供应商投标的全部投标保证金。</w:t>
      </w:r>
    </w:p>
    <w:p w14:paraId="723C8784">
      <w:pPr>
        <w:pStyle w:val="29"/>
        <w:adjustRightInd w:val="0"/>
        <w:snapToGrid w:val="0"/>
        <w:spacing w:line="400" w:lineRule="exact"/>
        <w:ind w:firstLine="420" w:firstLineChars="200"/>
        <w:rPr>
          <w:rFonts w:hAnsi="宋体"/>
          <w:b/>
        </w:rPr>
      </w:pPr>
      <w:r>
        <w:rPr>
          <w:rFonts w:hint="eastAsia" w:hAnsi="宋体"/>
        </w:rPr>
        <w:t>（3）中标供应商</w:t>
      </w:r>
      <w:r>
        <w:rPr>
          <w:rFonts w:hint="eastAsia" w:hAnsi="宋体"/>
          <w:b/>
        </w:rPr>
        <w:t>拒绝与配置单位签订合同或</w:t>
      </w:r>
      <w:r>
        <w:rPr>
          <w:rFonts w:hint="eastAsia" w:hAnsi="宋体"/>
        </w:rPr>
        <w:t>因不可抗力或者自身原因不能履行采购合同的，配置单位可以与中标供应商之后排名第一的中标候选供应商签订采购合同，以此类推。中标供应商放弃中标项目，拒绝与配置单位签订合同的，其投标保证金将不予退还，并上缴国库，给配置单位造成损失的，还应当赔偿损失，并作为不良行为记录在案。</w:t>
      </w:r>
    </w:p>
    <w:p w14:paraId="53B98744">
      <w:pPr>
        <w:pStyle w:val="29"/>
        <w:adjustRightInd w:val="0"/>
        <w:snapToGrid w:val="0"/>
        <w:spacing w:line="400" w:lineRule="exact"/>
        <w:rPr>
          <w:rFonts w:hAnsi="宋体"/>
          <w:b/>
        </w:rPr>
      </w:pPr>
      <w:r>
        <w:rPr>
          <w:rFonts w:hint="eastAsia" w:hAnsi="宋体"/>
          <w:b/>
        </w:rPr>
        <w:t>九、其他事项</w:t>
      </w:r>
    </w:p>
    <w:p w14:paraId="7E3B977C">
      <w:pPr>
        <w:pStyle w:val="29"/>
        <w:adjustRightInd w:val="0"/>
        <w:snapToGrid w:val="0"/>
        <w:spacing w:line="400" w:lineRule="exact"/>
        <w:ind w:left="688" w:leftChars="228" w:hanging="210" w:hangingChars="100"/>
        <w:rPr>
          <w:rFonts w:hAnsi="宋体"/>
        </w:rPr>
      </w:pPr>
      <w:r>
        <w:rPr>
          <w:rFonts w:hint="eastAsia" w:hAnsi="宋体"/>
        </w:rPr>
        <w:t>（一）解释权：本招标文件解释权属本中心。</w:t>
      </w:r>
    </w:p>
    <w:p w14:paraId="6AE3AB7E">
      <w:pPr>
        <w:pStyle w:val="29"/>
        <w:adjustRightInd w:val="0"/>
        <w:snapToGrid w:val="0"/>
        <w:spacing w:line="400" w:lineRule="exact"/>
        <w:ind w:left="688" w:leftChars="228" w:hanging="210" w:hangingChars="100"/>
        <w:rPr>
          <w:rFonts w:hAnsi="宋体"/>
        </w:rPr>
      </w:pPr>
      <w:r>
        <w:rPr>
          <w:rFonts w:hint="eastAsia" w:hAnsi="宋体"/>
        </w:rPr>
        <w:t>（二）有关事宜</w:t>
      </w:r>
    </w:p>
    <w:p w14:paraId="0DCA5E32">
      <w:pPr>
        <w:pStyle w:val="29"/>
        <w:adjustRightInd w:val="0"/>
        <w:snapToGrid w:val="0"/>
        <w:spacing w:line="400" w:lineRule="exact"/>
        <w:ind w:firstLine="728" w:firstLineChars="347"/>
        <w:rPr>
          <w:rFonts w:hAnsi="宋体"/>
        </w:rPr>
      </w:pPr>
      <w:r>
        <w:rPr>
          <w:rFonts w:hint="eastAsia" w:hAnsi="宋体"/>
        </w:rPr>
        <w:t>所有与本招标文件有关的函件请按下列通讯地址联系：</w:t>
      </w:r>
    </w:p>
    <w:p w14:paraId="6F796793">
      <w:pPr>
        <w:pStyle w:val="29"/>
        <w:adjustRightInd w:val="0"/>
        <w:snapToGrid w:val="0"/>
        <w:spacing w:line="400" w:lineRule="exact"/>
        <w:ind w:firstLine="840"/>
        <w:rPr>
          <w:rFonts w:hAnsi="宋体"/>
          <w:lang w:val="en"/>
        </w:rPr>
      </w:pPr>
      <w:r>
        <w:rPr>
          <w:rFonts w:hAnsi="宋体"/>
          <w:lang w:val="en"/>
        </w:rPr>
        <w:t>广西壮族自治区公共资源交易中心</w:t>
      </w:r>
    </w:p>
    <w:p w14:paraId="767D68B0">
      <w:pPr>
        <w:pStyle w:val="29"/>
        <w:tabs>
          <w:tab w:val="left" w:pos="1990"/>
        </w:tabs>
        <w:adjustRightInd w:val="0"/>
        <w:snapToGrid w:val="0"/>
        <w:spacing w:line="400" w:lineRule="exact"/>
        <w:ind w:firstLine="824"/>
        <w:rPr>
          <w:rFonts w:hAnsi="宋体"/>
          <w:u w:val="single"/>
        </w:rPr>
      </w:pPr>
      <w:r>
        <w:rPr>
          <w:rFonts w:hint="eastAsia" w:hAnsi="宋体"/>
        </w:rPr>
        <w:t>邮政编码：530022</w:t>
      </w:r>
    </w:p>
    <w:p w14:paraId="52380F7A">
      <w:pPr>
        <w:pStyle w:val="29"/>
        <w:tabs>
          <w:tab w:val="left" w:pos="1990"/>
        </w:tabs>
        <w:adjustRightInd w:val="0"/>
        <w:snapToGrid w:val="0"/>
        <w:spacing w:line="400" w:lineRule="exact"/>
        <w:ind w:firstLine="824"/>
        <w:rPr>
          <w:rFonts w:hAnsi="宋体"/>
          <w:spacing w:val="-4"/>
        </w:rPr>
      </w:pPr>
      <w:r>
        <w:rPr>
          <w:rFonts w:hint="eastAsia" w:hAnsi="宋体"/>
        </w:rPr>
        <w:t>通讯地址：</w:t>
      </w:r>
      <w:r>
        <w:rPr>
          <w:rFonts w:hint="eastAsia" w:hAnsi="宋体"/>
          <w:spacing w:val="-4"/>
        </w:rPr>
        <w:t>广西南宁市星湖路22号</w:t>
      </w:r>
    </w:p>
    <w:p w14:paraId="5E2826DF">
      <w:pPr>
        <w:pStyle w:val="29"/>
        <w:tabs>
          <w:tab w:val="left" w:pos="1990"/>
        </w:tabs>
        <w:adjustRightInd w:val="0"/>
        <w:snapToGrid w:val="0"/>
        <w:spacing w:line="400" w:lineRule="exact"/>
        <w:ind w:firstLine="824"/>
        <w:rPr>
          <w:rFonts w:hAnsi="宋体"/>
          <w:spacing w:val="-4"/>
        </w:rPr>
      </w:pPr>
      <w:r>
        <w:rPr>
          <w:rFonts w:hint="eastAsia" w:hAnsi="宋体"/>
          <w:spacing w:val="-4"/>
        </w:rPr>
        <w:t>电</w:t>
      </w:r>
      <w:r>
        <w:rPr>
          <w:rFonts w:hAnsi="宋体"/>
          <w:spacing w:val="-4"/>
        </w:rPr>
        <w:t xml:space="preserve">    </w:t>
      </w:r>
      <w:r>
        <w:rPr>
          <w:rFonts w:hint="eastAsia" w:hAnsi="宋体"/>
          <w:spacing w:val="-4"/>
        </w:rPr>
        <w:t>话</w:t>
      </w:r>
      <w:r>
        <w:rPr>
          <w:rFonts w:hint="eastAsia" w:hAnsi="宋体"/>
          <w:spacing w:val="-4"/>
          <w:highlight w:val="none"/>
        </w:rPr>
        <w:t>：</w:t>
      </w:r>
      <w:r>
        <w:rPr>
          <w:rFonts w:hAnsi="宋体"/>
          <w:spacing w:val="-4"/>
          <w:highlight w:val="none"/>
          <w:lang w:val="en"/>
        </w:rPr>
        <w:t>0771-</w:t>
      </w:r>
      <w:r>
        <w:rPr>
          <w:rStyle w:val="141"/>
          <w:rFonts w:hint="eastAsia" w:cs="宋体"/>
          <w:highlight w:val="none"/>
        </w:rPr>
        <w:t>86003</w:t>
      </w:r>
      <w:r>
        <w:rPr>
          <w:rStyle w:val="141"/>
          <w:rFonts w:hint="eastAsia" w:cs="宋体"/>
          <w:highlight w:val="none"/>
          <w:lang w:val="en-US" w:eastAsia="zh-CN"/>
        </w:rPr>
        <w:t>67</w:t>
      </w:r>
      <w:r>
        <w:rPr>
          <w:rStyle w:val="141"/>
          <w:rFonts w:hint="eastAsia" w:cs="宋体"/>
          <w:highlight w:val="none"/>
        </w:rPr>
        <w:t>、</w:t>
      </w:r>
      <w:r>
        <w:rPr>
          <w:rFonts w:hAnsi="宋体"/>
          <w:spacing w:val="-4"/>
          <w:highlight w:val="none"/>
        </w:rPr>
        <w:t xml:space="preserve"> </w:t>
      </w:r>
      <w:r>
        <w:rPr>
          <w:rStyle w:val="141"/>
          <w:rFonts w:hint="eastAsia" w:cs="宋体"/>
          <w:highlight w:val="none"/>
        </w:rPr>
        <w:t>86003</w:t>
      </w:r>
      <w:r>
        <w:rPr>
          <w:rStyle w:val="141"/>
          <w:rFonts w:hint="eastAsia" w:cs="宋体"/>
          <w:highlight w:val="none"/>
          <w:lang w:val="en-US" w:eastAsia="zh-CN"/>
        </w:rPr>
        <w:t>68</w:t>
      </w:r>
      <w:r>
        <w:rPr>
          <w:rFonts w:hAnsi="宋体"/>
          <w:spacing w:val="-4"/>
          <w:highlight w:val="none"/>
        </w:rPr>
        <w:t xml:space="preserve">   </w:t>
      </w:r>
      <w:r>
        <w:rPr>
          <w:rFonts w:hAnsi="宋体"/>
          <w:spacing w:val="-4"/>
        </w:rPr>
        <w:t xml:space="preserve">        </w:t>
      </w:r>
      <w:r>
        <w:rPr>
          <w:rFonts w:hint="eastAsia" w:hAnsi="宋体"/>
          <w:spacing w:val="-4"/>
        </w:rPr>
        <w:t>传</w:t>
      </w:r>
      <w:r>
        <w:rPr>
          <w:rFonts w:hAnsi="宋体"/>
          <w:spacing w:val="-4"/>
        </w:rPr>
        <w:t xml:space="preserve">    </w:t>
      </w:r>
      <w:r>
        <w:rPr>
          <w:rFonts w:hint="eastAsia" w:hAnsi="宋体"/>
          <w:spacing w:val="-4"/>
        </w:rPr>
        <w:t>真：</w:t>
      </w:r>
      <w:r>
        <w:rPr>
          <w:rFonts w:hAnsi="宋体"/>
          <w:spacing w:val="-4"/>
        </w:rPr>
        <w:t>0771-</w:t>
      </w:r>
      <w:r>
        <w:rPr>
          <w:rFonts w:hint="eastAsia" w:hAnsi="宋体"/>
          <w:spacing w:val="-4"/>
        </w:rPr>
        <w:t>8600305。</w:t>
      </w:r>
    </w:p>
    <w:bookmarkEnd w:id="15"/>
    <w:bookmarkEnd w:id="16"/>
    <w:p w14:paraId="35ABB604">
      <w:pPr>
        <w:pStyle w:val="29"/>
        <w:snapToGrid w:val="0"/>
        <w:spacing w:before="120" w:after="120"/>
        <w:jc w:val="center"/>
        <w:outlineLvl w:val="0"/>
        <w:rPr>
          <w:rFonts w:hAnsi="宋体"/>
          <w:b/>
          <w:sz w:val="44"/>
          <w:szCs w:val="44"/>
        </w:rPr>
      </w:pPr>
      <w:bookmarkStart w:id="51" w:name="_Toc254970690"/>
      <w:bookmarkStart w:id="52" w:name="_Toc254970549"/>
    </w:p>
    <w:p w14:paraId="3CDF1DBB">
      <w:pPr>
        <w:pStyle w:val="29"/>
        <w:pageBreakBefore/>
        <w:snapToGrid w:val="0"/>
        <w:spacing w:before="120" w:after="120"/>
        <w:jc w:val="center"/>
        <w:outlineLvl w:val="0"/>
        <w:rPr>
          <w:rFonts w:hAnsi="宋体"/>
          <w:b/>
          <w:sz w:val="44"/>
          <w:szCs w:val="44"/>
        </w:rPr>
      </w:pPr>
    </w:p>
    <w:p w14:paraId="3DC3EBA9">
      <w:pPr>
        <w:pStyle w:val="29"/>
        <w:snapToGrid w:val="0"/>
        <w:spacing w:before="120" w:after="120"/>
        <w:jc w:val="center"/>
        <w:outlineLvl w:val="0"/>
        <w:rPr>
          <w:rFonts w:hAnsi="宋体"/>
          <w:b/>
          <w:sz w:val="44"/>
          <w:szCs w:val="44"/>
        </w:rPr>
      </w:pPr>
    </w:p>
    <w:p w14:paraId="1AB9A4AB">
      <w:pPr>
        <w:pStyle w:val="29"/>
        <w:snapToGrid w:val="0"/>
        <w:spacing w:before="120" w:after="120"/>
        <w:jc w:val="center"/>
        <w:outlineLvl w:val="0"/>
        <w:rPr>
          <w:rFonts w:hAnsi="宋体"/>
          <w:b/>
          <w:sz w:val="44"/>
          <w:szCs w:val="44"/>
        </w:rPr>
      </w:pPr>
    </w:p>
    <w:p w14:paraId="4694AC10">
      <w:pPr>
        <w:pStyle w:val="29"/>
        <w:snapToGrid w:val="0"/>
        <w:spacing w:before="120" w:after="120"/>
        <w:jc w:val="center"/>
        <w:outlineLvl w:val="0"/>
        <w:rPr>
          <w:rFonts w:hAnsi="宋体"/>
          <w:b/>
          <w:sz w:val="44"/>
          <w:szCs w:val="44"/>
        </w:rPr>
      </w:pPr>
    </w:p>
    <w:p w14:paraId="00F85DB4">
      <w:pPr>
        <w:pStyle w:val="29"/>
        <w:snapToGrid w:val="0"/>
        <w:spacing w:before="120" w:after="120"/>
        <w:jc w:val="center"/>
        <w:outlineLvl w:val="0"/>
        <w:rPr>
          <w:rFonts w:hAnsi="宋体"/>
          <w:b/>
          <w:sz w:val="44"/>
          <w:szCs w:val="44"/>
        </w:rPr>
      </w:pPr>
    </w:p>
    <w:p w14:paraId="77BBE412">
      <w:pPr>
        <w:pStyle w:val="29"/>
        <w:snapToGrid w:val="0"/>
        <w:spacing w:before="120" w:after="120"/>
        <w:jc w:val="center"/>
        <w:outlineLvl w:val="0"/>
        <w:rPr>
          <w:rFonts w:hAnsi="宋体"/>
          <w:b/>
          <w:sz w:val="44"/>
          <w:szCs w:val="44"/>
        </w:rPr>
      </w:pPr>
    </w:p>
    <w:p w14:paraId="0D9340DC">
      <w:pPr>
        <w:pStyle w:val="29"/>
        <w:snapToGrid w:val="0"/>
        <w:spacing w:before="120" w:after="120"/>
        <w:jc w:val="center"/>
        <w:outlineLvl w:val="0"/>
        <w:rPr>
          <w:rFonts w:hAnsi="宋体"/>
          <w:b/>
          <w:sz w:val="44"/>
          <w:szCs w:val="44"/>
        </w:rPr>
      </w:pPr>
    </w:p>
    <w:p w14:paraId="40433D96">
      <w:pPr>
        <w:pStyle w:val="29"/>
        <w:snapToGrid w:val="0"/>
        <w:spacing w:before="120" w:after="120"/>
        <w:jc w:val="center"/>
        <w:outlineLvl w:val="0"/>
        <w:rPr>
          <w:rFonts w:hAnsi="宋体"/>
          <w:b/>
          <w:sz w:val="44"/>
          <w:szCs w:val="44"/>
        </w:rPr>
      </w:pPr>
    </w:p>
    <w:bookmarkEnd w:id="51"/>
    <w:bookmarkEnd w:id="52"/>
    <w:p w14:paraId="347BDBF3">
      <w:pPr>
        <w:pStyle w:val="3"/>
        <w:jc w:val="center"/>
      </w:pPr>
      <w:bookmarkStart w:id="53" w:name="_Toc1211477353"/>
      <w:r>
        <w:rPr>
          <w:rFonts w:hint="eastAsia"/>
        </w:rPr>
        <w:t xml:space="preserve">第四章  </w:t>
      </w:r>
      <w:bookmarkEnd w:id="53"/>
      <w:r>
        <w:rPr>
          <w:rFonts w:hint="eastAsia"/>
        </w:rPr>
        <w:t>评标方法及评分标准</w:t>
      </w:r>
    </w:p>
    <w:p w14:paraId="59D9C8CA">
      <w:pPr>
        <w:pStyle w:val="111"/>
        <w:adjustRightInd w:val="0"/>
        <w:snapToGrid w:val="0"/>
        <w:spacing w:line="400" w:lineRule="exact"/>
        <w:ind w:firstLine="42"/>
        <w:rPr>
          <w:b/>
          <w:bCs/>
        </w:rPr>
      </w:pPr>
    </w:p>
    <w:p w14:paraId="30FBF452">
      <w:pPr>
        <w:pStyle w:val="111"/>
        <w:adjustRightInd w:val="0"/>
        <w:snapToGrid w:val="0"/>
        <w:spacing w:line="400" w:lineRule="exact"/>
        <w:ind w:firstLine="42"/>
        <w:rPr>
          <w:b/>
          <w:bCs/>
        </w:rPr>
      </w:pPr>
    </w:p>
    <w:p w14:paraId="0B7EED9A">
      <w:pPr>
        <w:pStyle w:val="111"/>
        <w:adjustRightInd w:val="0"/>
        <w:snapToGrid w:val="0"/>
        <w:spacing w:line="400" w:lineRule="exact"/>
        <w:ind w:firstLine="42"/>
        <w:rPr>
          <w:b/>
          <w:bCs/>
        </w:rPr>
      </w:pPr>
    </w:p>
    <w:p w14:paraId="5B5FD45C">
      <w:pPr>
        <w:pStyle w:val="111"/>
        <w:adjustRightInd w:val="0"/>
        <w:snapToGrid w:val="0"/>
        <w:spacing w:line="400" w:lineRule="exact"/>
        <w:ind w:firstLine="42"/>
        <w:rPr>
          <w:b/>
          <w:bCs/>
        </w:rPr>
      </w:pPr>
    </w:p>
    <w:p w14:paraId="55F6506B">
      <w:pPr>
        <w:pStyle w:val="111"/>
        <w:adjustRightInd w:val="0"/>
        <w:snapToGrid w:val="0"/>
        <w:spacing w:line="400" w:lineRule="exact"/>
        <w:ind w:firstLine="42"/>
        <w:rPr>
          <w:b/>
          <w:bCs/>
        </w:rPr>
      </w:pPr>
    </w:p>
    <w:p w14:paraId="217A8AF4">
      <w:pPr>
        <w:pStyle w:val="111"/>
        <w:adjustRightInd w:val="0"/>
        <w:snapToGrid w:val="0"/>
        <w:spacing w:line="400" w:lineRule="exact"/>
        <w:ind w:firstLine="42"/>
        <w:rPr>
          <w:b/>
          <w:bCs/>
        </w:rPr>
      </w:pPr>
    </w:p>
    <w:p w14:paraId="0AE634B2">
      <w:pPr>
        <w:pStyle w:val="111"/>
        <w:adjustRightInd w:val="0"/>
        <w:snapToGrid w:val="0"/>
        <w:spacing w:line="400" w:lineRule="exact"/>
        <w:ind w:firstLine="42"/>
        <w:rPr>
          <w:b/>
          <w:bCs/>
        </w:rPr>
      </w:pPr>
    </w:p>
    <w:p w14:paraId="4D65038A">
      <w:pPr>
        <w:pStyle w:val="29"/>
        <w:pageBreakBefore/>
        <w:spacing w:line="480" w:lineRule="exact"/>
        <w:jc w:val="center"/>
        <w:rPr>
          <w:rFonts w:ascii="仿宋_GB2312" w:hAnsi="宋体" w:eastAsia="仿宋_GB2312"/>
          <w:b/>
          <w:sz w:val="32"/>
          <w:szCs w:val="32"/>
        </w:rPr>
      </w:pPr>
      <w:r>
        <w:rPr>
          <w:rFonts w:hint="eastAsia" w:ascii="仿宋_GB2312" w:hAnsi="宋体" w:eastAsia="仿宋_GB2312"/>
          <w:b/>
          <w:sz w:val="32"/>
          <w:szCs w:val="32"/>
        </w:rPr>
        <w:t>评标方法及评分标准（分标1）</w:t>
      </w:r>
    </w:p>
    <w:p w14:paraId="18992C8D">
      <w:pPr>
        <w:pStyle w:val="111"/>
        <w:adjustRightInd w:val="0"/>
        <w:snapToGrid w:val="0"/>
        <w:spacing w:line="400" w:lineRule="exact"/>
        <w:ind w:firstLine="42"/>
        <w:jc w:val="center"/>
        <w:rPr>
          <w:b/>
          <w:bCs/>
        </w:rPr>
      </w:pPr>
    </w:p>
    <w:p w14:paraId="424B5F81">
      <w:pPr>
        <w:pStyle w:val="111"/>
        <w:adjustRightInd w:val="0"/>
        <w:snapToGrid w:val="0"/>
        <w:spacing w:line="380" w:lineRule="exact"/>
        <w:ind w:firstLine="42"/>
        <w:rPr>
          <w:b/>
          <w:bCs/>
        </w:rPr>
      </w:pPr>
      <w:r>
        <w:rPr>
          <w:rFonts w:hint="eastAsia"/>
          <w:b/>
          <w:bCs/>
        </w:rPr>
        <w:t>一、评标原则</w:t>
      </w:r>
    </w:p>
    <w:p w14:paraId="4B556D73">
      <w:pPr>
        <w:pStyle w:val="111"/>
        <w:adjustRightInd w:val="0"/>
        <w:snapToGrid w:val="0"/>
        <w:spacing w:line="380" w:lineRule="exact"/>
        <w:ind w:firstLine="378" w:firstLineChars="180"/>
      </w:pPr>
      <w:r>
        <w:rPr>
          <w:rFonts w:hint="eastAsia"/>
        </w:rPr>
        <w:t>（一） 评委构成：本招标采购项目的评标委员会由采购人代表和有关技术、经济等方面的专家组成，成员人数应当为七人以上单数。其中，技术、经济等方面的专家不得少于成员总数的三分之二。</w:t>
      </w:r>
    </w:p>
    <w:p w14:paraId="6564EC5E">
      <w:pPr>
        <w:pStyle w:val="111"/>
        <w:adjustRightInd w:val="0"/>
        <w:snapToGrid w:val="0"/>
        <w:spacing w:line="380" w:lineRule="exact"/>
        <w:ind w:firstLine="378" w:firstLineChars="180"/>
        <w:rPr>
          <w:bCs/>
        </w:rPr>
      </w:pPr>
      <w:r>
        <w:rPr>
          <w:rFonts w:hint="eastAsia"/>
          <w:bCs/>
        </w:rPr>
        <w:t>（二）</w:t>
      </w:r>
      <w:r>
        <w:rPr>
          <w:rFonts w:hint="eastAsia"/>
        </w:rPr>
        <w:t xml:space="preserve"> 评标依据：</w:t>
      </w:r>
      <w:r>
        <w:rPr>
          <w:rFonts w:hint="eastAsia"/>
          <w:bCs/>
        </w:rPr>
        <w:t>评委将以招投标文件为评标依据，对投标人的内容按百分制打分。</w:t>
      </w:r>
    </w:p>
    <w:p w14:paraId="3745BEEA">
      <w:pPr>
        <w:pStyle w:val="29"/>
        <w:adjustRightInd w:val="0"/>
        <w:snapToGrid w:val="0"/>
        <w:spacing w:line="380" w:lineRule="exact"/>
        <w:ind w:firstLine="289" w:firstLineChars="138"/>
        <w:rPr>
          <w:rFonts w:hint="eastAsia" w:hAnsi="宋体"/>
          <w:bCs/>
        </w:rPr>
      </w:pPr>
      <w:r>
        <w:rPr>
          <w:rFonts w:hint="eastAsia" w:hAnsi="宋体"/>
          <w:bCs/>
        </w:rPr>
        <w:t xml:space="preserve"> （三）</w:t>
      </w:r>
      <w:r>
        <w:rPr>
          <w:rFonts w:hint="eastAsia"/>
        </w:rPr>
        <w:t xml:space="preserve"> </w:t>
      </w:r>
      <w:r>
        <w:rPr>
          <w:rFonts w:hint="eastAsia" w:hAnsi="宋体"/>
          <w:bCs/>
        </w:rPr>
        <w:t>评标方式：以封闭方式进行。</w:t>
      </w:r>
    </w:p>
    <w:p w14:paraId="0887C515">
      <w:pPr>
        <w:keepNext/>
        <w:keepLines/>
        <w:widowControl/>
        <w:spacing w:before="120" w:after="120" w:line="380" w:lineRule="exact"/>
        <w:ind w:firstLine="420" w:firstLineChars="200"/>
        <w:jc w:val="left"/>
        <w:outlineLvl w:val="3"/>
        <w:rPr>
          <w:rFonts w:hint="eastAsia" w:ascii="宋体" w:hAnsi="宋体" w:cs="宋体"/>
          <w:kern w:val="0"/>
          <w:szCs w:val="21"/>
        </w:rPr>
      </w:pPr>
      <w:r>
        <w:rPr>
          <w:rFonts w:hint="eastAsia" w:ascii="宋体" w:hAnsi="宋体" w:cs="宋体"/>
          <w:kern w:val="0"/>
          <w:szCs w:val="21"/>
        </w:rPr>
        <w:t>（四）无效投标处理原则：在评标过程中，包括在异常低价认定程序中被认定为无效的投标，其投标文件不再进入后续评审阶段，也不参与得分计算与汇总排名。</w:t>
      </w:r>
    </w:p>
    <w:p w14:paraId="332F6C96">
      <w:pPr>
        <w:pStyle w:val="29"/>
        <w:adjustRightInd w:val="0"/>
        <w:snapToGrid w:val="0"/>
        <w:spacing w:line="380" w:lineRule="exact"/>
        <w:ind w:firstLine="42" w:firstLineChars="20"/>
        <w:rPr>
          <w:rFonts w:hAnsi="宋体"/>
          <w:b/>
        </w:rPr>
      </w:pPr>
      <w:r>
        <w:rPr>
          <w:rFonts w:hint="eastAsia" w:hAnsi="宋体"/>
          <w:b/>
        </w:rPr>
        <w:t>二、评标方法</w:t>
      </w:r>
    </w:p>
    <w:p w14:paraId="27ECB59E">
      <w:pPr>
        <w:pStyle w:val="111"/>
        <w:adjustRightInd w:val="0"/>
        <w:snapToGrid w:val="0"/>
        <w:spacing w:line="380" w:lineRule="exact"/>
        <w:ind w:firstLine="378" w:firstLineChars="180"/>
      </w:pPr>
      <w:r>
        <w:rPr>
          <w:rFonts w:hint="eastAsia"/>
        </w:rPr>
        <w:t>（一）对进入详评的，采用百分制综合评分法。</w:t>
      </w:r>
    </w:p>
    <w:p w14:paraId="57649280">
      <w:pPr>
        <w:pStyle w:val="111"/>
        <w:adjustRightInd w:val="0"/>
        <w:snapToGrid w:val="0"/>
        <w:spacing w:line="380" w:lineRule="exact"/>
        <w:ind w:firstLine="378" w:firstLineChars="180"/>
      </w:pPr>
      <w:r>
        <w:rPr>
          <w:rFonts w:hint="eastAsia"/>
        </w:rPr>
        <w:t>（二）计分办法（按四舍五入取至百分位）：</w:t>
      </w:r>
    </w:p>
    <w:p w14:paraId="52DABEEA">
      <w:pPr>
        <w:pStyle w:val="405"/>
        <w:spacing w:line="380" w:lineRule="exact"/>
        <w:ind w:firstLine="420" w:firstLineChars="200"/>
        <w:rPr>
          <w:b/>
          <w:bCs/>
        </w:rPr>
      </w:pPr>
      <w:r>
        <w:rPr>
          <w:rFonts w:hint="eastAsia"/>
          <w:b/>
          <w:bCs/>
        </w:rPr>
        <w:t>1.价格分……………………………………………………………………………</w:t>
      </w:r>
      <w:r>
        <w:rPr>
          <w:rFonts w:hint="eastAsia"/>
          <w:b/>
          <w:bCs/>
          <w:lang w:eastAsia="zh"/>
        </w:rPr>
        <w:t>3</w:t>
      </w:r>
      <w:r>
        <w:rPr>
          <w:rFonts w:hint="eastAsia"/>
          <w:b/>
          <w:bCs/>
        </w:rPr>
        <w:t>0分</w:t>
      </w:r>
    </w:p>
    <w:p w14:paraId="16D2D531">
      <w:pPr>
        <w:pStyle w:val="111"/>
        <w:adjustRightInd w:val="0"/>
        <w:snapToGrid w:val="0"/>
        <w:spacing w:line="380" w:lineRule="exact"/>
        <w:ind w:firstLine="378" w:firstLineChars="180"/>
      </w:pPr>
      <w:r>
        <w:rPr>
          <w:rFonts w:hint="eastAsia"/>
        </w:rPr>
        <w:t>（1）</w:t>
      </w:r>
      <w:r>
        <w:rPr>
          <w:rFonts w:hint="eastAsia" w:ascii="Times New Roman" w:hAnsi="Times New Roman"/>
          <w:bCs/>
        </w:rPr>
        <w:t>符合《政府采购促进中小企业发展管理办法》（财库</w:t>
      </w:r>
      <w:r>
        <w:rPr>
          <w:rFonts w:hint="eastAsia"/>
        </w:rPr>
        <w:t>〔</w:t>
      </w:r>
      <w:r>
        <w:rPr>
          <w:rFonts w:hint="eastAsia" w:ascii="Times New Roman" w:hAnsi="Times New Roman"/>
          <w:bCs/>
        </w:rPr>
        <w:t>2020</w:t>
      </w:r>
      <w:r>
        <w:rPr>
          <w:rFonts w:hint="eastAsia"/>
        </w:rPr>
        <w:t>〕</w:t>
      </w:r>
      <w:r>
        <w:rPr>
          <w:rFonts w:hint="eastAsia" w:ascii="Times New Roman" w:hAnsi="Times New Roman"/>
          <w:bCs/>
        </w:rPr>
        <w:t>46号）规定条件且按该办法中规定的格式提供了《中小企业声明函》的小型和微型企业参与投标，对其最后报价给予10</w:t>
      </w:r>
      <w:r>
        <w:rPr>
          <w:rFonts w:ascii="Times New Roman" w:hAnsi="Times New Roman"/>
          <w:bCs/>
        </w:rPr>
        <w:t>%</w:t>
      </w:r>
      <w:r>
        <w:rPr>
          <w:rFonts w:hint="eastAsia" w:ascii="Times New Roman" w:hAnsi="Times New Roman"/>
          <w:bCs/>
        </w:rPr>
        <w:t>的扣除，</w:t>
      </w:r>
      <w:r>
        <w:rPr>
          <w:rFonts w:hint="eastAsia"/>
        </w:rPr>
        <w:t>扣除后的价格为评标价，即评标价=投标价×（1-10%）；符合《国务院办公厅关于在政府采购中实施本国产品标准及相关政策的通知》（国办发〔</w:t>
      </w:r>
      <w:r>
        <w:rPr>
          <w:rFonts w:ascii="Times New Roman" w:hAnsi="Times New Roman"/>
        </w:rPr>
        <w:t>2025</w:t>
      </w:r>
      <w:r>
        <w:rPr>
          <w:rFonts w:hint="eastAsia"/>
        </w:rPr>
        <w:t>〕</w:t>
      </w:r>
      <w:r>
        <w:rPr>
          <w:rFonts w:ascii="Times New Roman" w:hAnsi="Times New Roman"/>
        </w:rPr>
        <w:t>34</w:t>
      </w:r>
      <w:r>
        <w:rPr>
          <w:rFonts w:hint="eastAsia"/>
        </w:rPr>
        <w:t>号）规定</w:t>
      </w:r>
      <w:r>
        <w:rPr>
          <w:rFonts w:hint="eastAsia" w:ascii="Times New Roman" w:hAnsi="Times New Roman"/>
          <w:bCs/>
        </w:rPr>
        <w:t>条件且按该通知中规定的格式提供了《关于符合本国产品标准的声明函》的供应商参与投标，对其投标报价给予20</w:t>
      </w:r>
      <w:r>
        <w:rPr>
          <w:rFonts w:ascii="Times New Roman" w:hAnsi="Times New Roman"/>
          <w:bCs/>
        </w:rPr>
        <w:t>%</w:t>
      </w:r>
      <w:r>
        <w:rPr>
          <w:rFonts w:hint="eastAsia" w:ascii="Times New Roman" w:hAnsi="Times New Roman"/>
          <w:bCs/>
        </w:rPr>
        <w:t>的扣除，</w:t>
      </w:r>
      <w:r>
        <w:rPr>
          <w:rFonts w:hint="eastAsia"/>
        </w:rPr>
        <w:t>扣除后的价格为评标价，即评标价=投标价×（1-20%）；除上述情况外，评标价=投标价。</w:t>
      </w:r>
    </w:p>
    <w:p w14:paraId="013B3F1A">
      <w:pPr>
        <w:pStyle w:val="111"/>
        <w:adjustRightInd w:val="0"/>
        <w:snapToGrid w:val="0"/>
        <w:spacing w:line="380" w:lineRule="exact"/>
        <w:ind w:firstLine="378" w:firstLineChars="180"/>
      </w:pPr>
      <w:r>
        <w:t>投标产品生产企业或服务提供企业按《关于政府采购支持监狱企业发展有关问题的通知》</w:t>
      </w:r>
      <w:r>
        <w:rPr>
          <w:rFonts w:hint="eastAsia"/>
        </w:rPr>
        <w:t>（</w:t>
      </w:r>
      <w:r>
        <w:t>财库</w:t>
      </w:r>
      <w:r>
        <w:rPr>
          <w:rFonts w:hint="eastAsia"/>
        </w:rPr>
        <w:t>〔</w:t>
      </w:r>
      <w:r>
        <w:t>2014</w:t>
      </w:r>
      <w:r>
        <w:rPr>
          <w:rFonts w:hint="eastAsia"/>
        </w:rPr>
        <w:t>〕</w:t>
      </w:r>
      <w:r>
        <w:t>68号</w:t>
      </w:r>
      <w:r>
        <w:rPr>
          <w:rFonts w:hint="eastAsia"/>
        </w:rPr>
        <w:t>）</w:t>
      </w:r>
      <w:r>
        <w:t>认定为监狱企业的，在政府采购活动中，监狱企业视同小型、微型企业。投标人应当提供由省级以上监狱管理局、戒毒管理局</w:t>
      </w:r>
      <w:r>
        <w:rPr>
          <w:rFonts w:hint="eastAsia"/>
        </w:rPr>
        <w:t>（</w:t>
      </w:r>
      <w:r>
        <w:t>含新疆生产建设兵团</w:t>
      </w:r>
      <w:r>
        <w:rPr>
          <w:rFonts w:hint="eastAsia"/>
        </w:rPr>
        <w:t>）</w:t>
      </w:r>
      <w:r>
        <w:t>出具的投标产品生产企业或服务提供企业属于监狱企业的证明文件，不再提供《中小企业声明函》；</w:t>
      </w:r>
    </w:p>
    <w:p w14:paraId="45A20B2A">
      <w:pPr>
        <w:pStyle w:val="111"/>
        <w:adjustRightInd w:val="0"/>
        <w:snapToGrid w:val="0"/>
        <w:spacing w:line="380" w:lineRule="exact"/>
        <w:ind w:firstLine="378" w:firstLineChars="180"/>
      </w:pPr>
      <w:r>
        <w:t>投标产品生产</w:t>
      </w:r>
      <w:r>
        <w:rPr>
          <w:rFonts w:hint="eastAsia"/>
        </w:rPr>
        <w:t>单位</w:t>
      </w:r>
      <w:r>
        <w:t>或服务提供</w:t>
      </w:r>
      <w:r>
        <w:rPr>
          <w:rFonts w:hint="eastAsia"/>
        </w:rPr>
        <w:t>单位按《关于促进残疾人就业政府采购政策的通知》（财库〔2017〕141号）认定为残疾人福利性单位的，在政府采购活动中，残疾人福利性单位视同小型、微型企业。</w:t>
      </w:r>
      <w:r>
        <w:t>投标人应当提供</w:t>
      </w:r>
      <w:r>
        <w:rPr>
          <w:rFonts w:hint="eastAsia"/>
        </w:rPr>
        <w:t>该通知规定的</w:t>
      </w:r>
      <w:r>
        <w:t>投标产品生产</w:t>
      </w:r>
      <w:r>
        <w:rPr>
          <w:rFonts w:hint="eastAsia"/>
        </w:rPr>
        <w:t>单位</w:t>
      </w:r>
      <w:r>
        <w:t>或服务提供</w:t>
      </w:r>
      <w:r>
        <w:rPr>
          <w:rFonts w:hint="eastAsia"/>
        </w:rPr>
        <w:t>单位属于残疾人福利性单位的《残疾人福利性单位声明函》，</w:t>
      </w:r>
      <w:r>
        <w:t>不再提供《中小企业声明函》</w:t>
      </w:r>
      <w:r>
        <w:rPr>
          <w:rFonts w:hint="eastAsia"/>
        </w:rPr>
        <w:t>。</w:t>
      </w:r>
    </w:p>
    <w:p w14:paraId="63C1F013">
      <w:pPr>
        <w:pStyle w:val="111"/>
        <w:adjustRightInd w:val="0"/>
        <w:snapToGrid w:val="0"/>
        <w:spacing w:line="380" w:lineRule="exact"/>
        <w:ind w:firstLine="378" w:firstLineChars="180"/>
      </w:pPr>
      <w:r>
        <w:rPr>
          <w:rFonts w:hint="eastAsia"/>
        </w:rPr>
        <w:t>（2）以满足招标文件要求且评标价最低的投标人的评标价为评标基准价，其价格分为</w:t>
      </w:r>
      <w:r>
        <w:rPr>
          <w:rFonts w:hint="eastAsia"/>
          <w:bCs/>
        </w:rPr>
        <w:t>30</w:t>
      </w:r>
      <w:r>
        <w:rPr>
          <w:rFonts w:hint="eastAsia"/>
          <w:szCs w:val="24"/>
        </w:rPr>
        <w:t>分</w:t>
      </w:r>
      <w:r>
        <w:rPr>
          <w:rFonts w:hint="eastAsia"/>
        </w:rPr>
        <w:t>。</w:t>
      </w:r>
    </w:p>
    <w:p w14:paraId="459C9EAE">
      <w:pPr>
        <w:pStyle w:val="111"/>
        <w:adjustRightInd w:val="0"/>
        <w:snapToGrid w:val="0"/>
        <w:spacing w:line="380" w:lineRule="exact"/>
        <w:ind w:firstLine="378" w:firstLineChars="180"/>
        <w:rPr>
          <w:rFonts w:hint="eastAsia"/>
        </w:rPr>
      </w:pPr>
      <w:r>
        <w:rPr>
          <w:rFonts w:hint="eastAsia"/>
        </w:rPr>
        <w:t>（</w:t>
      </w:r>
      <w:r>
        <w:t>3</w:t>
      </w:r>
      <w:r>
        <w:rPr>
          <w:rFonts w:hint="eastAsia"/>
        </w:rPr>
        <w:t>）某投标人价格分</w:t>
      </w:r>
      <w:r>
        <w:t xml:space="preserve"> = </w:t>
      </w:r>
      <w:r>
        <w:rPr>
          <w:rFonts w:hint="eastAsia"/>
          <w:bCs/>
        </w:rPr>
        <w:t>评标基准价</w:t>
      </w:r>
      <w:r>
        <w:rPr>
          <w:rFonts w:hint="eastAsia"/>
        </w:rPr>
        <w:t>（金额）</w:t>
      </w:r>
      <w:r>
        <w:t>/</w:t>
      </w:r>
      <w:r>
        <w:rPr>
          <w:rFonts w:hint="eastAsia"/>
        </w:rPr>
        <w:t>某投标人评标价（金额）×</w:t>
      </w:r>
      <w:r>
        <w:rPr>
          <w:rFonts w:hint="eastAsia"/>
          <w:lang w:eastAsia="zh"/>
        </w:rPr>
        <w:t>3</w:t>
      </w:r>
      <w:r>
        <w:rPr>
          <w:rFonts w:hint="eastAsia"/>
        </w:rPr>
        <w:t>0分。</w:t>
      </w:r>
    </w:p>
    <w:p w14:paraId="704F1F86">
      <w:pPr>
        <w:pStyle w:val="405"/>
        <w:spacing w:line="380" w:lineRule="exact"/>
        <w:ind w:firstLine="420" w:firstLineChars="200"/>
        <w:rPr>
          <w:rFonts w:hAnsi="宋体"/>
          <w:b/>
        </w:rPr>
      </w:pPr>
      <w:r>
        <w:rPr>
          <w:rFonts w:hint="eastAsia"/>
          <w:b/>
          <w:bCs/>
        </w:rPr>
        <w:t>2.技术分……………………………………………………………………………60分</w:t>
      </w:r>
    </w:p>
    <w:p w14:paraId="40A17EE0">
      <w:pPr>
        <w:pStyle w:val="111"/>
        <w:adjustRightInd w:val="0"/>
        <w:snapToGrid w:val="0"/>
        <w:spacing w:line="380" w:lineRule="exact"/>
        <w:ind w:firstLine="378" w:firstLineChars="180"/>
        <w:textAlignment w:val="baseline"/>
        <w:rPr>
          <w:rFonts w:hint="eastAsia"/>
          <w:highlight w:val="none"/>
        </w:rPr>
      </w:pPr>
      <w:r>
        <w:rPr>
          <w:rFonts w:hint="eastAsia"/>
        </w:rPr>
        <w:t>（1）</w:t>
      </w:r>
      <w:r>
        <w:rPr>
          <w:rFonts w:hint="eastAsia"/>
          <w:highlight w:val="none"/>
        </w:rPr>
        <w:t>一般技术参数要求响应得分（满分</w:t>
      </w:r>
      <w:r>
        <w:rPr>
          <w:rFonts w:hint="eastAsia"/>
          <w:highlight w:val="none"/>
          <w:lang w:val="en-US" w:eastAsia="zh-CN"/>
        </w:rPr>
        <w:t>42</w:t>
      </w:r>
      <w:r>
        <w:rPr>
          <w:rFonts w:hint="eastAsia"/>
          <w:highlight w:val="none"/>
        </w:rPr>
        <w:t>分）</w:t>
      </w:r>
    </w:p>
    <w:p w14:paraId="69EDC2F2">
      <w:pPr>
        <w:pStyle w:val="111"/>
        <w:adjustRightInd w:val="0"/>
        <w:snapToGrid w:val="0"/>
        <w:spacing w:line="380" w:lineRule="exact"/>
        <w:ind w:firstLine="378" w:firstLineChars="180"/>
        <w:textAlignment w:val="baseline"/>
        <w:rPr>
          <w:rFonts w:hint="eastAsia"/>
          <w:highlight w:val="none"/>
        </w:rPr>
      </w:pPr>
      <w:r>
        <w:rPr>
          <w:rFonts w:hint="eastAsia"/>
          <w:highlight w:val="none"/>
        </w:rPr>
        <w:t>一般技术参数要求响应得分（共计</w:t>
      </w:r>
      <w:r>
        <w:rPr>
          <w:rFonts w:hint="eastAsia"/>
          <w:highlight w:val="none"/>
          <w:lang w:val="en-US" w:eastAsia="zh-CN"/>
        </w:rPr>
        <w:t>56</w:t>
      </w:r>
      <w:r>
        <w:rPr>
          <w:rFonts w:hint="eastAsia"/>
          <w:highlight w:val="none"/>
        </w:rPr>
        <w:t>项）， “X线高压发生器装置”“X线球管”“数字化平板探测器”“ 机架系统”“导管床”“图像采集及处理系统”“图像采集及处理及优化技术软件包”“图像显示系统”“图像存储及图像分析系统”“血管分析软件”“高级三维图像后处理工作站”“多模态影像融合功能”“血管机类CT成像功能”“射线剂量防护技术”等为技术参数要求的名称描述，不计入一般技术参数要求数量。</w:t>
      </w:r>
    </w:p>
    <w:p w14:paraId="0EB8C730">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一般技术参数满足采购需求的，每项得0.</w:t>
      </w:r>
      <w:r>
        <w:rPr>
          <w:rFonts w:hint="eastAsia" w:cs="宋体"/>
          <w:highlight w:val="none"/>
          <w:lang w:val="en-US" w:eastAsia="zh-CN"/>
        </w:rPr>
        <w:t>75</w:t>
      </w:r>
      <w:r>
        <w:rPr>
          <w:rFonts w:hint="eastAsia" w:ascii="宋体" w:hAnsi="宋体" w:eastAsia="宋体" w:cs="宋体"/>
          <w:highlight w:val="none"/>
        </w:rPr>
        <w:t>分。</w:t>
      </w:r>
    </w:p>
    <w:p w14:paraId="72A4BA90">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注：一般技术参数要求是指技术参数要求中未标注“▲”、“★”的技术参数。</w:t>
      </w:r>
    </w:p>
    <w:p w14:paraId="2B8BC81A">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（2）重要技术参数要求响应得分（满分</w:t>
      </w:r>
      <w:r>
        <w:rPr>
          <w:rFonts w:hint="eastAsia" w:cs="宋体"/>
          <w:highlight w:val="none"/>
          <w:lang w:val="en-US" w:eastAsia="zh-CN"/>
        </w:rPr>
        <w:t>8</w:t>
      </w:r>
      <w:r>
        <w:rPr>
          <w:rFonts w:hint="eastAsia" w:ascii="宋体" w:hAnsi="宋体" w:eastAsia="宋体" w:cs="宋体"/>
          <w:highlight w:val="none"/>
        </w:rPr>
        <w:t>分）</w:t>
      </w:r>
    </w:p>
    <w:p w14:paraId="2CE35072">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重要技术参数要求响应得分（共计</w:t>
      </w:r>
      <w:r>
        <w:rPr>
          <w:rFonts w:hint="eastAsia" w:ascii="宋体" w:hAnsi="宋体" w:eastAsia="宋体" w:cs="宋体"/>
          <w:highlight w:val="none"/>
          <w:lang w:val="en-US" w:eastAsia="zh-CN"/>
        </w:rPr>
        <w:t>4</w:t>
      </w:r>
      <w:r>
        <w:rPr>
          <w:rFonts w:hint="eastAsia" w:ascii="宋体" w:hAnsi="宋体" w:eastAsia="宋体" w:cs="宋体"/>
          <w:highlight w:val="none"/>
        </w:rPr>
        <w:t>项）；</w:t>
      </w:r>
    </w:p>
    <w:p w14:paraId="40D74F1C">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重要技术参数满足要求的，每项得</w:t>
      </w:r>
      <w:r>
        <w:rPr>
          <w:rFonts w:hint="eastAsia" w:cs="宋体"/>
          <w:highlight w:val="none"/>
          <w:lang w:val="en-US" w:eastAsia="zh-CN"/>
        </w:rPr>
        <w:t>2</w:t>
      </w:r>
      <w:r>
        <w:rPr>
          <w:rFonts w:hint="eastAsia" w:ascii="宋体" w:hAnsi="宋体" w:eastAsia="宋体" w:cs="宋体"/>
          <w:highlight w:val="none"/>
        </w:rPr>
        <w:t>分。</w:t>
      </w:r>
    </w:p>
    <w:p w14:paraId="451E0DE7">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注：重要技术参数是指技术参数中标注“★”的技术参数。</w:t>
      </w:r>
    </w:p>
    <w:p w14:paraId="07C3646E">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w:t>
      </w:r>
      <w:r>
        <w:rPr>
          <w:rFonts w:hint="default" w:ascii="宋体" w:hAnsi="宋体" w:eastAsia="宋体" w:cs="宋体"/>
          <w:lang w:val="en" w:eastAsia="zh"/>
        </w:rPr>
        <w:t>3</w:t>
      </w:r>
      <w:r>
        <w:rPr>
          <w:rFonts w:hint="eastAsia" w:ascii="宋体" w:hAnsi="宋体" w:eastAsia="宋体" w:cs="宋体"/>
        </w:rPr>
        <w:t>）技术及项目实施方案分（满分5分）</w:t>
      </w:r>
    </w:p>
    <w:p w14:paraId="4A68A5F7">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根据投标文件中投标人技术及项目实施方案内容独立评分。</w:t>
      </w:r>
    </w:p>
    <w:p w14:paraId="3C04D094">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一档（1分）：管理措施、具体实施流程、进度安排、质量保证措施等方案内容齐全，符合基础条件的。</w:t>
      </w:r>
    </w:p>
    <w:p w14:paraId="123BCBF4">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二档（3分）：管理措施、具体实施流程、进度安排、质量保证措施等方案内容齐全，方案有可行性，无明显错误。</w:t>
      </w:r>
    </w:p>
    <w:p w14:paraId="497CA659">
      <w:pPr>
        <w:pStyle w:val="111"/>
        <w:snapToGrid w:val="0"/>
        <w:spacing w:line="380" w:lineRule="exact"/>
        <w:ind w:firstLine="378" w:firstLineChars="180"/>
        <w:rPr>
          <w:rFonts w:hint="eastAsia" w:ascii="宋体" w:hAnsi="宋体" w:eastAsia="宋体" w:cs="宋体"/>
        </w:rPr>
      </w:pPr>
      <w:r>
        <w:rPr>
          <w:rFonts w:hint="eastAsia" w:ascii="宋体" w:hAnsi="宋体" w:eastAsia="宋体" w:cs="宋体"/>
        </w:rPr>
        <w:t xml:space="preserve">  三档（5分）：管理措施、具体实施流程、进度安排、质量保证措施等方案内容齐全，方案有可行性，无明显错误，有利于采购项目实施的内容或合理性建议的。</w:t>
      </w:r>
    </w:p>
    <w:p w14:paraId="69A7C6AD">
      <w:pPr>
        <w:keepNext w:val="0"/>
        <w:keepLines w:val="0"/>
        <w:pageBreakBefore w:val="0"/>
        <w:widowControl/>
        <w:kinsoku/>
        <w:wordWrap/>
        <w:overflowPunct/>
        <w:topLinePunct w:val="0"/>
        <w:bidi w:val="0"/>
        <w:adjustRightInd w:val="0"/>
        <w:snapToGrid w:val="0"/>
        <w:spacing w:after="0" w:line="400" w:lineRule="exact"/>
        <w:ind w:firstLine="378" w:firstLineChars="180"/>
        <w:rPr>
          <w:rFonts w:hint="eastAsia" w:ascii="宋体" w:hAnsi="宋体" w:eastAsia="宋体" w:cs="Times New Roman"/>
          <w:b/>
          <w:bCs/>
          <w:kern w:val="0"/>
        </w:rPr>
      </w:pPr>
      <w:r>
        <w:rPr>
          <w:rFonts w:hint="eastAsia" w:ascii="宋体" w:hAnsi="宋体" w:eastAsia="宋体" w:cs="Times New Roman"/>
          <w:b/>
          <w:bCs/>
          <w:kern w:val="0"/>
        </w:rPr>
        <w:t>无技术及项目实施方案内容或不齐全的不得分。</w:t>
      </w:r>
    </w:p>
    <w:p w14:paraId="690787DC">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
        </w:rPr>
        <w:t>4</w:t>
      </w:r>
      <w:r>
        <w:rPr>
          <w:rFonts w:hint="eastAsia" w:ascii="宋体" w:hAnsi="宋体" w:eastAsia="宋体" w:cs="宋体"/>
        </w:rPr>
        <w:t>）技术人员分（满分3分）</w:t>
      </w:r>
    </w:p>
    <w:p w14:paraId="1450E518">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根据投标文件中投标人技术人员方案内容独立评分。   </w:t>
      </w:r>
    </w:p>
    <w:p w14:paraId="57A234F2">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一档（1分）：技术人员投入计划，技术人员在安装调试过程提供技术支持和协助计划，拟派技术人员的经验介绍等方案内容齐全，无明显错误，符合基础条件的。  </w:t>
      </w:r>
    </w:p>
    <w:p w14:paraId="7B4F603F">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二档（3分）：技术人员投入计划，有技术人员在安装调试过程提供技术支持和协助计划，拟派技术人员的经验介绍等方案内容齐全，方案有具体措施，有可行性，有利于采购项目实施的内容或合理性建议的。</w:t>
      </w:r>
    </w:p>
    <w:p w14:paraId="34213598">
      <w:pPr>
        <w:pStyle w:val="111"/>
        <w:adjustRightInd w:val="0"/>
        <w:snapToGrid w:val="0"/>
        <w:spacing w:line="380" w:lineRule="exact"/>
        <w:ind w:firstLine="378" w:firstLineChars="180"/>
        <w:rPr>
          <w:rFonts w:ascii="Calibri" w:hAnsi="Calibri" w:eastAsia="宋体" w:cs="Times New Roman"/>
          <w:b/>
          <w:bCs/>
          <w:kern w:val="2"/>
          <w:sz w:val="21"/>
          <w:szCs w:val="24"/>
          <w:lang w:val="en-US" w:eastAsia="zh-CN" w:bidi="ar-SA"/>
        </w:rPr>
      </w:pPr>
      <w:r>
        <w:rPr>
          <w:rFonts w:ascii="Calibri" w:hAnsi="Calibri" w:eastAsia="宋体" w:cs="Times New Roman"/>
          <w:b/>
          <w:bCs/>
          <w:kern w:val="2"/>
          <w:sz w:val="21"/>
          <w:szCs w:val="24"/>
          <w:lang w:val="en-US" w:eastAsia="zh-CN" w:bidi="ar-SA"/>
        </w:rPr>
        <w:t>无技术人员方案或不齐全的不得分。</w:t>
      </w:r>
    </w:p>
    <w:p w14:paraId="07A70071">
      <w:pPr>
        <w:pStyle w:val="111"/>
        <w:adjustRightInd w:val="0"/>
        <w:snapToGrid w:val="0"/>
        <w:spacing w:line="380" w:lineRule="exact"/>
        <w:ind w:firstLine="378" w:firstLineChars="180"/>
        <w:rPr>
          <w:rFonts w:hint="eastAsia"/>
        </w:rPr>
      </w:pPr>
      <w:r>
        <w:rPr>
          <w:rFonts w:hint="eastAsia"/>
          <w:b/>
          <w:bCs/>
        </w:rPr>
        <w:t xml:space="preserve"> </w:t>
      </w:r>
      <w:r>
        <w:rPr>
          <w:rFonts w:hint="eastAsia"/>
        </w:rPr>
        <w:t>（5）培训计划分（满分2分）</w:t>
      </w:r>
    </w:p>
    <w:p w14:paraId="48E4C6AF">
      <w:pPr>
        <w:spacing w:line="380" w:lineRule="exact"/>
        <w:ind w:firstLine="420" w:firstLineChars="200"/>
        <w:rPr>
          <w:rFonts w:hint="eastAsia" w:ascii="宋体" w:hAnsi="宋体"/>
          <w:kern w:val="0"/>
          <w:szCs w:val="21"/>
        </w:rPr>
      </w:pPr>
      <w:r>
        <w:rPr>
          <w:rFonts w:hint="eastAsia" w:ascii="宋体" w:hAnsi="宋体"/>
          <w:kern w:val="0"/>
          <w:szCs w:val="21"/>
        </w:rPr>
        <w:t xml:space="preserve">根据投标文件中投标人培训方案内容独立评分。  </w:t>
      </w:r>
    </w:p>
    <w:p w14:paraId="01228364">
      <w:pPr>
        <w:spacing w:line="380" w:lineRule="exact"/>
        <w:ind w:firstLine="420" w:firstLineChars="200"/>
        <w:rPr>
          <w:rFonts w:hint="eastAsia" w:ascii="宋体" w:hAnsi="宋体"/>
          <w:kern w:val="0"/>
          <w:szCs w:val="21"/>
        </w:rPr>
      </w:pPr>
      <w:r>
        <w:rPr>
          <w:rFonts w:hint="eastAsia" w:ascii="宋体" w:hAnsi="宋体"/>
          <w:kern w:val="0"/>
          <w:szCs w:val="21"/>
        </w:rPr>
        <w:t>一档（1分）：培训方案有简单的培训计划安排，能满足基本要求。</w:t>
      </w:r>
    </w:p>
    <w:p w14:paraId="492A96AA">
      <w:pPr>
        <w:spacing w:line="380" w:lineRule="exact"/>
        <w:ind w:firstLine="420" w:firstLineChars="200"/>
        <w:rPr>
          <w:rFonts w:hint="eastAsia" w:ascii="宋体" w:hAnsi="宋体"/>
          <w:kern w:val="0"/>
          <w:szCs w:val="21"/>
        </w:rPr>
      </w:pPr>
      <w:r>
        <w:rPr>
          <w:rFonts w:hint="eastAsia" w:ascii="宋体" w:hAnsi="宋体"/>
          <w:kern w:val="0"/>
          <w:szCs w:val="21"/>
        </w:rPr>
        <w:t>二档（2分）：培训方案应全面、详细，方案内容至少包含：拟派培训人员的安排及介绍、培训时间、规模人数、设备功能理论、简单故障排除等内容。</w:t>
      </w:r>
    </w:p>
    <w:p w14:paraId="174BE2F2">
      <w:pPr>
        <w:spacing w:line="380" w:lineRule="exact"/>
        <w:ind w:firstLine="420" w:firstLineChars="200"/>
        <w:rPr>
          <w:rFonts w:ascii="宋体" w:hAnsi="宋体"/>
          <w:b/>
          <w:bCs/>
        </w:rPr>
      </w:pPr>
      <w:r>
        <w:rPr>
          <w:b/>
          <w:bCs/>
        </w:rPr>
        <w:t>未提供或有明显错误的不得分。</w:t>
      </w:r>
    </w:p>
    <w:p w14:paraId="59E1DA18">
      <w:pPr>
        <w:pStyle w:val="111"/>
        <w:adjustRightInd w:val="0"/>
        <w:snapToGrid w:val="0"/>
        <w:spacing w:line="380" w:lineRule="exact"/>
        <w:ind w:firstLine="420" w:firstLineChars="200"/>
        <w:rPr>
          <w:rFonts w:hint="eastAsia"/>
          <w:b/>
          <w:bCs/>
        </w:rPr>
      </w:pPr>
      <w:r>
        <w:rPr>
          <w:rFonts w:hint="eastAsia"/>
          <w:b/>
          <w:bCs/>
        </w:rPr>
        <w:t>3.售后服务分……………………………………………………………………</w:t>
      </w:r>
      <w:r>
        <w:rPr>
          <w:rFonts w:hint="default"/>
          <w:b/>
          <w:bCs/>
          <w:lang w:val="en"/>
        </w:rPr>
        <w:t>5</w:t>
      </w:r>
      <w:r>
        <w:rPr>
          <w:rFonts w:hint="eastAsia"/>
          <w:b/>
          <w:bCs/>
        </w:rPr>
        <w:t>分</w:t>
      </w:r>
    </w:p>
    <w:p w14:paraId="53EE8706">
      <w:pPr>
        <w:pStyle w:val="111"/>
        <w:adjustRightInd w:val="0"/>
        <w:snapToGrid w:val="0"/>
        <w:spacing w:line="380" w:lineRule="exact"/>
        <w:ind w:firstLine="378" w:firstLineChars="180"/>
        <w:rPr>
          <w:rFonts w:hint="eastAsia"/>
        </w:rPr>
      </w:pPr>
      <w:r>
        <w:rPr>
          <w:rFonts w:hint="eastAsia"/>
        </w:rPr>
        <w:t>（1）售后服务分（满分</w:t>
      </w:r>
      <w:r>
        <w:rPr>
          <w:rFonts w:hint="default"/>
          <w:lang w:val="en"/>
        </w:rPr>
        <w:t>3</w:t>
      </w:r>
      <w:r>
        <w:rPr>
          <w:rFonts w:hint="eastAsia"/>
        </w:rPr>
        <w:t>分）</w:t>
      </w:r>
    </w:p>
    <w:p w14:paraId="1852C289">
      <w:pPr>
        <w:spacing w:line="380" w:lineRule="exact"/>
        <w:ind w:firstLine="420" w:firstLineChars="200"/>
        <w:rPr>
          <w:rFonts w:hint="eastAsia" w:ascii="宋体" w:hAnsi="宋体"/>
          <w:kern w:val="0"/>
          <w:szCs w:val="21"/>
        </w:rPr>
      </w:pPr>
      <w:r>
        <w:rPr>
          <w:rFonts w:hint="eastAsia" w:ascii="宋体" w:hAnsi="宋体"/>
          <w:kern w:val="0"/>
          <w:szCs w:val="21"/>
        </w:rPr>
        <w:t>一档（1分）：售后服务方案仅满足招标文件基本要求。</w:t>
      </w:r>
    </w:p>
    <w:p w14:paraId="089608D1">
      <w:pPr>
        <w:spacing w:line="380" w:lineRule="exact"/>
        <w:ind w:firstLine="420" w:firstLineChars="200"/>
        <w:rPr>
          <w:rFonts w:hint="eastAsia" w:ascii="宋体" w:hAnsi="宋体"/>
          <w:kern w:val="0"/>
          <w:szCs w:val="21"/>
        </w:rPr>
      </w:pPr>
      <w:r>
        <w:rPr>
          <w:rFonts w:hint="eastAsia" w:ascii="宋体" w:hAnsi="宋体"/>
          <w:kern w:val="0"/>
          <w:szCs w:val="21"/>
        </w:rPr>
        <w:t>二档（</w:t>
      </w:r>
      <w:r>
        <w:rPr>
          <w:rFonts w:hint="default" w:ascii="宋体" w:hAnsi="宋体"/>
          <w:kern w:val="0"/>
          <w:szCs w:val="21"/>
          <w:lang w:val="en"/>
        </w:rPr>
        <w:t>3</w:t>
      </w:r>
      <w:r>
        <w:rPr>
          <w:rFonts w:hint="eastAsia" w:ascii="宋体" w:hAnsi="宋体"/>
          <w:kern w:val="0"/>
          <w:szCs w:val="21"/>
        </w:rPr>
        <w:t>分）：售后服务方案细致、合理、可行，能提供生产厂家售后服务承诺书原件，有详细的售后服务管理制度、售后服务流程、应急预案、年度保养计划、发生故障时提供备用机或其他替代解决的具体措施、质量保障方案。</w:t>
      </w:r>
    </w:p>
    <w:p w14:paraId="0B6716E6">
      <w:pPr>
        <w:spacing w:line="380" w:lineRule="exact"/>
        <w:ind w:firstLine="420" w:firstLineChars="200"/>
        <w:rPr>
          <w:rFonts w:hint="eastAsia" w:ascii="宋体" w:hAnsi="宋体"/>
          <w:b/>
          <w:bCs/>
          <w:kern w:val="0"/>
          <w:szCs w:val="21"/>
        </w:rPr>
      </w:pPr>
      <w:r>
        <w:rPr>
          <w:rFonts w:hint="eastAsia" w:ascii="宋体" w:hAnsi="宋体"/>
          <w:b/>
          <w:bCs/>
          <w:kern w:val="0"/>
          <w:szCs w:val="21"/>
        </w:rPr>
        <w:t>未提供或有明显错误的不得分。</w:t>
      </w:r>
    </w:p>
    <w:p w14:paraId="2302EB24">
      <w:pPr>
        <w:pStyle w:val="111"/>
        <w:adjustRightInd w:val="0"/>
        <w:snapToGrid w:val="0"/>
        <w:spacing w:line="400" w:lineRule="exact"/>
        <w:ind w:firstLine="378" w:firstLineChars="180"/>
      </w:pPr>
      <w:r>
        <w:rPr>
          <w:rFonts w:hint="eastAsia"/>
        </w:rPr>
        <w:t>（</w:t>
      </w:r>
      <w:r>
        <w:rPr>
          <w:rFonts w:hint="eastAsia" w:ascii="Times New Roman" w:hAnsi="Times New Roman"/>
        </w:rPr>
        <w:t>2</w:t>
      </w:r>
      <w:r>
        <w:rPr>
          <w:rFonts w:hint="eastAsia"/>
        </w:rPr>
        <w:t>）质保期（保修期）（满分</w:t>
      </w:r>
      <w:r>
        <w:rPr>
          <w:rFonts w:hint="eastAsia" w:ascii="Times New Roman" w:hAnsi="Times New Roman"/>
        </w:rPr>
        <w:t>2</w:t>
      </w:r>
      <w:r>
        <w:rPr>
          <w:rFonts w:hint="eastAsia"/>
        </w:rPr>
        <w:t>分）</w:t>
      </w:r>
    </w:p>
    <w:p w14:paraId="12BBF938">
      <w:pPr>
        <w:pStyle w:val="405"/>
        <w:spacing w:line="380" w:lineRule="exact"/>
        <w:ind w:firstLine="420" w:firstLineChars="200"/>
        <w:rPr>
          <w:rFonts w:hint="eastAsia" w:ascii="宋体" w:hAnsi="宋体"/>
        </w:rPr>
      </w:pPr>
      <w:r>
        <w:rPr>
          <w:rFonts w:hint="eastAsia" w:ascii="宋体" w:hAnsi="宋体"/>
        </w:rPr>
        <w:t>在满足基本质保期（保修期）（</w:t>
      </w:r>
      <w:r>
        <w:rPr>
          <w:rFonts w:hint="eastAsia" w:ascii="宋体"/>
          <w:highlight w:val="none"/>
          <w:lang w:val="en-US" w:eastAsia="zh-CN"/>
        </w:rPr>
        <w:t>5</w:t>
      </w:r>
      <w:r>
        <w:rPr>
          <w:rFonts w:hint="eastAsia" w:ascii="宋体" w:hAnsi="宋体"/>
          <w:highlight w:val="none"/>
        </w:rPr>
        <w:t>年）</w:t>
      </w:r>
      <w:r>
        <w:rPr>
          <w:rFonts w:hint="eastAsia" w:ascii="宋体" w:hAnsi="宋体"/>
        </w:rPr>
        <w:t>的基础上，免费保修期每延长</w:t>
      </w:r>
      <w:r>
        <w:rPr>
          <w:rFonts w:hint="eastAsia"/>
        </w:rPr>
        <w:t>6</w:t>
      </w:r>
      <w:r>
        <w:rPr>
          <w:rFonts w:hint="eastAsia" w:ascii="宋体" w:hAnsi="宋体"/>
        </w:rPr>
        <w:t>个月得</w:t>
      </w:r>
      <w:r>
        <w:rPr>
          <w:rFonts w:hint="eastAsia"/>
        </w:rPr>
        <w:t>0</w:t>
      </w:r>
      <w:r>
        <w:rPr>
          <w:rFonts w:hint="eastAsia" w:ascii="宋体" w:hAnsi="宋体"/>
        </w:rPr>
        <w:t>.</w:t>
      </w:r>
      <w:r>
        <w:rPr>
          <w:rFonts w:hint="eastAsia"/>
        </w:rPr>
        <w:t>5</w:t>
      </w:r>
      <w:r>
        <w:rPr>
          <w:rFonts w:hint="eastAsia" w:ascii="宋体" w:hAnsi="宋体"/>
        </w:rPr>
        <w:t>分（以</w:t>
      </w:r>
      <w:r>
        <w:rPr>
          <w:rFonts w:hint="eastAsia"/>
        </w:rPr>
        <w:t>核心</w:t>
      </w:r>
      <w:r>
        <w:rPr>
          <w:rFonts w:hint="eastAsia" w:ascii="宋体" w:hAnsi="宋体"/>
        </w:rPr>
        <w:t>产品生产厂家承诺为准，投标文件中提供厂家证明文件复印件加盖投标单位公章），满分</w:t>
      </w:r>
      <w:r>
        <w:rPr>
          <w:rFonts w:hint="eastAsia"/>
        </w:rPr>
        <w:t>2</w:t>
      </w:r>
      <w:r>
        <w:rPr>
          <w:rFonts w:hint="eastAsia" w:ascii="宋体" w:hAnsi="宋体"/>
        </w:rPr>
        <w:t>分。</w:t>
      </w:r>
    </w:p>
    <w:p w14:paraId="29B82EFD">
      <w:pPr>
        <w:keepNext w:val="0"/>
        <w:keepLines w:val="0"/>
        <w:pageBreakBefore w:val="0"/>
        <w:widowControl/>
        <w:kinsoku/>
        <w:wordWrap/>
        <w:overflowPunct/>
        <w:topLinePunct w:val="0"/>
        <w:bidi w:val="0"/>
        <w:spacing w:after="0" w:line="278" w:lineRule="auto"/>
        <w:ind w:firstLine="420" w:firstLineChars="200"/>
        <w:rPr>
          <w:rFonts w:ascii="宋体" w:hAnsi="宋体"/>
          <w:kern w:val="0"/>
        </w:rPr>
      </w:pPr>
      <w:r>
        <w:rPr>
          <w:rFonts w:hint="eastAsia" w:ascii="Times New Roman" w:hAnsi="Times New Roman" w:eastAsia="宋体" w:cs="Times New Roman"/>
          <w:b/>
          <w:bCs/>
          <w:kern w:val="0"/>
          <w:sz w:val="21"/>
          <w:szCs w:val="21"/>
          <w:lang w:val="en-US" w:eastAsia="zh-CN" w:bidi="ar-SA"/>
        </w:rPr>
        <w:t>4.</w:t>
      </w:r>
      <w:r>
        <w:rPr>
          <w:rFonts w:hint="eastAsia"/>
          <w:b/>
          <w:bCs/>
        </w:rPr>
        <w:t>业绩分</w:t>
      </w:r>
      <w:r>
        <w:rPr>
          <w:rFonts w:hint="eastAsia" w:ascii="Times New Roman" w:hAnsi="Times New Roman" w:eastAsia="宋体" w:cs="Times New Roman"/>
          <w:b/>
          <w:bCs/>
          <w:kern w:val="0"/>
          <w:sz w:val="21"/>
          <w:szCs w:val="21"/>
          <w:lang w:val="en-US" w:eastAsia="zh-CN" w:bidi="ar-SA"/>
        </w:rPr>
        <w:t>…………</w:t>
      </w:r>
      <w:r>
        <w:rPr>
          <w:rFonts w:hint="eastAsia"/>
          <w:b/>
          <w:bCs/>
          <w:kern w:val="0"/>
        </w:rPr>
        <w:t>…………………………………………………………………</w:t>
      </w:r>
      <w:r>
        <w:rPr>
          <w:rFonts w:hint="eastAsia" w:ascii="Times New Roman" w:hAnsi="Times New Roman" w:eastAsia="宋体" w:cs="Times New Roman"/>
          <w:b/>
          <w:bCs/>
          <w:kern w:val="0"/>
          <w:sz w:val="21"/>
          <w:szCs w:val="21"/>
          <w:lang w:val="en-US" w:eastAsia="zh-CN" w:bidi="ar-SA"/>
        </w:rPr>
        <w:t>…4分</w:t>
      </w:r>
    </w:p>
    <w:p w14:paraId="4D41DFEE">
      <w:pPr>
        <w:keepNext w:val="0"/>
        <w:keepLines w:val="0"/>
        <w:pageBreakBefore w:val="0"/>
        <w:widowControl/>
        <w:kinsoku/>
        <w:wordWrap/>
        <w:overflowPunct/>
        <w:topLinePunct w:val="0"/>
        <w:bidi w:val="0"/>
        <w:adjustRightInd w:val="0"/>
        <w:snapToGrid w:val="0"/>
        <w:spacing w:after="0" w:line="400" w:lineRule="exact"/>
        <w:ind w:firstLine="378" w:firstLineChars="180"/>
        <w:rPr>
          <w:rFonts w:hint="eastAsia" w:ascii="宋体" w:hAnsi="宋体" w:eastAsia="宋体" w:cs="宋体"/>
          <w:szCs w:val="21"/>
          <w:lang w:eastAsia="zh-CN"/>
        </w:rPr>
      </w:pPr>
      <w:r>
        <w:rPr>
          <w:rFonts w:hint="eastAsia" w:ascii="宋体" w:hAnsi="宋体" w:cs="宋体"/>
          <w:color w:val="auto"/>
          <w:szCs w:val="21"/>
          <w:highlight w:val="none"/>
          <w:lang w:eastAsia="zh-CN"/>
        </w:rPr>
        <w:t>提供</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年1月1日至今与</w:t>
      </w:r>
      <w:r>
        <w:rPr>
          <w:rFonts w:hint="eastAsia" w:ascii="宋体" w:hAnsi="宋体" w:cs="宋体"/>
          <w:color w:val="auto"/>
          <w:szCs w:val="21"/>
          <w:highlight w:val="none"/>
          <w:lang w:eastAsia="zh-CN"/>
        </w:rPr>
        <w:t>所投</w:t>
      </w:r>
      <w:r>
        <w:rPr>
          <w:rFonts w:hint="eastAsia" w:ascii="宋体" w:hAnsi="宋体" w:eastAsia="宋体" w:cs="宋体"/>
          <w:color w:val="auto"/>
          <w:szCs w:val="21"/>
          <w:highlight w:val="none"/>
        </w:rPr>
        <w:t>产品同</w:t>
      </w:r>
      <w:r>
        <w:rPr>
          <w:rFonts w:hint="eastAsia" w:ascii="宋体" w:hAnsi="宋体" w:cs="宋体"/>
          <w:color w:val="auto"/>
          <w:szCs w:val="21"/>
          <w:highlight w:val="none"/>
          <w:lang w:eastAsia="zh-CN"/>
        </w:rPr>
        <w:t>品牌</w:t>
      </w:r>
      <w:r>
        <w:rPr>
          <w:rFonts w:hint="eastAsia" w:ascii="宋体" w:hAnsi="宋体" w:eastAsia="宋体" w:cs="宋体"/>
          <w:color w:val="auto"/>
          <w:szCs w:val="21"/>
          <w:highlight w:val="none"/>
          <w:lang w:eastAsia="zh-CN"/>
        </w:rPr>
        <w:t>同类型</w:t>
      </w:r>
      <w:r>
        <w:rPr>
          <w:rFonts w:hint="eastAsia" w:ascii="宋体" w:hAnsi="宋体" w:eastAsia="宋体" w:cs="宋体"/>
          <w:color w:val="auto"/>
          <w:szCs w:val="21"/>
          <w:highlight w:val="none"/>
        </w:rPr>
        <w:t>设备的业绩</w:t>
      </w:r>
      <w:r>
        <w:rPr>
          <w:rFonts w:hint="eastAsia" w:ascii="宋体" w:hAnsi="宋体" w:eastAsia="宋体" w:cs="宋体"/>
          <w:szCs w:val="21"/>
          <w:lang w:eastAsia="zh-CN"/>
        </w:rPr>
        <w:t>（业绩乙方可为生产厂家、代理商或经销商，甲方须为产品实际使用用户），每有1项得0.</w:t>
      </w:r>
      <w:r>
        <w:rPr>
          <w:rFonts w:hint="eastAsia" w:ascii="宋体" w:hAnsi="宋体" w:cs="宋体"/>
          <w:szCs w:val="21"/>
          <w:lang w:val="en-US" w:eastAsia="zh-CN"/>
        </w:rPr>
        <w:t>4</w:t>
      </w:r>
      <w:r>
        <w:rPr>
          <w:rFonts w:hint="eastAsia" w:ascii="宋体" w:hAnsi="宋体" w:eastAsia="宋体" w:cs="宋体"/>
          <w:szCs w:val="21"/>
          <w:lang w:eastAsia="zh-CN"/>
        </w:rPr>
        <w:t>分，满分</w:t>
      </w:r>
      <w:r>
        <w:rPr>
          <w:rFonts w:hint="default" w:ascii="宋体" w:hAnsi="宋体" w:cs="宋体"/>
          <w:szCs w:val="21"/>
          <w:lang w:val="en" w:eastAsia="zh-CN"/>
        </w:rPr>
        <w:t>4</w:t>
      </w:r>
      <w:r>
        <w:rPr>
          <w:rFonts w:hint="eastAsia" w:ascii="宋体" w:hAnsi="宋体" w:eastAsia="宋体" w:cs="宋体"/>
          <w:szCs w:val="21"/>
          <w:lang w:eastAsia="zh-CN"/>
        </w:rPr>
        <w:t>分。</w:t>
      </w:r>
    </w:p>
    <w:p w14:paraId="47C9D05E">
      <w:pPr>
        <w:pStyle w:val="405"/>
        <w:spacing w:line="380" w:lineRule="exact"/>
        <w:ind w:left="0" w:leftChars="0" w:firstLine="420" w:firstLineChars="200"/>
        <w:rPr>
          <w:b/>
          <w:bCs/>
        </w:rPr>
      </w:pPr>
      <w:r>
        <w:rPr>
          <w:rFonts w:hint="eastAsia" w:ascii="宋体" w:hAnsi="宋体" w:eastAsia="宋体" w:cs="Times New Roman"/>
          <w:b/>
          <w:bCs/>
          <w:kern w:val="0"/>
        </w:rPr>
        <w:t>注：投标文件中提供有效的中标通知书或合同复印件（或扫描件）</w:t>
      </w:r>
      <w:r>
        <w:rPr>
          <w:rFonts w:hint="eastAsia"/>
          <w:b/>
          <w:bCs/>
        </w:rPr>
        <w:t>、验收报告，并逐份加盖投标人电子签章，材料须体现签订时间、买卖双方信息、产品品牌型号（以上三项信息缺一不可，且均须清晰完整），否则不予以计分。</w:t>
      </w:r>
    </w:p>
    <w:p w14:paraId="39F2CE7A">
      <w:pPr>
        <w:pStyle w:val="405"/>
        <w:spacing w:line="380" w:lineRule="exact"/>
        <w:ind w:firstLine="420" w:firstLineChars="200"/>
        <w:rPr>
          <w:rFonts w:ascii="宋体" w:hAnsi="宋体"/>
        </w:rPr>
      </w:pPr>
      <w:r>
        <w:rPr>
          <w:rFonts w:hint="default" w:ascii="Calibri" w:hAnsi="Calibri" w:eastAsia="宋体" w:cs="Times New Roman"/>
          <w:b/>
          <w:bCs/>
          <w:kern w:val="0"/>
          <w:sz w:val="21"/>
          <w:szCs w:val="21"/>
          <w:lang w:val="en" w:eastAsia="zh-CN" w:bidi="ar-SA"/>
        </w:rPr>
        <w:t>5</w:t>
      </w:r>
      <w:r>
        <w:rPr>
          <w:rFonts w:hint="default" w:ascii="Calibri" w:hAnsi="Calibri" w:eastAsia="宋体" w:cs="Times New Roman"/>
          <w:b/>
          <w:bCs/>
          <w:kern w:val="0"/>
          <w:sz w:val="21"/>
          <w:szCs w:val="21"/>
          <w:lang w:val="en-US" w:eastAsia="zh-CN" w:bidi="ar-SA"/>
        </w:rPr>
        <w:t>.政策功能分</w:t>
      </w:r>
      <w:r>
        <w:rPr>
          <w:rFonts w:hint="eastAsia"/>
          <w:b/>
          <w:bCs/>
        </w:rPr>
        <w:t>…………</w:t>
      </w:r>
      <w:r>
        <w:rPr>
          <w:rFonts w:hint="eastAsia" w:ascii="Times New Roman" w:hAnsi="Times New Roman" w:eastAsia="宋体" w:cs="Times New Roman"/>
          <w:b/>
          <w:bCs/>
          <w:kern w:val="0"/>
          <w:sz w:val="21"/>
          <w:szCs w:val="21"/>
          <w:lang w:val="en-US" w:eastAsia="zh-CN" w:bidi="ar-SA"/>
        </w:rPr>
        <w:t>……</w:t>
      </w:r>
      <w:r>
        <w:rPr>
          <w:rFonts w:hint="eastAsia"/>
          <w:b/>
          <w:bCs/>
        </w:rPr>
        <w:t>………………………………………………………</w:t>
      </w:r>
      <w:r>
        <w:rPr>
          <w:rFonts w:hint="default"/>
          <w:b/>
          <w:bCs/>
          <w:lang w:val="en"/>
        </w:rPr>
        <w:t>1</w:t>
      </w:r>
      <w:r>
        <w:rPr>
          <w:rFonts w:hint="eastAsia"/>
          <w:b/>
          <w:bCs/>
        </w:rPr>
        <w:t>分</w:t>
      </w:r>
    </w:p>
    <w:p w14:paraId="133389B0">
      <w:pPr>
        <w:pStyle w:val="111"/>
        <w:adjustRightInd w:val="0"/>
        <w:snapToGrid w:val="0"/>
        <w:spacing w:line="380" w:lineRule="exact"/>
        <w:ind w:firstLine="378" w:firstLineChars="180"/>
      </w:pPr>
      <w:r>
        <w:rPr>
          <w:rFonts w:hint="eastAsia"/>
        </w:rPr>
        <w:t>节能、环保分（满分1分）</w:t>
      </w:r>
    </w:p>
    <w:p w14:paraId="1DD7A2D7">
      <w:pPr>
        <w:widowControl/>
        <w:spacing w:line="380" w:lineRule="exact"/>
        <w:ind w:firstLine="420" w:firstLineChars="200"/>
        <w:jc w:val="left"/>
        <w:rPr>
          <w:rFonts w:hint="eastAsia" w:ascii="宋体" w:hAnsi="宋体" w:cs="宋体"/>
          <w:szCs w:val="21"/>
        </w:rPr>
      </w:pPr>
      <w:r>
        <w:rPr>
          <w:rFonts w:hint="eastAsia" w:ascii="宋体" w:hAnsi="宋体" w:cs="宋体"/>
          <w:szCs w:val="21"/>
        </w:rPr>
        <w:t>（1）所投核心产品属于财政部《节能产品政府采购品目清单》内优先采购的产品[投标文件中提供有效的认证证书复印件（或扫描件）及品目清单（标注出投标产品在品目清单中所属的品目），并加盖投标人电子签章]，得0.5分。</w:t>
      </w:r>
    </w:p>
    <w:p w14:paraId="11F668B6">
      <w:pPr>
        <w:pStyle w:val="111"/>
        <w:adjustRightInd w:val="0"/>
        <w:snapToGrid w:val="0"/>
        <w:spacing w:line="380" w:lineRule="exact"/>
        <w:ind w:firstLine="378" w:firstLineChars="180"/>
        <w:rPr>
          <w:rFonts w:hint="eastAsia"/>
        </w:rPr>
      </w:pPr>
      <w:r>
        <w:rPr>
          <w:rFonts w:hint="eastAsia"/>
        </w:rPr>
        <w:t>（2）所投核心产品属于财政部《环境标志产品政府采购品目清单》内的产品[投标文件中提供有效的认证证书复印件（或扫描件）及品目清单（标注出投标产品在品目清单中所属的品目），并加盖投标人电子签章]，得0.5分。</w:t>
      </w:r>
    </w:p>
    <w:p w14:paraId="3CACBD18">
      <w:pPr>
        <w:adjustRightInd w:val="0"/>
        <w:snapToGrid w:val="0"/>
        <w:spacing w:line="380" w:lineRule="exact"/>
        <w:jc w:val="left"/>
        <w:rPr>
          <w:rFonts w:hAnsi="宋体"/>
          <w:b/>
        </w:rPr>
      </w:pPr>
    </w:p>
    <w:p w14:paraId="014F8669">
      <w:pPr>
        <w:adjustRightInd w:val="0"/>
        <w:snapToGrid w:val="0"/>
        <w:spacing w:line="380" w:lineRule="exact"/>
        <w:jc w:val="left"/>
        <w:rPr>
          <w:b/>
          <w:kern w:val="4"/>
        </w:rPr>
      </w:pPr>
      <w:r>
        <w:rPr>
          <w:rFonts w:hint="eastAsia" w:hAnsi="宋体"/>
          <w:b/>
        </w:rPr>
        <w:t>（三）总得分=1+ 2+ 3+ 4+ 5。</w:t>
      </w:r>
    </w:p>
    <w:p w14:paraId="6129D763">
      <w:pPr>
        <w:pStyle w:val="29"/>
        <w:adjustRightInd w:val="0"/>
        <w:snapToGrid w:val="0"/>
        <w:spacing w:line="380" w:lineRule="exact"/>
        <w:rPr>
          <w:rFonts w:hAnsi="宋体"/>
          <w:b/>
        </w:rPr>
      </w:pPr>
      <w:r>
        <w:rPr>
          <w:rFonts w:hint="eastAsia" w:hAnsi="宋体"/>
          <w:b/>
        </w:rPr>
        <w:t xml:space="preserve">   </w:t>
      </w:r>
    </w:p>
    <w:p w14:paraId="5DB47687">
      <w:pPr>
        <w:pStyle w:val="29"/>
        <w:adjustRightInd w:val="0"/>
        <w:snapToGrid w:val="0"/>
        <w:spacing w:line="380" w:lineRule="exact"/>
        <w:rPr>
          <w:rFonts w:hAnsi="宋体"/>
          <w:b/>
        </w:rPr>
      </w:pPr>
      <w:r>
        <w:rPr>
          <w:rFonts w:hint="eastAsia" w:hAnsi="宋体"/>
          <w:b/>
        </w:rPr>
        <w:t xml:space="preserve">  三、中标候选人推荐原则</w:t>
      </w:r>
    </w:p>
    <w:p w14:paraId="71E9B40D">
      <w:pPr>
        <w:pStyle w:val="2"/>
        <w:spacing w:line="380" w:lineRule="exact"/>
        <w:ind w:firstLine="420" w:firstLineChars="200"/>
        <w:rPr>
          <w:rFonts w:hint="eastAsia" w:hAnsi="宋体" w:cs="Courier New"/>
          <w:color w:val="auto"/>
          <w:kern w:val="2"/>
          <w:sz w:val="21"/>
          <w:szCs w:val="21"/>
        </w:rPr>
      </w:pPr>
      <w:r>
        <w:rPr>
          <w:rFonts w:hint="eastAsia" w:hAnsi="宋体" w:cs="Courier New"/>
          <w:color w:val="auto"/>
          <w:kern w:val="2"/>
          <w:sz w:val="21"/>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14:paraId="12599F71">
      <w:pPr>
        <w:pStyle w:val="29"/>
        <w:adjustRightInd w:val="0"/>
        <w:snapToGrid w:val="0"/>
        <w:spacing w:line="380" w:lineRule="exact"/>
        <w:ind w:firstLine="420" w:firstLineChars="200"/>
      </w:pPr>
      <w:r>
        <w:rPr>
          <w:rFonts w:hint="eastAsia" w:hAnsi="宋体"/>
          <w:bCs/>
        </w:rPr>
        <w:t>（二）</w:t>
      </w:r>
      <w:r>
        <w:rPr>
          <w:rFonts w:hint="eastAsia" w:hAnsi="宋体"/>
          <w:lang w:eastAsia="zh"/>
        </w:rPr>
        <w:t>排名第一的中标候选人放弃中标或在规定限期内拒不签订合同或因不可抗力提出不能履行合同</w:t>
      </w:r>
      <w:r>
        <w:rPr>
          <w:rFonts w:hint="eastAsia" w:hAnsi="宋体"/>
        </w:rPr>
        <w:t>，采购人可以确定排名第二的中标候选人为中标人。排名第二的中标候选人因前款规定的同样原因不能签订合同的，采购人可以确定排名第三的中标候选人为中标人，其余以此类推。</w:t>
      </w:r>
    </w:p>
    <w:p w14:paraId="59C6AFAD">
      <w:pPr>
        <w:pStyle w:val="2"/>
        <w:rPr>
          <w:rFonts w:ascii="仿宋_GB2312" w:hAnsi="宋体" w:eastAsia="仿宋_GB2312"/>
          <w:b/>
          <w:color w:val="auto"/>
          <w:sz w:val="44"/>
          <w:szCs w:val="44"/>
        </w:rPr>
      </w:pPr>
    </w:p>
    <w:p w14:paraId="11E971B1">
      <w:pPr>
        <w:pStyle w:val="2"/>
        <w:rPr>
          <w:rFonts w:ascii="仿宋_GB2312" w:hAnsi="宋体" w:eastAsia="仿宋_GB2312"/>
          <w:b/>
          <w:color w:val="auto"/>
          <w:sz w:val="44"/>
          <w:szCs w:val="44"/>
        </w:rPr>
      </w:pPr>
    </w:p>
    <w:p w14:paraId="3580821D">
      <w:pPr>
        <w:pStyle w:val="2"/>
        <w:rPr>
          <w:rFonts w:ascii="仿宋_GB2312" w:hAnsi="宋体" w:eastAsia="仿宋_GB2312"/>
          <w:b/>
          <w:color w:val="auto"/>
          <w:sz w:val="44"/>
          <w:szCs w:val="44"/>
        </w:rPr>
      </w:pPr>
    </w:p>
    <w:p w14:paraId="7F0560D2">
      <w:pPr>
        <w:pStyle w:val="2"/>
        <w:rPr>
          <w:rFonts w:ascii="仿宋_GB2312" w:hAnsi="宋体" w:eastAsia="仿宋_GB2312"/>
          <w:b/>
          <w:color w:val="auto"/>
          <w:sz w:val="44"/>
          <w:szCs w:val="44"/>
        </w:rPr>
      </w:pPr>
    </w:p>
    <w:p w14:paraId="366AC14A">
      <w:pPr>
        <w:pStyle w:val="2"/>
        <w:rPr>
          <w:rFonts w:ascii="仿宋_GB2312" w:hAnsi="宋体" w:eastAsia="仿宋_GB2312"/>
          <w:b/>
          <w:color w:val="auto"/>
          <w:sz w:val="44"/>
          <w:szCs w:val="44"/>
        </w:rPr>
      </w:pPr>
    </w:p>
    <w:p w14:paraId="20C6C69A">
      <w:pPr>
        <w:pStyle w:val="2"/>
        <w:rPr>
          <w:rFonts w:ascii="仿宋_GB2312" w:hAnsi="宋体" w:eastAsia="仿宋_GB2312"/>
          <w:b/>
          <w:color w:val="auto"/>
          <w:sz w:val="44"/>
          <w:szCs w:val="44"/>
        </w:rPr>
      </w:pPr>
    </w:p>
    <w:p w14:paraId="669F7E1A">
      <w:pPr>
        <w:pStyle w:val="29"/>
        <w:pageBreakBefore/>
        <w:spacing w:line="480" w:lineRule="exact"/>
        <w:jc w:val="center"/>
        <w:rPr>
          <w:rFonts w:ascii="仿宋_GB2312" w:hAnsi="宋体" w:eastAsia="仿宋_GB2312"/>
          <w:b/>
          <w:sz w:val="32"/>
          <w:szCs w:val="32"/>
        </w:rPr>
      </w:pPr>
      <w:r>
        <w:rPr>
          <w:rFonts w:hint="eastAsia" w:ascii="仿宋_GB2312" w:hAnsi="宋体" w:eastAsia="仿宋_GB2312"/>
          <w:b/>
          <w:sz w:val="32"/>
          <w:szCs w:val="32"/>
        </w:rPr>
        <w:t>评标方法及评分标准（分标2）</w:t>
      </w:r>
    </w:p>
    <w:p w14:paraId="5A9294C5">
      <w:pPr>
        <w:pStyle w:val="111"/>
        <w:adjustRightInd w:val="0"/>
        <w:snapToGrid w:val="0"/>
        <w:spacing w:line="400" w:lineRule="exact"/>
        <w:ind w:firstLine="42"/>
        <w:jc w:val="center"/>
        <w:rPr>
          <w:b/>
          <w:bCs/>
        </w:rPr>
      </w:pPr>
    </w:p>
    <w:p w14:paraId="398272BA">
      <w:pPr>
        <w:pStyle w:val="111"/>
        <w:adjustRightInd w:val="0"/>
        <w:snapToGrid w:val="0"/>
        <w:spacing w:line="380" w:lineRule="exact"/>
        <w:ind w:firstLine="42"/>
        <w:rPr>
          <w:b/>
          <w:bCs/>
        </w:rPr>
      </w:pPr>
      <w:r>
        <w:rPr>
          <w:rFonts w:hint="eastAsia"/>
          <w:b/>
          <w:bCs/>
        </w:rPr>
        <w:t>一、评标原则</w:t>
      </w:r>
    </w:p>
    <w:p w14:paraId="02F3FABA">
      <w:pPr>
        <w:pStyle w:val="111"/>
        <w:adjustRightInd w:val="0"/>
        <w:snapToGrid w:val="0"/>
        <w:spacing w:line="380" w:lineRule="exact"/>
        <w:ind w:firstLine="378" w:firstLineChars="180"/>
      </w:pPr>
      <w:r>
        <w:rPr>
          <w:rFonts w:hint="eastAsia"/>
        </w:rPr>
        <w:t>（一） 评委构成：本招标采购项目的评标委员会由采购人代表和有关技术、经济等方面的专家组成，成员人数应当为七人以上单数。其中，技术、经济等方面的专家不得少于成员总数的三分之二。</w:t>
      </w:r>
    </w:p>
    <w:p w14:paraId="624A7AC8">
      <w:pPr>
        <w:pStyle w:val="111"/>
        <w:adjustRightInd w:val="0"/>
        <w:snapToGrid w:val="0"/>
        <w:spacing w:line="380" w:lineRule="exact"/>
        <w:ind w:firstLine="378" w:firstLineChars="180"/>
        <w:rPr>
          <w:bCs/>
        </w:rPr>
      </w:pPr>
      <w:r>
        <w:rPr>
          <w:rFonts w:hint="eastAsia"/>
          <w:bCs/>
        </w:rPr>
        <w:t>（二）</w:t>
      </w:r>
      <w:r>
        <w:rPr>
          <w:rFonts w:hint="eastAsia"/>
        </w:rPr>
        <w:t xml:space="preserve"> 评标依据：</w:t>
      </w:r>
      <w:r>
        <w:rPr>
          <w:rFonts w:hint="eastAsia"/>
          <w:bCs/>
        </w:rPr>
        <w:t>评委将以招投标文件为评标依据，对投标人的内容按百分制打分。</w:t>
      </w:r>
    </w:p>
    <w:p w14:paraId="3EE8BC16">
      <w:pPr>
        <w:pStyle w:val="29"/>
        <w:adjustRightInd w:val="0"/>
        <w:snapToGrid w:val="0"/>
        <w:spacing w:line="380" w:lineRule="exact"/>
        <w:ind w:firstLine="289" w:firstLineChars="138"/>
        <w:rPr>
          <w:rFonts w:hint="eastAsia" w:hAnsi="宋体"/>
          <w:bCs/>
        </w:rPr>
      </w:pPr>
      <w:r>
        <w:rPr>
          <w:rFonts w:hint="eastAsia" w:hAnsi="宋体"/>
          <w:bCs/>
        </w:rPr>
        <w:t xml:space="preserve"> （三）</w:t>
      </w:r>
      <w:r>
        <w:rPr>
          <w:rFonts w:hint="eastAsia"/>
        </w:rPr>
        <w:t xml:space="preserve"> </w:t>
      </w:r>
      <w:r>
        <w:rPr>
          <w:rFonts w:hint="eastAsia" w:hAnsi="宋体"/>
          <w:bCs/>
        </w:rPr>
        <w:t>评标方式：以封闭方式进行。</w:t>
      </w:r>
    </w:p>
    <w:p w14:paraId="3D5F7328">
      <w:pPr>
        <w:keepNext/>
        <w:keepLines/>
        <w:widowControl/>
        <w:spacing w:before="120" w:after="120" w:line="380" w:lineRule="exact"/>
        <w:ind w:firstLine="420" w:firstLineChars="200"/>
        <w:jc w:val="left"/>
        <w:outlineLvl w:val="3"/>
        <w:rPr>
          <w:rFonts w:hint="eastAsia" w:ascii="宋体" w:hAnsi="宋体" w:cs="宋体"/>
          <w:kern w:val="0"/>
          <w:szCs w:val="21"/>
        </w:rPr>
      </w:pPr>
      <w:r>
        <w:rPr>
          <w:rFonts w:hint="eastAsia" w:ascii="宋体" w:hAnsi="宋体" w:cs="宋体"/>
          <w:kern w:val="0"/>
          <w:szCs w:val="21"/>
        </w:rPr>
        <w:t>（四）无效投标处理原则：在评标过程中，包括在异常低价认定程序中被认定为无效的投标，其投标文件不再进入后续评审阶段，也不参与得分计算与汇总排名。</w:t>
      </w:r>
    </w:p>
    <w:p w14:paraId="0D1EC9A6">
      <w:pPr>
        <w:pStyle w:val="29"/>
        <w:adjustRightInd w:val="0"/>
        <w:snapToGrid w:val="0"/>
        <w:spacing w:line="380" w:lineRule="exact"/>
        <w:ind w:firstLine="42" w:firstLineChars="20"/>
        <w:rPr>
          <w:rFonts w:hAnsi="宋体"/>
          <w:b/>
        </w:rPr>
      </w:pPr>
      <w:r>
        <w:rPr>
          <w:rFonts w:hint="eastAsia" w:hAnsi="宋体"/>
          <w:b/>
        </w:rPr>
        <w:t>二、评标方法</w:t>
      </w:r>
    </w:p>
    <w:p w14:paraId="2C96D53A">
      <w:pPr>
        <w:pStyle w:val="111"/>
        <w:adjustRightInd w:val="0"/>
        <w:snapToGrid w:val="0"/>
        <w:spacing w:line="380" w:lineRule="exact"/>
        <w:ind w:firstLine="378" w:firstLineChars="180"/>
      </w:pPr>
      <w:r>
        <w:rPr>
          <w:rFonts w:hint="eastAsia"/>
        </w:rPr>
        <w:t>（一）对进入详评的，采用百分制综合评分法。</w:t>
      </w:r>
    </w:p>
    <w:p w14:paraId="621F0F52">
      <w:pPr>
        <w:pStyle w:val="111"/>
        <w:adjustRightInd w:val="0"/>
        <w:snapToGrid w:val="0"/>
        <w:spacing w:line="380" w:lineRule="exact"/>
        <w:ind w:firstLine="378" w:firstLineChars="180"/>
      </w:pPr>
      <w:r>
        <w:rPr>
          <w:rFonts w:hint="eastAsia"/>
        </w:rPr>
        <w:t>（二）计分办法（按四舍五入取至百分位）：</w:t>
      </w:r>
    </w:p>
    <w:p w14:paraId="1AB4F6B9">
      <w:pPr>
        <w:pStyle w:val="405"/>
        <w:spacing w:line="380" w:lineRule="exact"/>
        <w:ind w:firstLine="420" w:firstLineChars="200"/>
        <w:rPr>
          <w:b/>
          <w:bCs/>
        </w:rPr>
      </w:pPr>
      <w:r>
        <w:rPr>
          <w:rFonts w:hint="eastAsia"/>
          <w:b/>
          <w:bCs/>
        </w:rPr>
        <w:t>1.价格分……………………………………………………………………………</w:t>
      </w:r>
      <w:r>
        <w:rPr>
          <w:rFonts w:hint="eastAsia"/>
          <w:b/>
          <w:bCs/>
          <w:lang w:eastAsia="zh"/>
        </w:rPr>
        <w:t>3</w:t>
      </w:r>
      <w:r>
        <w:rPr>
          <w:rFonts w:hint="eastAsia"/>
          <w:b/>
          <w:bCs/>
        </w:rPr>
        <w:t>0分</w:t>
      </w:r>
    </w:p>
    <w:p w14:paraId="63B65CF2">
      <w:pPr>
        <w:pStyle w:val="111"/>
        <w:adjustRightInd w:val="0"/>
        <w:snapToGrid w:val="0"/>
        <w:spacing w:line="380" w:lineRule="exact"/>
        <w:ind w:firstLine="378" w:firstLineChars="180"/>
      </w:pPr>
      <w:r>
        <w:rPr>
          <w:rFonts w:hint="eastAsia"/>
        </w:rPr>
        <w:t>（1）</w:t>
      </w:r>
      <w:r>
        <w:rPr>
          <w:rFonts w:hint="eastAsia" w:ascii="Times New Roman" w:hAnsi="Times New Roman"/>
          <w:bCs/>
        </w:rPr>
        <w:t>符合《政府采购促进中小企业发展管理办法》（财库</w:t>
      </w:r>
      <w:r>
        <w:rPr>
          <w:rFonts w:hint="eastAsia"/>
        </w:rPr>
        <w:t>〔</w:t>
      </w:r>
      <w:r>
        <w:rPr>
          <w:rFonts w:hint="eastAsia" w:ascii="Times New Roman" w:hAnsi="Times New Roman"/>
          <w:bCs/>
        </w:rPr>
        <w:t>2020</w:t>
      </w:r>
      <w:r>
        <w:rPr>
          <w:rFonts w:hint="eastAsia"/>
        </w:rPr>
        <w:t>〕</w:t>
      </w:r>
      <w:r>
        <w:rPr>
          <w:rFonts w:hint="eastAsia" w:ascii="Times New Roman" w:hAnsi="Times New Roman"/>
          <w:bCs/>
        </w:rPr>
        <w:t>46号）规定条件且按该办法中规定的格式提供了《中小企业声明函》的小型和微型企业参与投标，对其最后报价给予10</w:t>
      </w:r>
      <w:r>
        <w:rPr>
          <w:rFonts w:ascii="Times New Roman" w:hAnsi="Times New Roman"/>
          <w:bCs/>
        </w:rPr>
        <w:t>%</w:t>
      </w:r>
      <w:r>
        <w:rPr>
          <w:rFonts w:hint="eastAsia" w:ascii="Times New Roman" w:hAnsi="Times New Roman"/>
          <w:bCs/>
        </w:rPr>
        <w:t>的扣除，</w:t>
      </w:r>
      <w:r>
        <w:rPr>
          <w:rFonts w:hint="eastAsia"/>
        </w:rPr>
        <w:t>扣除后的价格为评标价，即评标价=投标价×（1-10%）；符合《国务院办公厅关于在政府采购中实施本国产品标准及相关政策的通知》（国办发〔</w:t>
      </w:r>
      <w:r>
        <w:rPr>
          <w:rFonts w:ascii="Times New Roman" w:hAnsi="Times New Roman"/>
        </w:rPr>
        <w:t>2025</w:t>
      </w:r>
      <w:r>
        <w:rPr>
          <w:rFonts w:hint="eastAsia"/>
        </w:rPr>
        <w:t>〕</w:t>
      </w:r>
      <w:r>
        <w:rPr>
          <w:rFonts w:ascii="Times New Roman" w:hAnsi="Times New Roman"/>
        </w:rPr>
        <w:t>34</w:t>
      </w:r>
      <w:r>
        <w:rPr>
          <w:rFonts w:hint="eastAsia"/>
        </w:rPr>
        <w:t>号）规定</w:t>
      </w:r>
      <w:r>
        <w:rPr>
          <w:rFonts w:hint="eastAsia" w:ascii="Times New Roman" w:hAnsi="Times New Roman"/>
          <w:bCs/>
        </w:rPr>
        <w:t>条件且按该通知中规定的格式提供了《关于符合本国产品标准的声明函》的供应商参与投标，对其投标报价给予20</w:t>
      </w:r>
      <w:r>
        <w:rPr>
          <w:rFonts w:ascii="Times New Roman" w:hAnsi="Times New Roman"/>
          <w:bCs/>
        </w:rPr>
        <w:t>%</w:t>
      </w:r>
      <w:r>
        <w:rPr>
          <w:rFonts w:hint="eastAsia" w:ascii="Times New Roman" w:hAnsi="Times New Roman"/>
          <w:bCs/>
        </w:rPr>
        <w:t>的扣除，</w:t>
      </w:r>
      <w:r>
        <w:rPr>
          <w:rFonts w:hint="eastAsia"/>
        </w:rPr>
        <w:t>扣除后的价格为评标价，即评标价=投标价×（1-20%）；除上述情况外，评标价=投标价。</w:t>
      </w:r>
    </w:p>
    <w:p w14:paraId="1C0865E1">
      <w:pPr>
        <w:pStyle w:val="111"/>
        <w:adjustRightInd w:val="0"/>
        <w:snapToGrid w:val="0"/>
        <w:spacing w:line="380" w:lineRule="exact"/>
        <w:ind w:firstLine="378" w:firstLineChars="180"/>
      </w:pPr>
      <w:r>
        <w:t>投标产品生产企业或服务提供企业按《关于政府采购支持监狱企业发展有关问题的通知》</w:t>
      </w:r>
      <w:r>
        <w:rPr>
          <w:rFonts w:hint="eastAsia"/>
        </w:rPr>
        <w:t>（</w:t>
      </w:r>
      <w:r>
        <w:t>财库</w:t>
      </w:r>
      <w:r>
        <w:rPr>
          <w:rFonts w:hint="eastAsia"/>
        </w:rPr>
        <w:t>〔</w:t>
      </w:r>
      <w:r>
        <w:t>2014</w:t>
      </w:r>
      <w:r>
        <w:rPr>
          <w:rFonts w:hint="eastAsia"/>
        </w:rPr>
        <w:t>〕</w:t>
      </w:r>
      <w:r>
        <w:t>68号</w:t>
      </w:r>
      <w:r>
        <w:rPr>
          <w:rFonts w:hint="eastAsia"/>
        </w:rPr>
        <w:t>）</w:t>
      </w:r>
      <w:r>
        <w:t>认定为监狱企业的，在政府采购活动中，监狱企业视同小型、微型企业。投标人应当提供由省级以上监狱管理局、戒毒管理局</w:t>
      </w:r>
      <w:r>
        <w:rPr>
          <w:rFonts w:hint="eastAsia"/>
        </w:rPr>
        <w:t>（</w:t>
      </w:r>
      <w:r>
        <w:t>含新疆生产建设兵团</w:t>
      </w:r>
      <w:r>
        <w:rPr>
          <w:rFonts w:hint="eastAsia"/>
        </w:rPr>
        <w:t>）</w:t>
      </w:r>
      <w:r>
        <w:t>出具的投标产品生产企业或服务提供企业属于监狱企业的证明文件，不再提供《中小企业声明函》；</w:t>
      </w:r>
    </w:p>
    <w:p w14:paraId="4EFE3A86">
      <w:pPr>
        <w:pStyle w:val="111"/>
        <w:adjustRightInd w:val="0"/>
        <w:snapToGrid w:val="0"/>
        <w:spacing w:line="380" w:lineRule="exact"/>
        <w:ind w:firstLine="378" w:firstLineChars="180"/>
      </w:pPr>
      <w:r>
        <w:t>投标产品生产</w:t>
      </w:r>
      <w:r>
        <w:rPr>
          <w:rFonts w:hint="eastAsia"/>
        </w:rPr>
        <w:t>单位</w:t>
      </w:r>
      <w:r>
        <w:t>或服务提供</w:t>
      </w:r>
      <w:r>
        <w:rPr>
          <w:rFonts w:hint="eastAsia"/>
        </w:rPr>
        <w:t>单位按《关于促进残疾人就业政府采购政策的通知》（财库〔2017〕141号）认定为残疾人福利性单位的，在政府采购活动中，残疾人福利性单位视同小型、微型企业。</w:t>
      </w:r>
      <w:r>
        <w:t>投标人应当提供</w:t>
      </w:r>
      <w:r>
        <w:rPr>
          <w:rFonts w:hint="eastAsia"/>
        </w:rPr>
        <w:t>该通知规定的</w:t>
      </w:r>
      <w:r>
        <w:t>投标产品生产</w:t>
      </w:r>
      <w:r>
        <w:rPr>
          <w:rFonts w:hint="eastAsia"/>
        </w:rPr>
        <w:t>单位</w:t>
      </w:r>
      <w:r>
        <w:t>或服务提供</w:t>
      </w:r>
      <w:r>
        <w:rPr>
          <w:rFonts w:hint="eastAsia"/>
        </w:rPr>
        <w:t>单位属于残疾人福利性单位的《残疾人福利性单位声明函》，</w:t>
      </w:r>
      <w:r>
        <w:t>不再提供《中小企业声明函》</w:t>
      </w:r>
      <w:r>
        <w:rPr>
          <w:rFonts w:hint="eastAsia"/>
        </w:rPr>
        <w:t>。</w:t>
      </w:r>
    </w:p>
    <w:p w14:paraId="646BADEA">
      <w:pPr>
        <w:pStyle w:val="111"/>
        <w:adjustRightInd w:val="0"/>
        <w:snapToGrid w:val="0"/>
        <w:spacing w:line="380" w:lineRule="exact"/>
        <w:ind w:firstLine="378" w:firstLineChars="180"/>
      </w:pPr>
      <w:r>
        <w:rPr>
          <w:rFonts w:hint="eastAsia"/>
        </w:rPr>
        <w:t>（2）以满足招标文件要求且评标价最低的投标人的评标价为评标基准价，其价格分为</w:t>
      </w:r>
      <w:r>
        <w:rPr>
          <w:rFonts w:hint="eastAsia"/>
          <w:bCs/>
        </w:rPr>
        <w:t>30</w:t>
      </w:r>
      <w:r>
        <w:rPr>
          <w:rFonts w:hint="eastAsia"/>
          <w:szCs w:val="24"/>
        </w:rPr>
        <w:t>分</w:t>
      </w:r>
      <w:r>
        <w:rPr>
          <w:rFonts w:hint="eastAsia"/>
        </w:rPr>
        <w:t>。</w:t>
      </w:r>
    </w:p>
    <w:p w14:paraId="5843BD6B">
      <w:pPr>
        <w:pStyle w:val="111"/>
        <w:adjustRightInd w:val="0"/>
        <w:snapToGrid w:val="0"/>
        <w:spacing w:line="380" w:lineRule="exact"/>
        <w:ind w:firstLine="378" w:firstLineChars="180"/>
        <w:rPr>
          <w:rFonts w:hint="eastAsia"/>
          <w:b/>
          <w:bCs/>
        </w:rPr>
      </w:pPr>
      <w:r>
        <w:rPr>
          <w:rFonts w:hint="eastAsia"/>
        </w:rPr>
        <w:t>（</w:t>
      </w:r>
      <w:r>
        <w:t>3</w:t>
      </w:r>
      <w:r>
        <w:rPr>
          <w:rFonts w:hint="eastAsia"/>
        </w:rPr>
        <w:t>）某投标人价格分</w:t>
      </w:r>
      <w:r>
        <w:t xml:space="preserve"> = </w:t>
      </w:r>
      <w:r>
        <w:rPr>
          <w:rFonts w:hint="eastAsia"/>
          <w:bCs/>
        </w:rPr>
        <w:t>评标基准价</w:t>
      </w:r>
      <w:r>
        <w:rPr>
          <w:rFonts w:hint="eastAsia"/>
        </w:rPr>
        <w:t>（金额）</w:t>
      </w:r>
      <w:r>
        <w:t>/</w:t>
      </w:r>
      <w:r>
        <w:rPr>
          <w:rFonts w:hint="eastAsia"/>
        </w:rPr>
        <w:t>某投标人评标价（金额）×</w:t>
      </w:r>
      <w:r>
        <w:rPr>
          <w:rFonts w:hint="eastAsia"/>
          <w:lang w:eastAsia="zh"/>
        </w:rPr>
        <w:t>3</w:t>
      </w:r>
      <w:r>
        <w:rPr>
          <w:rFonts w:hint="eastAsia"/>
        </w:rPr>
        <w:t>0分。</w:t>
      </w:r>
    </w:p>
    <w:p w14:paraId="0B05CE10">
      <w:pPr>
        <w:pStyle w:val="405"/>
        <w:spacing w:line="380" w:lineRule="exact"/>
        <w:ind w:firstLine="420" w:firstLineChars="200"/>
        <w:rPr>
          <w:rFonts w:hAnsi="宋体"/>
          <w:b/>
        </w:rPr>
      </w:pPr>
      <w:r>
        <w:rPr>
          <w:rFonts w:hint="eastAsia"/>
          <w:b/>
          <w:bCs/>
        </w:rPr>
        <w:t>2.技术分……………………………………………………………………………60分</w:t>
      </w:r>
    </w:p>
    <w:p w14:paraId="532BE5F5">
      <w:pPr>
        <w:pStyle w:val="111"/>
        <w:adjustRightInd w:val="0"/>
        <w:snapToGrid w:val="0"/>
        <w:spacing w:line="380" w:lineRule="exact"/>
        <w:ind w:firstLine="378" w:firstLineChars="180"/>
        <w:textAlignment w:val="baseline"/>
        <w:rPr>
          <w:rFonts w:hint="eastAsia"/>
        </w:rPr>
      </w:pPr>
      <w:r>
        <w:rPr>
          <w:rFonts w:hint="eastAsia"/>
        </w:rPr>
        <w:t>（1）一般技术参数要求响应得分（满分</w:t>
      </w:r>
      <w:r>
        <w:rPr>
          <w:rFonts w:hint="eastAsia"/>
          <w:lang w:val="en-US" w:eastAsia="zh-CN"/>
        </w:rPr>
        <w:t>32</w:t>
      </w:r>
      <w:r>
        <w:rPr>
          <w:rFonts w:hint="eastAsia"/>
        </w:rPr>
        <w:t>分）</w:t>
      </w:r>
    </w:p>
    <w:p w14:paraId="24DE7D23">
      <w:pPr>
        <w:pStyle w:val="111"/>
        <w:adjustRightInd w:val="0"/>
        <w:snapToGrid w:val="0"/>
        <w:spacing w:line="380" w:lineRule="exact"/>
        <w:ind w:firstLine="378" w:firstLineChars="180"/>
        <w:textAlignment w:val="baseline"/>
        <w:rPr>
          <w:rFonts w:hint="eastAsia"/>
          <w:highlight w:val="none"/>
        </w:rPr>
      </w:pPr>
      <w:r>
        <w:rPr>
          <w:rFonts w:hint="eastAsia"/>
        </w:rPr>
        <w:t>一般技术参数要求响应得分（共计</w:t>
      </w:r>
      <w:r>
        <w:rPr>
          <w:rFonts w:hint="eastAsia"/>
          <w:highlight w:val="none"/>
        </w:rPr>
        <w:t>100项）</w:t>
      </w:r>
      <w:r>
        <w:rPr>
          <w:rFonts w:hint="eastAsia"/>
          <w:highlight w:val="none"/>
          <w:lang w:val="en-US" w:eastAsia="zh-CN"/>
        </w:rPr>
        <w:t>,</w:t>
      </w:r>
      <w:r>
        <w:rPr>
          <w:rFonts w:hint="eastAsia"/>
          <w:highlight w:val="none"/>
        </w:rPr>
        <w:t>“机架”“透视及射线剂量防护”“旋转采集”“图像输出设备”“ 高压发生器”“X线球管”“平板探测器”“手术床”“网络与接口”“具备三维血管图像重建工作站”“图像采集处理功能”等为技术参数要求的名称描述，不计入一般技术参数要求数量。</w:t>
      </w:r>
    </w:p>
    <w:p w14:paraId="5D0787BB">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一般技术参数满足采购需求的，每项得0.</w:t>
      </w:r>
      <w:r>
        <w:rPr>
          <w:rFonts w:hint="eastAsia" w:cs="宋体"/>
          <w:highlight w:val="none"/>
          <w:lang w:val="en-US" w:eastAsia="zh-CN"/>
        </w:rPr>
        <w:t>32</w:t>
      </w:r>
      <w:r>
        <w:rPr>
          <w:rFonts w:hint="eastAsia" w:ascii="宋体" w:hAnsi="宋体" w:eastAsia="宋体" w:cs="宋体"/>
          <w:highlight w:val="none"/>
        </w:rPr>
        <w:t>分。</w:t>
      </w:r>
    </w:p>
    <w:p w14:paraId="3F7277DB">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注：一般技术参数要求是指技术参数要求中未标注“▲”、“★”的技术参数。</w:t>
      </w:r>
    </w:p>
    <w:p w14:paraId="1480028B">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（2）重要技术参数要求响应得分（满分</w:t>
      </w:r>
      <w:r>
        <w:rPr>
          <w:rFonts w:hint="eastAsia" w:cs="宋体"/>
          <w:highlight w:val="none"/>
          <w:lang w:val="en-US" w:eastAsia="zh-CN"/>
        </w:rPr>
        <w:t>18</w:t>
      </w:r>
      <w:r>
        <w:rPr>
          <w:rFonts w:hint="eastAsia" w:ascii="宋体" w:hAnsi="宋体" w:eastAsia="宋体" w:cs="宋体"/>
          <w:highlight w:val="none"/>
        </w:rPr>
        <w:t>分）</w:t>
      </w:r>
    </w:p>
    <w:p w14:paraId="7655A3D4">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重要技术参数要求响应得分（共计</w:t>
      </w:r>
      <w:r>
        <w:rPr>
          <w:rFonts w:hint="eastAsia" w:cs="宋体"/>
          <w:highlight w:val="none"/>
          <w:lang w:val="en-US" w:eastAsia="zh-CN"/>
        </w:rPr>
        <w:t>6</w:t>
      </w:r>
      <w:r>
        <w:rPr>
          <w:rFonts w:hint="eastAsia" w:ascii="宋体" w:hAnsi="宋体" w:eastAsia="宋体" w:cs="宋体"/>
          <w:highlight w:val="none"/>
        </w:rPr>
        <w:t>项）；</w:t>
      </w:r>
    </w:p>
    <w:p w14:paraId="51F6E0DA">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重要技术参数满足要求的，每项得</w:t>
      </w:r>
      <w:r>
        <w:rPr>
          <w:rFonts w:hint="eastAsia" w:cs="宋体"/>
          <w:highlight w:val="none"/>
          <w:lang w:val="en-US" w:eastAsia="zh-CN"/>
        </w:rPr>
        <w:t>3</w:t>
      </w:r>
      <w:r>
        <w:rPr>
          <w:rFonts w:hint="eastAsia" w:ascii="宋体" w:hAnsi="宋体" w:eastAsia="宋体" w:cs="宋体"/>
          <w:highlight w:val="none"/>
        </w:rPr>
        <w:t>分。</w:t>
      </w:r>
    </w:p>
    <w:p w14:paraId="30E6CC1F">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注：重要技术参数是指技术参数中标注“★”的技术参数。</w:t>
      </w:r>
    </w:p>
    <w:p w14:paraId="0F0A900B">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w:t>
      </w:r>
      <w:r>
        <w:rPr>
          <w:rFonts w:hint="default" w:ascii="宋体" w:hAnsi="宋体" w:eastAsia="宋体" w:cs="宋体"/>
          <w:lang w:val="en" w:eastAsia="zh"/>
        </w:rPr>
        <w:t>3</w:t>
      </w:r>
      <w:r>
        <w:rPr>
          <w:rFonts w:hint="eastAsia" w:ascii="宋体" w:hAnsi="宋体" w:eastAsia="宋体" w:cs="宋体"/>
        </w:rPr>
        <w:t>）技术及项目实施方案分（满分5分）</w:t>
      </w:r>
    </w:p>
    <w:p w14:paraId="42F16612">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根据投标文件中投标人技术及项目实施方案内容独立评分。</w:t>
      </w:r>
    </w:p>
    <w:p w14:paraId="69FBFED1">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一档（1分）：管理措施、具体实施流程、进度安排、质量保证措施等方案内容齐全，符合基础条件的。</w:t>
      </w:r>
    </w:p>
    <w:p w14:paraId="2F9DB500">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二档（3分）：管理措施、具体实施流程、进度安排、质量保证措施等方案内容齐全，方案有可行性，无明显错误。</w:t>
      </w:r>
    </w:p>
    <w:p w14:paraId="5BAD9EC8">
      <w:pPr>
        <w:pStyle w:val="111"/>
        <w:snapToGrid w:val="0"/>
        <w:spacing w:line="380" w:lineRule="exact"/>
        <w:ind w:firstLine="378" w:firstLineChars="180"/>
        <w:rPr>
          <w:rFonts w:hint="eastAsia" w:ascii="宋体" w:hAnsi="宋体" w:eastAsia="宋体" w:cs="宋体"/>
        </w:rPr>
      </w:pPr>
      <w:r>
        <w:rPr>
          <w:rFonts w:hint="eastAsia" w:ascii="宋体" w:hAnsi="宋体" w:eastAsia="宋体" w:cs="宋体"/>
        </w:rPr>
        <w:t xml:space="preserve">  三档（5分）：管理措施、具体实施流程、进度安排、质量保证措施等方案内容齐全，方案有可行性，无明显错误，有利于采购项目实施的内容或合理性建议的。</w:t>
      </w:r>
    </w:p>
    <w:p w14:paraId="1E72BF48">
      <w:pPr>
        <w:keepNext w:val="0"/>
        <w:keepLines w:val="0"/>
        <w:pageBreakBefore w:val="0"/>
        <w:widowControl/>
        <w:kinsoku/>
        <w:wordWrap/>
        <w:overflowPunct/>
        <w:topLinePunct w:val="0"/>
        <w:bidi w:val="0"/>
        <w:adjustRightInd w:val="0"/>
        <w:snapToGrid w:val="0"/>
        <w:spacing w:after="0" w:line="400" w:lineRule="exact"/>
        <w:ind w:firstLine="378" w:firstLineChars="180"/>
        <w:rPr>
          <w:rFonts w:hint="eastAsia" w:ascii="宋体" w:hAnsi="宋体" w:eastAsia="宋体" w:cs="Times New Roman"/>
          <w:b/>
          <w:bCs/>
          <w:kern w:val="0"/>
        </w:rPr>
      </w:pPr>
      <w:r>
        <w:rPr>
          <w:rFonts w:hint="eastAsia" w:ascii="宋体" w:hAnsi="宋体" w:eastAsia="宋体" w:cs="Times New Roman"/>
          <w:b/>
          <w:bCs/>
          <w:kern w:val="0"/>
        </w:rPr>
        <w:t>无技术及项目实施方案内容或不齐全的不得分。</w:t>
      </w:r>
    </w:p>
    <w:p w14:paraId="30C6F102">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
        </w:rPr>
        <w:t>4</w:t>
      </w:r>
      <w:r>
        <w:rPr>
          <w:rFonts w:hint="eastAsia" w:ascii="宋体" w:hAnsi="宋体" w:eastAsia="宋体" w:cs="宋体"/>
        </w:rPr>
        <w:t>）技术人员分（满分3分）</w:t>
      </w:r>
    </w:p>
    <w:p w14:paraId="0812495C">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根据投标文件中投标人技术人员方案内容独立评分。   </w:t>
      </w:r>
    </w:p>
    <w:p w14:paraId="68307E63">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一档（1分）：技术人员投入计划，技术人员在安装调试过程提供技术支持和协助计划，拟派技术人员的经验介绍等方案内容齐全，无明显错误，符合基础条件的。  </w:t>
      </w:r>
    </w:p>
    <w:p w14:paraId="5D98B836">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二档（3分）：技术人员投入计划，有技术人员在安装调试过程提供技术支持和协助计划，拟派技术人员的经验介绍等方案内容齐全，方案有具体措施，有可行性，有利于采购项目实施的内容或合理性建议的。</w:t>
      </w:r>
    </w:p>
    <w:p w14:paraId="00DE33F7">
      <w:pPr>
        <w:pStyle w:val="111"/>
        <w:adjustRightInd w:val="0"/>
        <w:snapToGrid w:val="0"/>
        <w:spacing w:line="380" w:lineRule="exact"/>
        <w:ind w:firstLine="378" w:firstLineChars="180"/>
        <w:rPr>
          <w:rFonts w:ascii="Calibri" w:hAnsi="Calibri" w:eastAsia="宋体" w:cs="Times New Roman"/>
          <w:b/>
          <w:bCs/>
          <w:kern w:val="2"/>
          <w:sz w:val="21"/>
          <w:szCs w:val="24"/>
          <w:lang w:val="en-US" w:eastAsia="zh-CN" w:bidi="ar-SA"/>
        </w:rPr>
      </w:pPr>
      <w:r>
        <w:rPr>
          <w:rFonts w:ascii="Calibri" w:hAnsi="Calibri" w:eastAsia="宋体" w:cs="Times New Roman"/>
          <w:b/>
          <w:bCs/>
          <w:kern w:val="2"/>
          <w:sz w:val="21"/>
          <w:szCs w:val="24"/>
          <w:lang w:val="en-US" w:eastAsia="zh-CN" w:bidi="ar-SA"/>
        </w:rPr>
        <w:t>无技术人员方案或不齐全的不得分。</w:t>
      </w:r>
    </w:p>
    <w:p w14:paraId="6D5D9AB4">
      <w:pPr>
        <w:pStyle w:val="111"/>
        <w:adjustRightInd w:val="0"/>
        <w:snapToGrid w:val="0"/>
        <w:spacing w:line="380" w:lineRule="exact"/>
        <w:ind w:firstLine="378" w:firstLineChars="180"/>
        <w:rPr>
          <w:rFonts w:hint="eastAsia"/>
        </w:rPr>
      </w:pPr>
      <w:r>
        <w:rPr>
          <w:rFonts w:hint="eastAsia"/>
          <w:b/>
          <w:bCs/>
        </w:rPr>
        <w:t xml:space="preserve"> </w:t>
      </w:r>
      <w:r>
        <w:rPr>
          <w:rFonts w:hint="eastAsia"/>
        </w:rPr>
        <w:t>（5）培训计划分（满分2分）</w:t>
      </w:r>
    </w:p>
    <w:p w14:paraId="347C09AC">
      <w:pPr>
        <w:spacing w:line="380" w:lineRule="exact"/>
        <w:ind w:firstLine="420" w:firstLineChars="200"/>
        <w:rPr>
          <w:rFonts w:hint="eastAsia" w:ascii="宋体" w:hAnsi="宋体"/>
          <w:kern w:val="0"/>
          <w:szCs w:val="21"/>
        </w:rPr>
      </w:pPr>
      <w:r>
        <w:rPr>
          <w:rFonts w:hint="eastAsia" w:ascii="宋体" w:hAnsi="宋体"/>
          <w:kern w:val="0"/>
          <w:szCs w:val="21"/>
        </w:rPr>
        <w:t xml:space="preserve">根据投标文件中投标人培训方案内容独立评分。  </w:t>
      </w:r>
    </w:p>
    <w:p w14:paraId="569A892B">
      <w:pPr>
        <w:spacing w:line="380" w:lineRule="exact"/>
        <w:ind w:firstLine="420" w:firstLineChars="200"/>
        <w:rPr>
          <w:rFonts w:hint="eastAsia" w:ascii="宋体" w:hAnsi="宋体"/>
          <w:kern w:val="0"/>
          <w:szCs w:val="21"/>
        </w:rPr>
      </w:pPr>
      <w:r>
        <w:rPr>
          <w:rFonts w:hint="eastAsia" w:ascii="宋体" w:hAnsi="宋体"/>
          <w:kern w:val="0"/>
          <w:szCs w:val="21"/>
        </w:rPr>
        <w:t>一档（1分）：培训方案有简单的培训计划安排，能满足基本要求。</w:t>
      </w:r>
    </w:p>
    <w:p w14:paraId="673ADBC1">
      <w:pPr>
        <w:spacing w:line="380" w:lineRule="exact"/>
        <w:ind w:firstLine="420" w:firstLineChars="200"/>
        <w:rPr>
          <w:rFonts w:hint="eastAsia" w:ascii="宋体" w:hAnsi="宋体"/>
          <w:kern w:val="0"/>
          <w:szCs w:val="21"/>
        </w:rPr>
      </w:pPr>
      <w:r>
        <w:rPr>
          <w:rFonts w:hint="eastAsia" w:ascii="宋体" w:hAnsi="宋体"/>
          <w:kern w:val="0"/>
          <w:szCs w:val="21"/>
        </w:rPr>
        <w:t>二档（2分）：培训方案应全面、详细，方案内容至少包含：拟派培训人员的安排及介绍、培训时间、规模人数、设备功能理论、简单故障排除等内容。</w:t>
      </w:r>
    </w:p>
    <w:p w14:paraId="3668D24C">
      <w:pPr>
        <w:spacing w:line="380" w:lineRule="exact"/>
        <w:ind w:firstLine="420" w:firstLineChars="200"/>
        <w:rPr>
          <w:rFonts w:ascii="宋体" w:hAnsi="宋体"/>
          <w:b/>
          <w:bCs/>
        </w:rPr>
      </w:pPr>
      <w:r>
        <w:rPr>
          <w:b/>
          <w:bCs/>
        </w:rPr>
        <w:t>未提供或有明显错误的不得分。</w:t>
      </w:r>
    </w:p>
    <w:p w14:paraId="3F880958">
      <w:pPr>
        <w:pStyle w:val="111"/>
        <w:adjustRightInd w:val="0"/>
        <w:snapToGrid w:val="0"/>
        <w:spacing w:line="380" w:lineRule="exact"/>
        <w:ind w:firstLine="420" w:firstLineChars="200"/>
        <w:rPr>
          <w:rFonts w:hint="eastAsia"/>
          <w:b/>
          <w:bCs/>
        </w:rPr>
      </w:pPr>
      <w:r>
        <w:rPr>
          <w:rFonts w:hint="eastAsia"/>
          <w:b/>
          <w:bCs/>
        </w:rPr>
        <w:t>3.售后服务分…………………………………………………………………………</w:t>
      </w:r>
      <w:r>
        <w:rPr>
          <w:rFonts w:hint="default"/>
          <w:b/>
          <w:bCs/>
          <w:lang w:val="en"/>
        </w:rPr>
        <w:t>5</w:t>
      </w:r>
      <w:r>
        <w:rPr>
          <w:rFonts w:hint="eastAsia"/>
          <w:b/>
          <w:bCs/>
        </w:rPr>
        <w:t>分</w:t>
      </w:r>
    </w:p>
    <w:p w14:paraId="2219BE1B">
      <w:pPr>
        <w:pStyle w:val="111"/>
        <w:adjustRightInd w:val="0"/>
        <w:snapToGrid w:val="0"/>
        <w:spacing w:line="380" w:lineRule="exact"/>
        <w:ind w:firstLine="378" w:firstLineChars="180"/>
        <w:rPr>
          <w:rFonts w:hint="eastAsia"/>
        </w:rPr>
      </w:pPr>
      <w:r>
        <w:rPr>
          <w:rFonts w:hint="eastAsia"/>
        </w:rPr>
        <w:t>（1）售后服务分（满分</w:t>
      </w:r>
      <w:r>
        <w:rPr>
          <w:rFonts w:hint="default"/>
          <w:lang w:val="en"/>
        </w:rPr>
        <w:t>3</w:t>
      </w:r>
      <w:r>
        <w:rPr>
          <w:rFonts w:hint="eastAsia"/>
        </w:rPr>
        <w:t>分）</w:t>
      </w:r>
    </w:p>
    <w:p w14:paraId="1537F9CD">
      <w:pPr>
        <w:spacing w:line="380" w:lineRule="exact"/>
        <w:ind w:firstLine="420" w:firstLineChars="200"/>
        <w:rPr>
          <w:rFonts w:hint="eastAsia" w:ascii="宋体" w:hAnsi="宋体"/>
          <w:kern w:val="0"/>
          <w:szCs w:val="21"/>
        </w:rPr>
      </w:pPr>
      <w:r>
        <w:rPr>
          <w:rFonts w:hint="eastAsia" w:ascii="宋体" w:hAnsi="宋体"/>
          <w:kern w:val="0"/>
          <w:szCs w:val="21"/>
        </w:rPr>
        <w:t>一档（1分）：售后服务方案仅满足招标文件基本要求。</w:t>
      </w:r>
    </w:p>
    <w:p w14:paraId="059456CC">
      <w:pPr>
        <w:spacing w:line="380" w:lineRule="exact"/>
        <w:ind w:firstLine="420" w:firstLineChars="200"/>
        <w:rPr>
          <w:rFonts w:hint="eastAsia" w:ascii="宋体" w:hAnsi="宋体"/>
          <w:kern w:val="0"/>
          <w:szCs w:val="21"/>
        </w:rPr>
      </w:pPr>
      <w:r>
        <w:rPr>
          <w:rFonts w:hint="eastAsia" w:ascii="宋体" w:hAnsi="宋体"/>
          <w:kern w:val="0"/>
          <w:szCs w:val="21"/>
        </w:rPr>
        <w:t>二档（</w:t>
      </w:r>
      <w:r>
        <w:rPr>
          <w:rFonts w:hint="default" w:ascii="宋体" w:hAnsi="宋体"/>
          <w:kern w:val="0"/>
          <w:szCs w:val="21"/>
          <w:lang w:val="en"/>
        </w:rPr>
        <w:t>3</w:t>
      </w:r>
      <w:r>
        <w:rPr>
          <w:rFonts w:hint="eastAsia" w:ascii="宋体" w:hAnsi="宋体"/>
          <w:kern w:val="0"/>
          <w:szCs w:val="21"/>
        </w:rPr>
        <w:t>分）：售后服务方案细致、合理、可行，能提供生产厂家售后服务承诺书原件，有详细的售后服务管理制度、售后服务流程、应急预案、年度保养计划、发生故障时提供备用机或其他替代解决的具体措施、质量保障方案。</w:t>
      </w:r>
    </w:p>
    <w:p w14:paraId="3412D9BB">
      <w:pPr>
        <w:spacing w:line="380" w:lineRule="exact"/>
        <w:ind w:firstLine="420" w:firstLineChars="200"/>
        <w:rPr>
          <w:rFonts w:hint="eastAsia" w:ascii="宋体" w:hAnsi="宋体"/>
          <w:b/>
          <w:bCs/>
          <w:kern w:val="0"/>
          <w:szCs w:val="21"/>
        </w:rPr>
      </w:pPr>
      <w:r>
        <w:rPr>
          <w:rFonts w:hint="eastAsia" w:ascii="宋体" w:hAnsi="宋体"/>
          <w:b/>
          <w:bCs/>
          <w:kern w:val="0"/>
          <w:szCs w:val="21"/>
        </w:rPr>
        <w:t>未提供或有明显错误的不得分。</w:t>
      </w:r>
    </w:p>
    <w:p w14:paraId="312FB849">
      <w:pPr>
        <w:pStyle w:val="111"/>
        <w:adjustRightInd w:val="0"/>
        <w:snapToGrid w:val="0"/>
        <w:spacing w:line="400" w:lineRule="exact"/>
        <w:ind w:firstLine="378" w:firstLineChars="180"/>
      </w:pPr>
      <w:r>
        <w:rPr>
          <w:rFonts w:hint="eastAsia"/>
        </w:rPr>
        <w:t>（</w:t>
      </w:r>
      <w:r>
        <w:rPr>
          <w:rFonts w:hint="eastAsia" w:ascii="Times New Roman" w:hAnsi="Times New Roman"/>
        </w:rPr>
        <w:t>2</w:t>
      </w:r>
      <w:r>
        <w:rPr>
          <w:rFonts w:hint="eastAsia"/>
        </w:rPr>
        <w:t>）质保期（保修期）（满分</w:t>
      </w:r>
      <w:r>
        <w:rPr>
          <w:rFonts w:hint="eastAsia" w:ascii="Times New Roman" w:hAnsi="Times New Roman"/>
        </w:rPr>
        <w:t>2</w:t>
      </w:r>
      <w:r>
        <w:rPr>
          <w:rFonts w:hint="eastAsia"/>
        </w:rPr>
        <w:t>分）</w:t>
      </w:r>
    </w:p>
    <w:p w14:paraId="58C0FF15">
      <w:pPr>
        <w:pStyle w:val="405"/>
        <w:spacing w:line="380" w:lineRule="exact"/>
        <w:ind w:firstLine="420" w:firstLineChars="200"/>
        <w:rPr>
          <w:rFonts w:hint="eastAsia" w:ascii="宋体" w:hAnsi="宋体"/>
        </w:rPr>
      </w:pPr>
      <w:r>
        <w:rPr>
          <w:rFonts w:hint="eastAsia" w:ascii="宋体" w:hAnsi="宋体"/>
        </w:rPr>
        <w:t>在满足基本质保期（保修期）</w:t>
      </w:r>
      <w:r>
        <w:rPr>
          <w:rFonts w:hint="eastAsia" w:ascii="宋体" w:hAnsi="宋体"/>
          <w:highlight w:val="none"/>
        </w:rPr>
        <w:t>（</w:t>
      </w:r>
      <w:r>
        <w:rPr>
          <w:rFonts w:hint="default" w:ascii="宋体"/>
          <w:highlight w:val="none"/>
          <w:lang w:val="en"/>
        </w:rPr>
        <w:t>8</w:t>
      </w:r>
      <w:r>
        <w:rPr>
          <w:rFonts w:hint="eastAsia" w:ascii="宋体" w:hAnsi="宋体"/>
          <w:highlight w:val="none"/>
        </w:rPr>
        <w:t>年）的</w:t>
      </w:r>
      <w:r>
        <w:rPr>
          <w:rFonts w:hint="eastAsia" w:ascii="宋体" w:hAnsi="宋体"/>
        </w:rPr>
        <w:t>基础上，免费保修期每延长</w:t>
      </w:r>
      <w:r>
        <w:rPr>
          <w:rFonts w:hint="eastAsia"/>
        </w:rPr>
        <w:t>6</w:t>
      </w:r>
      <w:r>
        <w:rPr>
          <w:rFonts w:hint="eastAsia" w:ascii="宋体" w:hAnsi="宋体"/>
        </w:rPr>
        <w:t>个月得</w:t>
      </w:r>
      <w:r>
        <w:rPr>
          <w:rFonts w:hint="eastAsia"/>
        </w:rPr>
        <w:t>0</w:t>
      </w:r>
      <w:r>
        <w:rPr>
          <w:rFonts w:hint="eastAsia" w:ascii="宋体" w:hAnsi="宋体"/>
        </w:rPr>
        <w:t>.</w:t>
      </w:r>
      <w:r>
        <w:rPr>
          <w:rFonts w:hint="eastAsia"/>
        </w:rPr>
        <w:t>5</w:t>
      </w:r>
      <w:r>
        <w:rPr>
          <w:rFonts w:hint="eastAsia" w:ascii="宋体" w:hAnsi="宋体"/>
        </w:rPr>
        <w:t>分（以</w:t>
      </w:r>
      <w:r>
        <w:rPr>
          <w:rFonts w:hint="eastAsia"/>
        </w:rPr>
        <w:t>核心</w:t>
      </w:r>
      <w:r>
        <w:rPr>
          <w:rFonts w:hint="eastAsia" w:ascii="宋体" w:hAnsi="宋体"/>
        </w:rPr>
        <w:t>产品生产厂家承诺为准，投标文件中提供厂家证明文件复印件加盖投标单位公章），满分</w:t>
      </w:r>
      <w:r>
        <w:rPr>
          <w:rFonts w:hint="eastAsia"/>
        </w:rPr>
        <w:t>2</w:t>
      </w:r>
      <w:r>
        <w:rPr>
          <w:rFonts w:hint="eastAsia" w:ascii="宋体" w:hAnsi="宋体"/>
        </w:rPr>
        <w:t>分。</w:t>
      </w:r>
    </w:p>
    <w:p w14:paraId="5E36C51B">
      <w:pPr>
        <w:keepNext w:val="0"/>
        <w:keepLines w:val="0"/>
        <w:pageBreakBefore w:val="0"/>
        <w:widowControl/>
        <w:numPr>
          <w:ilvl w:val="0"/>
          <w:numId w:val="0"/>
        </w:numPr>
        <w:kinsoku/>
        <w:wordWrap/>
        <w:overflowPunct/>
        <w:topLinePunct w:val="0"/>
        <w:bidi w:val="0"/>
        <w:spacing w:after="0" w:line="278" w:lineRule="auto"/>
        <w:ind w:firstLine="420" w:firstLineChars="200"/>
        <w:rPr>
          <w:rFonts w:hint="eastAsia" w:ascii="Times New Roman" w:hAnsi="Times New Roman" w:eastAsia="宋体" w:cs="Times New Roman"/>
          <w:b/>
          <w:bCs/>
          <w:kern w:val="0"/>
          <w:sz w:val="21"/>
          <w:szCs w:val="21"/>
          <w:lang w:val="en-US" w:eastAsia="zh-CN" w:bidi="ar-SA"/>
        </w:rPr>
      </w:pPr>
      <w:r>
        <w:rPr>
          <w:rFonts w:hint="default" w:ascii="Times New Roman" w:hAnsi="Times New Roman" w:cs="Times New Roman"/>
          <w:b/>
          <w:bCs/>
          <w:kern w:val="0"/>
          <w:sz w:val="21"/>
          <w:szCs w:val="21"/>
          <w:lang w:val="en" w:eastAsia="zh-CN" w:bidi="ar-SA"/>
        </w:rPr>
        <w:t>4.</w:t>
      </w:r>
      <w:r>
        <w:rPr>
          <w:rFonts w:hint="eastAsia" w:ascii="Times New Roman" w:hAnsi="Times New Roman" w:cs="Times New Roman"/>
          <w:b/>
          <w:bCs/>
          <w:kern w:val="0"/>
          <w:sz w:val="21"/>
          <w:szCs w:val="21"/>
          <w:lang w:val="en-US" w:eastAsia="zh-CN" w:bidi="ar-SA"/>
        </w:rPr>
        <w:t>信誉及业绩</w:t>
      </w:r>
      <w:r>
        <w:rPr>
          <w:rFonts w:hint="eastAsia" w:ascii="Times New Roman" w:hAnsi="Times New Roman" w:eastAsia="宋体" w:cs="Times New Roman"/>
          <w:b/>
          <w:bCs/>
          <w:kern w:val="0"/>
          <w:sz w:val="21"/>
          <w:szCs w:val="21"/>
          <w:lang w:val="en-US" w:eastAsia="zh-CN" w:bidi="ar-SA"/>
        </w:rPr>
        <w:t>分…………</w:t>
      </w:r>
      <w:r>
        <w:rPr>
          <w:rFonts w:hint="eastAsia"/>
          <w:b/>
          <w:bCs/>
          <w:kern w:val="0"/>
        </w:rPr>
        <w:t>……………………………………………………………</w:t>
      </w:r>
      <w:r>
        <w:rPr>
          <w:rFonts w:hint="eastAsia" w:ascii="Times New Roman" w:hAnsi="Times New Roman" w:eastAsia="宋体" w:cs="Times New Roman"/>
          <w:b/>
          <w:bCs/>
          <w:kern w:val="0"/>
          <w:sz w:val="21"/>
          <w:szCs w:val="21"/>
          <w:lang w:val="en-US" w:eastAsia="zh-CN" w:bidi="ar-SA"/>
        </w:rPr>
        <w:t>…4分</w:t>
      </w:r>
    </w:p>
    <w:p w14:paraId="475366E4">
      <w:pPr>
        <w:keepNext w:val="0"/>
        <w:keepLines w:val="0"/>
        <w:pageBreakBefore w:val="0"/>
        <w:widowControl/>
        <w:numPr>
          <w:ilvl w:val="0"/>
          <w:numId w:val="0"/>
        </w:numPr>
        <w:kinsoku/>
        <w:wordWrap/>
        <w:overflowPunct/>
        <w:topLinePunct w:val="0"/>
        <w:bidi w:val="0"/>
        <w:spacing w:after="0" w:line="278" w:lineRule="auto"/>
        <w:ind w:firstLine="630" w:firstLineChars="300"/>
        <w:rPr>
          <w:rFonts w:hint="eastAsia" w:ascii="Times New Roman" w:hAnsi="Times New Roman" w:eastAsia="宋体" w:cs="Times New Roman"/>
          <w:b w:val="0"/>
          <w:bCs w:val="0"/>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信誉及业绩（满分</w:t>
      </w:r>
      <w:r>
        <w:rPr>
          <w:rFonts w:hint="default" w:ascii="Times New Roman" w:hAnsi="Times New Roman" w:cs="Times New Roman"/>
          <w:b w:val="0"/>
          <w:bCs w:val="0"/>
          <w:kern w:val="0"/>
          <w:sz w:val="21"/>
          <w:szCs w:val="21"/>
          <w:lang w:val="en" w:eastAsia="zh-CN" w:bidi="ar-SA"/>
        </w:rPr>
        <w:t>4</w:t>
      </w:r>
      <w:r>
        <w:rPr>
          <w:rFonts w:hint="eastAsia" w:ascii="Times New Roman" w:hAnsi="Times New Roman" w:eastAsia="宋体" w:cs="Times New Roman"/>
          <w:b w:val="0"/>
          <w:bCs w:val="0"/>
          <w:kern w:val="0"/>
          <w:sz w:val="21"/>
          <w:szCs w:val="21"/>
          <w:lang w:val="en-US" w:eastAsia="zh-CN" w:bidi="ar-SA"/>
        </w:rPr>
        <w:t>分）</w:t>
      </w:r>
    </w:p>
    <w:p w14:paraId="5C684535">
      <w:pPr>
        <w:keepNext w:val="0"/>
        <w:keepLines w:val="0"/>
        <w:pageBreakBefore w:val="0"/>
        <w:widowControl/>
        <w:numPr>
          <w:ilvl w:val="0"/>
          <w:numId w:val="0"/>
        </w:numPr>
        <w:kinsoku/>
        <w:wordWrap/>
        <w:overflowPunct/>
        <w:topLinePunct w:val="0"/>
        <w:bidi w:val="0"/>
        <w:spacing w:after="0" w:line="278" w:lineRule="auto"/>
        <w:rPr>
          <w:rFonts w:hint="default" w:ascii="宋体" w:hAnsi="宋体" w:eastAsia="宋体" w:cs="宋体"/>
          <w:color w:val="auto"/>
          <w:szCs w:val="21"/>
          <w:highlight w:val="none"/>
          <w:lang w:val="en" w:eastAsia="zh-CN"/>
        </w:rPr>
      </w:pPr>
      <w:r>
        <w:rPr>
          <w:rFonts w:hint="default" w:ascii="Times New Roman" w:hAnsi="Times New Roman" w:cs="Times New Roman"/>
          <w:b/>
          <w:bCs/>
          <w:kern w:val="0"/>
          <w:sz w:val="21"/>
          <w:szCs w:val="21"/>
          <w:lang w:val="en" w:eastAsia="zh-CN" w:bidi="ar-SA"/>
        </w:rPr>
        <w:t xml:space="preserve">   （</w:t>
      </w:r>
      <w:r>
        <w:rPr>
          <w:rFonts w:hint="default" w:ascii="宋体" w:hAnsi="宋体" w:eastAsia="宋体" w:cs="宋体"/>
          <w:color w:val="auto"/>
          <w:szCs w:val="21"/>
          <w:highlight w:val="none"/>
          <w:lang w:val="en" w:eastAsia="zh-CN"/>
        </w:rPr>
        <w:t>1）所投产品生产企业通过ISO9001系列国际质量体系认证、ISO13485医疗器械质量管理体系认证及ISO 14001环境管理体系认证的，每有1项得0.5分，满分1.5分。</w:t>
      </w:r>
    </w:p>
    <w:p w14:paraId="3D53C355">
      <w:pPr>
        <w:keepNext w:val="0"/>
        <w:keepLines w:val="0"/>
        <w:pageBreakBefore w:val="0"/>
        <w:widowControl/>
        <w:numPr>
          <w:ilvl w:val="0"/>
          <w:numId w:val="0"/>
        </w:numPr>
        <w:kinsoku/>
        <w:wordWrap/>
        <w:overflowPunct/>
        <w:topLinePunct w:val="0"/>
        <w:bidi w:val="0"/>
        <w:spacing w:after="0" w:line="278" w:lineRule="auto"/>
        <w:rPr>
          <w:rFonts w:hint="default" w:ascii="Times New Roman" w:hAnsi="Times New Roman" w:eastAsia="宋体" w:cs="Times New Roman"/>
          <w:b/>
          <w:bCs/>
          <w:kern w:val="0"/>
          <w:sz w:val="21"/>
          <w:szCs w:val="21"/>
          <w:lang w:val="en" w:eastAsia="zh-CN" w:bidi="ar-SA"/>
        </w:rPr>
      </w:pPr>
      <w:r>
        <w:rPr>
          <w:rFonts w:hint="default" w:ascii="Times New Roman" w:hAnsi="Times New Roman" w:cs="Times New Roman"/>
          <w:b/>
          <w:bCs/>
          <w:kern w:val="0"/>
          <w:sz w:val="21"/>
          <w:szCs w:val="21"/>
          <w:lang w:val="en" w:eastAsia="zh-CN" w:bidi="ar-SA"/>
        </w:rPr>
        <w:t>注：投标文件中提供有效的证书复印件（或扫描件）并加盖投标人电子签章，非中文文本的请提供中文翻译文本，否则不予以计分。</w:t>
      </w:r>
    </w:p>
    <w:p w14:paraId="634F114F">
      <w:pPr>
        <w:keepNext w:val="0"/>
        <w:keepLines w:val="0"/>
        <w:pageBreakBefore w:val="0"/>
        <w:widowControl/>
        <w:kinsoku/>
        <w:wordWrap/>
        <w:overflowPunct/>
        <w:topLinePunct w:val="0"/>
        <w:bidi w:val="0"/>
        <w:adjustRightInd w:val="0"/>
        <w:snapToGrid w:val="0"/>
        <w:spacing w:after="0" w:line="400" w:lineRule="exact"/>
        <w:ind w:firstLine="378" w:firstLineChars="180"/>
        <w:rPr>
          <w:rFonts w:hint="eastAsia" w:ascii="宋体" w:hAnsi="宋体" w:eastAsia="宋体" w:cs="宋体"/>
          <w:szCs w:val="21"/>
          <w:lang w:eastAsia="zh-CN"/>
        </w:rPr>
      </w:pPr>
      <w:r>
        <w:rPr>
          <w:rFonts w:hint="eastAsia" w:ascii="宋体" w:hAnsi="宋体" w:cs="宋体"/>
          <w:color w:val="auto"/>
          <w:szCs w:val="21"/>
          <w:highlight w:val="none"/>
          <w:lang w:eastAsia="zh-CN"/>
        </w:rPr>
        <w:t>（2）提供</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年1月1日至今与</w:t>
      </w:r>
      <w:r>
        <w:rPr>
          <w:rFonts w:hint="eastAsia" w:ascii="宋体" w:hAnsi="宋体" w:cs="宋体"/>
          <w:color w:val="auto"/>
          <w:szCs w:val="21"/>
          <w:highlight w:val="none"/>
          <w:lang w:eastAsia="zh-CN"/>
        </w:rPr>
        <w:t>所投</w:t>
      </w:r>
      <w:r>
        <w:rPr>
          <w:rFonts w:hint="eastAsia" w:ascii="宋体" w:hAnsi="宋体" w:eastAsia="宋体" w:cs="宋体"/>
          <w:color w:val="auto"/>
          <w:szCs w:val="21"/>
          <w:highlight w:val="none"/>
        </w:rPr>
        <w:t>产品同</w:t>
      </w:r>
      <w:r>
        <w:rPr>
          <w:rFonts w:hint="eastAsia" w:ascii="宋体" w:hAnsi="宋体" w:cs="宋体"/>
          <w:color w:val="auto"/>
          <w:szCs w:val="21"/>
          <w:highlight w:val="none"/>
          <w:lang w:eastAsia="zh-CN"/>
        </w:rPr>
        <w:t>品牌同类型</w:t>
      </w:r>
      <w:r>
        <w:rPr>
          <w:rFonts w:hint="eastAsia" w:ascii="宋体" w:hAnsi="宋体" w:eastAsia="宋体" w:cs="宋体"/>
          <w:color w:val="auto"/>
          <w:szCs w:val="21"/>
          <w:highlight w:val="none"/>
        </w:rPr>
        <w:t>设备的业绩</w:t>
      </w:r>
      <w:r>
        <w:rPr>
          <w:rFonts w:hint="eastAsia" w:ascii="宋体" w:hAnsi="宋体" w:eastAsia="宋体" w:cs="宋体"/>
          <w:szCs w:val="21"/>
          <w:lang w:eastAsia="zh-CN"/>
        </w:rPr>
        <w:t>（业绩乙方可为生产厂家、代理商或经销商，甲方须为产品实际使用用户），每有1项得0.</w:t>
      </w:r>
      <w:r>
        <w:rPr>
          <w:rFonts w:hint="eastAsia" w:ascii="宋体" w:hAnsi="宋体" w:cs="宋体"/>
          <w:szCs w:val="21"/>
          <w:lang w:val="en-US" w:eastAsia="zh-CN"/>
        </w:rPr>
        <w:t>1</w:t>
      </w:r>
      <w:r>
        <w:rPr>
          <w:rFonts w:hint="eastAsia" w:ascii="宋体" w:hAnsi="宋体" w:eastAsia="宋体" w:cs="宋体"/>
          <w:szCs w:val="21"/>
          <w:lang w:eastAsia="zh-CN"/>
        </w:rPr>
        <w:t>分，满分</w:t>
      </w:r>
      <w:r>
        <w:rPr>
          <w:rFonts w:hint="default" w:ascii="宋体" w:hAnsi="宋体" w:cs="宋体"/>
          <w:szCs w:val="21"/>
          <w:lang w:val="en" w:eastAsia="zh-CN"/>
        </w:rPr>
        <w:t>2.5</w:t>
      </w:r>
      <w:r>
        <w:rPr>
          <w:rFonts w:hint="eastAsia" w:ascii="宋体" w:hAnsi="宋体" w:eastAsia="宋体" w:cs="宋体"/>
          <w:szCs w:val="21"/>
          <w:lang w:eastAsia="zh-CN"/>
        </w:rPr>
        <w:t>分。</w:t>
      </w:r>
    </w:p>
    <w:p w14:paraId="5B17C57D">
      <w:pPr>
        <w:pStyle w:val="405"/>
        <w:spacing w:line="380" w:lineRule="exact"/>
        <w:ind w:left="0" w:leftChars="0" w:firstLine="420" w:firstLineChars="200"/>
        <w:rPr>
          <w:b/>
          <w:bCs/>
        </w:rPr>
      </w:pPr>
      <w:r>
        <w:rPr>
          <w:rFonts w:hint="eastAsia" w:ascii="宋体" w:hAnsi="宋体" w:eastAsia="宋体" w:cs="Times New Roman"/>
          <w:b/>
          <w:bCs/>
          <w:kern w:val="0"/>
        </w:rPr>
        <w:t>注：投标文件中提供有效的中标通知书或合同复印件（或扫描件）</w:t>
      </w:r>
      <w:r>
        <w:rPr>
          <w:rFonts w:hint="eastAsia"/>
          <w:b/>
          <w:bCs/>
        </w:rPr>
        <w:t>、验收报告，并逐份加盖投标人电子签章，材料须体现签订时间、买卖双方信息、产品品牌型号（以上三项信息缺一不可，且均须清晰完整），否则不予以计分。</w:t>
      </w:r>
    </w:p>
    <w:p w14:paraId="7FBFAC9F">
      <w:pPr>
        <w:pStyle w:val="405"/>
        <w:spacing w:line="380" w:lineRule="exact"/>
        <w:ind w:firstLine="420" w:firstLineChars="200"/>
        <w:rPr>
          <w:rFonts w:ascii="宋体" w:hAnsi="宋体"/>
        </w:rPr>
      </w:pPr>
      <w:r>
        <w:rPr>
          <w:rFonts w:hint="default" w:ascii="Calibri" w:hAnsi="Calibri" w:eastAsia="宋体" w:cs="Times New Roman"/>
          <w:b/>
          <w:bCs/>
          <w:kern w:val="0"/>
          <w:sz w:val="21"/>
          <w:szCs w:val="21"/>
          <w:lang w:val="en" w:eastAsia="zh-CN" w:bidi="ar-SA"/>
        </w:rPr>
        <w:t>5</w:t>
      </w:r>
      <w:r>
        <w:rPr>
          <w:rFonts w:hint="default" w:ascii="Calibri" w:hAnsi="Calibri" w:eastAsia="宋体" w:cs="Times New Roman"/>
          <w:b/>
          <w:bCs/>
          <w:kern w:val="0"/>
          <w:sz w:val="21"/>
          <w:szCs w:val="21"/>
          <w:lang w:val="en-US" w:eastAsia="zh-CN" w:bidi="ar-SA"/>
        </w:rPr>
        <w:t>.政策功能分</w:t>
      </w:r>
      <w:r>
        <w:rPr>
          <w:rFonts w:hint="eastAsia"/>
          <w:b/>
          <w:bCs/>
        </w:rPr>
        <w:t>…………</w:t>
      </w:r>
      <w:r>
        <w:rPr>
          <w:rFonts w:hint="eastAsia" w:ascii="Times New Roman" w:hAnsi="Times New Roman" w:eastAsia="宋体" w:cs="Times New Roman"/>
          <w:b/>
          <w:bCs/>
          <w:kern w:val="0"/>
          <w:sz w:val="21"/>
          <w:szCs w:val="21"/>
          <w:lang w:val="en-US" w:eastAsia="zh-CN" w:bidi="ar-SA"/>
        </w:rPr>
        <w:t>……</w:t>
      </w:r>
      <w:r>
        <w:rPr>
          <w:rFonts w:hint="eastAsia"/>
          <w:b/>
          <w:bCs/>
        </w:rPr>
        <w:t>………………………………………</w:t>
      </w:r>
      <w:r>
        <w:rPr>
          <w:rFonts w:hint="eastAsia"/>
          <w:b/>
          <w:bCs/>
          <w:kern w:val="0"/>
        </w:rPr>
        <w:t>…</w:t>
      </w:r>
      <w:r>
        <w:rPr>
          <w:rFonts w:hint="eastAsia"/>
          <w:b/>
          <w:bCs/>
        </w:rPr>
        <w:t>………………</w:t>
      </w:r>
      <w:r>
        <w:rPr>
          <w:rFonts w:hint="default"/>
          <w:b/>
          <w:bCs/>
          <w:lang w:val="en"/>
        </w:rPr>
        <w:t>1</w:t>
      </w:r>
      <w:r>
        <w:rPr>
          <w:rFonts w:hint="eastAsia"/>
          <w:b/>
          <w:bCs/>
        </w:rPr>
        <w:t>分</w:t>
      </w:r>
    </w:p>
    <w:p w14:paraId="383B612A">
      <w:pPr>
        <w:pStyle w:val="111"/>
        <w:adjustRightInd w:val="0"/>
        <w:snapToGrid w:val="0"/>
        <w:spacing w:line="380" w:lineRule="exact"/>
        <w:ind w:firstLine="482" w:firstLineChars="230"/>
      </w:pPr>
      <w:r>
        <w:rPr>
          <w:rFonts w:hint="eastAsia"/>
        </w:rPr>
        <w:t>节能、环保分（满分1分）</w:t>
      </w:r>
    </w:p>
    <w:p w14:paraId="1F4DB54E">
      <w:pPr>
        <w:widowControl/>
        <w:spacing w:line="380" w:lineRule="exact"/>
        <w:ind w:firstLine="420" w:firstLineChars="200"/>
        <w:jc w:val="left"/>
        <w:rPr>
          <w:rFonts w:hint="eastAsia" w:ascii="宋体" w:hAnsi="宋体" w:cs="宋体"/>
          <w:szCs w:val="21"/>
        </w:rPr>
      </w:pPr>
      <w:r>
        <w:rPr>
          <w:rFonts w:hint="eastAsia" w:ascii="宋体" w:hAnsi="宋体" w:cs="宋体"/>
          <w:szCs w:val="21"/>
        </w:rPr>
        <w:t>（1）所投核心产品属于财政部《节能产品政府采购品目清单》内优先采购的产品[投标文件中提供有效的认证证书复印件（或扫描件）及品目清单（标注出投标产品在品目清单中所属的品目），并加盖投标人电子签章]，得0.5分。</w:t>
      </w:r>
    </w:p>
    <w:p w14:paraId="06DE2890">
      <w:pPr>
        <w:pStyle w:val="111"/>
        <w:adjustRightInd w:val="0"/>
        <w:snapToGrid w:val="0"/>
        <w:spacing w:line="380" w:lineRule="exact"/>
        <w:ind w:firstLine="378" w:firstLineChars="180"/>
        <w:rPr>
          <w:rFonts w:hint="eastAsia"/>
        </w:rPr>
      </w:pPr>
      <w:r>
        <w:rPr>
          <w:rFonts w:hint="eastAsia"/>
        </w:rPr>
        <w:t>（2）所投核心产品属于财政部《环境标志产品政府采购品目清单》内的产品[投标文件中提供有效的认证证书复印件（或扫描件）及品目清单（标注出投标产品在品目清单中所属的品目），并加盖投标人电子签章]，得0.5分。</w:t>
      </w:r>
    </w:p>
    <w:p w14:paraId="1A19FEFB">
      <w:pPr>
        <w:adjustRightInd w:val="0"/>
        <w:snapToGrid w:val="0"/>
        <w:spacing w:line="380" w:lineRule="exact"/>
        <w:jc w:val="left"/>
        <w:rPr>
          <w:rFonts w:hAnsi="宋体"/>
          <w:b/>
        </w:rPr>
      </w:pPr>
    </w:p>
    <w:p w14:paraId="0E6119A5">
      <w:pPr>
        <w:adjustRightInd w:val="0"/>
        <w:snapToGrid w:val="0"/>
        <w:spacing w:line="380" w:lineRule="exact"/>
        <w:jc w:val="left"/>
        <w:rPr>
          <w:b/>
          <w:kern w:val="4"/>
        </w:rPr>
      </w:pPr>
      <w:r>
        <w:rPr>
          <w:rFonts w:hint="eastAsia" w:hAnsi="宋体"/>
          <w:b/>
        </w:rPr>
        <w:t>（三）总得分=1+ 2+ 3+ 4+ 5。</w:t>
      </w:r>
    </w:p>
    <w:p w14:paraId="34A9F25A">
      <w:pPr>
        <w:pStyle w:val="29"/>
        <w:adjustRightInd w:val="0"/>
        <w:snapToGrid w:val="0"/>
        <w:spacing w:line="380" w:lineRule="exact"/>
        <w:rPr>
          <w:rFonts w:hAnsi="宋体"/>
          <w:b/>
        </w:rPr>
      </w:pPr>
      <w:r>
        <w:rPr>
          <w:rFonts w:hint="eastAsia" w:hAnsi="宋体"/>
          <w:b/>
        </w:rPr>
        <w:t xml:space="preserve">   </w:t>
      </w:r>
    </w:p>
    <w:p w14:paraId="0ADE77CE">
      <w:pPr>
        <w:pStyle w:val="29"/>
        <w:adjustRightInd w:val="0"/>
        <w:snapToGrid w:val="0"/>
        <w:spacing w:line="380" w:lineRule="exact"/>
        <w:rPr>
          <w:rFonts w:hAnsi="宋体"/>
          <w:b/>
        </w:rPr>
      </w:pPr>
      <w:r>
        <w:rPr>
          <w:rFonts w:hint="eastAsia" w:hAnsi="宋体"/>
          <w:b/>
        </w:rPr>
        <w:t xml:space="preserve">  三、中标候选人推荐原则</w:t>
      </w:r>
    </w:p>
    <w:p w14:paraId="5BA787E5">
      <w:pPr>
        <w:pStyle w:val="2"/>
        <w:spacing w:line="380" w:lineRule="exact"/>
        <w:ind w:firstLine="420" w:firstLineChars="200"/>
        <w:rPr>
          <w:rFonts w:hint="eastAsia" w:hAnsi="宋体" w:cs="Courier New"/>
          <w:color w:val="auto"/>
          <w:kern w:val="2"/>
          <w:sz w:val="21"/>
          <w:szCs w:val="21"/>
        </w:rPr>
      </w:pPr>
      <w:r>
        <w:rPr>
          <w:rFonts w:hint="eastAsia" w:hAnsi="宋体" w:cs="Courier New"/>
          <w:color w:val="auto"/>
          <w:kern w:val="2"/>
          <w:sz w:val="21"/>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14:paraId="2AD5624F">
      <w:pPr>
        <w:pStyle w:val="29"/>
        <w:adjustRightInd w:val="0"/>
        <w:snapToGrid w:val="0"/>
        <w:spacing w:line="380" w:lineRule="exact"/>
        <w:ind w:firstLine="420" w:firstLineChars="200"/>
        <w:rPr>
          <w:rFonts w:hAnsi="宋体"/>
        </w:rPr>
      </w:pPr>
      <w:r>
        <w:rPr>
          <w:rFonts w:hint="eastAsia" w:hAnsi="宋体"/>
          <w:bCs/>
        </w:rPr>
        <w:t>（二）</w:t>
      </w:r>
      <w:r>
        <w:rPr>
          <w:rFonts w:hint="eastAsia" w:hAnsi="宋体"/>
          <w:lang w:eastAsia="zh"/>
        </w:rPr>
        <w:t>排名第一的中标候选人放弃中标或在规定限期内拒不签订合同或因不可抗力提出不能履行合同</w:t>
      </w:r>
      <w:r>
        <w:rPr>
          <w:rFonts w:hint="eastAsia" w:hAnsi="宋体"/>
        </w:rPr>
        <w:t>，采购人可以确定排名第二的中标候选人为中标人。排名第二的中标候选人因前款规定的同样原因不能签订合同的，采购人可以确定排名第三的中标候选人为中标人，其余以此类推。</w:t>
      </w:r>
    </w:p>
    <w:p w14:paraId="1D591CF5"/>
    <w:p w14:paraId="73736ED2"/>
    <w:p w14:paraId="4554F527">
      <w:pPr>
        <w:pStyle w:val="2"/>
        <w:rPr>
          <w:rFonts w:ascii="仿宋_GB2312" w:hAnsi="宋体" w:eastAsia="仿宋_GB2312"/>
          <w:b/>
          <w:color w:val="auto"/>
          <w:sz w:val="44"/>
          <w:szCs w:val="44"/>
        </w:rPr>
      </w:pPr>
    </w:p>
    <w:p w14:paraId="25D7F914">
      <w:pPr>
        <w:pStyle w:val="2"/>
        <w:rPr>
          <w:rFonts w:ascii="仿宋_GB2312" w:hAnsi="宋体" w:eastAsia="仿宋_GB2312"/>
          <w:b/>
          <w:color w:val="auto"/>
          <w:sz w:val="44"/>
          <w:szCs w:val="44"/>
        </w:rPr>
      </w:pPr>
    </w:p>
    <w:p w14:paraId="6E27E15B">
      <w:pPr>
        <w:pStyle w:val="2"/>
        <w:rPr>
          <w:rFonts w:ascii="仿宋_GB2312" w:hAnsi="宋体" w:eastAsia="仿宋_GB2312"/>
          <w:b/>
          <w:color w:val="auto"/>
          <w:sz w:val="44"/>
          <w:szCs w:val="44"/>
        </w:rPr>
      </w:pPr>
    </w:p>
    <w:p w14:paraId="74BF9811">
      <w:pPr>
        <w:pStyle w:val="29"/>
        <w:pageBreakBefore/>
        <w:spacing w:line="480" w:lineRule="exact"/>
        <w:jc w:val="center"/>
        <w:rPr>
          <w:rFonts w:ascii="仿宋_GB2312" w:hAnsi="宋体" w:eastAsia="仿宋_GB2312"/>
          <w:b/>
          <w:sz w:val="32"/>
          <w:szCs w:val="32"/>
        </w:rPr>
      </w:pPr>
      <w:r>
        <w:rPr>
          <w:rFonts w:hint="eastAsia" w:ascii="仿宋_GB2312" w:hAnsi="宋体" w:eastAsia="仿宋_GB2312"/>
          <w:b/>
          <w:sz w:val="32"/>
          <w:szCs w:val="32"/>
        </w:rPr>
        <w:t>评标方法及评分标准（分标3）</w:t>
      </w:r>
    </w:p>
    <w:p w14:paraId="23D29637">
      <w:pPr>
        <w:pStyle w:val="111"/>
        <w:adjustRightInd w:val="0"/>
        <w:snapToGrid w:val="0"/>
        <w:spacing w:line="400" w:lineRule="exact"/>
        <w:ind w:firstLine="42"/>
        <w:jc w:val="center"/>
        <w:rPr>
          <w:b/>
          <w:bCs/>
        </w:rPr>
      </w:pPr>
    </w:p>
    <w:p w14:paraId="4116918D">
      <w:pPr>
        <w:pStyle w:val="111"/>
        <w:adjustRightInd w:val="0"/>
        <w:snapToGrid w:val="0"/>
        <w:spacing w:line="380" w:lineRule="exact"/>
        <w:ind w:firstLine="42"/>
        <w:rPr>
          <w:b/>
          <w:bCs/>
        </w:rPr>
      </w:pPr>
      <w:r>
        <w:rPr>
          <w:rFonts w:hint="eastAsia"/>
          <w:b/>
          <w:bCs/>
        </w:rPr>
        <w:t>一、评标原则</w:t>
      </w:r>
    </w:p>
    <w:p w14:paraId="768ABD52">
      <w:pPr>
        <w:pStyle w:val="111"/>
        <w:adjustRightInd w:val="0"/>
        <w:snapToGrid w:val="0"/>
        <w:spacing w:line="380" w:lineRule="exact"/>
        <w:ind w:firstLine="378" w:firstLineChars="180"/>
      </w:pPr>
      <w:r>
        <w:rPr>
          <w:rFonts w:hint="eastAsia"/>
        </w:rPr>
        <w:t>（一） 评委构成：本招标采购项目的评标委员会由采购人代表和有关技术、经济等方面的专家组成，成员人数应当为七人以上单数。其中，技术、经济等方面的专家不得少于成员总数的三分之二。</w:t>
      </w:r>
    </w:p>
    <w:p w14:paraId="6AC36962">
      <w:pPr>
        <w:pStyle w:val="111"/>
        <w:adjustRightInd w:val="0"/>
        <w:snapToGrid w:val="0"/>
        <w:spacing w:line="380" w:lineRule="exact"/>
        <w:ind w:firstLine="378" w:firstLineChars="180"/>
        <w:rPr>
          <w:bCs/>
        </w:rPr>
      </w:pPr>
      <w:r>
        <w:rPr>
          <w:rFonts w:hint="eastAsia"/>
          <w:bCs/>
        </w:rPr>
        <w:t>（二）</w:t>
      </w:r>
      <w:r>
        <w:rPr>
          <w:rFonts w:hint="eastAsia"/>
        </w:rPr>
        <w:t xml:space="preserve"> 评标依据：</w:t>
      </w:r>
      <w:r>
        <w:rPr>
          <w:rFonts w:hint="eastAsia"/>
          <w:bCs/>
        </w:rPr>
        <w:t>评委将以招投标文件为评标依据，对投标人的内容按百分制打分。</w:t>
      </w:r>
    </w:p>
    <w:p w14:paraId="4C1478B1">
      <w:pPr>
        <w:pStyle w:val="29"/>
        <w:adjustRightInd w:val="0"/>
        <w:snapToGrid w:val="0"/>
        <w:spacing w:line="380" w:lineRule="exact"/>
        <w:ind w:firstLine="289" w:firstLineChars="138"/>
        <w:rPr>
          <w:rFonts w:hint="eastAsia" w:hAnsi="宋体"/>
          <w:bCs/>
        </w:rPr>
      </w:pPr>
      <w:r>
        <w:rPr>
          <w:rFonts w:hint="eastAsia" w:hAnsi="宋体"/>
          <w:bCs/>
        </w:rPr>
        <w:t xml:space="preserve"> （三）</w:t>
      </w:r>
      <w:r>
        <w:rPr>
          <w:rFonts w:hint="eastAsia"/>
        </w:rPr>
        <w:t xml:space="preserve"> </w:t>
      </w:r>
      <w:r>
        <w:rPr>
          <w:rFonts w:hint="eastAsia" w:hAnsi="宋体"/>
          <w:bCs/>
        </w:rPr>
        <w:t>评标方式：以封闭方式进行。</w:t>
      </w:r>
    </w:p>
    <w:p w14:paraId="364475B2">
      <w:pPr>
        <w:keepNext/>
        <w:keepLines/>
        <w:widowControl/>
        <w:spacing w:before="120" w:after="120" w:line="380" w:lineRule="exact"/>
        <w:ind w:firstLine="420" w:firstLineChars="200"/>
        <w:jc w:val="left"/>
        <w:outlineLvl w:val="3"/>
        <w:rPr>
          <w:rFonts w:hint="eastAsia" w:ascii="宋体" w:hAnsi="宋体" w:cs="宋体"/>
          <w:kern w:val="0"/>
          <w:szCs w:val="21"/>
        </w:rPr>
      </w:pPr>
      <w:r>
        <w:rPr>
          <w:rFonts w:hint="eastAsia" w:ascii="宋体" w:hAnsi="宋体" w:cs="宋体"/>
          <w:kern w:val="0"/>
          <w:szCs w:val="21"/>
        </w:rPr>
        <w:t>（四）无效投标处理原则：在评标过程中，包括在异常低价认定程序中被认定为无效的投标，其投标文件不再进入后续评审阶段，也不参与得分计算与汇总排名。</w:t>
      </w:r>
    </w:p>
    <w:p w14:paraId="50D877A2">
      <w:pPr>
        <w:pStyle w:val="29"/>
        <w:adjustRightInd w:val="0"/>
        <w:snapToGrid w:val="0"/>
        <w:spacing w:line="380" w:lineRule="exact"/>
        <w:ind w:firstLine="42" w:firstLineChars="20"/>
        <w:rPr>
          <w:rFonts w:hAnsi="宋体"/>
          <w:b/>
        </w:rPr>
      </w:pPr>
      <w:r>
        <w:rPr>
          <w:rFonts w:hint="eastAsia" w:hAnsi="宋体"/>
          <w:b/>
        </w:rPr>
        <w:t>二、评标方法</w:t>
      </w:r>
    </w:p>
    <w:p w14:paraId="45C24124">
      <w:pPr>
        <w:pStyle w:val="111"/>
        <w:adjustRightInd w:val="0"/>
        <w:snapToGrid w:val="0"/>
        <w:spacing w:line="380" w:lineRule="exact"/>
        <w:ind w:firstLine="378" w:firstLineChars="180"/>
      </w:pPr>
      <w:r>
        <w:rPr>
          <w:rFonts w:hint="eastAsia"/>
        </w:rPr>
        <w:t>（一）对进入详评的，采用百分制综合评分法。</w:t>
      </w:r>
    </w:p>
    <w:p w14:paraId="6F34ECDA">
      <w:pPr>
        <w:pStyle w:val="111"/>
        <w:adjustRightInd w:val="0"/>
        <w:snapToGrid w:val="0"/>
        <w:spacing w:line="380" w:lineRule="exact"/>
        <w:ind w:firstLine="378" w:firstLineChars="180"/>
      </w:pPr>
      <w:r>
        <w:rPr>
          <w:rFonts w:hint="eastAsia"/>
        </w:rPr>
        <w:t>（二）计分办法（按四舍五入取至百分位）：</w:t>
      </w:r>
    </w:p>
    <w:p w14:paraId="72FF5D30">
      <w:pPr>
        <w:pStyle w:val="405"/>
        <w:spacing w:line="380" w:lineRule="exact"/>
        <w:ind w:firstLine="420" w:firstLineChars="200"/>
        <w:rPr>
          <w:b/>
          <w:bCs/>
        </w:rPr>
      </w:pPr>
      <w:r>
        <w:rPr>
          <w:rFonts w:hint="eastAsia"/>
          <w:b/>
          <w:bCs/>
        </w:rPr>
        <w:t>1.价格分……………………………………………………………………………</w:t>
      </w:r>
      <w:r>
        <w:rPr>
          <w:rFonts w:hint="eastAsia"/>
          <w:b/>
          <w:bCs/>
          <w:lang w:eastAsia="zh"/>
        </w:rPr>
        <w:t>3</w:t>
      </w:r>
      <w:r>
        <w:rPr>
          <w:rFonts w:hint="eastAsia"/>
          <w:b/>
          <w:bCs/>
        </w:rPr>
        <w:t>0分</w:t>
      </w:r>
    </w:p>
    <w:p w14:paraId="5DAE9A4D">
      <w:pPr>
        <w:pStyle w:val="111"/>
        <w:adjustRightInd w:val="0"/>
        <w:snapToGrid w:val="0"/>
        <w:spacing w:line="380" w:lineRule="exact"/>
        <w:ind w:firstLine="378" w:firstLineChars="180"/>
      </w:pPr>
      <w:r>
        <w:rPr>
          <w:rFonts w:hint="eastAsia"/>
        </w:rPr>
        <w:t>（1）</w:t>
      </w:r>
      <w:r>
        <w:rPr>
          <w:rFonts w:hint="eastAsia" w:ascii="Times New Roman" w:hAnsi="Times New Roman"/>
          <w:bCs/>
        </w:rPr>
        <w:t>符合《政府采购促进中小企业发展管理办法》（财库</w:t>
      </w:r>
      <w:r>
        <w:rPr>
          <w:rFonts w:hint="eastAsia"/>
        </w:rPr>
        <w:t>〔</w:t>
      </w:r>
      <w:r>
        <w:rPr>
          <w:rFonts w:hint="eastAsia" w:ascii="Times New Roman" w:hAnsi="Times New Roman"/>
          <w:bCs/>
        </w:rPr>
        <w:t>2020</w:t>
      </w:r>
      <w:r>
        <w:rPr>
          <w:rFonts w:hint="eastAsia"/>
        </w:rPr>
        <w:t>〕</w:t>
      </w:r>
      <w:r>
        <w:rPr>
          <w:rFonts w:hint="eastAsia" w:ascii="Times New Roman" w:hAnsi="Times New Roman"/>
          <w:bCs/>
        </w:rPr>
        <w:t>46号）规定条件且按该办法中规定的格式提供了《中小企业声明函》的小型和微型企业参与投标，对其最后报价给予10</w:t>
      </w:r>
      <w:r>
        <w:rPr>
          <w:rFonts w:ascii="Times New Roman" w:hAnsi="Times New Roman"/>
          <w:bCs/>
        </w:rPr>
        <w:t>%</w:t>
      </w:r>
      <w:r>
        <w:rPr>
          <w:rFonts w:hint="eastAsia" w:ascii="Times New Roman" w:hAnsi="Times New Roman"/>
          <w:bCs/>
        </w:rPr>
        <w:t>的扣除，</w:t>
      </w:r>
      <w:r>
        <w:rPr>
          <w:rFonts w:hint="eastAsia"/>
        </w:rPr>
        <w:t>扣除后的价格为评标价，即评标价=投标价×（1-10%）；符合《国务院办公厅关于在政府采购中实施本国产品标准及相关政策的通知》（国办发〔</w:t>
      </w:r>
      <w:r>
        <w:rPr>
          <w:rFonts w:ascii="Times New Roman" w:hAnsi="Times New Roman"/>
        </w:rPr>
        <w:t>2025</w:t>
      </w:r>
      <w:r>
        <w:rPr>
          <w:rFonts w:hint="eastAsia"/>
        </w:rPr>
        <w:t>〕</w:t>
      </w:r>
      <w:r>
        <w:rPr>
          <w:rFonts w:ascii="Times New Roman" w:hAnsi="Times New Roman"/>
        </w:rPr>
        <w:t>34</w:t>
      </w:r>
      <w:r>
        <w:rPr>
          <w:rFonts w:hint="eastAsia"/>
        </w:rPr>
        <w:t>号）规定</w:t>
      </w:r>
      <w:r>
        <w:rPr>
          <w:rFonts w:hint="eastAsia" w:ascii="Times New Roman" w:hAnsi="Times New Roman"/>
          <w:bCs/>
        </w:rPr>
        <w:t>条件且按该通知中规定的格式提供了《关于符合本国产品标准的声明函》的供应商参与投标，对其投标报价给予20</w:t>
      </w:r>
      <w:r>
        <w:rPr>
          <w:rFonts w:ascii="Times New Roman" w:hAnsi="Times New Roman"/>
          <w:bCs/>
        </w:rPr>
        <w:t>%</w:t>
      </w:r>
      <w:r>
        <w:rPr>
          <w:rFonts w:hint="eastAsia" w:ascii="Times New Roman" w:hAnsi="Times New Roman"/>
          <w:bCs/>
        </w:rPr>
        <w:t>的扣除，</w:t>
      </w:r>
      <w:r>
        <w:rPr>
          <w:rFonts w:hint="eastAsia"/>
        </w:rPr>
        <w:t>扣除后的价格为评标价，即评标价=投标价×（1-20%）；除上述情况外，评标价=投标价。</w:t>
      </w:r>
    </w:p>
    <w:p w14:paraId="446EB1A3">
      <w:pPr>
        <w:pStyle w:val="111"/>
        <w:adjustRightInd w:val="0"/>
        <w:snapToGrid w:val="0"/>
        <w:spacing w:line="380" w:lineRule="exact"/>
        <w:ind w:firstLine="378" w:firstLineChars="180"/>
      </w:pPr>
      <w:r>
        <w:t>投标产品生产企业或服务提供企业按《关于政府采购支持监狱企业发展有关问题的通知》</w:t>
      </w:r>
      <w:r>
        <w:rPr>
          <w:rFonts w:hint="eastAsia"/>
        </w:rPr>
        <w:t>（</w:t>
      </w:r>
      <w:r>
        <w:t>财库</w:t>
      </w:r>
      <w:r>
        <w:rPr>
          <w:rFonts w:hint="eastAsia"/>
        </w:rPr>
        <w:t>〔</w:t>
      </w:r>
      <w:r>
        <w:t>2014</w:t>
      </w:r>
      <w:r>
        <w:rPr>
          <w:rFonts w:hint="eastAsia"/>
        </w:rPr>
        <w:t>〕</w:t>
      </w:r>
      <w:r>
        <w:t>68号</w:t>
      </w:r>
      <w:r>
        <w:rPr>
          <w:rFonts w:hint="eastAsia"/>
        </w:rPr>
        <w:t>）</w:t>
      </w:r>
      <w:r>
        <w:t>认定为监狱企业的，在政府采购活动中，监狱企业视同小型、微型企业。投标人应当提供由省级以上监狱管理局、戒毒管理局</w:t>
      </w:r>
      <w:r>
        <w:rPr>
          <w:rFonts w:hint="eastAsia"/>
        </w:rPr>
        <w:t>（</w:t>
      </w:r>
      <w:r>
        <w:t>含新疆生产建设兵团</w:t>
      </w:r>
      <w:r>
        <w:rPr>
          <w:rFonts w:hint="eastAsia"/>
        </w:rPr>
        <w:t>）</w:t>
      </w:r>
      <w:r>
        <w:t>出具的投标产品生产企业或服务提供企业属于监狱企业的证明文件，不再提供《中小企业声明函》；</w:t>
      </w:r>
    </w:p>
    <w:p w14:paraId="585CF998">
      <w:pPr>
        <w:pStyle w:val="111"/>
        <w:adjustRightInd w:val="0"/>
        <w:snapToGrid w:val="0"/>
        <w:spacing w:line="380" w:lineRule="exact"/>
        <w:ind w:firstLine="378" w:firstLineChars="180"/>
      </w:pPr>
      <w:r>
        <w:t>投标产品生产</w:t>
      </w:r>
      <w:r>
        <w:rPr>
          <w:rFonts w:hint="eastAsia"/>
        </w:rPr>
        <w:t>单位</w:t>
      </w:r>
      <w:r>
        <w:t>或服务提供</w:t>
      </w:r>
      <w:r>
        <w:rPr>
          <w:rFonts w:hint="eastAsia"/>
        </w:rPr>
        <w:t>单位按《关于促进残疾人就业政府采购政策的通知》（财库〔2017〕141号）认定为残疾人福利性单位的，在政府采购活动中，残疾人福利性单位视同小型、微型企业。</w:t>
      </w:r>
      <w:r>
        <w:t>投标人应当提供</w:t>
      </w:r>
      <w:r>
        <w:rPr>
          <w:rFonts w:hint="eastAsia"/>
        </w:rPr>
        <w:t>该通知规定的</w:t>
      </w:r>
      <w:r>
        <w:t>投标产品生产</w:t>
      </w:r>
      <w:r>
        <w:rPr>
          <w:rFonts w:hint="eastAsia"/>
        </w:rPr>
        <w:t>单位</w:t>
      </w:r>
      <w:r>
        <w:t>或服务提供</w:t>
      </w:r>
      <w:r>
        <w:rPr>
          <w:rFonts w:hint="eastAsia"/>
        </w:rPr>
        <w:t>单位属于残疾人福利性单位的《残疾人福利性单位声明函》，</w:t>
      </w:r>
      <w:r>
        <w:t>不再提供《中小企业声明函》</w:t>
      </w:r>
      <w:r>
        <w:rPr>
          <w:rFonts w:hint="eastAsia"/>
        </w:rPr>
        <w:t>。</w:t>
      </w:r>
    </w:p>
    <w:p w14:paraId="4C466133">
      <w:pPr>
        <w:pStyle w:val="111"/>
        <w:adjustRightInd w:val="0"/>
        <w:snapToGrid w:val="0"/>
        <w:spacing w:line="380" w:lineRule="exact"/>
        <w:ind w:firstLine="378" w:firstLineChars="180"/>
      </w:pPr>
      <w:r>
        <w:rPr>
          <w:rFonts w:hint="eastAsia"/>
        </w:rPr>
        <w:t>（2）以满足招标文件要求且评标价最低的投标人的评标价为评标基准价，其价格分为</w:t>
      </w:r>
      <w:r>
        <w:rPr>
          <w:rFonts w:hint="eastAsia"/>
          <w:bCs/>
        </w:rPr>
        <w:t>30</w:t>
      </w:r>
      <w:r>
        <w:rPr>
          <w:rFonts w:hint="eastAsia"/>
          <w:szCs w:val="24"/>
        </w:rPr>
        <w:t>分</w:t>
      </w:r>
      <w:r>
        <w:rPr>
          <w:rFonts w:hint="eastAsia"/>
        </w:rPr>
        <w:t>。</w:t>
      </w:r>
    </w:p>
    <w:p w14:paraId="14E954B6">
      <w:pPr>
        <w:pStyle w:val="111"/>
        <w:adjustRightInd w:val="0"/>
        <w:snapToGrid w:val="0"/>
        <w:spacing w:line="380" w:lineRule="exact"/>
        <w:ind w:firstLine="378" w:firstLineChars="180"/>
        <w:rPr>
          <w:rFonts w:hint="eastAsia"/>
        </w:rPr>
      </w:pPr>
      <w:r>
        <w:rPr>
          <w:rFonts w:hint="eastAsia"/>
        </w:rPr>
        <w:t>（</w:t>
      </w:r>
      <w:r>
        <w:t>3</w:t>
      </w:r>
      <w:r>
        <w:rPr>
          <w:rFonts w:hint="eastAsia"/>
        </w:rPr>
        <w:t>）某投标人价格分</w:t>
      </w:r>
      <w:r>
        <w:t xml:space="preserve"> = </w:t>
      </w:r>
      <w:r>
        <w:rPr>
          <w:rFonts w:hint="eastAsia"/>
          <w:bCs/>
        </w:rPr>
        <w:t>评标基准价</w:t>
      </w:r>
      <w:r>
        <w:rPr>
          <w:rFonts w:hint="eastAsia"/>
        </w:rPr>
        <w:t>（金额）</w:t>
      </w:r>
      <w:r>
        <w:t>/</w:t>
      </w:r>
      <w:r>
        <w:rPr>
          <w:rFonts w:hint="eastAsia"/>
        </w:rPr>
        <w:t>某投标人评标价（金额）×</w:t>
      </w:r>
      <w:r>
        <w:rPr>
          <w:rFonts w:hint="eastAsia"/>
          <w:lang w:eastAsia="zh"/>
        </w:rPr>
        <w:t>3</w:t>
      </w:r>
      <w:r>
        <w:rPr>
          <w:rFonts w:hint="eastAsia"/>
        </w:rPr>
        <w:t>0分。</w:t>
      </w:r>
    </w:p>
    <w:p w14:paraId="4ADEDFE9">
      <w:pPr>
        <w:pStyle w:val="405"/>
        <w:spacing w:line="380" w:lineRule="exact"/>
        <w:ind w:firstLine="420" w:firstLineChars="200"/>
        <w:rPr>
          <w:rFonts w:hAnsi="宋体"/>
          <w:b/>
        </w:rPr>
      </w:pPr>
      <w:r>
        <w:rPr>
          <w:rFonts w:hint="eastAsia"/>
          <w:b/>
          <w:bCs/>
        </w:rPr>
        <w:t>2.技术分……………………………………………………………………………60分</w:t>
      </w:r>
    </w:p>
    <w:p w14:paraId="2A5CFA56">
      <w:pPr>
        <w:pStyle w:val="111"/>
        <w:adjustRightInd w:val="0"/>
        <w:snapToGrid w:val="0"/>
        <w:spacing w:line="380" w:lineRule="exact"/>
        <w:ind w:firstLine="378" w:firstLineChars="180"/>
        <w:textAlignment w:val="baseline"/>
        <w:rPr>
          <w:rFonts w:hint="eastAsia"/>
          <w:highlight w:val="none"/>
        </w:rPr>
      </w:pPr>
      <w:r>
        <w:rPr>
          <w:rFonts w:hint="eastAsia"/>
        </w:rPr>
        <w:t>（1）一般技术参数要求响应得分（</w:t>
      </w:r>
      <w:r>
        <w:rPr>
          <w:rFonts w:hint="eastAsia"/>
          <w:highlight w:val="none"/>
        </w:rPr>
        <w:t>满分</w:t>
      </w:r>
      <w:r>
        <w:rPr>
          <w:rFonts w:hint="eastAsia"/>
          <w:highlight w:val="none"/>
          <w:lang w:val="en-US" w:eastAsia="zh-CN"/>
        </w:rPr>
        <w:t>20</w:t>
      </w:r>
      <w:r>
        <w:rPr>
          <w:rFonts w:hint="eastAsia"/>
          <w:highlight w:val="none"/>
        </w:rPr>
        <w:t>分）</w:t>
      </w:r>
    </w:p>
    <w:p w14:paraId="2DB29D5F">
      <w:pPr>
        <w:pStyle w:val="111"/>
        <w:adjustRightInd w:val="0"/>
        <w:snapToGrid w:val="0"/>
        <w:spacing w:line="380" w:lineRule="exact"/>
        <w:ind w:firstLine="378" w:firstLineChars="180"/>
        <w:textAlignment w:val="baseline"/>
        <w:rPr>
          <w:rFonts w:hint="eastAsia"/>
          <w:highlight w:val="none"/>
        </w:rPr>
      </w:pPr>
      <w:r>
        <w:rPr>
          <w:rFonts w:hint="eastAsia"/>
          <w:highlight w:val="none"/>
        </w:rPr>
        <w:t>一般技术参数要求响应得分（共计1</w:t>
      </w:r>
      <w:r>
        <w:rPr>
          <w:rFonts w:hint="eastAsia"/>
          <w:highlight w:val="none"/>
          <w:lang w:val="en-US" w:eastAsia="zh-CN"/>
        </w:rPr>
        <w:t>25</w:t>
      </w:r>
      <w:r>
        <w:rPr>
          <w:rFonts w:hint="eastAsia"/>
          <w:highlight w:val="none"/>
        </w:rPr>
        <w:t>项），“高压发生器”“球管”“平板探测器”“ 机架”“手术床”“图像显示与工作站”“图像处理”“图像采集”“网络与接口”“低剂量控制方案”“临床应用功能”等为技术参数要求的名称描述，不计入一般技术参数要求数量。</w:t>
      </w:r>
    </w:p>
    <w:p w14:paraId="24D0EC17">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一般技术参数满足采购需求的，每项得0.</w:t>
      </w:r>
      <w:r>
        <w:rPr>
          <w:rFonts w:hint="eastAsia" w:cs="宋体"/>
          <w:highlight w:val="none"/>
          <w:lang w:val="en-US" w:eastAsia="zh-CN"/>
        </w:rPr>
        <w:t>16</w:t>
      </w:r>
      <w:r>
        <w:rPr>
          <w:rFonts w:hint="eastAsia" w:ascii="宋体" w:hAnsi="宋体" w:eastAsia="宋体" w:cs="宋体"/>
          <w:highlight w:val="none"/>
        </w:rPr>
        <w:t>分。</w:t>
      </w:r>
    </w:p>
    <w:p w14:paraId="7277C6F3">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注：一般技术参数要求是指技术参数要求中未标注“▲”、“★”的技术参数。</w:t>
      </w:r>
    </w:p>
    <w:p w14:paraId="258DE058">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（2）重要技术参数要求响应得分（满分</w:t>
      </w:r>
      <w:r>
        <w:rPr>
          <w:rFonts w:hint="eastAsia" w:cs="宋体"/>
          <w:highlight w:val="none"/>
          <w:lang w:val="en-US" w:eastAsia="zh-CN"/>
        </w:rPr>
        <w:t>30</w:t>
      </w:r>
      <w:r>
        <w:rPr>
          <w:rFonts w:hint="eastAsia" w:ascii="宋体" w:hAnsi="宋体" w:eastAsia="宋体" w:cs="宋体"/>
          <w:highlight w:val="none"/>
        </w:rPr>
        <w:t>分）</w:t>
      </w:r>
    </w:p>
    <w:p w14:paraId="026FE5DF">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重要技术参数要求响应得分（共计</w:t>
      </w:r>
      <w:r>
        <w:rPr>
          <w:rFonts w:hint="eastAsia" w:cs="宋体"/>
          <w:highlight w:val="none"/>
          <w:lang w:val="en-US" w:eastAsia="zh-CN"/>
        </w:rPr>
        <w:t>6</w:t>
      </w:r>
      <w:r>
        <w:rPr>
          <w:rFonts w:hint="eastAsia" w:ascii="宋体" w:hAnsi="宋体" w:eastAsia="宋体" w:cs="宋体"/>
          <w:highlight w:val="none"/>
        </w:rPr>
        <w:t>项）；</w:t>
      </w:r>
    </w:p>
    <w:p w14:paraId="764F4B95">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重要技术参数满足要求的，每项得</w:t>
      </w:r>
      <w:r>
        <w:rPr>
          <w:rFonts w:hint="eastAsia" w:cs="宋体"/>
          <w:highlight w:val="none"/>
          <w:lang w:val="en-US" w:eastAsia="zh-CN"/>
        </w:rPr>
        <w:t>5</w:t>
      </w:r>
      <w:r>
        <w:rPr>
          <w:rFonts w:hint="eastAsia" w:ascii="宋体" w:hAnsi="宋体" w:eastAsia="宋体" w:cs="宋体"/>
          <w:highlight w:val="none"/>
        </w:rPr>
        <w:t>分。</w:t>
      </w:r>
    </w:p>
    <w:p w14:paraId="552B3956">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注：重要技术参数是指技术参数中标注“★”的技术参数</w:t>
      </w:r>
    </w:p>
    <w:p w14:paraId="15375BD7">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w:t>
      </w:r>
      <w:r>
        <w:rPr>
          <w:rFonts w:hint="default" w:ascii="宋体" w:hAnsi="宋体" w:eastAsia="宋体" w:cs="宋体"/>
          <w:lang w:val="en" w:eastAsia="zh"/>
        </w:rPr>
        <w:t>3</w:t>
      </w:r>
      <w:r>
        <w:rPr>
          <w:rFonts w:hint="eastAsia" w:ascii="宋体" w:hAnsi="宋体" w:eastAsia="宋体" w:cs="宋体"/>
        </w:rPr>
        <w:t>）技术及项目实施方案分（满分5分）</w:t>
      </w:r>
    </w:p>
    <w:p w14:paraId="2BE1881F">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根据投标文件中投标人技术及项目实施方案内容独立评分。</w:t>
      </w:r>
    </w:p>
    <w:p w14:paraId="7860DE12">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一档（1分）：管理措施、具体实施流程、进度安排、质量保证措施等方案内容齐全，符合基础条件的。</w:t>
      </w:r>
    </w:p>
    <w:p w14:paraId="4E59B2E6">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二档（3分）：管理措施、具体实施流程、进度安排、质量保证措施等方案内容齐全，方案有可行性，无明显错误。</w:t>
      </w:r>
    </w:p>
    <w:p w14:paraId="69FC947D">
      <w:pPr>
        <w:pStyle w:val="111"/>
        <w:snapToGrid w:val="0"/>
        <w:spacing w:line="380" w:lineRule="exact"/>
        <w:ind w:firstLine="378" w:firstLineChars="180"/>
        <w:rPr>
          <w:rFonts w:hint="eastAsia" w:ascii="宋体" w:hAnsi="宋体" w:eastAsia="宋体" w:cs="宋体"/>
        </w:rPr>
      </w:pPr>
      <w:r>
        <w:rPr>
          <w:rFonts w:hint="eastAsia" w:ascii="宋体" w:hAnsi="宋体" w:eastAsia="宋体" w:cs="宋体"/>
        </w:rPr>
        <w:t xml:space="preserve">  三档（5分）：管理措施、具体实施流程、进度安排、质量保证措施等方案内容齐全，方案有可行性，无明显错误，有利于采购项目实施的内容或合理性建议的。</w:t>
      </w:r>
    </w:p>
    <w:p w14:paraId="4A926901">
      <w:pPr>
        <w:keepNext w:val="0"/>
        <w:keepLines w:val="0"/>
        <w:pageBreakBefore w:val="0"/>
        <w:widowControl/>
        <w:kinsoku/>
        <w:wordWrap/>
        <w:overflowPunct/>
        <w:topLinePunct w:val="0"/>
        <w:bidi w:val="0"/>
        <w:adjustRightInd w:val="0"/>
        <w:snapToGrid w:val="0"/>
        <w:spacing w:after="0" w:line="400" w:lineRule="exact"/>
        <w:ind w:firstLine="378" w:firstLineChars="180"/>
        <w:rPr>
          <w:rFonts w:hint="eastAsia" w:ascii="宋体" w:hAnsi="宋体" w:eastAsia="宋体" w:cs="Times New Roman"/>
          <w:b/>
          <w:bCs/>
          <w:kern w:val="0"/>
        </w:rPr>
      </w:pPr>
      <w:r>
        <w:rPr>
          <w:rFonts w:hint="eastAsia" w:ascii="宋体" w:hAnsi="宋体" w:eastAsia="宋体" w:cs="Times New Roman"/>
          <w:b/>
          <w:bCs/>
          <w:kern w:val="0"/>
        </w:rPr>
        <w:t>无技术及项目实施方案内容或不齐全的不得分。</w:t>
      </w:r>
    </w:p>
    <w:p w14:paraId="253B2C1E">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
        </w:rPr>
        <w:t>4</w:t>
      </w:r>
      <w:r>
        <w:rPr>
          <w:rFonts w:hint="eastAsia" w:ascii="宋体" w:hAnsi="宋体" w:eastAsia="宋体" w:cs="宋体"/>
        </w:rPr>
        <w:t>）技术人员分（满分3分）</w:t>
      </w:r>
    </w:p>
    <w:p w14:paraId="380EF74A">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根据投标文件中投标人技术人员方案内容独立评分。   </w:t>
      </w:r>
    </w:p>
    <w:p w14:paraId="0CEA68F4">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一档（1分）：技术人员投入计划，技术人员在安装调试过程提供技术支持和协助计划，拟派技术人员的经验介绍等方案内容齐全，无明显错误，符合基础条件的。  </w:t>
      </w:r>
    </w:p>
    <w:p w14:paraId="07C94715">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二档（3分）：技术人员投入计划，有技术人员在安装调试过程提供技术支持和协助计划，拟派技术人员的经验介绍等方案内容齐全，方案有具体措施，有可行性，有利于采购项目实施的内容或合理性建议的。</w:t>
      </w:r>
    </w:p>
    <w:p w14:paraId="3C89CD4F">
      <w:pPr>
        <w:pStyle w:val="111"/>
        <w:adjustRightInd w:val="0"/>
        <w:snapToGrid w:val="0"/>
        <w:spacing w:line="380" w:lineRule="exact"/>
        <w:ind w:firstLine="378" w:firstLineChars="180"/>
        <w:rPr>
          <w:rFonts w:ascii="Calibri" w:hAnsi="Calibri" w:eastAsia="宋体" w:cs="Times New Roman"/>
          <w:b/>
          <w:bCs/>
          <w:kern w:val="2"/>
          <w:sz w:val="21"/>
          <w:szCs w:val="24"/>
          <w:lang w:val="en-US" w:eastAsia="zh-CN" w:bidi="ar-SA"/>
        </w:rPr>
      </w:pPr>
      <w:r>
        <w:rPr>
          <w:rFonts w:ascii="Calibri" w:hAnsi="Calibri" w:eastAsia="宋体" w:cs="Times New Roman"/>
          <w:b/>
          <w:bCs/>
          <w:kern w:val="2"/>
          <w:sz w:val="21"/>
          <w:szCs w:val="24"/>
          <w:lang w:val="en-US" w:eastAsia="zh-CN" w:bidi="ar-SA"/>
        </w:rPr>
        <w:t>无技术人员方案或不齐全的不得分。</w:t>
      </w:r>
    </w:p>
    <w:p w14:paraId="7D848A24">
      <w:pPr>
        <w:pStyle w:val="111"/>
        <w:adjustRightInd w:val="0"/>
        <w:snapToGrid w:val="0"/>
        <w:spacing w:line="380" w:lineRule="exact"/>
        <w:ind w:firstLine="378" w:firstLineChars="180"/>
        <w:rPr>
          <w:rFonts w:hint="eastAsia"/>
        </w:rPr>
      </w:pPr>
      <w:r>
        <w:rPr>
          <w:rFonts w:hint="eastAsia"/>
          <w:b/>
          <w:bCs/>
        </w:rPr>
        <w:t xml:space="preserve"> </w:t>
      </w:r>
      <w:r>
        <w:rPr>
          <w:rFonts w:hint="eastAsia"/>
        </w:rPr>
        <w:t>（5）培训计划分（满分2分）</w:t>
      </w:r>
    </w:p>
    <w:p w14:paraId="50EB5D2A">
      <w:pPr>
        <w:spacing w:line="380" w:lineRule="exact"/>
        <w:ind w:firstLine="420" w:firstLineChars="200"/>
        <w:rPr>
          <w:rFonts w:hint="eastAsia" w:ascii="宋体" w:hAnsi="宋体"/>
          <w:kern w:val="0"/>
          <w:szCs w:val="21"/>
        </w:rPr>
      </w:pPr>
      <w:r>
        <w:rPr>
          <w:rFonts w:hint="eastAsia" w:ascii="宋体" w:hAnsi="宋体"/>
          <w:kern w:val="0"/>
          <w:szCs w:val="21"/>
        </w:rPr>
        <w:t xml:space="preserve">根据投标文件中投标人培训方案内容独立评分。  </w:t>
      </w:r>
    </w:p>
    <w:p w14:paraId="37438A81">
      <w:pPr>
        <w:spacing w:line="380" w:lineRule="exact"/>
        <w:ind w:firstLine="420" w:firstLineChars="200"/>
        <w:rPr>
          <w:rFonts w:hint="eastAsia" w:ascii="宋体" w:hAnsi="宋体"/>
          <w:kern w:val="0"/>
          <w:szCs w:val="21"/>
        </w:rPr>
      </w:pPr>
      <w:r>
        <w:rPr>
          <w:rFonts w:hint="eastAsia" w:ascii="宋体" w:hAnsi="宋体"/>
          <w:kern w:val="0"/>
          <w:szCs w:val="21"/>
        </w:rPr>
        <w:t>一档（1分）：培训方案有简单的培训计划安排，能满足基本要求。</w:t>
      </w:r>
    </w:p>
    <w:p w14:paraId="40D1FD8B">
      <w:pPr>
        <w:spacing w:line="380" w:lineRule="exact"/>
        <w:ind w:firstLine="420" w:firstLineChars="200"/>
        <w:rPr>
          <w:rFonts w:hint="eastAsia" w:ascii="宋体" w:hAnsi="宋体"/>
          <w:kern w:val="0"/>
          <w:szCs w:val="21"/>
        </w:rPr>
      </w:pPr>
      <w:r>
        <w:rPr>
          <w:rFonts w:hint="eastAsia" w:ascii="宋体" w:hAnsi="宋体"/>
          <w:kern w:val="0"/>
          <w:szCs w:val="21"/>
        </w:rPr>
        <w:t>二档（2分）：培训方案应全面、详细，方案内容至少包含：拟派培训人员的安排及介绍、培训时间、规模人数、设备功能理论、简单故障排除等内容。</w:t>
      </w:r>
    </w:p>
    <w:p w14:paraId="1F37A080">
      <w:pPr>
        <w:spacing w:line="380" w:lineRule="exact"/>
        <w:ind w:firstLine="420" w:firstLineChars="200"/>
        <w:rPr>
          <w:rFonts w:ascii="宋体" w:hAnsi="宋体"/>
          <w:b/>
          <w:bCs/>
        </w:rPr>
      </w:pPr>
      <w:r>
        <w:rPr>
          <w:b/>
          <w:bCs/>
        </w:rPr>
        <w:t>未提供或有明显错误的不得分。</w:t>
      </w:r>
    </w:p>
    <w:p w14:paraId="65BF9E6B">
      <w:pPr>
        <w:pStyle w:val="111"/>
        <w:adjustRightInd w:val="0"/>
        <w:snapToGrid w:val="0"/>
        <w:spacing w:line="380" w:lineRule="exact"/>
        <w:ind w:firstLine="420" w:firstLineChars="200"/>
        <w:rPr>
          <w:rFonts w:hint="eastAsia"/>
          <w:b/>
          <w:bCs/>
        </w:rPr>
      </w:pPr>
      <w:r>
        <w:rPr>
          <w:rFonts w:hint="eastAsia"/>
          <w:b/>
          <w:bCs/>
        </w:rPr>
        <w:t>3.售后服务分…………………………………………………………………………</w:t>
      </w:r>
      <w:r>
        <w:rPr>
          <w:rFonts w:hint="default"/>
          <w:b/>
          <w:bCs/>
          <w:lang w:val="en"/>
        </w:rPr>
        <w:t>5</w:t>
      </w:r>
      <w:r>
        <w:rPr>
          <w:rFonts w:hint="eastAsia"/>
          <w:b/>
          <w:bCs/>
        </w:rPr>
        <w:t>分</w:t>
      </w:r>
    </w:p>
    <w:p w14:paraId="28F1A665">
      <w:pPr>
        <w:pStyle w:val="111"/>
        <w:adjustRightInd w:val="0"/>
        <w:snapToGrid w:val="0"/>
        <w:spacing w:line="380" w:lineRule="exact"/>
        <w:ind w:firstLine="378" w:firstLineChars="180"/>
        <w:rPr>
          <w:rFonts w:hint="eastAsia"/>
        </w:rPr>
      </w:pPr>
      <w:r>
        <w:rPr>
          <w:rFonts w:hint="eastAsia"/>
        </w:rPr>
        <w:t>（1）售后服务分（满分</w:t>
      </w:r>
      <w:r>
        <w:rPr>
          <w:rFonts w:hint="default"/>
          <w:lang w:val="en"/>
        </w:rPr>
        <w:t>3</w:t>
      </w:r>
      <w:r>
        <w:rPr>
          <w:rFonts w:hint="eastAsia"/>
        </w:rPr>
        <w:t>分）</w:t>
      </w:r>
    </w:p>
    <w:p w14:paraId="241EF7AD">
      <w:pPr>
        <w:spacing w:line="380" w:lineRule="exact"/>
        <w:ind w:firstLine="420" w:firstLineChars="200"/>
        <w:rPr>
          <w:rFonts w:hint="eastAsia" w:ascii="宋体" w:hAnsi="宋体"/>
          <w:kern w:val="0"/>
          <w:szCs w:val="21"/>
        </w:rPr>
      </w:pPr>
      <w:r>
        <w:rPr>
          <w:rFonts w:hint="eastAsia" w:ascii="宋体" w:hAnsi="宋体"/>
          <w:kern w:val="0"/>
          <w:szCs w:val="21"/>
        </w:rPr>
        <w:t>一档（1分）：售后服务方案仅满足招标文件基本要求。</w:t>
      </w:r>
    </w:p>
    <w:p w14:paraId="44B8867A">
      <w:pPr>
        <w:spacing w:line="380" w:lineRule="exact"/>
        <w:ind w:firstLine="420" w:firstLineChars="200"/>
        <w:rPr>
          <w:rFonts w:hint="eastAsia" w:ascii="宋体" w:hAnsi="宋体"/>
          <w:kern w:val="0"/>
          <w:szCs w:val="21"/>
        </w:rPr>
      </w:pPr>
      <w:r>
        <w:rPr>
          <w:rFonts w:hint="eastAsia" w:ascii="宋体" w:hAnsi="宋体"/>
          <w:kern w:val="0"/>
          <w:szCs w:val="21"/>
        </w:rPr>
        <w:t>二档（</w:t>
      </w:r>
      <w:r>
        <w:rPr>
          <w:rFonts w:hint="default" w:ascii="宋体" w:hAnsi="宋体"/>
          <w:kern w:val="0"/>
          <w:szCs w:val="21"/>
          <w:lang w:val="en"/>
        </w:rPr>
        <w:t>3</w:t>
      </w:r>
      <w:r>
        <w:rPr>
          <w:rFonts w:hint="eastAsia" w:ascii="宋体" w:hAnsi="宋体"/>
          <w:kern w:val="0"/>
          <w:szCs w:val="21"/>
        </w:rPr>
        <w:t>分）：售后服务方案细致、合理、可行，能提供生产厂家售后服务承诺书原件，有详细的售后服务管理制度、售后服务流程、应急预案、年度保养计划、发生故障时提供备用机或其他替代解决的具体措施、质量保障方案。</w:t>
      </w:r>
    </w:p>
    <w:p w14:paraId="50F4213C">
      <w:pPr>
        <w:spacing w:line="380" w:lineRule="exact"/>
        <w:ind w:firstLine="420" w:firstLineChars="200"/>
        <w:rPr>
          <w:rFonts w:hint="eastAsia" w:ascii="宋体" w:hAnsi="宋体"/>
          <w:b/>
          <w:bCs/>
          <w:kern w:val="0"/>
          <w:szCs w:val="21"/>
        </w:rPr>
      </w:pPr>
      <w:r>
        <w:rPr>
          <w:rFonts w:hint="eastAsia" w:ascii="宋体" w:hAnsi="宋体"/>
          <w:b/>
          <w:bCs/>
          <w:kern w:val="0"/>
          <w:szCs w:val="21"/>
        </w:rPr>
        <w:t>未提供或有明显错误的不得分。</w:t>
      </w:r>
    </w:p>
    <w:p w14:paraId="668C3D55">
      <w:pPr>
        <w:pStyle w:val="111"/>
        <w:adjustRightInd w:val="0"/>
        <w:snapToGrid w:val="0"/>
        <w:spacing w:line="400" w:lineRule="exact"/>
        <w:ind w:firstLine="378" w:firstLineChars="180"/>
      </w:pPr>
      <w:r>
        <w:rPr>
          <w:rFonts w:hint="eastAsia"/>
        </w:rPr>
        <w:t>（</w:t>
      </w:r>
      <w:r>
        <w:rPr>
          <w:rFonts w:hint="eastAsia" w:ascii="Times New Roman" w:hAnsi="Times New Roman"/>
        </w:rPr>
        <w:t>2</w:t>
      </w:r>
      <w:r>
        <w:rPr>
          <w:rFonts w:hint="eastAsia"/>
        </w:rPr>
        <w:t>）质保期（保修期）（满分</w:t>
      </w:r>
      <w:r>
        <w:rPr>
          <w:rFonts w:hint="eastAsia" w:ascii="Times New Roman" w:hAnsi="Times New Roman"/>
        </w:rPr>
        <w:t>2</w:t>
      </w:r>
      <w:r>
        <w:rPr>
          <w:rFonts w:hint="eastAsia"/>
        </w:rPr>
        <w:t>分）</w:t>
      </w:r>
    </w:p>
    <w:p w14:paraId="014C5F14">
      <w:pPr>
        <w:pStyle w:val="405"/>
        <w:spacing w:line="380" w:lineRule="exact"/>
        <w:ind w:firstLine="420" w:firstLineChars="200"/>
        <w:rPr>
          <w:rFonts w:hint="eastAsia" w:ascii="宋体" w:hAnsi="宋体"/>
        </w:rPr>
      </w:pPr>
      <w:r>
        <w:rPr>
          <w:rFonts w:hint="eastAsia" w:ascii="宋体" w:hAnsi="宋体"/>
        </w:rPr>
        <w:t>在满足基本质保期（保修期）</w:t>
      </w:r>
      <w:r>
        <w:rPr>
          <w:rFonts w:hint="eastAsia" w:ascii="宋体" w:hAnsi="宋体"/>
          <w:highlight w:val="none"/>
        </w:rPr>
        <w:t>（</w:t>
      </w:r>
      <w:r>
        <w:rPr>
          <w:rFonts w:hint="default" w:ascii="宋体"/>
          <w:highlight w:val="none"/>
          <w:lang w:val="en"/>
        </w:rPr>
        <w:t>8</w:t>
      </w:r>
      <w:r>
        <w:rPr>
          <w:rFonts w:hint="eastAsia" w:ascii="宋体" w:hAnsi="宋体"/>
          <w:highlight w:val="none"/>
        </w:rPr>
        <w:t>年）</w:t>
      </w:r>
      <w:r>
        <w:rPr>
          <w:rFonts w:hint="eastAsia" w:ascii="宋体" w:hAnsi="宋体"/>
        </w:rPr>
        <w:t>的基础上，免费保修期每延长</w:t>
      </w:r>
      <w:r>
        <w:rPr>
          <w:rFonts w:hint="eastAsia"/>
        </w:rPr>
        <w:t>6</w:t>
      </w:r>
      <w:r>
        <w:rPr>
          <w:rFonts w:hint="eastAsia" w:ascii="宋体" w:hAnsi="宋体"/>
        </w:rPr>
        <w:t>个月得</w:t>
      </w:r>
      <w:r>
        <w:rPr>
          <w:rFonts w:hint="eastAsia"/>
        </w:rPr>
        <w:t>0</w:t>
      </w:r>
      <w:r>
        <w:rPr>
          <w:rFonts w:hint="eastAsia" w:ascii="宋体" w:hAnsi="宋体"/>
        </w:rPr>
        <w:t>.</w:t>
      </w:r>
      <w:r>
        <w:rPr>
          <w:rFonts w:hint="eastAsia"/>
        </w:rPr>
        <w:t>5</w:t>
      </w:r>
      <w:r>
        <w:rPr>
          <w:rFonts w:hint="eastAsia" w:ascii="宋体" w:hAnsi="宋体"/>
        </w:rPr>
        <w:t>分（以</w:t>
      </w:r>
      <w:r>
        <w:rPr>
          <w:rFonts w:hint="eastAsia"/>
        </w:rPr>
        <w:t>核心</w:t>
      </w:r>
      <w:r>
        <w:rPr>
          <w:rFonts w:hint="eastAsia" w:ascii="宋体" w:hAnsi="宋体"/>
        </w:rPr>
        <w:t>产品生产厂家承诺为准，投标文件中提供厂家证明文件复印件加盖投标单位公章），满分</w:t>
      </w:r>
      <w:r>
        <w:rPr>
          <w:rFonts w:hint="eastAsia"/>
        </w:rPr>
        <w:t>2</w:t>
      </w:r>
      <w:r>
        <w:rPr>
          <w:rFonts w:hint="eastAsia" w:ascii="宋体" w:hAnsi="宋体"/>
        </w:rPr>
        <w:t>分。</w:t>
      </w:r>
    </w:p>
    <w:p w14:paraId="7EFABC2E">
      <w:pPr>
        <w:pStyle w:val="405"/>
        <w:spacing w:line="380" w:lineRule="exact"/>
        <w:ind w:firstLine="420" w:firstLineChars="200"/>
        <w:rPr>
          <w:rFonts w:hint="eastAsia"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bCs/>
          <w:kern w:val="0"/>
          <w:sz w:val="21"/>
          <w:szCs w:val="21"/>
          <w:lang w:val="en-US" w:eastAsia="zh-CN" w:bidi="ar-SA"/>
        </w:rPr>
        <w:t>4.信誉及业绩分…………………………………………………………………………4分</w:t>
      </w:r>
    </w:p>
    <w:p w14:paraId="289F0DD9">
      <w:pPr>
        <w:pStyle w:val="405"/>
        <w:spacing w:line="380" w:lineRule="exact"/>
        <w:ind w:firstLine="525" w:firstLineChars="250"/>
        <w:rPr>
          <w:rFonts w:hint="eastAsia" w:ascii="宋体" w:hAnsi="宋体"/>
          <w:lang w:val="en-US" w:eastAsia="zh-CN"/>
        </w:rPr>
      </w:pPr>
      <w:r>
        <w:rPr>
          <w:rFonts w:hint="eastAsia" w:ascii="宋体" w:hAnsi="宋体"/>
          <w:lang w:val="en-US" w:eastAsia="zh-CN"/>
        </w:rPr>
        <w:t>信誉及业绩（满分4分）</w:t>
      </w:r>
    </w:p>
    <w:p w14:paraId="64AF1B36">
      <w:pPr>
        <w:pStyle w:val="405"/>
        <w:spacing w:line="380" w:lineRule="exact"/>
        <w:ind w:firstLine="420" w:firstLineChars="200"/>
        <w:rPr>
          <w:rFonts w:hint="eastAsia" w:ascii="宋体" w:hAnsi="宋体"/>
          <w:lang w:val="en-US" w:eastAsia="zh-CN"/>
        </w:rPr>
      </w:pPr>
      <w:r>
        <w:rPr>
          <w:rFonts w:hint="eastAsia" w:ascii="宋体" w:hAnsi="宋体"/>
          <w:lang w:val="en-US" w:eastAsia="zh-CN"/>
        </w:rPr>
        <w:t>（1）所投产品生产企业通过ISO9001系列国际质量体系认证、ISO13485医疗器械质量管理体系认证及ISO 14001环境管理体系认证的，每有1项得0.5分，满分1.5分。</w:t>
      </w:r>
    </w:p>
    <w:p w14:paraId="121C12D4">
      <w:pPr>
        <w:pStyle w:val="405"/>
        <w:spacing w:line="380" w:lineRule="exact"/>
        <w:ind w:firstLine="420" w:firstLineChars="200"/>
        <w:rPr>
          <w:rFonts w:hint="eastAsia"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bCs/>
          <w:kern w:val="0"/>
          <w:sz w:val="21"/>
          <w:szCs w:val="21"/>
          <w:lang w:val="en-US" w:eastAsia="zh-CN" w:bidi="ar-SA"/>
        </w:rPr>
        <w:t>注：投标文件中提供有效的证书复印件（或扫描件）并加盖投标人电子签章，非中文文本的请提供中文翻译文本，否则不予以计分。</w:t>
      </w:r>
    </w:p>
    <w:p w14:paraId="03D69D1E">
      <w:pPr>
        <w:pStyle w:val="405"/>
        <w:spacing w:line="380" w:lineRule="exact"/>
        <w:ind w:firstLine="420" w:firstLineChars="200"/>
        <w:rPr>
          <w:rFonts w:hint="eastAsia"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w:t>
      </w:r>
      <w:r>
        <w:rPr>
          <w:rFonts w:hint="eastAsia" w:ascii="宋体" w:hAnsi="宋体"/>
          <w:lang w:val="en-US" w:eastAsia="zh-CN"/>
        </w:rPr>
        <w:t>2）提供2023年1月1日至今与所投产品同品牌同类型设备的业绩（业绩乙方可为生产厂家、代理商或经销商，甲方须为产品实际使用用户），每有1项得0.1分，满分2.5分。</w:t>
      </w:r>
    </w:p>
    <w:p w14:paraId="7E696F99">
      <w:pPr>
        <w:pStyle w:val="405"/>
        <w:spacing w:line="380" w:lineRule="exact"/>
        <w:ind w:firstLine="420" w:firstLineChars="200"/>
        <w:rPr>
          <w:rFonts w:hint="eastAsia"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bCs/>
          <w:kern w:val="0"/>
          <w:sz w:val="21"/>
          <w:szCs w:val="21"/>
          <w:lang w:val="en-US" w:eastAsia="zh-CN" w:bidi="ar-SA"/>
        </w:rPr>
        <w:t>注：投标文件中提供有效的中标通知书或合同复印件（或扫描件）、验收报告，并逐份加盖投标人电子签章，材料须体现签订时间、买卖双方信息、产品品牌型号（以上三项信息缺一不可，且均须清晰完整），否则不予以计分。</w:t>
      </w:r>
    </w:p>
    <w:p w14:paraId="30A694D6">
      <w:pPr>
        <w:pStyle w:val="405"/>
        <w:spacing w:line="380" w:lineRule="exact"/>
        <w:ind w:firstLine="420" w:firstLineChars="200"/>
        <w:rPr>
          <w:rFonts w:ascii="宋体" w:hAnsi="宋体"/>
        </w:rPr>
      </w:pPr>
      <w:r>
        <w:rPr>
          <w:rFonts w:hint="default" w:ascii="Calibri" w:hAnsi="Calibri" w:eastAsia="宋体" w:cs="Times New Roman"/>
          <w:b/>
          <w:bCs/>
          <w:kern w:val="0"/>
          <w:sz w:val="21"/>
          <w:szCs w:val="21"/>
          <w:lang w:val="en" w:eastAsia="zh-CN" w:bidi="ar-SA"/>
        </w:rPr>
        <w:t>5</w:t>
      </w:r>
      <w:r>
        <w:rPr>
          <w:rFonts w:hint="default" w:ascii="Calibri" w:hAnsi="Calibri" w:eastAsia="宋体" w:cs="Times New Roman"/>
          <w:b/>
          <w:bCs/>
          <w:kern w:val="0"/>
          <w:sz w:val="21"/>
          <w:szCs w:val="21"/>
          <w:lang w:val="en-US" w:eastAsia="zh-CN" w:bidi="ar-SA"/>
        </w:rPr>
        <w:t>.政策功能分</w:t>
      </w:r>
      <w:r>
        <w:rPr>
          <w:rFonts w:hint="eastAsia"/>
          <w:b/>
          <w:bCs/>
        </w:rPr>
        <w:t>…………</w:t>
      </w:r>
      <w:r>
        <w:rPr>
          <w:rFonts w:hint="eastAsia" w:ascii="Times New Roman" w:hAnsi="Times New Roman" w:eastAsia="宋体" w:cs="Times New Roman"/>
          <w:b/>
          <w:bCs/>
          <w:kern w:val="0"/>
          <w:sz w:val="21"/>
          <w:szCs w:val="21"/>
          <w:lang w:val="en-US" w:eastAsia="zh-CN" w:bidi="ar-SA"/>
        </w:rPr>
        <w:t>……</w:t>
      </w:r>
      <w:r>
        <w:rPr>
          <w:rFonts w:hint="eastAsia"/>
          <w:b/>
          <w:bCs/>
        </w:rPr>
        <w:t>…………………………</w:t>
      </w:r>
      <w:r>
        <w:rPr>
          <w:rFonts w:hint="eastAsia"/>
          <w:b/>
          <w:bCs/>
          <w:kern w:val="0"/>
        </w:rPr>
        <w:t>…</w:t>
      </w:r>
      <w:r>
        <w:rPr>
          <w:rFonts w:hint="eastAsia"/>
          <w:b/>
          <w:bCs/>
        </w:rPr>
        <w:t>……………………………</w:t>
      </w:r>
      <w:r>
        <w:rPr>
          <w:rFonts w:hint="default"/>
          <w:b/>
          <w:bCs/>
          <w:lang w:val="en"/>
        </w:rPr>
        <w:t>1</w:t>
      </w:r>
      <w:r>
        <w:rPr>
          <w:rFonts w:hint="eastAsia"/>
          <w:b/>
          <w:bCs/>
        </w:rPr>
        <w:t>分</w:t>
      </w:r>
    </w:p>
    <w:p w14:paraId="05486FD6">
      <w:pPr>
        <w:pStyle w:val="111"/>
        <w:adjustRightInd w:val="0"/>
        <w:snapToGrid w:val="0"/>
        <w:spacing w:line="380" w:lineRule="exact"/>
        <w:ind w:firstLine="378" w:firstLineChars="180"/>
      </w:pPr>
      <w:r>
        <w:rPr>
          <w:rFonts w:hint="eastAsia"/>
        </w:rPr>
        <w:t>节能、环保分（满分1分）</w:t>
      </w:r>
    </w:p>
    <w:p w14:paraId="686521BF">
      <w:pPr>
        <w:widowControl/>
        <w:spacing w:line="380" w:lineRule="exact"/>
        <w:ind w:firstLine="420" w:firstLineChars="200"/>
        <w:jc w:val="left"/>
        <w:rPr>
          <w:rFonts w:hint="eastAsia" w:ascii="宋体" w:hAnsi="宋体" w:cs="宋体"/>
          <w:szCs w:val="21"/>
        </w:rPr>
      </w:pPr>
      <w:r>
        <w:rPr>
          <w:rFonts w:hint="eastAsia" w:ascii="宋体" w:hAnsi="宋体" w:cs="宋体"/>
          <w:szCs w:val="21"/>
        </w:rPr>
        <w:t>（1）所投核心产品属于财政部《节能产品政府采购品目清单》内优先采购的产品[投标文件中提供有效的认证证书复印件（或扫描件）及品目清单（标注出投标产品在品目清单中所属的品目），并加盖投标人电子签章]，得0.5分。</w:t>
      </w:r>
    </w:p>
    <w:p w14:paraId="35172BE2">
      <w:pPr>
        <w:pStyle w:val="111"/>
        <w:adjustRightInd w:val="0"/>
        <w:snapToGrid w:val="0"/>
        <w:spacing w:line="380" w:lineRule="exact"/>
        <w:ind w:firstLine="378" w:firstLineChars="180"/>
        <w:rPr>
          <w:rFonts w:hint="eastAsia"/>
        </w:rPr>
      </w:pPr>
      <w:r>
        <w:rPr>
          <w:rFonts w:hint="eastAsia"/>
        </w:rPr>
        <w:t>（2）所投核心产品属于财政部《环境标志产品政府采购品目清单》内的产品[投标文件中提供有效的认证证书复印件（或扫描件）及品目清单（标注出投标产品在品目清单中所属的品目），并加盖投标人电子签章]，得0.5分。</w:t>
      </w:r>
    </w:p>
    <w:p w14:paraId="20007D17">
      <w:pPr>
        <w:adjustRightInd w:val="0"/>
        <w:snapToGrid w:val="0"/>
        <w:spacing w:line="380" w:lineRule="exact"/>
        <w:jc w:val="left"/>
        <w:rPr>
          <w:rFonts w:hAnsi="宋体"/>
          <w:b/>
        </w:rPr>
      </w:pPr>
    </w:p>
    <w:p w14:paraId="6F4B0906">
      <w:pPr>
        <w:adjustRightInd w:val="0"/>
        <w:snapToGrid w:val="0"/>
        <w:spacing w:line="380" w:lineRule="exact"/>
        <w:jc w:val="left"/>
        <w:rPr>
          <w:b/>
          <w:kern w:val="4"/>
        </w:rPr>
      </w:pPr>
      <w:r>
        <w:rPr>
          <w:rFonts w:hint="eastAsia" w:hAnsi="宋体"/>
          <w:b/>
        </w:rPr>
        <w:t>（三）总得分=1+ 2+ 3+ 4+ 5。</w:t>
      </w:r>
    </w:p>
    <w:p w14:paraId="470476B1">
      <w:pPr>
        <w:pStyle w:val="29"/>
        <w:adjustRightInd w:val="0"/>
        <w:snapToGrid w:val="0"/>
        <w:spacing w:line="380" w:lineRule="exact"/>
        <w:rPr>
          <w:rFonts w:hAnsi="宋体"/>
          <w:b/>
        </w:rPr>
      </w:pPr>
      <w:r>
        <w:rPr>
          <w:rFonts w:hint="eastAsia" w:hAnsi="宋体"/>
          <w:b/>
        </w:rPr>
        <w:t xml:space="preserve">   </w:t>
      </w:r>
    </w:p>
    <w:p w14:paraId="2D951DF9">
      <w:pPr>
        <w:pStyle w:val="29"/>
        <w:adjustRightInd w:val="0"/>
        <w:snapToGrid w:val="0"/>
        <w:spacing w:line="380" w:lineRule="exact"/>
        <w:rPr>
          <w:rFonts w:hAnsi="宋体"/>
          <w:b/>
        </w:rPr>
      </w:pPr>
      <w:r>
        <w:rPr>
          <w:rFonts w:hint="eastAsia" w:hAnsi="宋体"/>
          <w:b/>
        </w:rPr>
        <w:t xml:space="preserve">  三、中标候选人推荐原则</w:t>
      </w:r>
    </w:p>
    <w:p w14:paraId="107E43A1">
      <w:pPr>
        <w:pStyle w:val="2"/>
        <w:spacing w:line="380" w:lineRule="exact"/>
        <w:ind w:firstLine="420" w:firstLineChars="200"/>
        <w:rPr>
          <w:rFonts w:hint="eastAsia" w:hAnsi="宋体" w:cs="Courier New"/>
          <w:color w:val="auto"/>
          <w:kern w:val="2"/>
          <w:sz w:val="21"/>
          <w:szCs w:val="21"/>
        </w:rPr>
      </w:pPr>
      <w:r>
        <w:rPr>
          <w:rFonts w:hint="eastAsia" w:hAnsi="宋体" w:cs="Courier New"/>
          <w:color w:val="auto"/>
          <w:kern w:val="2"/>
          <w:sz w:val="21"/>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14:paraId="7EC71AB4">
      <w:pPr>
        <w:pStyle w:val="29"/>
        <w:adjustRightInd w:val="0"/>
        <w:snapToGrid w:val="0"/>
        <w:spacing w:line="380" w:lineRule="exact"/>
        <w:ind w:firstLine="420" w:firstLineChars="200"/>
        <w:rPr>
          <w:rFonts w:hAnsi="宋体"/>
        </w:rPr>
      </w:pPr>
      <w:r>
        <w:rPr>
          <w:rFonts w:hint="eastAsia" w:hAnsi="宋体"/>
          <w:bCs/>
        </w:rPr>
        <w:t>（二）</w:t>
      </w:r>
      <w:r>
        <w:rPr>
          <w:rFonts w:hint="eastAsia" w:hAnsi="宋体"/>
          <w:lang w:eastAsia="zh"/>
        </w:rPr>
        <w:t>排名第一的中标候选人放弃中标或在规定限期内拒不签订合同或因不可抗力提出不能履行合同</w:t>
      </w:r>
      <w:r>
        <w:rPr>
          <w:rFonts w:hint="eastAsia" w:hAnsi="宋体"/>
        </w:rPr>
        <w:t>，采购人可以确定排名第二的中标候选人为中标人。排名第二的中标候选人因前款规定的同样原因不能签订合同的，采购人可以确定排名第三的中标候选人为中标人，其余以此类推。</w:t>
      </w:r>
    </w:p>
    <w:p w14:paraId="4CBDD83D"/>
    <w:p w14:paraId="14F9DD75"/>
    <w:p w14:paraId="0D4456A2">
      <w:pPr>
        <w:pStyle w:val="2"/>
        <w:rPr>
          <w:rFonts w:ascii="仿宋_GB2312" w:hAnsi="宋体" w:eastAsia="仿宋_GB2312"/>
          <w:b/>
          <w:color w:val="auto"/>
          <w:sz w:val="44"/>
          <w:szCs w:val="44"/>
        </w:rPr>
      </w:pPr>
    </w:p>
    <w:p w14:paraId="571E06E1">
      <w:pPr>
        <w:pStyle w:val="2"/>
        <w:rPr>
          <w:rFonts w:ascii="仿宋_GB2312" w:hAnsi="宋体" w:eastAsia="仿宋_GB2312"/>
          <w:b/>
          <w:color w:val="auto"/>
          <w:sz w:val="44"/>
          <w:szCs w:val="44"/>
        </w:rPr>
      </w:pPr>
    </w:p>
    <w:p w14:paraId="2D6E1F61">
      <w:pPr>
        <w:pStyle w:val="2"/>
        <w:rPr>
          <w:rFonts w:ascii="仿宋_GB2312" w:hAnsi="宋体" w:eastAsia="仿宋_GB2312"/>
          <w:b/>
          <w:color w:val="auto"/>
          <w:sz w:val="44"/>
          <w:szCs w:val="44"/>
        </w:rPr>
      </w:pPr>
    </w:p>
    <w:p w14:paraId="698674B5">
      <w:pPr>
        <w:pStyle w:val="2"/>
        <w:rPr>
          <w:rFonts w:ascii="仿宋_GB2312" w:hAnsi="宋体" w:eastAsia="仿宋_GB2312"/>
          <w:b/>
          <w:color w:val="auto"/>
          <w:sz w:val="44"/>
          <w:szCs w:val="44"/>
        </w:rPr>
      </w:pPr>
    </w:p>
    <w:p w14:paraId="292C079E">
      <w:pPr>
        <w:pStyle w:val="29"/>
        <w:pageBreakBefore/>
        <w:spacing w:line="480" w:lineRule="exact"/>
        <w:jc w:val="center"/>
        <w:rPr>
          <w:rFonts w:ascii="仿宋_GB2312" w:hAnsi="宋体" w:eastAsia="仿宋_GB2312"/>
          <w:b/>
          <w:sz w:val="32"/>
          <w:szCs w:val="32"/>
        </w:rPr>
      </w:pPr>
      <w:r>
        <w:rPr>
          <w:rFonts w:hint="eastAsia" w:ascii="仿宋_GB2312" w:hAnsi="宋体" w:eastAsia="仿宋_GB2312"/>
          <w:b/>
          <w:sz w:val="32"/>
          <w:szCs w:val="32"/>
        </w:rPr>
        <w:t>评标方法及评分标准（分标4）</w:t>
      </w:r>
    </w:p>
    <w:p w14:paraId="2F1CBD70">
      <w:pPr>
        <w:pStyle w:val="111"/>
        <w:adjustRightInd w:val="0"/>
        <w:snapToGrid w:val="0"/>
        <w:spacing w:line="400" w:lineRule="exact"/>
        <w:ind w:firstLine="42"/>
        <w:jc w:val="center"/>
        <w:rPr>
          <w:b/>
          <w:bCs/>
        </w:rPr>
      </w:pPr>
    </w:p>
    <w:p w14:paraId="3BC0997B">
      <w:pPr>
        <w:pStyle w:val="111"/>
        <w:adjustRightInd w:val="0"/>
        <w:snapToGrid w:val="0"/>
        <w:spacing w:line="380" w:lineRule="exact"/>
        <w:ind w:firstLine="42"/>
        <w:rPr>
          <w:b/>
          <w:bCs/>
        </w:rPr>
      </w:pPr>
      <w:r>
        <w:rPr>
          <w:rFonts w:hint="eastAsia"/>
          <w:b/>
          <w:bCs/>
        </w:rPr>
        <w:t>一、评标原则</w:t>
      </w:r>
    </w:p>
    <w:p w14:paraId="1B14746E">
      <w:pPr>
        <w:pStyle w:val="111"/>
        <w:adjustRightInd w:val="0"/>
        <w:snapToGrid w:val="0"/>
        <w:spacing w:line="380" w:lineRule="exact"/>
        <w:ind w:firstLine="378" w:firstLineChars="180"/>
      </w:pPr>
      <w:r>
        <w:rPr>
          <w:rFonts w:hint="eastAsia"/>
        </w:rPr>
        <w:t>（一） 评委构成：本招标采购项目的评标委员会由采购人代表和有关技术、经济等方面的专家组成，成员人数应当为七人以上单数。其中，技术、经济等方面的专家不得少于成员总数的三分之二。</w:t>
      </w:r>
    </w:p>
    <w:p w14:paraId="1E390D6C">
      <w:pPr>
        <w:pStyle w:val="111"/>
        <w:adjustRightInd w:val="0"/>
        <w:snapToGrid w:val="0"/>
        <w:spacing w:line="380" w:lineRule="exact"/>
        <w:ind w:firstLine="378" w:firstLineChars="180"/>
        <w:rPr>
          <w:bCs/>
        </w:rPr>
      </w:pPr>
      <w:r>
        <w:rPr>
          <w:rFonts w:hint="eastAsia"/>
          <w:bCs/>
        </w:rPr>
        <w:t>（二）</w:t>
      </w:r>
      <w:r>
        <w:rPr>
          <w:rFonts w:hint="eastAsia"/>
        </w:rPr>
        <w:t xml:space="preserve"> 评标依据：</w:t>
      </w:r>
      <w:r>
        <w:rPr>
          <w:rFonts w:hint="eastAsia"/>
          <w:bCs/>
        </w:rPr>
        <w:t>评委将以招投标文件为评标依据，对投标人的内容按百分制打分。</w:t>
      </w:r>
    </w:p>
    <w:p w14:paraId="039AE589">
      <w:pPr>
        <w:pStyle w:val="29"/>
        <w:adjustRightInd w:val="0"/>
        <w:snapToGrid w:val="0"/>
        <w:spacing w:line="380" w:lineRule="exact"/>
        <w:ind w:firstLine="289" w:firstLineChars="138"/>
        <w:rPr>
          <w:rFonts w:hint="eastAsia" w:hAnsi="宋体"/>
          <w:bCs/>
        </w:rPr>
      </w:pPr>
      <w:r>
        <w:rPr>
          <w:rFonts w:hint="eastAsia" w:hAnsi="宋体"/>
          <w:bCs/>
        </w:rPr>
        <w:t xml:space="preserve"> （三）</w:t>
      </w:r>
      <w:r>
        <w:rPr>
          <w:rFonts w:hint="eastAsia"/>
        </w:rPr>
        <w:t xml:space="preserve"> </w:t>
      </w:r>
      <w:r>
        <w:rPr>
          <w:rFonts w:hint="eastAsia" w:hAnsi="宋体"/>
          <w:bCs/>
        </w:rPr>
        <w:t>评标方式：以封闭方式进行。</w:t>
      </w:r>
    </w:p>
    <w:p w14:paraId="06F2B502">
      <w:pPr>
        <w:keepNext/>
        <w:keepLines/>
        <w:widowControl/>
        <w:spacing w:before="120" w:after="120" w:line="380" w:lineRule="exact"/>
        <w:ind w:firstLine="420" w:firstLineChars="200"/>
        <w:jc w:val="left"/>
        <w:outlineLvl w:val="3"/>
        <w:rPr>
          <w:rFonts w:hint="eastAsia" w:ascii="宋体" w:hAnsi="宋体" w:cs="宋体"/>
          <w:kern w:val="0"/>
          <w:szCs w:val="21"/>
        </w:rPr>
      </w:pPr>
      <w:r>
        <w:rPr>
          <w:rFonts w:hint="eastAsia" w:ascii="宋体" w:hAnsi="宋体" w:cs="宋体"/>
          <w:kern w:val="0"/>
          <w:szCs w:val="21"/>
        </w:rPr>
        <w:t>（四）无效投标处理原则：在评标过程中，包括在异常低价认定程序中被认定为无效的投标，其投标文件不再进入后续评审阶段，也不参与得分计算与汇总排名。</w:t>
      </w:r>
    </w:p>
    <w:p w14:paraId="03B6B75D">
      <w:pPr>
        <w:pStyle w:val="29"/>
        <w:adjustRightInd w:val="0"/>
        <w:snapToGrid w:val="0"/>
        <w:spacing w:line="380" w:lineRule="exact"/>
        <w:ind w:firstLine="42" w:firstLineChars="20"/>
        <w:rPr>
          <w:rFonts w:hAnsi="宋体"/>
          <w:b/>
        </w:rPr>
      </w:pPr>
      <w:r>
        <w:rPr>
          <w:rFonts w:hint="eastAsia" w:hAnsi="宋体"/>
          <w:b/>
        </w:rPr>
        <w:t>二、评标方法</w:t>
      </w:r>
    </w:p>
    <w:p w14:paraId="35928424">
      <w:pPr>
        <w:pStyle w:val="111"/>
        <w:adjustRightInd w:val="0"/>
        <w:snapToGrid w:val="0"/>
        <w:spacing w:line="380" w:lineRule="exact"/>
        <w:ind w:firstLine="378" w:firstLineChars="180"/>
      </w:pPr>
      <w:r>
        <w:rPr>
          <w:rFonts w:hint="eastAsia"/>
        </w:rPr>
        <w:t>（一）对进入详评的，采用百分制综合评分法。</w:t>
      </w:r>
    </w:p>
    <w:p w14:paraId="13005130">
      <w:pPr>
        <w:pStyle w:val="111"/>
        <w:adjustRightInd w:val="0"/>
        <w:snapToGrid w:val="0"/>
        <w:spacing w:line="380" w:lineRule="exact"/>
        <w:ind w:firstLine="378" w:firstLineChars="180"/>
      </w:pPr>
      <w:r>
        <w:rPr>
          <w:rFonts w:hint="eastAsia"/>
        </w:rPr>
        <w:t>（二）计分办法（按四舍五入取至百分位）：</w:t>
      </w:r>
    </w:p>
    <w:p w14:paraId="0FF6D4FC">
      <w:pPr>
        <w:pStyle w:val="405"/>
        <w:spacing w:line="380" w:lineRule="exact"/>
        <w:ind w:firstLine="420" w:firstLineChars="200"/>
        <w:rPr>
          <w:b/>
          <w:bCs/>
        </w:rPr>
      </w:pPr>
      <w:r>
        <w:rPr>
          <w:rFonts w:hint="eastAsia"/>
          <w:b/>
          <w:bCs/>
        </w:rPr>
        <w:t>1.价格分……………………………………………………………………………</w:t>
      </w:r>
      <w:r>
        <w:rPr>
          <w:rFonts w:hint="eastAsia"/>
          <w:b/>
          <w:bCs/>
          <w:lang w:eastAsia="zh"/>
        </w:rPr>
        <w:t>3</w:t>
      </w:r>
      <w:r>
        <w:rPr>
          <w:rFonts w:hint="eastAsia"/>
          <w:b/>
          <w:bCs/>
        </w:rPr>
        <w:t>0分</w:t>
      </w:r>
    </w:p>
    <w:p w14:paraId="0AABB4F3">
      <w:pPr>
        <w:pStyle w:val="111"/>
        <w:adjustRightInd w:val="0"/>
        <w:snapToGrid w:val="0"/>
        <w:spacing w:line="380" w:lineRule="exact"/>
        <w:ind w:firstLine="378" w:firstLineChars="180"/>
      </w:pPr>
      <w:r>
        <w:rPr>
          <w:rFonts w:hint="eastAsia"/>
        </w:rPr>
        <w:t>（1）</w:t>
      </w:r>
      <w:r>
        <w:rPr>
          <w:rFonts w:hint="eastAsia" w:ascii="Times New Roman" w:hAnsi="Times New Roman"/>
          <w:bCs/>
        </w:rPr>
        <w:t>符合《政府采购促进中小企业发展管理办法》（财库</w:t>
      </w:r>
      <w:r>
        <w:rPr>
          <w:rFonts w:hint="eastAsia"/>
        </w:rPr>
        <w:t>〔</w:t>
      </w:r>
      <w:r>
        <w:rPr>
          <w:rFonts w:hint="eastAsia" w:ascii="Times New Roman" w:hAnsi="Times New Roman"/>
          <w:bCs/>
        </w:rPr>
        <w:t>2020</w:t>
      </w:r>
      <w:r>
        <w:rPr>
          <w:rFonts w:hint="eastAsia"/>
        </w:rPr>
        <w:t>〕</w:t>
      </w:r>
      <w:r>
        <w:rPr>
          <w:rFonts w:hint="eastAsia" w:ascii="Times New Roman" w:hAnsi="Times New Roman"/>
          <w:bCs/>
        </w:rPr>
        <w:t>46号）规定条件且按该办法中规定的格式提供了《中小企业声明函》的小型和微型企业参与投标，对其最后报价给予10</w:t>
      </w:r>
      <w:r>
        <w:rPr>
          <w:rFonts w:ascii="Times New Roman" w:hAnsi="Times New Roman"/>
          <w:bCs/>
        </w:rPr>
        <w:t>%</w:t>
      </w:r>
      <w:r>
        <w:rPr>
          <w:rFonts w:hint="eastAsia" w:ascii="Times New Roman" w:hAnsi="Times New Roman"/>
          <w:bCs/>
        </w:rPr>
        <w:t>的扣除，</w:t>
      </w:r>
      <w:r>
        <w:rPr>
          <w:rFonts w:hint="eastAsia"/>
        </w:rPr>
        <w:t>扣除后的价格为评标价，即评标价=投标价×（1-10%）；符合《国务院办公厅关于在政府采购中实施本国产品标准及相关政策的通知》（国办发〔</w:t>
      </w:r>
      <w:r>
        <w:rPr>
          <w:rFonts w:ascii="Times New Roman" w:hAnsi="Times New Roman"/>
        </w:rPr>
        <w:t>2025</w:t>
      </w:r>
      <w:r>
        <w:rPr>
          <w:rFonts w:hint="eastAsia"/>
        </w:rPr>
        <w:t>〕</w:t>
      </w:r>
      <w:r>
        <w:rPr>
          <w:rFonts w:ascii="Times New Roman" w:hAnsi="Times New Roman"/>
        </w:rPr>
        <w:t>34</w:t>
      </w:r>
      <w:r>
        <w:rPr>
          <w:rFonts w:hint="eastAsia"/>
        </w:rPr>
        <w:t>号）规定</w:t>
      </w:r>
      <w:r>
        <w:rPr>
          <w:rFonts w:hint="eastAsia" w:ascii="Times New Roman" w:hAnsi="Times New Roman"/>
          <w:bCs/>
        </w:rPr>
        <w:t>条件且按该通知中规定的格式提供了《关于符合本国产品标准的声明函》的供应商参与投标，对其投标报价给予20</w:t>
      </w:r>
      <w:r>
        <w:rPr>
          <w:rFonts w:ascii="Times New Roman" w:hAnsi="Times New Roman"/>
          <w:bCs/>
        </w:rPr>
        <w:t>%</w:t>
      </w:r>
      <w:r>
        <w:rPr>
          <w:rFonts w:hint="eastAsia" w:ascii="Times New Roman" w:hAnsi="Times New Roman"/>
          <w:bCs/>
        </w:rPr>
        <w:t>的扣除，</w:t>
      </w:r>
      <w:r>
        <w:rPr>
          <w:rFonts w:hint="eastAsia"/>
        </w:rPr>
        <w:t>扣除后的价格为评标价，即评标价=投标价×（1-20%）；除上述情况外，评标价=投标价。</w:t>
      </w:r>
    </w:p>
    <w:p w14:paraId="0257F67F">
      <w:pPr>
        <w:pStyle w:val="111"/>
        <w:adjustRightInd w:val="0"/>
        <w:snapToGrid w:val="0"/>
        <w:spacing w:line="380" w:lineRule="exact"/>
        <w:ind w:firstLine="378" w:firstLineChars="180"/>
      </w:pPr>
      <w:r>
        <w:t>投标产品生产企业或服务提供企业按《关于政府采购支持监狱企业发展有关问题的通知》</w:t>
      </w:r>
      <w:r>
        <w:rPr>
          <w:rFonts w:hint="eastAsia"/>
        </w:rPr>
        <w:t>（</w:t>
      </w:r>
      <w:r>
        <w:t>财库</w:t>
      </w:r>
      <w:r>
        <w:rPr>
          <w:rFonts w:hint="eastAsia"/>
        </w:rPr>
        <w:t>〔</w:t>
      </w:r>
      <w:r>
        <w:t>2014</w:t>
      </w:r>
      <w:r>
        <w:rPr>
          <w:rFonts w:hint="eastAsia"/>
        </w:rPr>
        <w:t>〕</w:t>
      </w:r>
      <w:r>
        <w:t>68号</w:t>
      </w:r>
      <w:r>
        <w:rPr>
          <w:rFonts w:hint="eastAsia"/>
        </w:rPr>
        <w:t>）</w:t>
      </w:r>
      <w:r>
        <w:t>认定为监狱企业的，在政府采购活动中，监狱企业视同小型、微型企业。投标人应当提供由省级以上监狱管理局、戒毒管理局</w:t>
      </w:r>
      <w:r>
        <w:rPr>
          <w:rFonts w:hint="eastAsia"/>
        </w:rPr>
        <w:t>（</w:t>
      </w:r>
      <w:r>
        <w:t>含新疆生产建设兵团</w:t>
      </w:r>
      <w:r>
        <w:rPr>
          <w:rFonts w:hint="eastAsia"/>
        </w:rPr>
        <w:t>）</w:t>
      </w:r>
      <w:r>
        <w:t>出具的投标产品生产企业或服务提供企业属于监狱企业的证明文件，不再提供《中小企业声明函》；</w:t>
      </w:r>
    </w:p>
    <w:p w14:paraId="2A609F37">
      <w:pPr>
        <w:pStyle w:val="111"/>
        <w:adjustRightInd w:val="0"/>
        <w:snapToGrid w:val="0"/>
        <w:spacing w:line="380" w:lineRule="exact"/>
        <w:ind w:firstLine="378" w:firstLineChars="180"/>
      </w:pPr>
      <w:r>
        <w:t>投标产品生产</w:t>
      </w:r>
      <w:r>
        <w:rPr>
          <w:rFonts w:hint="eastAsia"/>
        </w:rPr>
        <w:t>单位</w:t>
      </w:r>
      <w:r>
        <w:t>或服务提供</w:t>
      </w:r>
      <w:r>
        <w:rPr>
          <w:rFonts w:hint="eastAsia"/>
        </w:rPr>
        <w:t>单位按《关于促进残疾人就业政府采购政策的通知》（财库〔2017〕141号）认定为残疾人福利性单位的，在政府采购活动中，残疾人福利性单位视同小型、微型企业。</w:t>
      </w:r>
      <w:r>
        <w:t>投标人应当提供</w:t>
      </w:r>
      <w:r>
        <w:rPr>
          <w:rFonts w:hint="eastAsia"/>
        </w:rPr>
        <w:t>该通知规定的</w:t>
      </w:r>
      <w:r>
        <w:t>投标产品生产</w:t>
      </w:r>
      <w:r>
        <w:rPr>
          <w:rFonts w:hint="eastAsia"/>
        </w:rPr>
        <w:t>单位</w:t>
      </w:r>
      <w:r>
        <w:t>或服务提供</w:t>
      </w:r>
      <w:r>
        <w:rPr>
          <w:rFonts w:hint="eastAsia"/>
        </w:rPr>
        <w:t>单位属于残疾人福利性单位的《残疾人福利性单位声明函》，</w:t>
      </w:r>
      <w:r>
        <w:t>不再提供《中小企业声明函》</w:t>
      </w:r>
      <w:r>
        <w:rPr>
          <w:rFonts w:hint="eastAsia"/>
        </w:rPr>
        <w:t>。</w:t>
      </w:r>
    </w:p>
    <w:p w14:paraId="71591D93">
      <w:pPr>
        <w:pStyle w:val="111"/>
        <w:adjustRightInd w:val="0"/>
        <w:snapToGrid w:val="0"/>
        <w:spacing w:line="380" w:lineRule="exact"/>
        <w:ind w:firstLine="378" w:firstLineChars="180"/>
      </w:pPr>
      <w:r>
        <w:rPr>
          <w:rFonts w:hint="eastAsia"/>
        </w:rPr>
        <w:t>（2）以满足招标文件要求且评标价最低的投标人的评标价为评标基准价，其价格分为</w:t>
      </w:r>
      <w:r>
        <w:rPr>
          <w:rFonts w:hint="eastAsia"/>
          <w:bCs/>
        </w:rPr>
        <w:t>30</w:t>
      </w:r>
      <w:r>
        <w:rPr>
          <w:rFonts w:hint="eastAsia"/>
          <w:szCs w:val="24"/>
        </w:rPr>
        <w:t>分</w:t>
      </w:r>
      <w:r>
        <w:rPr>
          <w:rFonts w:hint="eastAsia"/>
        </w:rPr>
        <w:t>。</w:t>
      </w:r>
    </w:p>
    <w:p w14:paraId="4ECE8B38">
      <w:pPr>
        <w:pStyle w:val="111"/>
        <w:adjustRightInd w:val="0"/>
        <w:snapToGrid w:val="0"/>
        <w:spacing w:line="380" w:lineRule="exact"/>
        <w:ind w:firstLine="378" w:firstLineChars="180"/>
        <w:rPr>
          <w:rFonts w:hint="eastAsia"/>
        </w:rPr>
      </w:pPr>
      <w:r>
        <w:rPr>
          <w:rFonts w:hint="eastAsia"/>
        </w:rPr>
        <w:t>（</w:t>
      </w:r>
      <w:r>
        <w:t>3</w:t>
      </w:r>
      <w:r>
        <w:rPr>
          <w:rFonts w:hint="eastAsia"/>
        </w:rPr>
        <w:t>）某投标人价格分</w:t>
      </w:r>
      <w:r>
        <w:t xml:space="preserve"> = </w:t>
      </w:r>
      <w:r>
        <w:rPr>
          <w:rFonts w:hint="eastAsia"/>
          <w:bCs/>
        </w:rPr>
        <w:t>评标基准价</w:t>
      </w:r>
      <w:r>
        <w:rPr>
          <w:rFonts w:hint="eastAsia"/>
        </w:rPr>
        <w:t>（金额）</w:t>
      </w:r>
      <w:r>
        <w:t>/</w:t>
      </w:r>
      <w:r>
        <w:rPr>
          <w:rFonts w:hint="eastAsia"/>
        </w:rPr>
        <w:t>某投标人评标价（金额）×</w:t>
      </w:r>
      <w:r>
        <w:rPr>
          <w:rFonts w:hint="eastAsia"/>
          <w:lang w:eastAsia="zh"/>
        </w:rPr>
        <w:t>3</w:t>
      </w:r>
      <w:r>
        <w:rPr>
          <w:rFonts w:hint="eastAsia"/>
        </w:rPr>
        <w:t>0分。</w:t>
      </w:r>
    </w:p>
    <w:p w14:paraId="5AFDA131">
      <w:pPr>
        <w:pStyle w:val="405"/>
        <w:spacing w:line="380" w:lineRule="exact"/>
        <w:ind w:firstLine="420" w:firstLineChars="200"/>
        <w:rPr>
          <w:rFonts w:hAnsi="宋体"/>
          <w:b/>
        </w:rPr>
      </w:pPr>
      <w:r>
        <w:rPr>
          <w:rFonts w:hint="eastAsia"/>
          <w:b/>
          <w:bCs/>
        </w:rPr>
        <w:t>2.技术分……………………………………………………………………………60分</w:t>
      </w:r>
    </w:p>
    <w:p w14:paraId="60A0E932">
      <w:pPr>
        <w:pStyle w:val="111"/>
        <w:adjustRightInd w:val="0"/>
        <w:snapToGrid w:val="0"/>
        <w:spacing w:line="380" w:lineRule="exact"/>
        <w:ind w:firstLine="378" w:firstLineChars="180"/>
        <w:textAlignment w:val="baseline"/>
        <w:rPr>
          <w:rFonts w:hint="eastAsia"/>
          <w:highlight w:val="none"/>
        </w:rPr>
      </w:pPr>
      <w:r>
        <w:rPr>
          <w:rFonts w:hint="eastAsia"/>
        </w:rPr>
        <w:t>（1）一般技术参数要求响应得分（</w:t>
      </w:r>
      <w:r>
        <w:rPr>
          <w:rFonts w:hint="eastAsia"/>
          <w:highlight w:val="none"/>
        </w:rPr>
        <w:t>满分</w:t>
      </w:r>
      <w:r>
        <w:rPr>
          <w:rFonts w:hint="eastAsia"/>
          <w:highlight w:val="none"/>
          <w:lang w:val="en-US" w:eastAsia="zh-CN"/>
        </w:rPr>
        <w:t>32</w:t>
      </w:r>
      <w:r>
        <w:rPr>
          <w:rFonts w:hint="eastAsia"/>
          <w:highlight w:val="none"/>
        </w:rPr>
        <w:t>分）</w:t>
      </w:r>
    </w:p>
    <w:p w14:paraId="4B9E79B5">
      <w:pPr>
        <w:pStyle w:val="111"/>
        <w:adjustRightInd w:val="0"/>
        <w:snapToGrid w:val="0"/>
        <w:spacing w:line="380" w:lineRule="exact"/>
        <w:ind w:firstLine="378" w:firstLineChars="180"/>
        <w:textAlignment w:val="baseline"/>
        <w:rPr>
          <w:rFonts w:hint="eastAsia"/>
          <w:highlight w:val="none"/>
        </w:rPr>
      </w:pPr>
      <w:r>
        <w:rPr>
          <w:rFonts w:hint="eastAsia"/>
          <w:highlight w:val="none"/>
        </w:rPr>
        <w:t>一般技术参数要求响应得分（共计1</w:t>
      </w:r>
      <w:r>
        <w:rPr>
          <w:rFonts w:hint="eastAsia"/>
          <w:highlight w:val="none"/>
          <w:lang w:val="en-US" w:eastAsia="zh-CN"/>
        </w:rPr>
        <w:t>28</w:t>
      </w:r>
      <w:r>
        <w:rPr>
          <w:rFonts w:hint="eastAsia"/>
          <w:highlight w:val="none"/>
        </w:rPr>
        <w:t>项），“高压发生器”“球管”“平板探测器”“ 机架”“手术床”“图像显示与工作站”“图像处理”“图像采集”“网络与接口”“低剂量控制方案”“临床应用功能”等为技术参数要求的名称描述，不计入一般技术参数要求数量。</w:t>
      </w:r>
    </w:p>
    <w:p w14:paraId="4BFFCCB3">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一般技术参数满足采购需求的，每项得0.</w:t>
      </w:r>
      <w:r>
        <w:rPr>
          <w:rFonts w:hint="eastAsia" w:cs="宋体"/>
          <w:highlight w:val="none"/>
          <w:lang w:val="en-US" w:eastAsia="zh-CN"/>
        </w:rPr>
        <w:t>25</w:t>
      </w:r>
      <w:r>
        <w:rPr>
          <w:rFonts w:hint="eastAsia" w:ascii="宋体" w:hAnsi="宋体" w:eastAsia="宋体" w:cs="宋体"/>
          <w:highlight w:val="none"/>
        </w:rPr>
        <w:t>分。</w:t>
      </w:r>
    </w:p>
    <w:p w14:paraId="22BE704E">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注：一般技术参数要求是指技术参数要求中未标注“▲”、“★”的技术参数。</w:t>
      </w:r>
    </w:p>
    <w:p w14:paraId="76A596A5">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（2）重要技术参数要求响应得分（满分</w:t>
      </w:r>
      <w:r>
        <w:rPr>
          <w:rFonts w:hint="eastAsia" w:cs="宋体"/>
          <w:highlight w:val="none"/>
          <w:lang w:val="en-US" w:eastAsia="zh-CN"/>
        </w:rPr>
        <w:t>18</w:t>
      </w:r>
      <w:r>
        <w:rPr>
          <w:rFonts w:hint="eastAsia" w:ascii="宋体" w:hAnsi="宋体" w:eastAsia="宋体" w:cs="宋体"/>
          <w:highlight w:val="none"/>
        </w:rPr>
        <w:t>分）</w:t>
      </w:r>
    </w:p>
    <w:p w14:paraId="010EEAF9">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重要技术参数要求响应得分（共计</w:t>
      </w:r>
      <w:r>
        <w:rPr>
          <w:rFonts w:hint="eastAsia" w:cs="宋体"/>
          <w:highlight w:val="none"/>
          <w:lang w:val="en-US" w:eastAsia="zh-CN"/>
        </w:rPr>
        <w:t>6</w:t>
      </w:r>
      <w:r>
        <w:rPr>
          <w:rFonts w:hint="eastAsia" w:ascii="宋体" w:hAnsi="宋体" w:eastAsia="宋体" w:cs="宋体"/>
          <w:highlight w:val="none"/>
        </w:rPr>
        <w:t>项）；</w:t>
      </w:r>
    </w:p>
    <w:p w14:paraId="2D96C6EB">
      <w:pPr>
        <w:pStyle w:val="111"/>
        <w:adjustRightInd w:val="0"/>
        <w:snapToGrid w:val="0"/>
        <w:spacing w:line="380" w:lineRule="exact"/>
        <w:ind w:firstLine="378" w:firstLineChars="180"/>
        <w:textAlignment w:val="baseline"/>
        <w:rPr>
          <w:rFonts w:hint="eastAsia" w:ascii="宋体" w:hAnsi="宋体" w:eastAsia="宋体" w:cs="宋体"/>
          <w:highlight w:val="none"/>
        </w:rPr>
      </w:pPr>
      <w:r>
        <w:rPr>
          <w:rFonts w:hint="eastAsia" w:ascii="宋体" w:hAnsi="宋体" w:eastAsia="宋体" w:cs="宋体"/>
          <w:highlight w:val="none"/>
        </w:rPr>
        <w:t>重要技术参数满足要求的，每项得</w:t>
      </w:r>
      <w:r>
        <w:rPr>
          <w:rFonts w:hint="eastAsia" w:cs="宋体"/>
          <w:highlight w:val="none"/>
          <w:lang w:val="en-US" w:eastAsia="zh-CN"/>
        </w:rPr>
        <w:t>3</w:t>
      </w:r>
      <w:r>
        <w:rPr>
          <w:rFonts w:hint="eastAsia" w:ascii="宋体" w:hAnsi="宋体" w:eastAsia="宋体" w:cs="宋体"/>
          <w:highlight w:val="none"/>
        </w:rPr>
        <w:t>分。</w:t>
      </w:r>
    </w:p>
    <w:p w14:paraId="40FCB6CC">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注：重要技术参数是指技术参数中标注“★”的技术参数</w:t>
      </w:r>
    </w:p>
    <w:p w14:paraId="4DD5787C">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w:t>
      </w:r>
      <w:r>
        <w:rPr>
          <w:rFonts w:hint="default" w:ascii="宋体" w:hAnsi="宋体" w:eastAsia="宋体" w:cs="宋体"/>
          <w:lang w:val="en" w:eastAsia="zh"/>
        </w:rPr>
        <w:t>3</w:t>
      </w:r>
      <w:r>
        <w:rPr>
          <w:rFonts w:hint="eastAsia" w:ascii="宋体" w:hAnsi="宋体" w:eastAsia="宋体" w:cs="宋体"/>
        </w:rPr>
        <w:t>）技术及项目实施方案分（满分5分）</w:t>
      </w:r>
    </w:p>
    <w:p w14:paraId="5E8CFCCF">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根据投标文件中投标人技术及项目实施方案内容独立评分。</w:t>
      </w:r>
    </w:p>
    <w:p w14:paraId="1379EC83">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一档（1分）：管理措施、具体实施流程、进度安排、质量保证措施等方案内容齐全，符合基础条件的。</w:t>
      </w:r>
    </w:p>
    <w:p w14:paraId="07EFB69B">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  二档（3分）：管理措施、具体实施流程、进度安排、质量保证措施等方案内容齐全，方案有可行性，无明显错误。</w:t>
      </w:r>
    </w:p>
    <w:p w14:paraId="6E9B6F75">
      <w:pPr>
        <w:pStyle w:val="111"/>
        <w:snapToGrid w:val="0"/>
        <w:spacing w:line="380" w:lineRule="exact"/>
        <w:ind w:firstLine="378" w:firstLineChars="180"/>
        <w:rPr>
          <w:rFonts w:hint="eastAsia" w:ascii="宋体" w:hAnsi="宋体" w:eastAsia="宋体" w:cs="宋体"/>
        </w:rPr>
      </w:pPr>
      <w:r>
        <w:rPr>
          <w:rFonts w:hint="eastAsia" w:ascii="宋体" w:hAnsi="宋体" w:eastAsia="宋体" w:cs="宋体"/>
        </w:rPr>
        <w:t xml:space="preserve">  三档（5分）：管理措施、具体实施流程、进度安排、质量保证措施等方案内容齐全，方案有可行性，无明显错误，有利于采购项目实施的内容或合理性建议的。</w:t>
      </w:r>
    </w:p>
    <w:p w14:paraId="102D6609">
      <w:pPr>
        <w:keepNext w:val="0"/>
        <w:keepLines w:val="0"/>
        <w:pageBreakBefore w:val="0"/>
        <w:widowControl/>
        <w:kinsoku/>
        <w:wordWrap/>
        <w:overflowPunct/>
        <w:topLinePunct w:val="0"/>
        <w:bidi w:val="0"/>
        <w:adjustRightInd w:val="0"/>
        <w:snapToGrid w:val="0"/>
        <w:spacing w:after="0" w:line="400" w:lineRule="exact"/>
        <w:ind w:firstLine="378" w:firstLineChars="180"/>
        <w:rPr>
          <w:rFonts w:hint="eastAsia" w:ascii="宋体" w:hAnsi="宋体" w:eastAsia="宋体" w:cs="Times New Roman"/>
          <w:b/>
          <w:bCs/>
          <w:kern w:val="0"/>
        </w:rPr>
      </w:pPr>
      <w:r>
        <w:rPr>
          <w:rFonts w:hint="eastAsia" w:ascii="宋体" w:hAnsi="宋体" w:eastAsia="宋体" w:cs="Times New Roman"/>
          <w:b/>
          <w:bCs/>
          <w:kern w:val="0"/>
        </w:rPr>
        <w:t>无技术及项目实施方案内容或不齐全的不得分。</w:t>
      </w:r>
    </w:p>
    <w:p w14:paraId="2C7CC4B1">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
        </w:rPr>
        <w:t>4</w:t>
      </w:r>
      <w:r>
        <w:rPr>
          <w:rFonts w:hint="eastAsia" w:ascii="宋体" w:hAnsi="宋体" w:eastAsia="宋体" w:cs="宋体"/>
        </w:rPr>
        <w:t>）技术人员分（满分3分）</w:t>
      </w:r>
    </w:p>
    <w:p w14:paraId="7E1C24D2">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根据投标文件中投标人技术人员方案内容独立评分。   </w:t>
      </w:r>
    </w:p>
    <w:p w14:paraId="4DC620A8">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 xml:space="preserve">一档（1分）：技术人员投入计划，技术人员在安装调试过程提供技术支持和协助计划，拟派技术人员的经验介绍等方案内容齐全，无明显错误，符合基础条件的。  </w:t>
      </w:r>
    </w:p>
    <w:p w14:paraId="7D457B9A">
      <w:pPr>
        <w:pStyle w:val="111"/>
        <w:adjustRightInd w:val="0"/>
        <w:snapToGrid w:val="0"/>
        <w:spacing w:line="380" w:lineRule="exact"/>
        <w:ind w:firstLine="378" w:firstLineChars="180"/>
        <w:textAlignment w:val="baseline"/>
        <w:rPr>
          <w:rFonts w:hint="eastAsia" w:ascii="宋体" w:hAnsi="宋体" w:eastAsia="宋体" w:cs="宋体"/>
        </w:rPr>
      </w:pPr>
      <w:r>
        <w:rPr>
          <w:rFonts w:hint="eastAsia" w:ascii="宋体" w:hAnsi="宋体" w:eastAsia="宋体" w:cs="宋体"/>
        </w:rPr>
        <w:t>二档（3分）：技术人员投入计划，有技术人员在安装调试过程提供技术支持和协助计划，拟派技术人员的经验介绍等方案内容齐全，方案有具体措施，有可行性，有利于采购项目实施的内容或合理性建议的。</w:t>
      </w:r>
    </w:p>
    <w:p w14:paraId="442917A4">
      <w:pPr>
        <w:pStyle w:val="111"/>
        <w:adjustRightInd w:val="0"/>
        <w:snapToGrid w:val="0"/>
        <w:spacing w:line="380" w:lineRule="exact"/>
        <w:ind w:firstLine="378" w:firstLineChars="180"/>
        <w:rPr>
          <w:rFonts w:ascii="Calibri" w:hAnsi="Calibri" w:eastAsia="宋体" w:cs="Times New Roman"/>
          <w:b/>
          <w:bCs/>
          <w:kern w:val="2"/>
          <w:sz w:val="21"/>
          <w:szCs w:val="24"/>
          <w:lang w:val="en-US" w:eastAsia="zh-CN" w:bidi="ar-SA"/>
        </w:rPr>
      </w:pPr>
      <w:r>
        <w:rPr>
          <w:rFonts w:ascii="Calibri" w:hAnsi="Calibri" w:eastAsia="宋体" w:cs="Times New Roman"/>
          <w:b/>
          <w:bCs/>
          <w:kern w:val="2"/>
          <w:sz w:val="21"/>
          <w:szCs w:val="24"/>
          <w:lang w:val="en-US" w:eastAsia="zh-CN" w:bidi="ar-SA"/>
        </w:rPr>
        <w:t>无技术人员方案或不齐全的不得分。</w:t>
      </w:r>
    </w:p>
    <w:p w14:paraId="736B1EC6">
      <w:pPr>
        <w:pStyle w:val="111"/>
        <w:adjustRightInd w:val="0"/>
        <w:snapToGrid w:val="0"/>
        <w:spacing w:line="380" w:lineRule="exact"/>
        <w:ind w:firstLine="378" w:firstLineChars="180"/>
        <w:rPr>
          <w:rFonts w:hint="eastAsia"/>
        </w:rPr>
      </w:pPr>
      <w:r>
        <w:rPr>
          <w:rFonts w:hint="eastAsia"/>
          <w:b/>
          <w:bCs/>
        </w:rPr>
        <w:t xml:space="preserve"> </w:t>
      </w:r>
      <w:r>
        <w:rPr>
          <w:rFonts w:hint="eastAsia"/>
        </w:rPr>
        <w:t>（5）培训计划分（满分2分）</w:t>
      </w:r>
    </w:p>
    <w:p w14:paraId="64BDA26B">
      <w:pPr>
        <w:spacing w:line="380" w:lineRule="exact"/>
        <w:ind w:firstLine="420" w:firstLineChars="200"/>
        <w:rPr>
          <w:rFonts w:hint="eastAsia" w:ascii="宋体" w:hAnsi="宋体"/>
          <w:kern w:val="0"/>
          <w:szCs w:val="21"/>
        </w:rPr>
      </w:pPr>
      <w:r>
        <w:rPr>
          <w:rFonts w:hint="eastAsia" w:ascii="宋体" w:hAnsi="宋体"/>
          <w:kern w:val="0"/>
          <w:szCs w:val="21"/>
        </w:rPr>
        <w:t xml:space="preserve">根据投标文件中投标人培训方案内容独立评分。  </w:t>
      </w:r>
    </w:p>
    <w:p w14:paraId="369A5C54">
      <w:pPr>
        <w:spacing w:line="380" w:lineRule="exact"/>
        <w:ind w:firstLine="420" w:firstLineChars="200"/>
        <w:rPr>
          <w:rFonts w:hint="eastAsia" w:ascii="宋体" w:hAnsi="宋体"/>
          <w:kern w:val="0"/>
          <w:szCs w:val="21"/>
        </w:rPr>
      </w:pPr>
      <w:r>
        <w:rPr>
          <w:rFonts w:hint="eastAsia" w:ascii="宋体" w:hAnsi="宋体"/>
          <w:kern w:val="0"/>
          <w:szCs w:val="21"/>
        </w:rPr>
        <w:t>一档（1分）：培训方案有简单的培训计划安排，能满足基本要求。</w:t>
      </w:r>
    </w:p>
    <w:p w14:paraId="7C137344">
      <w:pPr>
        <w:spacing w:line="380" w:lineRule="exact"/>
        <w:ind w:firstLine="420" w:firstLineChars="200"/>
        <w:rPr>
          <w:rFonts w:hint="eastAsia" w:ascii="宋体" w:hAnsi="宋体"/>
          <w:kern w:val="0"/>
          <w:szCs w:val="21"/>
        </w:rPr>
      </w:pPr>
      <w:r>
        <w:rPr>
          <w:rFonts w:hint="eastAsia" w:ascii="宋体" w:hAnsi="宋体"/>
          <w:kern w:val="0"/>
          <w:szCs w:val="21"/>
        </w:rPr>
        <w:t>二档（2分）：培训方案应全面、详细，方案内容至少包含：拟派培训人员的安排及介绍、培训时间、规模人数、设备功能理论、简单故障排除等内容。</w:t>
      </w:r>
    </w:p>
    <w:p w14:paraId="607726CE">
      <w:pPr>
        <w:spacing w:line="380" w:lineRule="exact"/>
        <w:ind w:firstLine="420" w:firstLineChars="200"/>
        <w:rPr>
          <w:rFonts w:ascii="宋体" w:hAnsi="宋体"/>
          <w:b/>
          <w:bCs/>
        </w:rPr>
      </w:pPr>
      <w:r>
        <w:rPr>
          <w:b/>
          <w:bCs/>
        </w:rPr>
        <w:t>未提供或有明显错误的不得分。</w:t>
      </w:r>
    </w:p>
    <w:p w14:paraId="1FFEAE35">
      <w:pPr>
        <w:pStyle w:val="111"/>
        <w:adjustRightInd w:val="0"/>
        <w:snapToGrid w:val="0"/>
        <w:spacing w:line="380" w:lineRule="exact"/>
        <w:ind w:firstLine="420" w:firstLineChars="200"/>
        <w:rPr>
          <w:rFonts w:hint="eastAsia"/>
          <w:b/>
          <w:bCs/>
        </w:rPr>
      </w:pPr>
      <w:r>
        <w:rPr>
          <w:rFonts w:hint="eastAsia"/>
          <w:b/>
          <w:bCs/>
        </w:rPr>
        <w:t>3.售后服务分…………………………………………………………………………</w:t>
      </w:r>
      <w:r>
        <w:rPr>
          <w:rFonts w:hint="default"/>
          <w:b/>
          <w:bCs/>
          <w:lang w:val="en"/>
        </w:rPr>
        <w:t>5</w:t>
      </w:r>
      <w:r>
        <w:rPr>
          <w:rFonts w:hint="eastAsia"/>
          <w:b/>
          <w:bCs/>
        </w:rPr>
        <w:t>分</w:t>
      </w:r>
    </w:p>
    <w:p w14:paraId="40A61BC2">
      <w:pPr>
        <w:pStyle w:val="111"/>
        <w:adjustRightInd w:val="0"/>
        <w:snapToGrid w:val="0"/>
        <w:spacing w:line="380" w:lineRule="exact"/>
        <w:ind w:firstLine="378" w:firstLineChars="180"/>
        <w:rPr>
          <w:rFonts w:hint="eastAsia"/>
        </w:rPr>
      </w:pPr>
      <w:r>
        <w:rPr>
          <w:rFonts w:hint="eastAsia"/>
        </w:rPr>
        <w:t>（1）售后服务分（满分</w:t>
      </w:r>
      <w:r>
        <w:rPr>
          <w:rFonts w:hint="default"/>
          <w:lang w:val="en"/>
        </w:rPr>
        <w:t>3</w:t>
      </w:r>
      <w:r>
        <w:rPr>
          <w:rFonts w:hint="eastAsia"/>
        </w:rPr>
        <w:t>分）</w:t>
      </w:r>
    </w:p>
    <w:p w14:paraId="1C48CEB5">
      <w:pPr>
        <w:spacing w:line="380" w:lineRule="exact"/>
        <w:ind w:firstLine="420" w:firstLineChars="200"/>
        <w:rPr>
          <w:rFonts w:hint="eastAsia" w:ascii="宋体" w:hAnsi="宋体"/>
          <w:kern w:val="0"/>
          <w:szCs w:val="21"/>
        </w:rPr>
      </w:pPr>
      <w:r>
        <w:rPr>
          <w:rFonts w:hint="eastAsia" w:ascii="宋体" w:hAnsi="宋体"/>
          <w:kern w:val="0"/>
          <w:szCs w:val="21"/>
        </w:rPr>
        <w:t>一档（1分）：售后服务方案仅满足招标文件基本要求。</w:t>
      </w:r>
    </w:p>
    <w:p w14:paraId="26241F33">
      <w:pPr>
        <w:spacing w:line="380" w:lineRule="exact"/>
        <w:ind w:firstLine="420" w:firstLineChars="200"/>
        <w:rPr>
          <w:rFonts w:hint="eastAsia" w:ascii="宋体" w:hAnsi="宋体"/>
          <w:kern w:val="0"/>
          <w:szCs w:val="21"/>
        </w:rPr>
      </w:pPr>
      <w:r>
        <w:rPr>
          <w:rFonts w:hint="eastAsia" w:ascii="宋体" w:hAnsi="宋体"/>
          <w:kern w:val="0"/>
          <w:szCs w:val="21"/>
        </w:rPr>
        <w:t>二档（</w:t>
      </w:r>
      <w:r>
        <w:rPr>
          <w:rFonts w:hint="default" w:ascii="宋体" w:hAnsi="宋体"/>
          <w:kern w:val="0"/>
          <w:szCs w:val="21"/>
          <w:lang w:val="en"/>
        </w:rPr>
        <w:t>3</w:t>
      </w:r>
      <w:r>
        <w:rPr>
          <w:rFonts w:hint="eastAsia" w:ascii="宋体" w:hAnsi="宋体"/>
          <w:kern w:val="0"/>
          <w:szCs w:val="21"/>
        </w:rPr>
        <w:t>分）：售后服务方案细致、合理、可行，能提供生产厂家售后服务承诺书原件，有详细的售后服务管理制度、售后服务流程、应急预案、年度保养计划、发生故障时提供备用机或其他替代解决的具体措施、质量保障方案。</w:t>
      </w:r>
    </w:p>
    <w:p w14:paraId="2A3EF5F1">
      <w:pPr>
        <w:spacing w:line="380" w:lineRule="exact"/>
        <w:ind w:firstLine="420" w:firstLineChars="200"/>
        <w:rPr>
          <w:rFonts w:hint="eastAsia" w:ascii="宋体" w:hAnsi="宋体"/>
          <w:b/>
          <w:bCs/>
          <w:kern w:val="0"/>
          <w:szCs w:val="21"/>
        </w:rPr>
      </w:pPr>
      <w:r>
        <w:rPr>
          <w:rFonts w:hint="eastAsia" w:ascii="宋体" w:hAnsi="宋体"/>
          <w:b/>
          <w:bCs/>
          <w:kern w:val="0"/>
          <w:szCs w:val="21"/>
        </w:rPr>
        <w:t>未提供或有明显错误的不得分。</w:t>
      </w:r>
    </w:p>
    <w:p w14:paraId="6E34F260">
      <w:pPr>
        <w:pStyle w:val="111"/>
        <w:adjustRightInd w:val="0"/>
        <w:snapToGrid w:val="0"/>
        <w:spacing w:line="400" w:lineRule="exact"/>
        <w:ind w:firstLine="378" w:firstLineChars="180"/>
      </w:pPr>
      <w:r>
        <w:rPr>
          <w:rFonts w:hint="eastAsia"/>
        </w:rPr>
        <w:t>（</w:t>
      </w:r>
      <w:r>
        <w:rPr>
          <w:rFonts w:hint="eastAsia" w:ascii="Times New Roman" w:hAnsi="Times New Roman"/>
        </w:rPr>
        <w:t>2</w:t>
      </w:r>
      <w:r>
        <w:rPr>
          <w:rFonts w:hint="eastAsia"/>
        </w:rPr>
        <w:t>）质保期（保修期）（满分</w:t>
      </w:r>
      <w:r>
        <w:rPr>
          <w:rFonts w:hint="eastAsia" w:ascii="Times New Roman" w:hAnsi="Times New Roman"/>
        </w:rPr>
        <w:t>2</w:t>
      </w:r>
      <w:r>
        <w:rPr>
          <w:rFonts w:hint="eastAsia"/>
        </w:rPr>
        <w:t>分）</w:t>
      </w:r>
    </w:p>
    <w:p w14:paraId="1A660F82">
      <w:pPr>
        <w:pStyle w:val="405"/>
        <w:spacing w:line="380" w:lineRule="exact"/>
        <w:ind w:firstLine="420" w:firstLineChars="200"/>
        <w:rPr>
          <w:rFonts w:hint="eastAsia" w:ascii="宋体" w:hAnsi="宋体"/>
        </w:rPr>
      </w:pPr>
      <w:r>
        <w:rPr>
          <w:rFonts w:hint="eastAsia" w:ascii="宋体" w:hAnsi="宋体"/>
        </w:rPr>
        <w:t>在满足基本质保期（保修期）</w:t>
      </w:r>
      <w:r>
        <w:rPr>
          <w:rFonts w:hint="eastAsia" w:ascii="宋体" w:hAnsi="宋体"/>
          <w:highlight w:val="none"/>
        </w:rPr>
        <w:t>（</w:t>
      </w:r>
      <w:r>
        <w:rPr>
          <w:rFonts w:hint="default" w:ascii="宋体"/>
          <w:highlight w:val="none"/>
          <w:lang w:val="en"/>
        </w:rPr>
        <w:t>8</w:t>
      </w:r>
      <w:r>
        <w:rPr>
          <w:rFonts w:hint="eastAsia" w:ascii="宋体" w:hAnsi="宋体"/>
          <w:highlight w:val="none"/>
        </w:rPr>
        <w:t>年）</w:t>
      </w:r>
      <w:r>
        <w:rPr>
          <w:rFonts w:hint="eastAsia" w:ascii="宋体" w:hAnsi="宋体"/>
        </w:rPr>
        <w:t>的基础上，免费保修期每延长</w:t>
      </w:r>
      <w:r>
        <w:rPr>
          <w:rFonts w:hint="eastAsia"/>
        </w:rPr>
        <w:t>6</w:t>
      </w:r>
      <w:r>
        <w:rPr>
          <w:rFonts w:hint="eastAsia" w:ascii="宋体" w:hAnsi="宋体"/>
        </w:rPr>
        <w:t>个月得</w:t>
      </w:r>
      <w:r>
        <w:rPr>
          <w:rFonts w:hint="eastAsia"/>
        </w:rPr>
        <w:t>0</w:t>
      </w:r>
      <w:r>
        <w:rPr>
          <w:rFonts w:hint="eastAsia" w:ascii="宋体" w:hAnsi="宋体"/>
        </w:rPr>
        <w:t>.</w:t>
      </w:r>
      <w:r>
        <w:rPr>
          <w:rFonts w:hint="eastAsia"/>
        </w:rPr>
        <w:t>5</w:t>
      </w:r>
      <w:r>
        <w:rPr>
          <w:rFonts w:hint="eastAsia" w:ascii="宋体" w:hAnsi="宋体"/>
        </w:rPr>
        <w:t>分（以</w:t>
      </w:r>
      <w:r>
        <w:rPr>
          <w:rFonts w:hint="eastAsia"/>
        </w:rPr>
        <w:t>核心</w:t>
      </w:r>
      <w:r>
        <w:rPr>
          <w:rFonts w:hint="eastAsia" w:ascii="宋体" w:hAnsi="宋体"/>
        </w:rPr>
        <w:t>产品生产厂家承诺为准，投标文件中提供厂家证明文件复印件加盖投标单位公章），满分</w:t>
      </w:r>
      <w:r>
        <w:rPr>
          <w:rFonts w:hint="eastAsia"/>
        </w:rPr>
        <w:t>2</w:t>
      </w:r>
      <w:r>
        <w:rPr>
          <w:rFonts w:hint="eastAsia" w:ascii="宋体" w:hAnsi="宋体"/>
        </w:rPr>
        <w:t>分。</w:t>
      </w:r>
    </w:p>
    <w:p w14:paraId="4FB51021">
      <w:pPr>
        <w:pStyle w:val="405"/>
        <w:spacing w:line="380" w:lineRule="exact"/>
        <w:ind w:firstLine="420" w:firstLineChars="200"/>
        <w:rPr>
          <w:rFonts w:hint="eastAsia"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bCs/>
          <w:kern w:val="0"/>
          <w:sz w:val="21"/>
          <w:szCs w:val="21"/>
          <w:lang w:val="en-US" w:eastAsia="zh-CN" w:bidi="ar-SA"/>
        </w:rPr>
        <w:t>4.信誉及业绩分…………………………………………………………………………4分</w:t>
      </w:r>
    </w:p>
    <w:p w14:paraId="697105D4">
      <w:pPr>
        <w:pStyle w:val="405"/>
        <w:spacing w:line="380" w:lineRule="exact"/>
        <w:ind w:firstLine="525" w:firstLineChars="250"/>
        <w:rPr>
          <w:rFonts w:hint="eastAsia" w:ascii="宋体" w:hAnsi="宋体"/>
          <w:lang w:val="en-US" w:eastAsia="zh-CN"/>
        </w:rPr>
      </w:pPr>
      <w:r>
        <w:rPr>
          <w:rFonts w:hint="eastAsia" w:ascii="宋体" w:hAnsi="宋体"/>
          <w:lang w:val="en-US" w:eastAsia="zh-CN"/>
        </w:rPr>
        <w:t>信誉及业绩（满分4分）</w:t>
      </w:r>
    </w:p>
    <w:p w14:paraId="1FE2513F">
      <w:pPr>
        <w:pStyle w:val="405"/>
        <w:spacing w:line="380" w:lineRule="exact"/>
        <w:ind w:firstLine="420" w:firstLineChars="200"/>
        <w:rPr>
          <w:rFonts w:hint="eastAsia" w:ascii="宋体" w:hAnsi="宋体"/>
          <w:lang w:val="en-US" w:eastAsia="zh-CN"/>
        </w:rPr>
      </w:pPr>
      <w:r>
        <w:rPr>
          <w:rFonts w:hint="eastAsia" w:ascii="宋体" w:hAnsi="宋体"/>
          <w:lang w:val="en-US" w:eastAsia="zh-CN"/>
        </w:rPr>
        <w:t>（1）所投产品生产企业通过ISO9001系列国际质量体系认证、ISO13485医疗器械质量管理体系认证及ISO 14001环境管理体系认证的，每有1项得0.5分，满分1.5分。</w:t>
      </w:r>
    </w:p>
    <w:p w14:paraId="25342D1D">
      <w:pPr>
        <w:pStyle w:val="405"/>
        <w:spacing w:line="380" w:lineRule="exact"/>
        <w:ind w:firstLine="420" w:firstLineChars="200"/>
        <w:rPr>
          <w:rFonts w:hint="eastAsia"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bCs/>
          <w:kern w:val="0"/>
          <w:sz w:val="21"/>
          <w:szCs w:val="21"/>
          <w:lang w:val="en-US" w:eastAsia="zh-CN" w:bidi="ar-SA"/>
        </w:rPr>
        <w:t>注：投标文件中提供有效的证书复印件（或扫描件）并加盖投标人电子签章，非中文文本的请提供中文翻译文本，否则不予以计分。</w:t>
      </w:r>
    </w:p>
    <w:p w14:paraId="15F6EA5D">
      <w:pPr>
        <w:pStyle w:val="405"/>
        <w:spacing w:line="380" w:lineRule="exact"/>
        <w:ind w:firstLine="420" w:firstLineChars="200"/>
        <w:rPr>
          <w:rFonts w:hint="eastAsia"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val="0"/>
          <w:bCs w:val="0"/>
          <w:kern w:val="0"/>
          <w:sz w:val="21"/>
          <w:szCs w:val="21"/>
          <w:lang w:val="en-US" w:eastAsia="zh-CN" w:bidi="ar-SA"/>
        </w:rPr>
        <w:t>（</w:t>
      </w:r>
      <w:r>
        <w:rPr>
          <w:rFonts w:hint="eastAsia" w:ascii="宋体" w:hAnsi="宋体"/>
          <w:lang w:val="en-US" w:eastAsia="zh-CN"/>
        </w:rPr>
        <w:t>2）提供2023年1月1日至今与所投产品同品牌同类型设备的业绩（业绩乙方可为生产厂家、代理商或经销商，甲方须为产品实际使用用户），每有1项得0.1分，满分2.5分。</w:t>
      </w:r>
    </w:p>
    <w:p w14:paraId="7AB963CD">
      <w:pPr>
        <w:pStyle w:val="405"/>
        <w:spacing w:line="380" w:lineRule="exact"/>
        <w:ind w:firstLine="420" w:firstLineChars="200"/>
        <w:rPr>
          <w:rFonts w:hint="eastAsia"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bCs/>
          <w:kern w:val="0"/>
          <w:sz w:val="21"/>
          <w:szCs w:val="21"/>
          <w:lang w:val="en-US" w:eastAsia="zh-CN" w:bidi="ar-SA"/>
        </w:rPr>
        <w:t>注：投标文件中提供有效的中标通知书或合同复印件（或扫描件）、验收报告，并逐份加盖投标人电子签章，材料须体现签订时间、买卖双方信息、产品品牌型号（以上三项信息缺一不可，且均须清晰完整），否则不予以计分。</w:t>
      </w:r>
    </w:p>
    <w:p w14:paraId="5F1D82E7">
      <w:pPr>
        <w:pStyle w:val="405"/>
        <w:spacing w:line="380" w:lineRule="exact"/>
        <w:ind w:firstLine="420" w:firstLineChars="200"/>
        <w:rPr>
          <w:rFonts w:ascii="宋体" w:hAnsi="宋体"/>
        </w:rPr>
      </w:pPr>
      <w:r>
        <w:rPr>
          <w:rFonts w:hint="default" w:ascii="Calibri" w:hAnsi="Calibri" w:eastAsia="宋体" w:cs="Times New Roman"/>
          <w:b/>
          <w:bCs/>
          <w:kern w:val="0"/>
          <w:sz w:val="21"/>
          <w:szCs w:val="21"/>
          <w:lang w:val="en" w:eastAsia="zh-CN" w:bidi="ar-SA"/>
        </w:rPr>
        <w:t>5</w:t>
      </w:r>
      <w:r>
        <w:rPr>
          <w:rFonts w:hint="default" w:ascii="Calibri" w:hAnsi="Calibri" w:eastAsia="宋体" w:cs="Times New Roman"/>
          <w:b/>
          <w:bCs/>
          <w:kern w:val="0"/>
          <w:sz w:val="21"/>
          <w:szCs w:val="21"/>
          <w:lang w:val="en-US" w:eastAsia="zh-CN" w:bidi="ar-SA"/>
        </w:rPr>
        <w:t>.政策功能分</w:t>
      </w:r>
      <w:r>
        <w:rPr>
          <w:rFonts w:hint="eastAsia"/>
          <w:b/>
          <w:bCs/>
        </w:rPr>
        <w:t>…………</w:t>
      </w:r>
      <w:r>
        <w:rPr>
          <w:rFonts w:hint="eastAsia" w:ascii="Times New Roman" w:hAnsi="Times New Roman" w:eastAsia="宋体" w:cs="Times New Roman"/>
          <w:b/>
          <w:bCs/>
          <w:kern w:val="0"/>
          <w:sz w:val="21"/>
          <w:szCs w:val="21"/>
          <w:lang w:val="en-US" w:eastAsia="zh-CN" w:bidi="ar-SA"/>
        </w:rPr>
        <w:t>……</w:t>
      </w:r>
      <w:r>
        <w:rPr>
          <w:rFonts w:hint="eastAsia"/>
          <w:b/>
          <w:bCs/>
        </w:rPr>
        <w:t>…………………………</w:t>
      </w:r>
      <w:r>
        <w:rPr>
          <w:rFonts w:hint="eastAsia"/>
          <w:b/>
          <w:bCs/>
          <w:kern w:val="0"/>
        </w:rPr>
        <w:t>…</w:t>
      </w:r>
      <w:r>
        <w:rPr>
          <w:rFonts w:hint="eastAsia"/>
          <w:b/>
          <w:bCs/>
        </w:rPr>
        <w:t>……………………………</w:t>
      </w:r>
      <w:r>
        <w:rPr>
          <w:rFonts w:hint="default"/>
          <w:b/>
          <w:bCs/>
          <w:lang w:val="en"/>
        </w:rPr>
        <w:t>1</w:t>
      </w:r>
      <w:r>
        <w:rPr>
          <w:rFonts w:hint="eastAsia"/>
          <w:b/>
          <w:bCs/>
        </w:rPr>
        <w:t>分</w:t>
      </w:r>
    </w:p>
    <w:p w14:paraId="2EE27916">
      <w:pPr>
        <w:pStyle w:val="111"/>
        <w:adjustRightInd w:val="0"/>
        <w:snapToGrid w:val="0"/>
        <w:spacing w:line="380" w:lineRule="exact"/>
        <w:ind w:firstLine="378" w:firstLineChars="180"/>
      </w:pPr>
      <w:r>
        <w:rPr>
          <w:rFonts w:hint="eastAsia"/>
        </w:rPr>
        <w:t>节能、环保分（满分1分）</w:t>
      </w:r>
    </w:p>
    <w:p w14:paraId="1CAB317C">
      <w:pPr>
        <w:widowControl/>
        <w:spacing w:line="380" w:lineRule="exact"/>
        <w:ind w:firstLine="420" w:firstLineChars="200"/>
        <w:jc w:val="left"/>
        <w:rPr>
          <w:rFonts w:hint="eastAsia" w:ascii="宋体" w:hAnsi="宋体" w:cs="宋体"/>
          <w:szCs w:val="21"/>
        </w:rPr>
      </w:pPr>
      <w:r>
        <w:rPr>
          <w:rFonts w:hint="eastAsia" w:ascii="宋体" w:hAnsi="宋体" w:cs="宋体"/>
          <w:szCs w:val="21"/>
        </w:rPr>
        <w:t>（1）所投核心产品属于财政部《节能产品政府采购品目清单》内优先采购的产品[投标文件中提供有效的认证证书复印件（或扫描件）及品目清单（标注出投标产品在品目清单中所属的品目），并加盖投标人电子签章]，得0.5分。</w:t>
      </w:r>
    </w:p>
    <w:p w14:paraId="2564421C">
      <w:pPr>
        <w:pStyle w:val="111"/>
        <w:adjustRightInd w:val="0"/>
        <w:snapToGrid w:val="0"/>
        <w:spacing w:line="380" w:lineRule="exact"/>
        <w:ind w:firstLine="378" w:firstLineChars="180"/>
        <w:rPr>
          <w:rFonts w:hint="eastAsia"/>
        </w:rPr>
      </w:pPr>
      <w:r>
        <w:rPr>
          <w:rFonts w:hint="eastAsia"/>
        </w:rPr>
        <w:t>（2）所投核心产品属于财政部《环境标志产品政府采购品目清单》内的产品[投标文件中提供有效的认证证书复印件（或扫描件）及品目清单（标注出投标产品在品目清单中所属的品目），并加盖投标人电子签章]，得0.5分。</w:t>
      </w:r>
    </w:p>
    <w:p w14:paraId="5720271F">
      <w:pPr>
        <w:adjustRightInd w:val="0"/>
        <w:snapToGrid w:val="0"/>
        <w:spacing w:line="380" w:lineRule="exact"/>
        <w:jc w:val="left"/>
        <w:rPr>
          <w:rFonts w:hAnsi="宋体"/>
          <w:b/>
        </w:rPr>
      </w:pPr>
    </w:p>
    <w:p w14:paraId="5497F52B">
      <w:pPr>
        <w:adjustRightInd w:val="0"/>
        <w:snapToGrid w:val="0"/>
        <w:spacing w:line="380" w:lineRule="exact"/>
        <w:jc w:val="left"/>
        <w:rPr>
          <w:b/>
          <w:kern w:val="4"/>
        </w:rPr>
      </w:pPr>
      <w:r>
        <w:rPr>
          <w:rFonts w:hint="eastAsia" w:hAnsi="宋体"/>
          <w:b/>
        </w:rPr>
        <w:t>（三）总得分=1+ 2+ 3+ 4+ 5。</w:t>
      </w:r>
    </w:p>
    <w:p w14:paraId="290F820A">
      <w:pPr>
        <w:pStyle w:val="29"/>
        <w:adjustRightInd w:val="0"/>
        <w:snapToGrid w:val="0"/>
        <w:spacing w:line="380" w:lineRule="exact"/>
        <w:rPr>
          <w:rFonts w:hAnsi="宋体"/>
          <w:b/>
        </w:rPr>
      </w:pPr>
      <w:r>
        <w:rPr>
          <w:rFonts w:hint="eastAsia" w:hAnsi="宋体"/>
          <w:b/>
        </w:rPr>
        <w:t xml:space="preserve">   </w:t>
      </w:r>
    </w:p>
    <w:p w14:paraId="29851195">
      <w:pPr>
        <w:pStyle w:val="29"/>
        <w:adjustRightInd w:val="0"/>
        <w:snapToGrid w:val="0"/>
        <w:spacing w:line="380" w:lineRule="exact"/>
        <w:rPr>
          <w:rFonts w:hAnsi="宋体"/>
          <w:b/>
        </w:rPr>
      </w:pPr>
      <w:r>
        <w:rPr>
          <w:rFonts w:hint="eastAsia" w:hAnsi="宋体"/>
          <w:b/>
        </w:rPr>
        <w:t xml:space="preserve">  三、中标候选人推荐原则</w:t>
      </w:r>
    </w:p>
    <w:p w14:paraId="38E10794">
      <w:pPr>
        <w:pStyle w:val="2"/>
        <w:spacing w:line="380" w:lineRule="exact"/>
        <w:ind w:firstLine="420" w:firstLineChars="200"/>
        <w:rPr>
          <w:rFonts w:hint="eastAsia" w:hAnsi="宋体" w:cs="Courier New"/>
          <w:color w:val="auto"/>
          <w:kern w:val="2"/>
          <w:sz w:val="21"/>
          <w:szCs w:val="21"/>
        </w:rPr>
      </w:pPr>
      <w:r>
        <w:rPr>
          <w:rFonts w:hint="eastAsia" w:hAnsi="宋体" w:cs="Courier New"/>
          <w:color w:val="auto"/>
          <w:kern w:val="2"/>
          <w:sz w:val="21"/>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14:paraId="69BBF7E1">
      <w:pPr>
        <w:pStyle w:val="29"/>
        <w:adjustRightInd w:val="0"/>
        <w:snapToGrid w:val="0"/>
        <w:spacing w:line="380" w:lineRule="exact"/>
        <w:ind w:firstLine="420" w:firstLineChars="200"/>
        <w:rPr>
          <w:rFonts w:hAnsi="宋体"/>
        </w:rPr>
      </w:pPr>
      <w:r>
        <w:rPr>
          <w:rFonts w:hint="eastAsia" w:hAnsi="宋体"/>
          <w:bCs/>
        </w:rPr>
        <w:t>（二）</w:t>
      </w:r>
      <w:r>
        <w:rPr>
          <w:rFonts w:hint="eastAsia" w:hAnsi="宋体"/>
          <w:lang w:eastAsia="zh"/>
        </w:rPr>
        <w:t>排名第一的中标候选人放弃中标或在规定限期内拒不签订合同或因不可抗力提出不能履行合同</w:t>
      </w:r>
      <w:r>
        <w:rPr>
          <w:rFonts w:hint="eastAsia" w:hAnsi="宋体"/>
        </w:rPr>
        <w:t>，采购人可以确定排名第二的中标候选人为中标人。排名第二的中标候选人因前款规定的同样原因不能签订合同的，采购人可以确定排名第三的中标候选人为中标人，其余以此类推。</w:t>
      </w:r>
    </w:p>
    <w:p w14:paraId="58296C53"/>
    <w:p w14:paraId="307938B1"/>
    <w:p w14:paraId="036142A5"/>
    <w:sectPr>
      <w:headerReference r:id="rId24" w:type="first"/>
      <w:footerReference r:id="rId26" w:type="first"/>
      <w:headerReference r:id="rId23" w:type="default"/>
      <w:footerReference r:id="rId25" w:type="default"/>
      <w:pgSz w:w="11906" w:h="16838"/>
      <w:pgMar w:top="1134" w:right="1134" w:bottom="1134" w:left="1134" w:header="851" w:footer="992"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Ђˎ̥">
    <w:altName w:val="Noto Sans SC"/>
    <w:panose1 w:val="00000000000000000000"/>
    <w:charset w:val="00"/>
    <w:family w:val="roman"/>
    <w:pitch w:val="default"/>
    <w:sig w:usb0="00000000" w:usb1="00000000" w:usb2="00000000" w:usb3="00000000" w:csb0="00040001" w:csb1="00000000"/>
  </w:font>
  <w:font w:name="Noto Sans CJK HK">
    <w:altName w:val="Microsoft JhengHei UI"/>
    <w:panose1 w:val="020B0600000000000000"/>
    <w:charset w:val="88"/>
    <w:family w:val="auto"/>
    <w:pitch w:val="default"/>
    <w:sig w:usb0="00000000" w:usb1="00000000" w:usb2="00000016" w:usb3="00000000" w:csb0="603A0107"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FreeSerif">
    <w:altName w:val="Segoe Print"/>
    <w:panose1 w:val="02020603050405020304"/>
    <w:charset w:val="00"/>
    <w:family w:val="auto"/>
    <w:pitch w:val="default"/>
    <w:sig w:usb0="00000000" w:usb1="00000000" w:usb2="43501B29" w:usb3="04000043" w:csb0="600101FF" w:csb1="FFFF0000"/>
  </w:font>
  <w:font w:name="创艺简黑体">
    <w:altName w:val="黑体"/>
    <w:panose1 w:val="00000000000000000000"/>
    <w:charset w:val="86"/>
    <w:family w:val="auto"/>
    <w:pitch w:val="default"/>
    <w:sig w:usb0="00000000" w:usb1="00000000" w:usb2="0000001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Microsoft JhengHei UI">
    <w:panose1 w:val="020B0604030504040204"/>
    <w:charset w:val="88"/>
    <w:family w:val="auto"/>
    <w:pitch w:val="default"/>
    <w:sig w:usb0="000002A7" w:usb1="28CF4400" w:usb2="00000016" w:usb3="00000000" w:csb0="00100009"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73853">
    <w:pPr>
      <w:pStyle w:val="35"/>
      <w:tabs>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4391F">
    <w:pPr>
      <w:pStyle w:val="35"/>
      <w:tabs>
        <w:tab w:val="clear" w:pos="415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AA8A6">
    <w:pPr>
      <w:pStyle w:val="3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CFB41">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ACFB41">
                    <w:pPr>
                      <w:pStyle w:val="35"/>
                    </w:pPr>
                    <w:r>
                      <w:fldChar w:fldCharType="begin"/>
                    </w:r>
                    <w:r>
                      <w:instrText xml:space="preserve"> PAGE  \* MERGEFORMAT </w:instrText>
                    </w:r>
                    <w:r>
                      <w:fldChar w:fldCharType="separate"/>
                    </w:r>
                    <w:r>
                      <w:t>1</w:t>
                    </w:r>
                    <w:r>
                      <w:fldChar w:fldCharType="end"/>
                    </w:r>
                  </w:p>
                </w:txbxContent>
              </v:textbox>
            </v:shape>
          </w:pict>
        </mc:Fallback>
      </mc:AlternateContent>
    </w:r>
  </w:p>
  <w:p w14:paraId="136BD683">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7DE15">
    <w:pPr>
      <w:pStyle w:val="35"/>
      <w:framePr w:wrap="around" w:vAnchor="text" w:hAnchor="margin" w:xAlign="center" w:y="1"/>
      <w:rPr>
        <w:rStyle w:val="60"/>
      </w:rPr>
    </w:pPr>
    <w:r>
      <w:fldChar w:fldCharType="begin"/>
    </w:r>
    <w:r>
      <w:rPr>
        <w:rStyle w:val="60"/>
        <w:rFonts w:ascii="Calibri" w:hAnsi="Calibri"/>
        <w:sz w:val="21"/>
        <w:szCs w:val="24"/>
      </w:rPr>
      <w:instrText xml:space="preserve">PAGE  </w:instrText>
    </w:r>
    <w:r>
      <w:fldChar w:fldCharType="separate"/>
    </w:r>
    <w:r>
      <w:fldChar w:fldCharType="end"/>
    </w:r>
  </w:p>
  <w:p w14:paraId="5FA14267">
    <w:pPr>
      <w:pStyle w:val="3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6614B">
    <w:pPr>
      <w:pStyle w:val="35"/>
      <w:tabs>
        <w:tab w:val="left" w:pos="5169"/>
        <w:tab w:val="clear" w:pos="8306"/>
      </w:tabs>
      <w:ind w:right="36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5BB13C73">
                          <w:pPr>
                            <w:pStyle w:val="3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4vdRNAAAAACAQAADwAAAAAAAAABACAAAAAiAAAA&#10;ZHJzL2Rvd25yZXYueG1sUEsBAhQAFAAAAAgAh07iQH4cA4MPAgAADwQAAA4AAAAAAAAAAQAgAAAA&#10;HwEAAGRycy9lMm9Eb2MueG1sUEsFBgAAAAAGAAYAWQEAAKAFAAAAAA==&#10;">
              <v:fill on="f" focussize="0,0"/>
              <v:stroke on="f"/>
              <v:imagedata o:title=""/>
              <o:lock v:ext="edit" aspectratio="f"/>
              <v:textbox inset="0mm,0mm,0mm,0mm" style="mso-fit-shape-to-text:t;">
                <w:txbxContent>
                  <w:p w14:paraId="5BB13C73">
                    <w:pPr>
                      <w:pStyle w:val="3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r>
      <w:rPr>
        <w:rFonts w:hint="eastAsia"/>
      </w:rPr>
      <w:t xml:space="preserve">                                              </w: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0D54E">
    <w:pPr>
      <w:pStyle w:val="3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DA5C93">
                          <w:pPr>
                            <w:pStyle w:val="3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EDA5C93">
                    <w:pPr>
                      <w:pStyle w:val="35"/>
                    </w:pPr>
                    <w:r>
                      <w:fldChar w:fldCharType="begin"/>
                    </w:r>
                    <w:r>
                      <w:instrText xml:space="preserve"> PAGE  \* MERGEFORMAT </w:instrText>
                    </w:r>
                    <w:r>
                      <w:fldChar w:fldCharType="separate"/>
                    </w:r>
                    <w:r>
                      <w:t>25</w:t>
                    </w:r>
                    <w:r>
                      <w:fldChar w:fldCharType="end"/>
                    </w:r>
                  </w:p>
                </w:txbxContent>
              </v:textbox>
            </v:shape>
          </w:pict>
        </mc:Fallback>
      </mc:AlternateContent>
    </w:r>
  </w:p>
  <w:p w14:paraId="08B269F6">
    <w:pPr>
      <w:pStyle w:val="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F030">
    <w:pPr>
      <w:pStyle w:val="35"/>
      <w:framePr w:wrap="around" w:vAnchor="text" w:hAnchor="margin" w:xAlign="center" w:y="1"/>
      <w:rPr>
        <w:rStyle w:val="60"/>
      </w:rPr>
    </w:pPr>
    <w:r>
      <w:fldChar w:fldCharType="begin"/>
    </w:r>
    <w:r>
      <w:rPr>
        <w:rStyle w:val="60"/>
        <w:rFonts w:ascii="Calibri" w:hAnsi="Calibri"/>
        <w:sz w:val="21"/>
        <w:szCs w:val="24"/>
      </w:rPr>
      <w:instrText xml:space="preserve">PAGE  </w:instrText>
    </w:r>
    <w:r>
      <w:fldChar w:fldCharType="separate"/>
    </w:r>
    <w:r>
      <w:fldChar w:fldCharType="end"/>
    </w:r>
  </w:p>
  <w:p w14:paraId="4510499E">
    <w:pPr>
      <w:pStyle w:val="3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8267C">
    <w:pPr>
      <w:pStyle w:val="35"/>
      <w:tabs>
        <w:tab w:val="left" w:pos="5169"/>
        <w:tab w:val="clear" w:pos="8306"/>
      </w:tabs>
      <w:ind w:right="36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文本框 9"/>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57D2622B">
                          <w:pPr>
                            <w:pStyle w:val="3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L3UTQAAAAAgEAAA8AAAAAAAAAAQAgAAAAIgAA&#10;AGRycy9kb3ducmV2LnhtbFBLAQIUABQAAAAIAIdO4kB8Up/TEAIAAA8EAAAOAAAAAAAAAAEAIAAA&#10;AB8BAABkcnMvZTJvRG9jLnhtbFBLBQYAAAAABgAGAFkBAAChBQAAAAA=&#10;">
              <v:fill on="f" focussize="0,0"/>
              <v:stroke on="f"/>
              <v:imagedata o:title=""/>
              <o:lock v:ext="edit" aspectratio="f"/>
              <v:textbox inset="0mm,0mm,0mm,0mm" style="mso-fit-shape-to-text:t;">
                <w:txbxContent>
                  <w:p w14:paraId="57D2622B">
                    <w:pPr>
                      <w:pStyle w:val="3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r>
      <w:rPr>
        <w:rFonts w:hint="eastAsia"/>
      </w:rPr>
      <w:t xml:space="preserve">                                              </w:t>
    </w:r>
    <w:r>
      <w:rPr>
        <w:rFonts w:hint="eastAsia"/>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2FD57">
    <w:pPr>
      <w:pStyle w:val="35"/>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6BC627">
                          <w:pPr>
                            <w:pStyle w:val="3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C6BC627">
                    <w:pPr>
                      <w:pStyle w:val="35"/>
                    </w:pPr>
                    <w:r>
                      <w:fldChar w:fldCharType="begin"/>
                    </w:r>
                    <w:r>
                      <w:instrText xml:space="preserve"> PAGE  \* MERGEFORMAT </w:instrText>
                    </w:r>
                    <w:r>
                      <w:fldChar w:fldCharType="separate"/>
                    </w:r>
                    <w:r>
                      <w:t>35</w:t>
                    </w:r>
                    <w:r>
                      <w:fldChar w:fldCharType="end"/>
                    </w:r>
                  </w:p>
                </w:txbxContent>
              </v:textbox>
            </v:shape>
          </w:pict>
        </mc:Fallback>
      </mc:AlternateContent>
    </w:r>
  </w:p>
  <w:p w14:paraId="78C0AC6A">
    <w:pPr>
      <w:pStyle w:val="3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3AAC5">
    <w:pPr>
      <w:pStyle w:val="35"/>
      <w:framePr w:wrap="around" w:vAnchor="text" w:hAnchor="margin" w:xAlign="center" w:y="1"/>
      <w:rPr>
        <w:rStyle w:val="60"/>
      </w:rPr>
    </w:pPr>
    <w:r>
      <w:fldChar w:fldCharType="begin"/>
    </w:r>
    <w:r>
      <w:rPr>
        <w:rStyle w:val="60"/>
        <w:rFonts w:ascii="Calibri" w:hAnsi="Calibri"/>
        <w:sz w:val="21"/>
        <w:szCs w:val="24"/>
      </w:rPr>
      <w:instrText xml:space="preserve">PAGE  </w:instrText>
    </w:r>
    <w:r>
      <w:fldChar w:fldCharType="separate"/>
    </w:r>
    <w:r>
      <w:fldChar w:fldCharType="end"/>
    </w:r>
  </w:p>
  <w:p w14:paraId="174EE28E">
    <w:pPr>
      <w:pStyle w:val="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20A78">
    <w:pPr>
      <w:pStyle w:val="35"/>
      <w:tabs>
        <w:tab w:val="left" w:pos="5169"/>
        <w:tab w:val="clear" w:pos="8306"/>
      </w:tabs>
      <w:ind w:right="36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3"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0247009C">
                          <w:pPr>
                            <w:pStyle w:val="3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L3UTQAAAAAgEAAA8AAAAAAAAAAQAgAAAAIgAA&#10;AGRycy9kb3ducmV2LnhtbFBLAQIUABQAAAAIAIdO4kBnKQ9NEAIAABEEAAAOAAAAAAAAAAEAIAAA&#10;AB8BAABkcnMvZTJvRG9jLnhtbFBLBQYAAAAABgAGAFkBAAChBQAAAAA=&#10;">
              <v:fill on="f" focussize="0,0"/>
              <v:stroke on="f"/>
              <v:imagedata o:title=""/>
              <o:lock v:ext="edit" aspectratio="f"/>
              <v:textbox inset="0mm,0mm,0mm,0mm" style="mso-fit-shape-to-text:t;">
                <w:txbxContent>
                  <w:p w14:paraId="0247009C">
                    <w:pPr>
                      <w:pStyle w:val="3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r>
      <w:rPr>
        <w:rFonts w:hint="eastAsia"/>
      </w:rPr>
      <w:t xml:space="preserve">                                              </w:t>
    </w:r>
    <w:r>
      <w:rPr>
        <w:rFonts w:hint="eastAsia"/>
      </w:rP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8616B">
    <w:pPr>
      <w:pStyle w:val="3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0EDF3">
                          <w:pPr>
                            <w:pStyle w:val="3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E80EDF3">
                    <w:pPr>
                      <w:pStyle w:val="3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017F5">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267C8">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3B267C8">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2536B">
    <w:pPr>
      <w:pStyle w:val="36"/>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96537">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42E54">
    <w:pPr>
      <w:pStyle w:val="36"/>
      <w:pBdr>
        <w:bottom w:val="none" w:color="auto" w:sz="0" w:space="1"/>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95A28F">
                          <w:pPr>
                            <w:pStyle w:val="3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1F95A28F">
                    <w:pPr>
                      <w:pStyle w:val="36"/>
                    </w:pPr>
                    <w:r>
                      <w:fldChar w:fldCharType="begin"/>
                    </w:r>
                    <w:r>
                      <w:instrText xml:space="preserve"> PAGE  \* MERGEFORMAT </w:instrText>
                    </w:r>
                    <w:r>
                      <w:fldChar w:fldCharType="separate"/>
                    </w:r>
                    <w:r>
                      <w:t>1</w:t>
                    </w:r>
                    <w:r>
                      <w:fldChar w:fldCharType="end"/>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06972">
    <w:pPr>
      <w:pStyle w:val="36"/>
      <w:pBdr>
        <w:bottom w:val="none" w:color="auto" w:sz="0"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41423">
    <w:pPr>
      <w:pStyle w:val="3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9F3E9">
    <w:pPr>
      <w:pStyle w:val="36"/>
      <w:pBdr>
        <w:bottom w:val="none" w:color="auto" w:sz="0" w:space="1"/>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E688E8">
                          <w:pPr>
                            <w:pStyle w:val="3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68E688E8">
                    <w:pPr>
                      <w:pStyle w:val="36"/>
                    </w:pPr>
                    <w:r>
                      <w:fldChar w:fldCharType="begin"/>
                    </w:r>
                    <w:r>
                      <w:instrText xml:space="preserve"> PAGE  \* MERGEFORMAT </w:instrText>
                    </w:r>
                    <w:r>
                      <w:fldChar w:fldCharType="separate"/>
                    </w:r>
                    <w:r>
                      <w:t>1</w:t>
                    </w:r>
                    <w:r>
                      <w:fldChar w:fldCharType="end"/>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2919F">
    <w:pPr>
      <w:pStyle w:val="36"/>
      <w:pBdr>
        <w:bottom w:val="none" w:color="auto" w:sz="0" w:space="1"/>
      </w:pBdr>
      <w:jc w:val="righ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97BEF">
    <w:pPr>
      <w:pStyle w:val="36"/>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A7136">
    <w:pPr>
      <w:pStyle w:val="36"/>
      <w:pBdr>
        <w:bottom w:val="none" w:color="auto" w:sz="0" w:space="1"/>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C929C2">
                          <w:pPr>
                            <w:pStyle w:val="3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oqY8k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mipjyQEAAJsDAAAOAAAAAAAAAAEAIAAAAB4BAABkcnMvZTJvRG9j&#10;LnhtbFBLBQYAAAAABgAGAFkBAABZBQAAAAA=&#10;">
              <v:fill on="f" focussize="0,0"/>
              <v:stroke on="f"/>
              <v:imagedata o:title=""/>
              <o:lock v:ext="edit" aspectratio="f"/>
              <v:textbox inset="0mm,0mm,0mm,0mm" style="mso-fit-shape-to-text:t;">
                <w:txbxContent>
                  <w:p w14:paraId="1CC929C2">
                    <w:pPr>
                      <w:pStyle w:val="36"/>
                    </w:pPr>
                    <w:r>
                      <w:fldChar w:fldCharType="begin"/>
                    </w:r>
                    <w:r>
                      <w:instrText xml:space="preserve"> PAGE  \* MERGEFORMAT </w:instrText>
                    </w:r>
                    <w:r>
                      <w:fldChar w:fldCharType="separate"/>
                    </w:r>
                    <w:r>
                      <w:t>1</w:t>
                    </w:r>
                    <w:r>
                      <w:fldChar w:fldCharType="end"/>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9755C">
    <w:pPr>
      <w:pStyle w:val="36"/>
      <w:pBdr>
        <w:bottom w:val="none" w:color="auto" w:sz="0" w:space="1"/>
      </w:pBdr>
      <w:jc w:val="right"/>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FE035">
    <w:pPr>
      <w:pStyle w:val="36"/>
      <w:pBdr>
        <w:bottom w:val="none" w:color="auto" w:sz="0" w:space="1"/>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B5DE63">
                          <w:pPr>
                            <w:pStyle w:val="3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52B5DE63">
                    <w:pPr>
                      <w:pStyle w:val="36"/>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C95DCC"/>
    <w:multiLevelType w:val="singleLevel"/>
    <w:tmpl w:val="EDC95DCC"/>
    <w:lvl w:ilvl="0" w:tentative="0">
      <w:start w:val="6"/>
      <w:numFmt w:val="decimal"/>
      <w:pStyle w:val="431"/>
      <w:suff w:val="nothing"/>
      <w:lvlText w:val="（%1）"/>
      <w:lvlJc w:val="left"/>
      <w:rPr>
        <w:rFonts w:cs="Times New Roman"/>
      </w:rPr>
    </w:lvl>
  </w:abstractNum>
  <w:abstractNum w:abstractNumId="1">
    <w:nsid w:val="F7A79109"/>
    <w:multiLevelType w:val="singleLevel"/>
    <w:tmpl w:val="F7A79109"/>
    <w:lvl w:ilvl="0" w:tentative="0">
      <w:start w:val="1"/>
      <w:numFmt w:val="decimal"/>
      <w:lvlText w:val="%1."/>
      <w:lvlJc w:val="left"/>
      <w:pPr>
        <w:tabs>
          <w:tab w:val="left" w:pos="312"/>
        </w:tabs>
      </w:pPr>
    </w:lvl>
  </w:abstractNum>
  <w:abstractNum w:abstractNumId="2">
    <w:nsid w:val="773868BB"/>
    <w:multiLevelType w:val="singleLevel"/>
    <w:tmpl w:val="773868BB"/>
    <w:lvl w:ilvl="0" w:tentative="0">
      <w:start w:val="15"/>
      <w:numFmt w:val="chineseCounting"/>
      <w:suff w:val="nothing"/>
      <w:lvlText w:val="（%1）"/>
      <w:lvlJc w:val="left"/>
      <w:rPr>
        <w:rFonts w:hint="eastAsia"/>
      </w:rPr>
    </w:lvl>
  </w:abstractNum>
  <w:abstractNum w:abstractNumId="3">
    <w:nsid w:val="773BA245"/>
    <w:multiLevelType w:val="singleLevel"/>
    <w:tmpl w:val="773BA245"/>
    <w:lvl w:ilvl="0" w:tentative="0">
      <w:start w:val="6"/>
      <w:numFmt w:val="chineseCounting"/>
      <w:suff w:val="nothing"/>
      <w:lvlText w:val="%1、"/>
      <w:lvlJc w:val="left"/>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0MWI0MDAyMzc1MmZmZThiMDFlMTBlODNlMGIzY2EifQ=="/>
  </w:docVars>
  <w:rsids>
    <w:rsidRoot w:val="009127AD"/>
    <w:rsid w:val="0000001E"/>
    <w:rsid w:val="0000521B"/>
    <w:rsid w:val="00006A53"/>
    <w:rsid w:val="000113BF"/>
    <w:rsid w:val="000116BC"/>
    <w:rsid w:val="000127BD"/>
    <w:rsid w:val="00012DF9"/>
    <w:rsid w:val="0001300E"/>
    <w:rsid w:val="00013EE6"/>
    <w:rsid w:val="00014BE7"/>
    <w:rsid w:val="0001668C"/>
    <w:rsid w:val="0001798C"/>
    <w:rsid w:val="00017BDF"/>
    <w:rsid w:val="00017F8F"/>
    <w:rsid w:val="000212F4"/>
    <w:rsid w:val="0002132A"/>
    <w:rsid w:val="00021AC3"/>
    <w:rsid w:val="000232CD"/>
    <w:rsid w:val="0002335A"/>
    <w:rsid w:val="0002529C"/>
    <w:rsid w:val="00025483"/>
    <w:rsid w:val="00026EA5"/>
    <w:rsid w:val="00027F5B"/>
    <w:rsid w:val="000306D9"/>
    <w:rsid w:val="0003377D"/>
    <w:rsid w:val="00035CD3"/>
    <w:rsid w:val="00040C12"/>
    <w:rsid w:val="000418A8"/>
    <w:rsid w:val="0004335C"/>
    <w:rsid w:val="00043DA5"/>
    <w:rsid w:val="00045447"/>
    <w:rsid w:val="0004655C"/>
    <w:rsid w:val="0005026B"/>
    <w:rsid w:val="00050346"/>
    <w:rsid w:val="0005661C"/>
    <w:rsid w:val="0005735B"/>
    <w:rsid w:val="000600DC"/>
    <w:rsid w:val="00060845"/>
    <w:rsid w:val="00060FC9"/>
    <w:rsid w:val="00061761"/>
    <w:rsid w:val="0006183B"/>
    <w:rsid w:val="00061E99"/>
    <w:rsid w:val="00062E46"/>
    <w:rsid w:val="000634A5"/>
    <w:rsid w:val="00064DDE"/>
    <w:rsid w:val="00065721"/>
    <w:rsid w:val="00067960"/>
    <w:rsid w:val="00071085"/>
    <w:rsid w:val="00071555"/>
    <w:rsid w:val="00072E43"/>
    <w:rsid w:val="00074FF0"/>
    <w:rsid w:val="00075ACF"/>
    <w:rsid w:val="00075D0E"/>
    <w:rsid w:val="000761B5"/>
    <w:rsid w:val="00076F08"/>
    <w:rsid w:val="00077894"/>
    <w:rsid w:val="00080616"/>
    <w:rsid w:val="00080CDF"/>
    <w:rsid w:val="0008260D"/>
    <w:rsid w:val="00082D4B"/>
    <w:rsid w:val="00083719"/>
    <w:rsid w:val="00084614"/>
    <w:rsid w:val="00084779"/>
    <w:rsid w:val="00084E7D"/>
    <w:rsid w:val="0008617B"/>
    <w:rsid w:val="00086C02"/>
    <w:rsid w:val="00087B8B"/>
    <w:rsid w:val="00090208"/>
    <w:rsid w:val="000911ED"/>
    <w:rsid w:val="000927EE"/>
    <w:rsid w:val="0009568D"/>
    <w:rsid w:val="00096455"/>
    <w:rsid w:val="000A0226"/>
    <w:rsid w:val="000A12F5"/>
    <w:rsid w:val="000A256A"/>
    <w:rsid w:val="000A2C0B"/>
    <w:rsid w:val="000A3511"/>
    <w:rsid w:val="000A4565"/>
    <w:rsid w:val="000A5106"/>
    <w:rsid w:val="000A5119"/>
    <w:rsid w:val="000A67B7"/>
    <w:rsid w:val="000A7557"/>
    <w:rsid w:val="000A7F22"/>
    <w:rsid w:val="000B307A"/>
    <w:rsid w:val="000B3996"/>
    <w:rsid w:val="000B4390"/>
    <w:rsid w:val="000B58C4"/>
    <w:rsid w:val="000B58EF"/>
    <w:rsid w:val="000B68C7"/>
    <w:rsid w:val="000C050B"/>
    <w:rsid w:val="000C1FD7"/>
    <w:rsid w:val="000C4E1D"/>
    <w:rsid w:val="000C5857"/>
    <w:rsid w:val="000C6D04"/>
    <w:rsid w:val="000C7AE8"/>
    <w:rsid w:val="000D0435"/>
    <w:rsid w:val="000D048C"/>
    <w:rsid w:val="000D064B"/>
    <w:rsid w:val="000D11E9"/>
    <w:rsid w:val="000D1E06"/>
    <w:rsid w:val="000D4B75"/>
    <w:rsid w:val="000D50C2"/>
    <w:rsid w:val="000D649E"/>
    <w:rsid w:val="000D6812"/>
    <w:rsid w:val="000E01AC"/>
    <w:rsid w:val="000E57D8"/>
    <w:rsid w:val="000E69C5"/>
    <w:rsid w:val="000E7E1E"/>
    <w:rsid w:val="000F0CD9"/>
    <w:rsid w:val="000F1DC7"/>
    <w:rsid w:val="000F2ABF"/>
    <w:rsid w:val="000F3498"/>
    <w:rsid w:val="000F4406"/>
    <w:rsid w:val="000F460A"/>
    <w:rsid w:val="000F5622"/>
    <w:rsid w:val="000F684A"/>
    <w:rsid w:val="0010099D"/>
    <w:rsid w:val="00101B63"/>
    <w:rsid w:val="00103AF7"/>
    <w:rsid w:val="00104031"/>
    <w:rsid w:val="00104E0E"/>
    <w:rsid w:val="00107475"/>
    <w:rsid w:val="00110245"/>
    <w:rsid w:val="00110715"/>
    <w:rsid w:val="0011072B"/>
    <w:rsid w:val="001109CE"/>
    <w:rsid w:val="00111383"/>
    <w:rsid w:val="001115EE"/>
    <w:rsid w:val="001117CE"/>
    <w:rsid w:val="001128C6"/>
    <w:rsid w:val="0011326D"/>
    <w:rsid w:val="00115647"/>
    <w:rsid w:val="00116FE4"/>
    <w:rsid w:val="0011710C"/>
    <w:rsid w:val="00117287"/>
    <w:rsid w:val="00117B2A"/>
    <w:rsid w:val="0012001C"/>
    <w:rsid w:val="00121F3C"/>
    <w:rsid w:val="00122BA5"/>
    <w:rsid w:val="00123C8E"/>
    <w:rsid w:val="001243C8"/>
    <w:rsid w:val="00125BF4"/>
    <w:rsid w:val="001264F2"/>
    <w:rsid w:val="00126958"/>
    <w:rsid w:val="0012784E"/>
    <w:rsid w:val="00127D29"/>
    <w:rsid w:val="00133EB1"/>
    <w:rsid w:val="0013410E"/>
    <w:rsid w:val="00134131"/>
    <w:rsid w:val="00134B95"/>
    <w:rsid w:val="00134E84"/>
    <w:rsid w:val="00136B0C"/>
    <w:rsid w:val="00137763"/>
    <w:rsid w:val="001400C3"/>
    <w:rsid w:val="00140161"/>
    <w:rsid w:val="00140794"/>
    <w:rsid w:val="00140A0F"/>
    <w:rsid w:val="001427FF"/>
    <w:rsid w:val="0014335A"/>
    <w:rsid w:val="00144055"/>
    <w:rsid w:val="001443F8"/>
    <w:rsid w:val="00145F3F"/>
    <w:rsid w:val="00146A62"/>
    <w:rsid w:val="001471FD"/>
    <w:rsid w:val="00147D75"/>
    <w:rsid w:val="00150521"/>
    <w:rsid w:val="00153AF0"/>
    <w:rsid w:val="0015426F"/>
    <w:rsid w:val="00156A6E"/>
    <w:rsid w:val="00157623"/>
    <w:rsid w:val="001577E1"/>
    <w:rsid w:val="0016039E"/>
    <w:rsid w:val="001627C1"/>
    <w:rsid w:val="00164191"/>
    <w:rsid w:val="001659CD"/>
    <w:rsid w:val="00167108"/>
    <w:rsid w:val="00170E28"/>
    <w:rsid w:val="00171436"/>
    <w:rsid w:val="00172716"/>
    <w:rsid w:val="0017379B"/>
    <w:rsid w:val="0017470E"/>
    <w:rsid w:val="00176559"/>
    <w:rsid w:val="001801A0"/>
    <w:rsid w:val="0018081A"/>
    <w:rsid w:val="00180A2C"/>
    <w:rsid w:val="00180E5E"/>
    <w:rsid w:val="0018313E"/>
    <w:rsid w:val="0018427B"/>
    <w:rsid w:val="001862C6"/>
    <w:rsid w:val="0018799B"/>
    <w:rsid w:val="00187FE4"/>
    <w:rsid w:val="00191AEE"/>
    <w:rsid w:val="00193C14"/>
    <w:rsid w:val="00194133"/>
    <w:rsid w:val="00196BE3"/>
    <w:rsid w:val="001A1A56"/>
    <w:rsid w:val="001A4705"/>
    <w:rsid w:val="001A663F"/>
    <w:rsid w:val="001B0AB1"/>
    <w:rsid w:val="001B2A74"/>
    <w:rsid w:val="001B4345"/>
    <w:rsid w:val="001B728E"/>
    <w:rsid w:val="001B7BFD"/>
    <w:rsid w:val="001C0018"/>
    <w:rsid w:val="001C1199"/>
    <w:rsid w:val="001C1346"/>
    <w:rsid w:val="001C25A1"/>
    <w:rsid w:val="001C3BDC"/>
    <w:rsid w:val="001C4EB3"/>
    <w:rsid w:val="001D06F8"/>
    <w:rsid w:val="001D0A23"/>
    <w:rsid w:val="001D0F88"/>
    <w:rsid w:val="001D17E8"/>
    <w:rsid w:val="001D211D"/>
    <w:rsid w:val="001D2486"/>
    <w:rsid w:val="001D54B7"/>
    <w:rsid w:val="001D7891"/>
    <w:rsid w:val="001E2965"/>
    <w:rsid w:val="001E2A76"/>
    <w:rsid w:val="001E55A5"/>
    <w:rsid w:val="001E5991"/>
    <w:rsid w:val="001E5ECD"/>
    <w:rsid w:val="001E66FF"/>
    <w:rsid w:val="001E7E59"/>
    <w:rsid w:val="001F144A"/>
    <w:rsid w:val="001F3B13"/>
    <w:rsid w:val="001F3C4E"/>
    <w:rsid w:val="001F562C"/>
    <w:rsid w:val="001F70ED"/>
    <w:rsid w:val="001F76F5"/>
    <w:rsid w:val="00201173"/>
    <w:rsid w:val="0020130B"/>
    <w:rsid w:val="002024DE"/>
    <w:rsid w:val="00203021"/>
    <w:rsid w:val="002041CB"/>
    <w:rsid w:val="002043A6"/>
    <w:rsid w:val="002074EE"/>
    <w:rsid w:val="00210BA2"/>
    <w:rsid w:val="00210F05"/>
    <w:rsid w:val="00211B1D"/>
    <w:rsid w:val="002120DF"/>
    <w:rsid w:val="00214C33"/>
    <w:rsid w:val="00214C97"/>
    <w:rsid w:val="00215253"/>
    <w:rsid w:val="002152D7"/>
    <w:rsid w:val="002159A0"/>
    <w:rsid w:val="00221217"/>
    <w:rsid w:val="0022143A"/>
    <w:rsid w:val="00223799"/>
    <w:rsid w:val="00223B31"/>
    <w:rsid w:val="00224AE9"/>
    <w:rsid w:val="00225063"/>
    <w:rsid w:val="002263A7"/>
    <w:rsid w:val="00230814"/>
    <w:rsid w:val="00230B8F"/>
    <w:rsid w:val="00231041"/>
    <w:rsid w:val="002317F5"/>
    <w:rsid w:val="0023313F"/>
    <w:rsid w:val="002367F1"/>
    <w:rsid w:val="00236E30"/>
    <w:rsid w:val="00237C21"/>
    <w:rsid w:val="00237F27"/>
    <w:rsid w:val="00240868"/>
    <w:rsid w:val="00243113"/>
    <w:rsid w:val="0024416F"/>
    <w:rsid w:val="002445E5"/>
    <w:rsid w:val="00244858"/>
    <w:rsid w:val="00244F56"/>
    <w:rsid w:val="00245DA9"/>
    <w:rsid w:val="00246897"/>
    <w:rsid w:val="002471D6"/>
    <w:rsid w:val="0024773C"/>
    <w:rsid w:val="002508E8"/>
    <w:rsid w:val="00251CDC"/>
    <w:rsid w:val="00252AF4"/>
    <w:rsid w:val="00252D67"/>
    <w:rsid w:val="002541E3"/>
    <w:rsid w:val="00254255"/>
    <w:rsid w:val="00254BCF"/>
    <w:rsid w:val="00254CDE"/>
    <w:rsid w:val="00255870"/>
    <w:rsid w:val="002573EB"/>
    <w:rsid w:val="00257580"/>
    <w:rsid w:val="002579D2"/>
    <w:rsid w:val="00257D27"/>
    <w:rsid w:val="00260307"/>
    <w:rsid w:val="0026054F"/>
    <w:rsid w:val="00260F59"/>
    <w:rsid w:val="00264F9F"/>
    <w:rsid w:val="0026578F"/>
    <w:rsid w:val="00267C3C"/>
    <w:rsid w:val="002716CF"/>
    <w:rsid w:val="0027200E"/>
    <w:rsid w:val="0027284D"/>
    <w:rsid w:val="00273492"/>
    <w:rsid w:val="0027410A"/>
    <w:rsid w:val="00274DB3"/>
    <w:rsid w:val="0027569A"/>
    <w:rsid w:val="002769AB"/>
    <w:rsid w:val="00276EEC"/>
    <w:rsid w:val="00277C6B"/>
    <w:rsid w:val="00277FD7"/>
    <w:rsid w:val="00280E7A"/>
    <w:rsid w:val="0028108C"/>
    <w:rsid w:val="00281C89"/>
    <w:rsid w:val="00283C86"/>
    <w:rsid w:val="0028666F"/>
    <w:rsid w:val="00286D59"/>
    <w:rsid w:val="00287150"/>
    <w:rsid w:val="0028742C"/>
    <w:rsid w:val="00287E2A"/>
    <w:rsid w:val="002902FD"/>
    <w:rsid w:val="00291D9C"/>
    <w:rsid w:val="002922CE"/>
    <w:rsid w:val="002928E1"/>
    <w:rsid w:val="00297E7F"/>
    <w:rsid w:val="002A0674"/>
    <w:rsid w:val="002A14FE"/>
    <w:rsid w:val="002A1E9F"/>
    <w:rsid w:val="002A21A4"/>
    <w:rsid w:val="002A2A02"/>
    <w:rsid w:val="002A2ED4"/>
    <w:rsid w:val="002A43CE"/>
    <w:rsid w:val="002A4594"/>
    <w:rsid w:val="002A4DFF"/>
    <w:rsid w:val="002A6400"/>
    <w:rsid w:val="002A7F50"/>
    <w:rsid w:val="002B008B"/>
    <w:rsid w:val="002B054B"/>
    <w:rsid w:val="002B2C60"/>
    <w:rsid w:val="002B33F1"/>
    <w:rsid w:val="002B44AF"/>
    <w:rsid w:val="002B4E4C"/>
    <w:rsid w:val="002B4F17"/>
    <w:rsid w:val="002B5A8D"/>
    <w:rsid w:val="002B7731"/>
    <w:rsid w:val="002B7B0E"/>
    <w:rsid w:val="002B7BA9"/>
    <w:rsid w:val="002C07B2"/>
    <w:rsid w:val="002C14AD"/>
    <w:rsid w:val="002C1ED4"/>
    <w:rsid w:val="002C246F"/>
    <w:rsid w:val="002C278B"/>
    <w:rsid w:val="002C2C59"/>
    <w:rsid w:val="002C2EE1"/>
    <w:rsid w:val="002C334D"/>
    <w:rsid w:val="002C38FC"/>
    <w:rsid w:val="002C39F9"/>
    <w:rsid w:val="002C3D33"/>
    <w:rsid w:val="002C3E8A"/>
    <w:rsid w:val="002C47DC"/>
    <w:rsid w:val="002C5FC9"/>
    <w:rsid w:val="002C73E3"/>
    <w:rsid w:val="002C7A68"/>
    <w:rsid w:val="002C7C69"/>
    <w:rsid w:val="002D02AA"/>
    <w:rsid w:val="002D591D"/>
    <w:rsid w:val="002D6F02"/>
    <w:rsid w:val="002D6FE5"/>
    <w:rsid w:val="002D72FE"/>
    <w:rsid w:val="002D7B99"/>
    <w:rsid w:val="002E1032"/>
    <w:rsid w:val="002E18C4"/>
    <w:rsid w:val="002E1993"/>
    <w:rsid w:val="002E2FAB"/>
    <w:rsid w:val="002E3012"/>
    <w:rsid w:val="002E48F7"/>
    <w:rsid w:val="002E51FF"/>
    <w:rsid w:val="002E572B"/>
    <w:rsid w:val="002F08FB"/>
    <w:rsid w:val="002F15BC"/>
    <w:rsid w:val="002F1A64"/>
    <w:rsid w:val="002F20BF"/>
    <w:rsid w:val="002F2F27"/>
    <w:rsid w:val="002F30F9"/>
    <w:rsid w:val="002F31F6"/>
    <w:rsid w:val="002F54C9"/>
    <w:rsid w:val="002F575F"/>
    <w:rsid w:val="002F7883"/>
    <w:rsid w:val="00300096"/>
    <w:rsid w:val="00300BBE"/>
    <w:rsid w:val="00301FA6"/>
    <w:rsid w:val="0030375C"/>
    <w:rsid w:val="0030522B"/>
    <w:rsid w:val="00307923"/>
    <w:rsid w:val="00310BDC"/>
    <w:rsid w:val="003124B0"/>
    <w:rsid w:val="00313064"/>
    <w:rsid w:val="00313919"/>
    <w:rsid w:val="00313CD8"/>
    <w:rsid w:val="00314B7F"/>
    <w:rsid w:val="003164A0"/>
    <w:rsid w:val="003174D9"/>
    <w:rsid w:val="003178CB"/>
    <w:rsid w:val="00317E8E"/>
    <w:rsid w:val="00320318"/>
    <w:rsid w:val="00320B69"/>
    <w:rsid w:val="00320C8F"/>
    <w:rsid w:val="0032309B"/>
    <w:rsid w:val="00323E98"/>
    <w:rsid w:val="003244F9"/>
    <w:rsid w:val="00325AF4"/>
    <w:rsid w:val="003262AB"/>
    <w:rsid w:val="00326F5F"/>
    <w:rsid w:val="003315D7"/>
    <w:rsid w:val="00331933"/>
    <w:rsid w:val="00334041"/>
    <w:rsid w:val="003341E4"/>
    <w:rsid w:val="00334427"/>
    <w:rsid w:val="00337396"/>
    <w:rsid w:val="00337A4F"/>
    <w:rsid w:val="0034437B"/>
    <w:rsid w:val="003452C2"/>
    <w:rsid w:val="00345698"/>
    <w:rsid w:val="003463B1"/>
    <w:rsid w:val="00347584"/>
    <w:rsid w:val="00347DE0"/>
    <w:rsid w:val="00350353"/>
    <w:rsid w:val="00350961"/>
    <w:rsid w:val="00350A78"/>
    <w:rsid w:val="003525C8"/>
    <w:rsid w:val="00352CC7"/>
    <w:rsid w:val="00353DD4"/>
    <w:rsid w:val="003551E9"/>
    <w:rsid w:val="003562AC"/>
    <w:rsid w:val="003566D5"/>
    <w:rsid w:val="00356C0F"/>
    <w:rsid w:val="00357DBA"/>
    <w:rsid w:val="00360407"/>
    <w:rsid w:val="00363315"/>
    <w:rsid w:val="00363ACC"/>
    <w:rsid w:val="0036401A"/>
    <w:rsid w:val="0036454D"/>
    <w:rsid w:val="00365BF9"/>
    <w:rsid w:val="003665AF"/>
    <w:rsid w:val="003676B4"/>
    <w:rsid w:val="00367B68"/>
    <w:rsid w:val="00367C7C"/>
    <w:rsid w:val="00367D5E"/>
    <w:rsid w:val="003714B9"/>
    <w:rsid w:val="003718B2"/>
    <w:rsid w:val="00371EC3"/>
    <w:rsid w:val="00372538"/>
    <w:rsid w:val="0037262C"/>
    <w:rsid w:val="003729F3"/>
    <w:rsid w:val="00376016"/>
    <w:rsid w:val="00382BDD"/>
    <w:rsid w:val="003846A2"/>
    <w:rsid w:val="00384DD7"/>
    <w:rsid w:val="00386C6A"/>
    <w:rsid w:val="00387C4F"/>
    <w:rsid w:val="00391BD8"/>
    <w:rsid w:val="0039219E"/>
    <w:rsid w:val="00393D3B"/>
    <w:rsid w:val="003940B1"/>
    <w:rsid w:val="00395893"/>
    <w:rsid w:val="00396559"/>
    <w:rsid w:val="00396F21"/>
    <w:rsid w:val="003A089A"/>
    <w:rsid w:val="003A2571"/>
    <w:rsid w:val="003A3B4A"/>
    <w:rsid w:val="003A3DEE"/>
    <w:rsid w:val="003A5111"/>
    <w:rsid w:val="003B00F1"/>
    <w:rsid w:val="003B13C0"/>
    <w:rsid w:val="003B18F4"/>
    <w:rsid w:val="003B1DF6"/>
    <w:rsid w:val="003B2F8E"/>
    <w:rsid w:val="003B51D6"/>
    <w:rsid w:val="003C0C58"/>
    <w:rsid w:val="003C0D34"/>
    <w:rsid w:val="003C1C76"/>
    <w:rsid w:val="003C2CD9"/>
    <w:rsid w:val="003C5351"/>
    <w:rsid w:val="003C7D12"/>
    <w:rsid w:val="003D084F"/>
    <w:rsid w:val="003D0F18"/>
    <w:rsid w:val="003D1ED4"/>
    <w:rsid w:val="003D3866"/>
    <w:rsid w:val="003D3A1D"/>
    <w:rsid w:val="003D53CD"/>
    <w:rsid w:val="003D5A1F"/>
    <w:rsid w:val="003D73A3"/>
    <w:rsid w:val="003E0D88"/>
    <w:rsid w:val="003E1169"/>
    <w:rsid w:val="003E1DC8"/>
    <w:rsid w:val="003E2B4A"/>
    <w:rsid w:val="003E3006"/>
    <w:rsid w:val="003E486C"/>
    <w:rsid w:val="003E4A15"/>
    <w:rsid w:val="003E5569"/>
    <w:rsid w:val="003E72E2"/>
    <w:rsid w:val="003E7990"/>
    <w:rsid w:val="003F282C"/>
    <w:rsid w:val="003F3BB0"/>
    <w:rsid w:val="003F44F5"/>
    <w:rsid w:val="003F4DAD"/>
    <w:rsid w:val="00401DEF"/>
    <w:rsid w:val="00401E49"/>
    <w:rsid w:val="00403DCA"/>
    <w:rsid w:val="004043E6"/>
    <w:rsid w:val="00405639"/>
    <w:rsid w:val="0041003A"/>
    <w:rsid w:val="00410071"/>
    <w:rsid w:val="00413011"/>
    <w:rsid w:val="004167F2"/>
    <w:rsid w:val="00420F19"/>
    <w:rsid w:val="00420F72"/>
    <w:rsid w:val="00421694"/>
    <w:rsid w:val="004216B1"/>
    <w:rsid w:val="004224FA"/>
    <w:rsid w:val="00422EE4"/>
    <w:rsid w:val="00423322"/>
    <w:rsid w:val="00423395"/>
    <w:rsid w:val="00423521"/>
    <w:rsid w:val="00425488"/>
    <w:rsid w:val="00425A21"/>
    <w:rsid w:val="004261D0"/>
    <w:rsid w:val="00430143"/>
    <w:rsid w:val="00430D10"/>
    <w:rsid w:val="00431FA8"/>
    <w:rsid w:val="004325C8"/>
    <w:rsid w:val="00432B81"/>
    <w:rsid w:val="004338CD"/>
    <w:rsid w:val="004339A2"/>
    <w:rsid w:val="0043610B"/>
    <w:rsid w:val="00437A30"/>
    <w:rsid w:val="00437B07"/>
    <w:rsid w:val="004403EA"/>
    <w:rsid w:val="004413E7"/>
    <w:rsid w:val="004431A4"/>
    <w:rsid w:val="00445717"/>
    <w:rsid w:val="004462A6"/>
    <w:rsid w:val="00446BDD"/>
    <w:rsid w:val="0045120F"/>
    <w:rsid w:val="0045296E"/>
    <w:rsid w:val="004578DA"/>
    <w:rsid w:val="00460453"/>
    <w:rsid w:val="00460857"/>
    <w:rsid w:val="0046096A"/>
    <w:rsid w:val="00460FD3"/>
    <w:rsid w:val="004618DC"/>
    <w:rsid w:val="004625AD"/>
    <w:rsid w:val="00462B00"/>
    <w:rsid w:val="00464A6A"/>
    <w:rsid w:val="00464D8F"/>
    <w:rsid w:val="0046621F"/>
    <w:rsid w:val="00466EFA"/>
    <w:rsid w:val="00470285"/>
    <w:rsid w:val="004727FD"/>
    <w:rsid w:val="0047403F"/>
    <w:rsid w:val="0047485B"/>
    <w:rsid w:val="00474A20"/>
    <w:rsid w:val="004752DA"/>
    <w:rsid w:val="004758B9"/>
    <w:rsid w:val="00476CE5"/>
    <w:rsid w:val="004806A0"/>
    <w:rsid w:val="0048263A"/>
    <w:rsid w:val="004855F1"/>
    <w:rsid w:val="004859E0"/>
    <w:rsid w:val="004876B5"/>
    <w:rsid w:val="00487B3A"/>
    <w:rsid w:val="00487BC5"/>
    <w:rsid w:val="00490BCE"/>
    <w:rsid w:val="00490DCF"/>
    <w:rsid w:val="0049150E"/>
    <w:rsid w:val="00493BE0"/>
    <w:rsid w:val="0049434F"/>
    <w:rsid w:val="00495D69"/>
    <w:rsid w:val="004A049E"/>
    <w:rsid w:val="004A0834"/>
    <w:rsid w:val="004A0E6A"/>
    <w:rsid w:val="004A1D42"/>
    <w:rsid w:val="004A2F27"/>
    <w:rsid w:val="004A32D0"/>
    <w:rsid w:val="004A3F5E"/>
    <w:rsid w:val="004A4A37"/>
    <w:rsid w:val="004A4BDD"/>
    <w:rsid w:val="004A4F77"/>
    <w:rsid w:val="004A667D"/>
    <w:rsid w:val="004A6747"/>
    <w:rsid w:val="004A67AF"/>
    <w:rsid w:val="004A73F9"/>
    <w:rsid w:val="004A75E7"/>
    <w:rsid w:val="004B08A7"/>
    <w:rsid w:val="004B1E3E"/>
    <w:rsid w:val="004B26A1"/>
    <w:rsid w:val="004B313A"/>
    <w:rsid w:val="004B31D5"/>
    <w:rsid w:val="004B4B1D"/>
    <w:rsid w:val="004B5DB4"/>
    <w:rsid w:val="004B6BE0"/>
    <w:rsid w:val="004B7945"/>
    <w:rsid w:val="004B7B3C"/>
    <w:rsid w:val="004C2AF7"/>
    <w:rsid w:val="004C3A88"/>
    <w:rsid w:val="004C3F74"/>
    <w:rsid w:val="004C4247"/>
    <w:rsid w:val="004C53DC"/>
    <w:rsid w:val="004C6ED3"/>
    <w:rsid w:val="004D07B0"/>
    <w:rsid w:val="004D3E12"/>
    <w:rsid w:val="004E0261"/>
    <w:rsid w:val="004E387E"/>
    <w:rsid w:val="004E5EED"/>
    <w:rsid w:val="004E6EE3"/>
    <w:rsid w:val="004E7C27"/>
    <w:rsid w:val="004F2693"/>
    <w:rsid w:val="004F43E8"/>
    <w:rsid w:val="004F52B0"/>
    <w:rsid w:val="004F55F8"/>
    <w:rsid w:val="004F577D"/>
    <w:rsid w:val="004F6FD3"/>
    <w:rsid w:val="004F768C"/>
    <w:rsid w:val="004F7A3D"/>
    <w:rsid w:val="00501DA8"/>
    <w:rsid w:val="00502B96"/>
    <w:rsid w:val="00504A68"/>
    <w:rsid w:val="0050553A"/>
    <w:rsid w:val="00510288"/>
    <w:rsid w:val="00511BCE"/>
    <w:rsid w:val="00512D1E"/>
    <w:rsid w:val="0051327C"/>
    <w:rsid w:val="005171CD"/>
    <w:rsid w:val="00522DDC"/>
    <w:rsid w:val="005232FD"/>
    <w:rsid w:val="005243A7"/>
    <w:rsid w:val="00527607"/>
    <w:rsid w:val="005303A9"/>
    <w:rsid w:val="005308F5"/>
    <w:rsid w:val="00530C41"/>
    <w:rsid w:val="005315F3"/>
    <w:rsid w:val="00531FEF"/>
    <w:rsid w:val="00533793"/>
    <w:rsid w:val="00534F86"/>
    <w:rsid w:val="00535080"/>
    <w:rsid w:val="005365F0"/>
    <w:rsid w:val="00536AE2"/>
    <w:rsid w:val="00537105"/>
    <w:rsid w:val="00541800"/>
    <w:rsid w:val="005419EA"/>
    <w:rsid w:val="00543BB6"/>
    <w:rsid w:val="00543EC2"/>
    <w:rsid w:val="00543FC1"/>
    <w:rsid w:val="0054511D"/>
    <w:rsid w:val="00545154"/>
    <w:rsid w:val="00545F2C"/>
    <w:rsid w:val="00552050"/>
    <w:rsid w:val="0055309E"/>
    <w:rsid w:val="00553100"/>
    <w:rsid w:val="00553804"/>
    <w:rsid w:val="005546B4"/>
    <w:rsid w:val="005570B9"/>
    <w:rsid w:val="0055737C"/>
    <w:rsid w:val="005574CC"/>
    <w:rsid w:val="005615D0"/>
    <w:rsid w:val="005624D6"/>
    <w:rsid w:val="005655D5"/>
    <w:rsid w:val="00566F6D"/>
    <w:rsid w:val="00574143"/>
    <w:rsid w:val="0057570C"/>
    <w:rsid w:val="00575E17"/>
    <w:rsid w:val="00577EBC"/>
    <w:rsid w:val="00577F28"/>
    <w:rsid w:val="00580BDD"/>
    <w:rsid w:val="00581949"/>
    <w:rsid w:val="00584461"/>
    <w:rsid w:val="005872D2"/>
    <w:rsid w:val="00587670"/>
    <w:rsid w:val="005918C8"/>
    <w:rsid w:val="00592139"/>
    <w:rsid w:val="00593306"/>
    <w:rsid w:val="00593D97"/>
    <w:rsid w:val="00595BC0"/>
    <w:rsid w:val="00595DCE"/>
    <w:rsid w:val="0059761C"/>
    <w:rsid w:val="005A059C"/>
    <w:rsid w:val="005A1A4B"/>
    <w:rsid w:val="005A47C3"/>
    <w:rsid w:val="005A5837"/>
    <w:rsid w:val="005A5EB8"/>
    <w:rsid w:val="005A61F2"/>
    <w:rsid w:val="005A7E2E"/>
    <w:rsid w:val="005B06CE"/>
    <w:rsid w:val="005B0E68"/>
    <w:rsid w:val="005B1D95"/>
    <w:rsid w:val="005B1E32"/>
    <w:rsid w:val="005B29A7"/>
    <w:rsid w:val="005B3563"/>
    <w:rsid w:val="005B59B5"/>
    <w:rsid w:val="005B5DA2"/>
    <w:rsid w:val="005B5F02"/>
    <w:rsid w:val="005B683C"/>
    <w:rsid w:val="005B6C18"/>
    <w:rsid w:val="005B7513"/>
    <w:rsid w:val="005B7D3D"/>
    <w:rsid w:val="005C0434"/>
    <w:rsid w:val="005C16E6"/>
    <w:rsid w:val="005C2A2B"/>
    <w:rsid w:val="005C59B2"/>
    <w:rsid w:val="005C77E9"/>
    <w:rsid w:val="005D27A4"/>
    <w:rsid w:val="005D2832"/>
    <w:rsid w:val="005D6433"/>
    <w:rsid w:val="005D789B"/>
    <w:rsid w:val="005D7ECF"/>
    <w:rsid w:val="005E04DC"/>
    <w:rsid w:val="005E3CA0"/>
    <w:rsid w:val="005E481C"/>
    <w:rsid w:val="005E730A"/>
    <w:rsid w:val="005E7A08"/>
    <w:rsid w:val="005E7E2F"/>
    <w:rsid w:val="005F0646"/>
    <w:rsid w:val="005F1AF1"/>
    <w:rsid w:val="005F2330"/>
    <w:rsid w:val="005F252D"/>
    <w:rsid w:val="005F28FA"/>
    <w:rsid w:val="005F5D90"/>
    <w:rsid w:val="006026CF"/>
    <w:rsid w:val="00604F6D"/>
    <w:rsid w:val="0060545D"/>
    <w:rsid w:val="00607F1C"/>
    <w:rsid w:val="006107EF"/>
    <w:rsid w:val="006113A1"/>
    <w:rsid w:val="00611636"/>
    <w:rsid w:val="00612E9E"/>
    <w:rsid w:val="00614564"/>
    <w:rsid w:val="00616B4A"/>
    <w:rsid w:val="00617571"/>
    <w:rsid w:val="006200D6"/>
    <w:rsid w:val="006201F3"/>
    <w:rsid w:val="00621068"/>
    <w:rsid w:val="0062195C"/>
    <w:rsid w:val="00621A97"/>
    <w:rsid w:val="00624CE9"/>
    <w:rsid w:val="00625456"/>
    <w:rsid w:val="00625799"/>
    <w:rsid w:val="0062593B"/>
    <w:rsid w:val="0062596E"/>
    <w:rsid w:val="00627BF8"/>
    <w:rsid w:val="00627C0C"/>
    <w:rsid w:val="0063100A"/>
    <w:rsid w:val="00631DF0"/>
    <w:rsid w:val="00633050"/>
    <w:rsid w:val="00633198"/>
    <w:rsid w:val="006340E9"/>
    <w:rsid w:val="006355FE"/>
    <w:rsid w:val="0063631D"/>
    <w:rsid w:val="00636C63"/>
    <w:rsid w:val="00637DBA"/>
    <w:rsid w:val="00637E20"/>
    <w:rsid w:val="00640889"/>
    <w:rsid w:val="00640CBF"/>
    <w:rsid w:val="006429B3"/>
    <w:rsid w:val="0064489D"/>
    <w:rsid w:val="006468BD"/>
    <w:rsid w:val="00646AB9"/>
    <w:rsid w:val="0064780B"/>
    <w:rsid w:val="0065166B"/>
    <w:rsid w:val="0065225B"/>
    <w:rsid w:val="00653836"/>
    <w:rsid w:val="00655ADD"/>
    <w:rsid w:val="00655F5E"/>
    <w:rsid w:val="006569F4"/>
    <w:rsid w:val="00657047"/>
    <w:rsid w:val="00657368"/>
    <w:rsid w:val="006616B1"/>
    <w:rsid w:val="00662120"/>
    <w:rsid w:val="00662BD1"/>
    <w:rsid w:val="006643FB"/>
    <w:rsid w:val="00665342"/>
    <w:rsid w:val="00667C5B"/>
    <w:rsid w:val="00672266"/>
    <w:rsid w:val="0067392D"/>
    <w:rsid w:val="006753E7"/>
    <w:rsid w:val="00676914"/>
    <w:rsid w:val="00683086"/>
    <w:rsid w:val="00687C36"/>
    <w:rsid w:val="006922D2"/>
    <w:rsid w:val="00693079"/>
    <w:rsid w:val="006943F7"/>
    <w:rsid w:val="00695CC4"/>
    <w:rsid w:val="006979EF"/>
    <w:rsid w:val="006A0836"/>
    <w:rsid w:val="006A334C"/>
    <w:rsid w:val="006A5984"/>
    <w:rsid w:val="006A6112"/>
    <w:rsid w:val="006A6CCB"/>
    <w:rsid w:val="006A7937"/>
    <w:rsid w:val="006A7B24"/>
    <w:rsid w:val="006B142A"/>
    <w:rsid w:val="006B2A56"/>
    <w:rsid w:val="006B34D4"/>
    <w:rsid w:val="006B39FC"/>
    <w:rsid w:val="006B53FF"/>
    <w:rsid w:val="006B5689"/>
    <w:rsid w:val="006C04D8"/>
    <w:rsid w:val="006C0A9C"/>
    <w:rsid w:val="006C170C"/>
    <w:rsid w:val="006C2C57"/>
    <w:rsid w:val="006C558E"/>
    <w:rsid w:val="006C6AB5"/>
    <w:rsid w:val="006C6DFB"/>
    <w:rsid w:val="006C7057"/>
    <w:rsid w:val="006C7329"/>
    <w:rsid w:val="006C7D92"/>
    <w:rsid w:val="006D03D0"/>
    <w:rsid w:val="006D219D"/>
    <w:rsid w:val="006D3032"/>
    <w:rsid w:val="006D349A"/>
    <w:rsid w:val="006D3B78"/>
    <w:rsid w:val="006D45D3"/>
    <w:rsid w:val="006D527A"/>
    <w:rsid w:val="006D52EB"/>
    <w:rsid w:val="006D6448"/>
    <w:rsid w:val="006D7F4E"/>
    <w:rsid w:val="006E031B"/>
    <w:rsid w:val="006E2FC9"/>
    <w:rsid w:val="006E3485"/>
    <w:rsid w:val="006E59A4"/>
    <w:rsid w:val="006E71D3"/>
    <w:rsid w:val="006F012B"/>
    <w:rsid w:val="006F0AB0"/>
    <w:rsid w:val="006F314F"/>
    <w:rsid w:val="006F52B1"/>
    <w:rsid w:val="006F67D4"/>
    <w:rsid w:val="006F79B9"/>
    <w:rsid w:val="00702A9C"/>
    <w:rsid w:val="007033DD"/>
    <w:rsid w:val="00703F88"/>
    <w:rsid w:val="00703FEC"/>
    <w:rsid w:val="00704374"/>
    <w:rsid w:val="00704783"/>
    <w:rsid w:val="00704BC3"/>
    <w:rsid w:val="00704EE8"/>
    <w:rsid w:val="007052FD"/>
    <w:rsid w:val="00707483"/>
    <w:rsid w:val="00711BA6"/>
    <w:rsid w:val="00711DA1"/>
    <w:rsid w:val="00711DEB"/>
    <w:rsid w:val="007124D1"/>
    <w:rsid w:val="007128BD"/>
    <w:rsid w:val="00713637"/>
    <w:rsid w:val="00714580"/>
    <w:rsid w:val="00714B30"/>
    <w:rsid w:val="007151C7"/>
    <w:rsid w:val="00715F42"/>
    <w:rsid w:val="00715F87"/>
    <w:rsid w:val="00716B0D"/>
    <w:rsid w:val="00717A2C"/>
    <w:rsid w:val="00717F8C"/>
    <w:rsid w:val="00722924"/>
    <w:rsid w:val="00724AA4"/>
    <w:rsid w:val="007254C7"/>
    <w:rsid w:val="007264A7"/>
    <w:rsid w:val="00730882"/>
    <w:rsid w:val="0073122E"/>
    <w:rsid w:val="0073276C"/>
    <w:rsid w:val="0073370F"/>
    <w:rsid w:val="007338AF"/>
    <w:rsid w:val="007339EE"/>
    <w:rsid w:val="0073436A"/>
    <w:rsid w:val="00735E61"/>
    <w:rsid w:val="0073649A"/>
    <w:rsid w:val="00736D96"/>
    <w:rsid w:val="007375F5"/>
    <w:rsid w:val="00741A8D"/>
    <w:rsid w:val="00741CA5"/>
    <w:rsid w:val="00742701"/>
    <w:rsid w:val="00746814"/>
    <w:rsid w:val="00750EFA"/>
    <w:rsid w:val="007523B8"/>
    <w:rsid w:val="00752B97"/>
    <w:rsid w:val="00753123"/>
    <w:rsid w:val="00755FC4"/>
    <w:rsid w:val="007567F5"/>
    <w:rsid w:val="00756B04"/>
    <w:rsid w:val="00757BC3"/>
    <w:rsid w:val="0076011A"/>
    <w:rsid w:val="00760192"/>
    <w:rsid w:val="00760F86"/>
    <w:rsid w:val="00762EB3"/>
    <w:rsid w:val="00762FD1"/>
    <w:rsid w:val="0076342A"/>
    <w:rsid w:val="00763868"/>
    <w:rsid w:val="0076406B"/>
    <w:rsid w:val="0076657B"/>
    <w:rsid w:val="00767784"/>
    <w:rsid w:val="007677C7"/>
    <w:rsid w:val="00767C6D"/>
    <w:rsid w:val="00770C43"/>
    <w:rsid w:val="00770E9C"/>
    <w:rsid w:val="007714AF"/>
    <w:rsid w:val="0077297C"/>
    <w:rsid w:val="00772F31"/>
    <w:rsid w:val="00773B68"/>
    <w:rsid w:val="007741E4"/>
    <w:rsid w:val="007747A3"/>
    <w:rsid w:val="00775844"/>
    <w:rsid w:val="0077756F"/>
    <w:rsid w:val="00780DD6"/>
    <w:rsid w:val="00781DC1"/>
    <w:rsid w:val="00783145"/>
    <w:rsid w:val="007832B2"/>
    <w:rsid w:val="00786C87"/>
    <w:rsid w:val="0079018B"/>
    <w:rsid w:val="007915A7"/>
    <w:rsid w:val="00793499"/>
    <w:rsid w:val="0079485C"/>
    <w:rsid w:val="00795AA9"/>
    <w:rsid w:val="00796D9A"/>
    <w:rsid w:val="00797872"/>
    <w:rsid w:val="007A0D79"/>
    <w:rsid w:val="007A1DFA"/>
    <w:rsid w:val="007A2374"/>
    <w:rsid w:val="007A2548"/>
    <w:rsid w:val="007A2C2C"/>
    <w:rsid w:val="007A36EB"/>
    <w:rsid w:val="007A4C53"/>
    <w:rsid w:val="007A5062"/>
    <w:rsid w:val="007A5C7F"/>
    <w:rsid w:val="007B042D"/>
    <w:rsid w:val="007B3A1D"/>
    <w:rsid w:val="007B4AB4"/>
    <w:rsid w:val="007B6891"/>
    <w:rsid w:val="007B6E25"/>
    <w:rsid w:val="007B773E"/>
    <w:rsid w:val="007C05F1"/>
    <w:rsid w:val="007C09F4"/>
    <w:rsid w:val="007C44EA"/>
    <w:rsid w:val="007C50B8"/>
    <w:rsid w:val="007C518C"/>
    <w:rsid w:val="007C5B5F"/>
    <w:rsid w:val="007C69FA"/>
    <w:rsid w:val="007C6D8B"/>
    <w:rsid w:val="007C756B"/>
    <w:rsid w:val="007C7BB9"/>
    <w:rsid w:val="007D005D"/>
    <w:rsid w:val="007D006D"/>
    <w:rsid w:val="007D1C90"/>
    <w:rsid w:val="007D360C"/>
    <w:rsid w:val="007D3DBD"/>
    <w:rsid w:val="007D4E25"/>
    <w:rsid w:val="007D51F0"/>
    <w:rsid w:val="007D5FA4"/>
    <w:rsid w:val="007D646B"/>
    <w:rsid w:val="007D6B39"/>
    <w:rsid w:val="007D6F57"/>
    <w:rsid w:val="007E0018"/>
    <w:rsid w:val="007E0A3D"/>
    <w:rsid w:val="007E13C2"/>
    <w:rsid w:val="007E185C"/>
    <w:rsid w:val="007E2519"/>
    <w:rsid w:val="007E5864"/>
    <w:rsid w:val="007E779D"/>
    <w:rsid w:val="007F1C64"/>
    <w:rsid w:val="007F43D2"/>
    <w:rsid w:val="007F4828"/>
    <w:rsid w:val="007F493B"/>
    <w:rsid w:val="007F4F42"/>
    <w:rsid w:val="007F4F59"/>
    <w:rsid w:val="008005AF"/>
    <w:rsid w:val="00800DA5"/>
    <w:rsid w:val="0080286F"/>
    <w:rsid w:val="00802FE1"/>
    <w:rsid w:val="00803EC7"/>
    <w:rsid w:val="008041C1"/>
    <w:rsid w:val="0080420D"/>
    <w:rsid w:val="008053DE"/>
    <w:rsid w:val="008067CC"/>
    <w:rsid w:val="008067F9"/>
    <w:rsid w:val="0080767F"/>
    <w:rsid w:val="00810B57"/>
    <w:rsid w:val="008115E8"/>
    <w:rsid w:val="00812AF7"/>
    <w:rsid w:val="00812E89"/>
    <w:rsid w:val="00812ECF"/>
    <w:rsid w:val="00812F3E"/>
    <w:rsid w:val="00814FD3"/>
    <w:rsid w:val="008163CD"/>
    <w:rsid w:val="0081723C"/>
    <w:rsid w:val="00821C6E"/>
    <w:rsid w:val="0082527F"/>
    <w:rsid w:val="0082767A"/>
    <w:rsid w:val="00827CF7"/>
    <w:rsid w:val="008340E0"/>
    <w:rsid w:val="00834CD0"/>
    <w:rsid w:val="00834D24"/>
    <w:rsid w:val="00835457"/>
    <w:rsid w:val="0083731D"/>
    <w:rsid w:val="008378B7"/>
    <w:rsid w:val="00840620"/>
    <w:rsid w:val="0084078C"/>
    <w:rsid w:val="008422A2"/>
    <w:rsid w:val="00844BF4"/>
    <w:rsid w:val="00845009"/>
    <w:rsid w:val="008457EB"/>
    <w:rsid w:val="00845829"/>
    <w:rsid w:val="00851BBD"/>
    <w:rsid w:val="00851F46"/>
    <w:rsid w:val="00852FE0"/>
    <w:rsid w:val="00854F32"/>
    <w:rsid w:val="0085566C"/>
    <w:rsid w:val="00855C48"/>
    <w:rsid w:val="00860AC2"/>
    <w:rsid w:val="00860D85"/>
    <w:rsid w:val="00862A2D"/>
    <w:rsid w:val="008639B4"/>
    <w:rsid w:val="008639F5"/>
    <w:rsid w:val="00863C13"/>
    <w:rsid w:val="008641CF"/>
    <w:rsid w:val="00864421"/>
    <w:rsid w:val="00866F59"/>
    <w:rsid w:val="00871DA7"/>
    <w:rsid w:val="0087443F"/>
    <w:rsid w:val="0087450C"/>
    <w:rsid w:val="00875B78"/>
    <w:rsid w:val="0087646A"/>
    <w:rsid w:val="0087754D"/>
    <w:rsid w:val="00877EC6"/>
    <w:rsid w:val="0088022C"/>
    <w:rsid w:val="00881DF3"/>
    <w:rsid w:val="0088270B"/>
    <w:rsid w:val="00882FB9"/>
    <w:rsid w:val="0088316A"/>
    <w:rsid w:val="00883EF3"/>
    <w:rsid w:val="00884533"/>
    <w:rsid w:val="00885D0F"/>
    <w:rsid w:val="00891754"/>
    <w:rsid w:val="00892020"/>
    <w:rsid w:val="00892CF9"/>
    <w:rsid w:val="00892E49"/>
    <w:rsid w:val="008953DB"/>
    <w:rsid w:val="00895BE8"/>
    <w:rsid w:val="00895DAC"/>
    <w:rsid w:val="00896463"/>
    <w:rsid w:val="00897099"/>
    <w:rsid w:val="008977AF"/>
    <w:rsid w:val="008A1C1D"/>
    <w:rsid w:val="008A2611"/>
    <w:rsid w:val="008A3863"/>
    <w:rsid w:val="008A6414"/>
    <w:rsid w:val="008A67AA"/>
    <w:rsid w:val="008B0A1C"/>
    <w:rsid w:val="008B3E5E"/>
    <w:rsid w:val="008B4973"/>
    <w:rsid w:val="008B51A6"/>
    <w:rsid w:val="008B66ED"/>
    <w:rsid w:val="008B68FA"/>
    <w:rsid w:val="008B6DBD"/>
    <w:rsid w:val="008B7EEF"/>
    <w:rsid w:val="008C0203"/>
    <w:rsid w:val="008C1F18"/>
    <w:rsid w:val="008C274D"/>
    <w:rsid w:val="008C5253"/>
    <w:rsid w:val="008C5AA1"/>
    <w:rsid w:val="008C60B5"/>
    <w:rsid w:val="008C61E2"/>
    <w:rsid w:val="008C7987"/>
    <w:rsid w:val="008C7F50"/>
    <w:rsid w:val="008D061B"/>
    <w:rsid w:val="008D19A2"/>
    <w:rsid w:val="008D1A2F"/>
    <w:rsid w:val="008D3B9C"/>
    <w:rsid w:val="008D460E"/>
    <w:rsid w:val="008D512A"/>
    <w:rsid w:val="008D750B"/>
    <w:rsid w:val="008E0F17"/>
    <w:rsid w:val="008E12CA"/>
    <w:rsid w:val="008E29EE"/>
    <w:rsid w:val="008E47FB"/>
    <w:rsid w:val="008E51AE"/>
    <w:rsid w:val="008E5304"/>
    <w:rsid w:val="008E6BA5"/>
    <w:rsid w:val="008F1855"/>
    <w:rsid w:val="008F1C26"/>
    <w:rsid w:val="008F249C"/>
    <w:rsid w:val="008F260C"/>
    <w:rsid w:val="008F4336"/>
    <w:rsid w:val="008F46E9"/>
    <w:rsid w:val="008F72F8"/>
    <w:rsid w:val="008F7CE4"/>
    <w:rsid w:val="00900D10"/>
    <w:rsid w:val="00901110"/>
    <w:rsid w:val="00901623"/>
    <w:rsid w:val="00901D29"/>
    <w:rsid w:val="009069B9"/>
    <w:rsid w:val="00907D43"/>
    <w:rsid w:val="009119F1"/>
    <w:rsid w:val="00911CE6"/>
    <w:rsid w:val="00912282"/>
    <w:rsid w:val="009127AD"/>
    <w:rsid w:val="00912FCC"/>
    <w:rsid w:val="00913B4C"/>
    <w:rsid w:val="00913C25"/>
    <w:rsid w:val="009144EB"/>
    <w:rsid w:val="0091469D"/>
    <w:rsid w:val="009148B3"/>
    <w:rsid w:val="00914A88"/>
    <w:rsid w:val="009150D6"/>
    <w:rsid w:val="0091530C"/>
    <w:rsid w:val="00915B6C"/>
    <w:rsid w:val="00915F0B"/>
    <w:rsid w:val="00920457"/>
    <w:rsid w:val="00920C66"/>
    <w:rsid w:val="00921538"/>
    <w:rsid w:val="00921E3A"/>
    <w:rsid w:val="0092291F"/>
    <w:rsid w:val="0092319D"/>
    <w:rsid w:val="00924036"/>
    <w:rsid w:val="00925DCB"/>
    <w:rsid w:val="0092629B"/>
    <w:rsid w:val="009276EE"/>
    <w:rsid w:val="00932D60"/>
    <w:rsid w:val="00934715"/>
    <w:rsid w:val="009347FA"/>
    <w:rsid w:val="00935B26"/>
    <w:rsid w:val="009368EB"/>
    <w:rsid w:val="00936ADD"/>
    <w:rsid w:val="0094202C"/>
    <w:rsid w:val="00942B6D"/>
    <w:rsid w:val="009431E2"/>
    <w:rsid w:val="00943BFA"/>
    <w:rsid w:val="00944B15"/>
    <w:rsid w:val="00950CF1"/>
    <w:rsid w:val="00950F49"/>
    <w:rsid w:val="009529E0"/>
    <w:rsid w:val="00952EEE"/>
    <w:rsid w:val="00953666"/>
    <w:rsid w:val="00955DFE"/>
    <w:rsid w:val="00960061"/>
    <w:rsid w:val="00960384"/>
    <w:rsid w:val="0096057E"/>
    <w:rsid w:val="00961911"/>
    <w:rsid w:val="00961C79"/>
    <w:rsid w:val="00964063"/>
    <w:rsid w:val="00964E1D"/>
    <w:rsid w:val="00965931"/>
    <w:rsid w:val="009660DA"/>
    <w:rsid w:val="0096751D"/>
    <w:rsid w:val="00967A56"/>
    <w:rsid w:val="00970523"/>
    <w:rsid w:val="009719E9"/>
    <w:rsid w:val="009726F5"/>
    <w:rsid w:val="0097351D"/>
    <w:rsid w:val="00973998"/>
    <w:rsid w:val="00975356"/>
    <w:rsid w:val="00975D25"/>
    <w:rsid w:val="0097606E"/>
    <w:rsid w:val="009778A2"/>
    <w:rsid w:val="00977F17"/>
    <w:rsid w:val="00980918"/>
    <w:rsid w:val="00980CC8"/>
    <w:rsid w:val="00982646"/>
    <w:rsid w:val="009833F7"/>
    <w:rsid w:val="00984096"/>
    <w:rsid w:val="00984471"/>
    <w:rsid w:val="00984CA3"/>
    <w:rsid w:val="00984D53"/>
    <w:rsid w:val="009860F2"/>
    <w:rsid w:val="00986792"/>
    <w:rsid w:val="0099067D"/>
    <w:rsid w:val="009915E1"/>
    <w:rsid w:val="00992C6E"/>
    <w:rsid w:val="00993680"/>
    <w:rsid w:val="00993986"/>
    <w:rsid w:val="00994AB0"/>
    <w:rsid w:val="00995BC2"/>
    <w:rsid w:val="009A14FD"/>
    <w:rsid w:val="009A1996"/>
    <w:rsid w:val="009A2298"/>
    <w:rsid w:val="009A2BAD"/>
    <w:rsid w:val="009A2DB5"/>
    <w:rsid w:val="009A44D3"/>
    <w:rsid w:val="009A52F2"/>
    <w:rsid w:val="009A6ACA"/>
    <w:rsid w:val="009A6E5F"/>
    <w:rsid w:val="009A793D"/>
    <w:rsid w:val="009B095A"/>
    <w:rsid w:val="009B28A1"/>
    <w:rsid w:val="009B2D9C"/>
    <w:rsid w:val="009B3084"/>
    <w:rsid w:val="009B5944"/>
    <w:rsid w:val="009B5D68"/>
    <w:rsid w:val="009B7090"/>
    <w:rsid w:val="009C01C5"/>
    <w:rsid w:val="009C1DE1"/>
    <w:rsid w:val="009C22A9"/>
    <w:rsid w:val="009C2BEA"/>
    <w:rsid w:val="009C34AD"/>
    <w:rsid w:val="009C509F"/>
    <w:rsid w:val="009C59D2"/>
    <w:rsid w:val="009C5C27"/>
    <w:rsid w:val="009C7372"/>
    <w:rsid w:val="009C7726"/>
    <w:rsid w:val="009D151D"/>
    <w:rsid w:val="009D1E2E"/>
    <w:rsid w:val="009D20AB"/>
    <w:rsid w:val="009D2CB3"/>
    <w:rsid w:val="009D3D10"/>
    <w:rsid w:val="009D4FDD"/>
    <w:rsid w:val="009D51A3"/>
    <w:rsid w:val="009D6D52"/>
    <w:rsid w:val="009D7520"/>
    <w:rsid w:val="009D7759"/>
    <w:rsid w:val="009D77B4"/>
    <w:rsid w:val="009E0265"/>
    <w:rsid w:val="009E2237"/>
    <w:rsid w:val="009E39BA"/>
    <w:rsid w:val="009E42D1"/>
    <w:rsid w:val="009E7179"/>
    <w:rsid w:val="009E7C24"/>
    <w:rsid w:val="009F0CA2"/>
    <w:rsid w:val="009F155E"/>
    <w:rsid w:val="009F1C84"/>
    <w:rsid w:val="009F2D73"/>
    <w:rsid w:val="009F3476"/>
    <w:rsid w:val="009F35C4"/>
    <w:rsid w:val="009F4AF9"/>
    <w:rsid w:val="009F54E2"/>
    <w:rsid w:val="00A02934"/>
    <w:rsid w:val="00A03B82"/>
    <w:rsid w:val="00A05AC5"/>
    <w:rsid w:val="00A06FAC"/>
    <w:rsid w:val="00A07277"/>
    <w:rsid w:val="00A07F5B"/>
    <w:rsid w:val="00A11AF9"/>
    <w:rsid w:val="00A1564B"/>
    <w:rsid w:val="00A15A99"/>
    <w:rsid w:val="00A169CE"/>
    <w:rsid w:val="00A17690"/>
    <w:rsid w:val="00A177C8"/>
    <w:rsid w:val="00A178FB"/>
    <w:rsid w:val="00A17E28"/>
    <w:rsid w:val="00A223E4"/>
    <w:rsid w:val="00A230AB"/>
    <w:rsid w:val="00A232C0"/>
    <w:rsid w:val="00A25066"/>
    <w:rsid w:val="00A25AC5"/>
    <w:rsid w:val="00A278FF"/>
    <w:rsid w:val="00A300F4"/>
    <w:rsid w:val="00A3157E"/>
    <w:rsid w:val="00A33F93"/>
    <w:rsid w:val="00A34D95"/>
    <w:rsid w:val="00A35924"/>
    <w:rsid w:val="00A35E20"/>
    <w:rsid w:val="00A367A4"/>
    <w:rsid w:val="00A40B43"/>
    <w:rsid w:val="00A42759"/>
    <w:rsid w:val="00A434CD"/>
    <w:rsid w:val="00A449CF"/>
    <w:rsid w:val="00A44ABC"/>
    <w:rsid w:val="00A458A2"/>
    <w:rsid w:val="00A45F3B"/>
    <w:rsid w:val="00A47BDE"/>
    <w:rsid w:val="00A51EF0"/>
    <w:rsid w:val="00A5332A"/>
    <w:rsid w:val="00A550C3"/>
    <w:rsid w:val="00A5656E"/>
    <w:rsid w:val="00A56F16"/>
    <w:rsid w:val="00A60AF4"/>
    <w:rsid w:val="00A61181"/>
    <w:rsid w:val="00A629AF"/>
    <w:rsid w:val="00A65313"/>
    <w:rsid w:val="00A65496"/>
    <w:rsid w:val="00A65FDD"/>
    <w:rsid w:val="00A66DBF"/>
    <w:rsid w:val="00A70631"/>
    <w:rsid w:val="00A70FD1"/>
    <w:rsid w:val="00A764C3"/>
    <w:rsid w:val="00A804B1"/>
    <w:rsid w:val="00A804E9"/>
    <w:rsid w:val="00A81038"/>
    <w:rsid w:val="00A83D00"/>
    <w:rsid w:val="00A83EA5"/>
    <w:rsid w:val="00A84A5C"/>
    <w:rsid w:val="00A85597"/>
    <w:rsid w:val="00A87477"/>
    <w:rsid w:val="00A87D2A"/>
    <w:rsid w:val="00A87EB1"/>
    <w:rsid w:val="00A91635"/>
    <w:rsid w:val="00A91B8B"/>
    <w:rsid w:val="00A92825"/>
    <w:rsid w:val="00A95025"/>
    <w:rsid w:val="00A965DA"/>
    <w:rsid w:val="00AA0C52"/>
    <w:rsid w:val="00AA11AF"/>
    <w:rsid w:val="00AA1307"/>
    <w:rsid w:val="00AA1834"/>
    <w:rsid w:val="00AA24B0"/>
    <w:rsid w:val="00AA3110"/>
    <w:rsid w:val="00AA394A"/>
    <w:rsid w:val="00AA3986"/>
    <w:rsid w:val="00AA506A"/>
    <w:rsid w:val="00AA762E"/>
    <w:rsid w:val="00AA7A7F"/>
    <w:rsid w:val="00AA7AB1"/>
    <w:rsid w:val="00AB0602"/>
    <w:rsid w:val="00AB178E"/>
    <w:rsid w:val="00AB248E"/>
    <w:rsid w:val="00AB394F"/>
    <w:rsid w:val="00AB39C8"/>
    <w:rsid w:val="00AB3B4E"/>
    <w:rsid w:val="00AB5895"/>
    <w:rsid w:val="00AB6641"/>
    <w:rsid w:val="00AB66D4"/>
    <w:rsid w:val="00AB697D"/>
    <w:rsid w:val="00AC2A9E"/>
    <w:rsid w:val="00AC3440"/>
    <w:rsid w:val="00AC4246"/>
    <w:rsid w:val="00AC4282"/>
    <w:rsid w:val="00AC6076"/>
    <w:rsid w:val="00AC7380"/>
    <w:rsid w:val="00AC7F61"/>
    <w:rsid w:val="00AD0D6D"/>
    <w:rsid w:val="00AD0F8A"/>
    <w:rsid w:val="00AD16C2"/>
    <w:rsid w:val="00AD2F6D"/>
    <w:rsid w:val="00AD32A0"/>
    <w:rsid w:val="00AD36E7"/>
    <w:rsid w:val="00AD7229"/>
    <w:rsid w:val="00AD7292"/>
    <w:rsid w:val="00AD76FE"/>
    <w:rsid w:val="00AE0282"/>
    <w:rsid w:val="00AE1742"/>
    <w:rsid w:val="00AE373C"/>
    <w:rsid w:val="00AE6212"/>
    <w:rsid w:val="00AE6333"/>
    <w:rsid w:val="00AE69D0"/>
    <w:rsid w:val="00AE7A0C"/>
    <w:rsid w:val="00AF0718"/>
    <w:rsid w:val="00AF1FF2"/>
    <w:rsid w:val="00AF4791"/>
    <w:rsid w:val="00AF6EEC"/>
    <w:rsid w:val="00B003BA"/>
    <w:rsid w:val="00B006D5"/>
    <w:rsid w:val="00B01249"/>
    <w:rsid w:val="00B0233C"/>
    <w:rsid w:val="00B02D56"/>
    <w:rsid w:val="00B0409E"/>
    <w:rsid w:val="00B045A2"/>
    <w:rsid w:val="00B0629D"/>
    <w:rsid w:val="00B07B62"/>
    <w:rsid w:val="00B07C17"/>
    <w:rsid w:val="00B1006D"/>
    <w:rsid w:val="00B10AD4"/>
    <w:rsid w:val="00B124DA"/>
    <w:rsid w:val="00B16A43"/>
    <w:rsid w:val="00B207EE"/>
    <w:rsid w:val="00B224B0"/>
    <w:rsid w:val="00B24186"/>
    <w:rsid w:val="00B2461D"/>
    <w:rsid w:val="00B25561"/>
    <w:rsid w:val="00B2650B"/>
    <w:rsid w:val="00B30693"/>
    <w:rsid w:val="00B30B0F"/>
    <w:rsid w:val="00B32B4A"/>
    <w:rsid w:val="00B3409F"/>
    <w:rsid w:val="00B346EA"/>
    <w:rsid w:val="00B353AA"/>
    <w:rsid w:val="00B35EA0"/>
    <w:rsid w:val="00B3726D"/>
    <w:rsid w:val="00B37621"/>
    <w:rsid w:val="00B40200"/>
    <w:rsid w:val="00B411C7"/>
    <w:rsid w:val="00B415F0"/>
    <w:rsid w:val="00B426DA"/>
    <w:rsid w:val="00B42C0F"/>
    <w:rsid w:val="00B44548"/>
    <w:rsid w:val="00B447F0"/>
    <w:rsid w:val="00B46C9B"/>
    <w:rsid w:val="00B46E62"/>
    <w:rsid w:val="00B501EF"/>
    <w:rsid w:val="00B50268"/>
    <w:rsid w:val="00B504A6"/>
    <w:rsid w:val="00B51EF0"/>
    <w:rsid w:val="00B52EFE"/>
    <w:rsid w:val="00B5375D"/>
    <w:rsid w:val="00B57727"/>
    <w:rsid w:val="00B5779F"/>
    <w:rsid w:val="00B600AA"/>
    <w:rsid w:val="00B60AB1"/>
    <w:rsid w:val="00B618F7"/>
    <w:rsid w:val="00B62AF9"/>
    <w:rsid w:val="00B64420"/>
    <w:rsid w:val="00B64959"/>
    <w:rsid w:val="00B70E5B"/>
    <w:rsid w:val="00B73A8B"/>
    <w:rsid w:val="00B74128"/>
    <w:rsid w:val="00B747BD"/>
    <w:rsid w:val="00B7485B"/>
    <w:rsid w:val="00B74D0A"/>
    <w:rsid w:val="00B80BEE"/>
    <w:rsid w:val="00B81867"/>
    <w:rsid w:val="00B82346"/>
    <w:rsid w:val="00B86BD0"/>
    <w:rsid w:val="00B91576"/>
    <w:rsid w:val="00B9164B"/>
    <w:rsid w:val="00B971EE"/>
    <w:rsid w:val="00B97AFF"/>
    <w:rsid w:val="00BA09F0"/>
    <w:rsid w:val="00BA128B"/>
    <w:rsid w:val="00BA45F3"/>
    <w:rsid w:val="00BB16FC"/>
    <w:rsid w:val="00BB2549"/>
    <w:rsid w:val="00BB2F42"/>
    <w:rsid w:val="00BB4538"/>
    <w:rsid w:val="00BB46C9"/>
    <w:rsid w:val="00BB4C7A"/>
    <w:rsid w:val="00BB5875"/>
    <w:rsid w:val="00BB6D1D"/>
    <w:rsid w:val="00BB7133"/>
    <w:rsid w:val="00BC349B"/>
    <w:rsid w:val="00BC35C6"/>
    <w:rsid w:val="00BC3A34"/>
    <w:rsid w:val="00BC3B16"/>
    <w:rsid w:val="00BC3FF0"/>
    <w:rsid w:val="00BC41AF"/>
    <w:rsid w:val="00BC66F0"/>
    <w:rsid w:val="00BC7389"/>
    <w:rsid w:val="00BC7C0A"/>
    <w:rsid w:val="00BD0B98"/>
    <w:rsid w:val="00BD1F44"/>
    <w:rsid w:val="00BD329E"/>
    <w:rsid w:val="00BD33B2"/>
    <w:rsid w:val="00BD34B5"/>
    <w:rsid w:val="00BD40E3"/>
    <w:rsid w:val="00BD4D2C"/>
    <w:rsid w:val="00BD5039"/>
    <w:rsid w:val="00BE4E56"/>
    <w:rsid w:val="00BE573F"/>
    <w:rsid w:val="00BE7D55"/>
    <w:rsid w:val="00BF153F"/>
    <w:rsid w:val="00BF4FCB"/>
    <w:rsid w:val="00BF6115"/>
    <w:rsid w:val="00BF71C7"/>
    <w:rsid w:val="00BF7A7C"/>
    <w:rsid w:val="00C01B6D"/>
    <w:rsid w:val="00C02998"/>
    <w:rsid w:val="00C03BBF"/>
    <w:rsid w:val="00C03D6A"/>
    <w:rsid w:val="00C040C0"/>
    <w:rsid w:val="00C05218"/>
    <w:rsid w:val="00C054A1"/>
    <w:rsid w:val="00C06968"/>
    <w:rsid w:val="00C10CC5"/>
    <w:rsid w:val="00C12D10"/>
    <w:rsid w:val="00C1505C"/>
    <w:rsid w:val="00C15561"/>
    <w:rsid w:val="00C160AB"/>
    <w:rsid w:val="00C17111"/>
    <w:rsid w:val="00C17C25"/>
    <w:rsid w:val="00C17C89"/>
    <w:rsid w:val="00C219C0"/>
    <w:rsid w:val="00C21D3A"/>
    <w:rsid w:val="00C23A74"/>
    <w:rsid w:val="00C23CE9"/>
    <w:rsid w:val="00C25ADD"/>
    <w:rsid w:val="00C26B00"/>
    <w:rsid w:val="00C33073"/>
    <w:rsid w:val="00C34265"/>
    <w:rsid w:val="00C34AB5"/>
    <w:rsid w:val="00C34F09"/>
    <w:rsid w:val="00C35A9F"/>
    <w:rsid w:val="00C367FC"/>
    <w:rsid w:val="00C36B89"/>
    <w:rsid w:val="00C3715D"/>
    <w:rsid w:val="00C37431"/>
    <w:rsid w:val="00C379F5"/>
    <w:rsid w:val="00C407AB"/>
    <w:rsid w:val="00C408D3"/>
    <w:rsid w:val="00C4368E"/>
    <w:rsid w:val="00C46250"/>
    <w:rsid w:val="00C46D4A"/>
    <w:rsid w:val="00C4702E"/>
    <w:rsid w:val="00C477D8"/>
    <w:rsid w:val="00C50892"/>
    <w:rsid w:val="00C5117F"/>
    <w:rsid w:val="00C54EDF"/>
    <w:rsid w:val="00C55099"/>
    <w:rsid w:val="00C566F0"/>
    <w:rsid w:val="00C5761E"/>
    <w:rsid w:val="00C57A2A"/>
    <w:rsid w:val="00C609F9"/>
    <w:rsid w:val="00C60A93"/>
    <w:rsid w:val="00C62460"/>
    <w:rsid w:val="00C625EB"/>
    <w:rsid w:val="00C62D8D"/>
    <w:rsid w:val="00C632CC"/>
    <w:rsid w:val="00C66332"/>
    <w:rsid w:val="00C663DF"/>
    <w:rsid w:val="00C67D8A"/>
    <w:rsid w:val="00C7134C"/>
    <w:rsid w:val="00C7215E"/>
    <w:rsid w:val="00C72DAE"/>
    <w:rsid w:val="00C751A2"/>
    <w:rsid w:val="00C75292"/>
    <w:rsid w:val="00C75381"/>
    <w:rsid w:val="00C75CB9"/>
    <w:rsid w:val="00C7770B"/>
    <w:rsid w:val="00C77FBC"/>
    <w:rsid w:val="00C8020B"/>
    <w:rsid w:val="00C8126B"/>
    <w:rsid w:val="00C81968"/>
    <w:rsid w:val="00C847B9"/>
    <w:rsid w:val="00C84923"/>
    <w:rsid w:val="00C85C93"/>
    <w:rsid w:val="00C86FA2"/>
    <w:rsid w:val="00C90680"/>
    <w:rsid w:val="00C92022"/>
    <w:rsid w:val="00C93CBE"/>
    <w:rsid w:val="00C93E1B"/>
    <w:rsid w:val="00C94624"/>
    <w:rsid w:val="00C959AE"/>
    <w:rsid w:val="00C960BD"/>
    <w:rsid w:val="00C96915"/>
    <w:rsid w:val="00C96D3A"/>
    <w:rsid w:val="00C97A2F"/>
    <w:rsid w:val="00C97AAE"/>
    <w:rsid w:val="00CA17DA"/>
    <w:rsid w:val="00CA17F6"/>
    <w:rsid w:val="00CA18C1"/>
    <w:rsid w:val="00CA1F9A"/>
    <w:rsid w:val="00CA22FA"/>
    <w:rsid w:val="00CB0438"/>
    <w:rsid w:val="00CB0510"/>
    <w:rsid w:val="00CB08D6"/>
    <w:rsid w:val="00CB173C"/>
    <w:rsid w:val="00CB1F80"/>
    <w:rsid w:val="00CB339F"/>
    <w:rsid w:val="00CB5463"/>
    <w:rsid w:val="00CB673D"/>
    <w:rsid w:val="00CB7DCC"/>
    <w:rsid w:val="00CC0777"/>
    <w:rsid w:val="00CC104E"/>
    <w:rsid w:val="00CC3495"/>
    <w:rsid w:val="00CC38AE"/>
    <w:rsid w:val="00CC3EEA"/>
    <w:rsid w:val="00CC4EFE"/>
    <w:rsid w:val="00CC6665"/>
    <w:rsid w:val="00CC6B04"/>
    <w:rsid w:val="00CC7387"/>
    <w:rsid w:val="00CD02D6"/>
    <w:rsid w:val="00CD1096"/>
    <w:rsid w:val="00CD1926"/>
    <w:rsid w:val="00CD1953"/>
    <w:rsid w:val="00CD312D"/>
    <w:rsid w:val="00CD5C60"/>
    <w:rsid w:val="00CD6414"/>
    <w:rsid w:val="00CD71BC"/>
    <w:rsid w:val="00CE0867"/>
    <w:rsid w:val="00CE1093"/>
    <w:rsid w:val="00CE14DB"/>
    <w:rsid w:val="00CE33DE"/>
    <w:rsid w:val="00CE3886"/>
    <w:rsid w:val="00CE421B"/>
    <w:rsid w:val="00CE45A2"/>
    <w:rsid w:val="00CE4BBA"/>
    <w:rsid w:val="00CE4C2F"/>
    <w:rsid w:val="00CE51F0"/>
    <w:rsid w:val="00CE5C38"/>
    <w:rsid w:val="00CE7FE9"/>
    <w:rsid w:val="00CF06F3"/>
    <w:rsid w:val="00CF0B80"/>
    <w:rsid w:val="00CF1255"/>
    <w:rsid w:val="00CF2B22"/>
    <w:rsid w:val="00CF464F"/>
    <w:rsid w:val="00CF6479"/>
    <w:rsid w:val="00CF6AE5"/>
    <w:rsid w:val="00CF705E"/>
    <w:rsid w:val="00CF7BB5"/>
    <w:rsid w:val="00D047AD"/>
    <w:rsid w:val="00D04B80"/>
    <w:rsid w:val="00D04EFD"/>
    <w:rsid w:val="00D055B0"/>
    <w:rsid w:val="00D0563D"/>
    <w:rsid w:val="00D05FD6"/>
    <w:rsid w:val="00D06062"/>
    <w:rsid w:val="00D0742D"/>
    <w:rsid w:val="00D077C8"/>
    <w:rsid w:val="00D079D1"/>
    <w:rsid w:val="00D07D56"/>
    <w:rsid w:val="00D10093"/>
    <w:rsid w:val="00D1069A"/>
    <w:rsid w:val="00D11E61"/>
    <w:rsid w:val="00D11E6D"/>
    <w:rsid w:val="00D15245"/>
    <w:rsid w:val="00D15835"/>
    <w:rsid w:val="00D2136D"/>
    <w:rsid w:val="00D22D6D"/>
    <w:rsid w:val="00D2303A"/>
    <w:rsid w:val="00D23317"/>
    <w:rsid w:val="00D239D4"/>
    <w:rsid w:val="00D24D5D"/>
    <w:rsid w:val="00D27CC7"/>
    <w:rsid w:val="00D31861"/>
    <w:rsid w:val="00D32D70"/>
    <w:rsid w:val="00D34367"/>
    <w:rsid w:val="00D35A47"/>
    <w:rsid w:val="00D36EFF"/>
    <w:rsid w:val="00D40FB3"/>
    <w:rsid w:val="00D41CAB"/>
    <w:rsid w:val="00D41DF7"/>
    <w:rsid w:val="00D41F9B"/>
    <w:rsid w:val="00D43372"/>
    <w:rsid w:val="00D447CF"/>
    <w:rsid w:val="00D44823"/>
    <w:rsid w:val="00D464AA"/>
    <w:rsid w:val="00D472DD"/>
    <w:rsid w:val="00D47DA8"/>
    <w:rsid w:val="00D51C99"/>
    <w:rsid w:val="00D52CED"/>
    <w:rsid w:val="00D52E66"/>
    <w:rsid w:val="00D535C8"/>
    <w:rsid w:val="00D53654"/>
    <w:rsid w:val="00D53A26"/>
    <w:rsid w:val="00D54AC5"/>
    <w:rsid w:val="00D55573"/>
    <w:rsid w:val="00D60CE5"/>
    <w:rsid w:val="00D612D2"/>
    <w:rsid w:val="00D61D70"/>
    <w:rsid w:val="00D63DD5"/>
    <w:rsid w:val="00D6473D"/>
    <w:rsid w:val="00D651A9"/>
    <w:rsid w:val="00D70801"/>
    <w:rsid w:val="00D70F57"/>
    <w:rsid w:val="00D7111F"/>
    <w:rsid w:val="00D7114D"/>
    <w:rsid w:val="00D74223"/>
    <w:rsid w:val="00D74DF5"/>
    <w:rsid w:val="00D76D56"/>
    <w:rsid w:val="00D76F14"/>
    <w:rsid w:val="00D81365"/>
    <w:rsid w:val="00D8502A"/>
    <w:rsid w:val="00D8576D"/>
    <w:rsid w:val="00D87013"/>
    <w:rsid w:val="00D8731E"/>
    <w:rsid w:val="00D914F1"/>
    <w:rsid w:val="00D916C2"/>
    <w:rsid w:val="00D9174F"/>
    <w:rsid w:val="00D9211A"/>
    <w:rsid w:val="00D927B2"/>
    <w:rsid w:val="00D92B41"/>
    <w:rsid w:val="00D9390F"/>
    <w:rsid w:val="00D9470E"/>
    <w:rsid w:val="00D96B5F"/>
    <w:rsid w:val="00D96FB1"/>
    <w:rsid w:val="00D97D42"/>
    <w:rsid w:val="00DA08FD"/>
    <w:rsid w:val="00DA16E3"/>
    <w:rsid w:val="00DA2DA8"/>
    <w:rsid w:val="00DA595C"/>
    <w:rsid w:val="00DA6A47"/>
    <w:rsid w:val="00DB0367"/>
    <w:rsid w:val="00DB0D7E"/>
    <w:rsid w:val="00DB17C6"/>
    <w:rsid w:val="00DB19AC"/>
    <w:rsid w:val="00DB29D7"/>
    <w:rsid w:val="00DB2A5B"/>
    <w:rsid w:val="00DB2D55"/>
    <w:rsid w:val="00DB4562"/>
    <w:rsid w:val="00DB49FF"/>
    <w:rsid w:val="00DB532D"/>
    <w:rsid w:val="00DB6EE5"/>
    <w:rsid w:val="00DB724C"/>
    <w:rsid w:val="00DB7359"/>
    <w:rsid w:val="00DB7AAB"/>
    <w:rsid w:val="00DB7EC1"/>
    <w:rsid w:val="00DC21FA"/>
    <w:rsid w:val="00DC2D7D"/>
    <w:rsid w:val="00DC53E1"/>
    <w:rsid w:val="00DC650E"/>
    <w:rsid w:val="00DC6B46"/>
    <w:rsid w:val="00DD15EF"/>
    <w:rsid w:val="00DD161F"/>
    <w:rsid w:val="00DD1986"/>
    <w:rsid w:val="00DD2606"/>
    <w:rsid w:val="00DD42BA"/>
    <w:rsid w:val="00DD4656"/>
    <w:rsid w:val="00DD4D24"/>
    <w:rsid w:val="00DD5D24"/>
    <w:rsid w:val="00DE1071"/>
    <w:rsid w:val="00DE2ACB"/>
    <w:rsid w:val="00DE2B28"/>
    <w:rsid w:val="00DE3450"/>
    <w:rsid w:val="00DE4A5E"/>
    <w:rsid w:val="00DE4F7E"/>
    <w:rsid w:val="00DE6A22"/>
    <w:rsid w:val="00DE6AD5"/>
    <w:rsid w:val="00DE7317"/>
    <w:rsid w:val="00DE779A"/>
    <w:rsid w:val="00DF01A7"/>
    <w:rsid w:val="00DF504E"/>
    <w:rsid w:val="00DF592C"/>
    <w:rsid w:val="00DF7700"/>
    <w:rsid w:val="00E01837"/>
    <w:rsid w:val="00E02FF5"/>
    <w:rsid w:val="00E0412E"/>
    <w:rsid w:val="00E0518F"/>
    <w:rsid w:val="00E061EF"/>
    <w:rsid w:val="00E10398"/>
    <w:rsid w:val="00E12CE8"/>
    <w:rsid w:val="00E130A4"/>
    <w:rsid w:val="00E146B4"/>
    <w:rsid w:val="00E206DA"/>
    <w:rsid w:val="00E20764"/>
    <w:rsid w:val="00E2120F"/>
    <w:rsid w:val="00E23BD9"/>
    <w:rsid w:val="00E25CAD"/>
    <w:rsid w:val="00E263AF"/>
    <w:rsid w:val="00E263DB"/>
    <w:rsid w:val="00E26A8F"/>
    <w:rsid w:val="00E26BBD"/>
    <w:rsid w:val="00E27DE1"/>
    <w:rsid w:val="00E305D5"/>
    <w:rsid w:val="00E31159"/>
    <w:rsid w:val="00E314CC"/>
    <w:rsid w:val="00E317CB"/>
    <w:rsid w:val="00E31D7C"/>
    <w:rsid w:val="00E323D4"/>
    <w:rsid w:val="00E327CE"/>
    <w:rsid w:val="00E331C5"/>
    <w:rsid w:val="00E366E8"/>
    <w:rsid w:val="00E36828"/>
    <w:rsid w:val="00E36AF7"/>
    <w:rsid w:val="00E372D2"/>
    <w:rsid w:val="00E40DB7"/>
    <w:rsid w:val="00E4115D"/>
    <w:rsid w:val="00E4212E"/>
    <w:rsid w:val="00E422BA"/>
    <w:rsid w:val="00E42BE0"/>
    <w:rsid w:val="00E4340D"/>
    <w:rsid w:val="00E442CA"/>
    <w:rsid w:val="00E44FBF"/>
    <w:rsid w:val="00E45C73"/>
    <w:rsid w:val="00E46C8A"/>
    <w:rsid w:val="00E508E1"/>
    <w:rsid w:val="00E52AD1"/>
    <w:rsid w:val="00E53977"/>
    <w:rsid w:val="00E5489F"/>
    <w:rsid w:val="00E5513C"/>
    <w:rsid w:val="00E55232"/>
    <w:rsid w:val="00E552AE"/>
    <w:rsid w:val="00E56417"/>
    <w:rsid w:val="00E57C07"/>
    <w:rsid w:val="00E57D95"/>
    <w:rsid w:val="00E615C3"/>
    <w:rsid w:val="00E64007"/>
    <w:rsid w:val="00E64FA5"/>
    <w:rsid w:val="00E652CC"/>
    <w:rsid w:val="00E65366"/>
    <w:rsid w:val="00E655C6"/>
    <w:rsid w:val="00E66047"/>
    <w:rsid w:val="00E7196F"/>
    <w:rsid w:val="00E71B0F"/>
    <w:rsid w:val="00E721B2"/>
    <w:rsid w:val="00E73235"/>
    <w:rsid w:val="00E74191"/>
    <w:rsid w:val="00E746D8"/>
    <w:rsid w:val="00E751C1"/>
    <w:rsid w:val="00E77658"/>
    <w:rsid w:val="00E81702"/>
    <w:rsid w:val="00E825A1"/>
    <w:rsid w:val="00E8282F"/>
    <w:rsid w:val="00E82D81"/>
    <w:rsid w:val="00E83820"/>
    <w:rsid w:val="00E83989"/>
    <w:rsid w:val="00E90C93"/>
    <w:rsid w:val="00E91114"/>
    <w:rsid w:val="00E91AA0"/>
    <w:rsid w:val="00E92853"/>
    <w:rsid w:val="00E93EAA"/>
    <w:rsid w:val="00E95097"/>
    <w:rsid w:val="00E95103"/>
    <w:rsid w:val="00E95BE6"/>
    <w:rsid w:val="00E96A8E"/>
    <w:rsid w:val="00EA023B"/>
    <w:rsid w:val="00EA0893"/>
    <w:rsid w:val="00EA0FEB"/>
    <w:rsid w:val="00EA18BC"/>
    <w:rsid w:val="00EA2285"/>
    <w:rsid w:val="00EA369D"/>
    <w:rsid w:val="00EA3DC4"/>
    <w:rsid w:val="00EA709B"/>
    <w:rsid w:val="00EB0517"/>
    <w:rsid w:val="00EB0CFC"/>
    <w:rsid w:val="00EB1CAF"/>
    <w:rsid w:val="00EB42DD"/>
    <w:rsid w:val="00EB5AA4"/>
    <w:rsid w:val="00EB6E2C"/>
    <w:rsid w:val="00EC0E30"/>
    <w:rsid w:val="00EC146A"/>
    <w:rsid w:val="00EC2DCB"/>
    <w:rsid w:val="00EC3866"/>
    <w:rsid w:val="00EC3F2E"/>
    <w:rsid w:val="00EC48C4"/>
    <w:rsid w:val="00EC4AED"/>
    <w:rsid w:val="00EC620D"/>
    <w:rsid w:val="00EC64F9"/>
    <w:rsid w:val="00ED016D"/>
    <w:rsid w:val="00ED1404"/>
    <w:rsid w:val="00ED1EDA"/>
    <w:rsid w:val="00ED6325"/>
    <w:rsid w:val="00ED66AA"/>
    <w:rsid w:val="00ED7CA8"/>
    <w:rsid w:val="00EE1041"/>
    <w:rsid w:val="00EE10FD"/>
    <w:rsid w:val="00EE2392"/>
    <w:rsid w:val="00EE272F"/>
    <w:rsid w:val="00EE380D"/>
    <w:rsid w:val="00EE40CA"/>
    <w:rsid w:val="00EE412A"/>
    <w:rsid w:val="00EE479E"/>
    <w:rsid w:val="00EE4DA9"/>
    <w:rsid w:val="00EE79C9"/>
    <w:rsid w:val="00EF0429"/>
    <w:rsid w:val="00EF08E1"/>
    <w:rsid w:val="00EF0A3B"/>
    <w:rsid w:val="00EF0E2B"/>
    <w:rsid w:val="00EF0EA3"/>
    <w:rsid w:val="00EF1A35"/>
    <w:rsid w:val="00EF334E"/>
    <w:rsid w:val="00EF4AC1"/>
    <w:rsid w:val="00EF5106"/>
    <w:rsid w:val="00EF66E7"/>
    <w:rsid w:val="00EF6C39"/>
    <w:rsid w:val="00EF6D55"/>
    <w:rsid w:val="00EF7851"/>
    <w:rsid w:val="00EF7D6F"/>
    <w:rsid w:val="00EF7EEC"/>
    <w:rsid w:val="00F00113"/>
    <w:rsid w:val="00F00B6F"/>
    <w:rsid w:val="00F01135"/>
    <w:rsid w:val="00F0140B"/>
    <w:rsid w:val="00F01C25"/>
    <w:rsid w:val="00F02ED8"/>
    <w:rsid w:val="00F04FAD"/>
    <w:rsid w:val="00F06708"/>
    <w:rsid w:val="00F100D9"/>
    <w:rsid w:val="00F10D7F"/>
    <w:rsid w:val="00F114E4"/>
    <w:rsid w:val="00F13611"/>
    <w:rsid w:val="00F13A60"/>
    <w:rsid w:val="00F1417F"/>
    <w:rsid w:val="00F1465D"/>
    <w:rsid w:val="00F152BE"/>
    <w:rsid w:val="00F16696"/>
    <w:rsid w:val="00F16A06"/>
    <w:rsid w:val="00F16D56"/>
    <w:rsid w:val="00F17BEE"/>
    <w:rsid w:val="00F17C1E"/>
    <w:rsid w:val="00F17F25"/>
    <w:rsid w:val="00F21E2F"/>
    <w:rsid w:val="00F225FD"/>
    <w:rsid w:val="00F23DC8"/>
    <w:rsid w:val="00F244E4"/>
    <w:rsid w:val="00F24F0D"/>
    <w:rsid w:val="00F25A9F"/>
    <w:rsid w:val="00F25BE7"/>
    <w:rsid w:val="00F26AF4"/>
    <w:rsid w:val="00F278A5"/>
    <w:rsid w:val="00F316A7"/>
    <w:rsid w:val="00F31DCF"/>
    <w:rsid w:val="00F338E9"/>
    <w:rsid w:val="00F40A85"/>
    <w:rsid w:val="00F40C3F"/>
    <w:rsid w:val="00F42565"/>
    <w:rsid w:val="00F42729"/>
    <w:rsid w:val="00F43700"/>
    <w:rsid w:val="00F44333"/>
    <w:rsid w:val="00F4467D"/>
    <w:rsid w:val="00F44A1A"/>
    <w:rsid w:val="00F46B85"/>
    <w:rsid w:val="00F46CFD"/>
    <w:rsid w:val="00F4734B"/>
    <w:rsid w:val="00F473FC"/>
    <w:rsid w:val="00F4756C"/>
    <w:rsid w:val="00F47987"/>
    <w:rsid w:val="00F51892"/>
    <w:rsid w:val="00F51BA5"/>
    <w:rsid w:val="00F52355"/>
    <w:rsid w:val="00F52D83"/>
    <w:rsid w:val="00F5571C"/>
    <w:rsid w:val="00F56F16"/>
    <w:rsid w:val="00F6098C"/>
    <w:rsid w:val="00F62278"/>
    <w:rsid w:val="00F63576"/>
    <w:rsid w:val="00F64B3D"/>
    <w:rsid w:val="00F656B2"/>
    <w:rsid w:val="00F66E8E"/>
    <w:rsid w:val="00F66EF6"/>
    <w:rsid w:val="00F6715E"/>
    <w:rsid w:val="00F676CF"/>
    <w:rsid w:val="00F707A1"/>
    <w:rsid w:val="00F7094E"/>
    <w:rsid w:val="00F711DF"/>
    <w:rsid w:val="00F72036"/>
    <w:rsid w:val="00F7272F"/>
    <w:rsid w:val="00F74D63"/>
    <w:rsid w:val="00F756FE"/>
    <w:rsid w:val="00F76D21"/>
    <w:rsid w:val="00F806DE"/>
    <w:rsid w:val="00F807C9"/>
    <w:rsid w:val="00F8144B"/>
    <w:rsid w:val="00F81F92"/>
    <w:rsid w:val="00F82B67"/>
    <w:rsid w:val="00F82B77"/>
    <w:rsid w:val="00F82D00"/>
    <w:rsid w:val="00F83549"/>
    <w:rsid w:val="00F8368D"/>
    <w:rsid w:val="00F84F45"/>
    <w:rsid w:val="00F8524C"/>
    <w:rsid w:val="00F8551A"/>
    <w:rsid w:val="00F85595"/>
    <w:rsid w:val="00F85A41"/>
    <w:rsid w:val="00F860E9"/>
    <w:rsid w:val="00F868F4"/>
    <w:rsid w:val="00F8781C"/>
    <w:rsid w:val="00F9035A"/>
    <w:rsid w:val="00F908DD"/>
    <w:rsid w:val="00F9146D"/>
    <w:rsid w:val="00F91FD6"/>
    <w:rsid w:val="00F92EF4"/>
    <w:rsid w:val="00F93D11"/>
    <w:rsid w:val="00F9795F"/>
    <w:rsid w:val="00FA1DB9"/>
    <w:rsid w:val="00FA433A"/>
    <w:rsid w:val="00FA4FEE"/>
    <w:rsid w:val="00FA7184"/>
    <w:rsid w:val="00FA78C3"/>
    <w:rsid w:val="00FB385F"/>
    <w:rsid w:val="00FB3A4F"/>
    <w:rsid w:val="00FB4283"/>
    <w:rsid w:val="00FB48D4"/>
    <w:rsid w:val="00FB4B63"/>
    <w:rsid w:val="00FB5AEE"/>
    <w:rsid w:val="00FB5D96"/>
    <w:rsid w:val="00FB659E"/>
    <w:rsid w:val="00FC0200"/>
    <w:rsid w:val="00FC063F"/>
    <w:rsid w:val="00FC2002"/>
    <w:rsid w:val="00FC2C6E"/>
    <w:rsid w:val="00FC2D5F"/>
    <w:rsid w:val="00FC2D84"/>
    <w:rsid w:val="00FC2FD5"/>
    <w:rsid w:val="00FC3ABD"/>
    <w:rsid w:val="00FC50F6"/>
    <w:rsid w:val="00FD03A4"/>
    <w:rsid w:val="00FD1161"/>
    <w:rsid w:val="00FD11B4"/>
    <w:rsid w:val="00FD13F0"/>
    <w:rsid w:val="00FD2059"/>
    <w:rsid w:val="00FD20AC"/>
    <w:rsid w:val="00FD36D6"/>
    <w:rsid w:val="00FD4150"/>
    <w:rsid w:val="00FD62CE"/>
    <w:rsid w:val="00FD76A0"/>
    <w:rsid w:val="00FE0D54"/>
    <w:rsid w:val="00FE1A46"/>
    <w:rsid w:val="00FE22B9"/>
    <w:rsid w:val="00FF0207"/>
    <w:rsid w:val="00FF13EE"/>
    <w:rsid w:val="00FF6005"/>
    <w:rsid w:val="00FF69FA"/>
    <w:rsid w:val="0240636C"/>
    <w:rsid w:val="029506B1"/>
    <w:rsid w:val="02B51750"/>
    <w:rsid w:val="02E5679B"/>
    <w:rsid w:val="02F3D621"/>
    <w:rsid w:val="034701FE"/>
    <w:rsid w:val="047B8BE2"/>
    <w:rsid w:val="05BD7E53"/>
    <w:rsid w:val="05C15C52"/>
    <w:rsid w:val="06E95875"/>
    <w:rsid w:val="075D1849"/>
    <w:rsid w:val="07BEC433"/>
    <w:rsid w:val="07EF7F71"/>
    <w:rsid w:val="08DE171A"/>
    <w:rsid w:val="08FC7E3E"/>
    <w:rsid w:val="099B379E"/>
    <w:rsid w:val="09A6367E"/>
    <w:rsid w:val="09AA9F9A"/>
    <w:rsid w:val="09CD3B14"/>
    <w:rsid w:val="0A36027E"/>
    <w:rsid w:val="0A8C5119"/>
    <w:rsid w:val="0ADF2E0E"/>
    <w:rsid w:val="0BDFF661"/>
    <w:rsid w:val="0BE5CBCD"/>
    <w:rsid w:val="0C080FC2"/>
    <w:rsid w:val="0C1E3E07"/>
    <w:rsid w:val="0CF325AC"/>
    <w:rsid w:val="0DDB94AA"/>
    <w:rsid w:val="0DEA67B6"/>
    <w:rsid w:val="0E390906"/>
    <w:rsid w:val="0EE759A1"/>
    <w:rsid w:val="0F195338"/>
    <w:rsid w:val="0F5750CF"/>
    <w:rsid w:val="0F7384D1"/>
    <w:rsid w:val="0F940BBB"/>
    <w:rsid w:val="0FFFD5B9"/>
    <w:rsid w:val="10D114E2"/>
    <w:rsid w:val="12071CCC"/>
    <w:rsid w:val="1373AB0E"/>
    <w:rsid w:val="13A42E00"/>
    <w:rsid w:val="13B55D14"/>
    <w:rsid w:val="13FF02CE"/>
    <w:rsid w:val="13FF6337"/>
    <w:rsid w:val="1589A108"/>
    <w:rsid w:val="15DD45F4"/>
    <w:rsid w:val="1776E3FC"/>
    <w:rsid w:val="177B5446"/>
    <w:rsid w:val="179F1141"/>
    <w:rsid w:val="17AA14A0"/>
    <w:rsid w:val="17B06C4E"/>
    <w:rsid w:val="18AB16F5"/>
    <w:rsid w:val="18AE18D6"/>
    <w:rsid w:val="18B417D8"/>
    <w:rsid w:val="18CC2CDE"/>
    <w:rsid w:val="19236D1A"/>
    <w:rsid w:val="193130F9"/>
    <w:rsid w:val="197DE5B9"/>
    <w:rsid w:val="1BAF7527"/>
    <w:rsid w:val="1BB39839"/>
    <w:rsid w:val="1BD6215B"/>
    <w:rsid w:val="1BFB9A89"/>
    <w:rsid w:val="1BFFA145"/>
    <w:rsid w:val="1C0C5B91"/>
    <w:rsid w:val="1CAC2755"/>
    <w:rsid w:val="1CCEAA77"/>
    <w:rsid w:val="1CEA3410"/>
    <w:rsid w:val="1CFFB938"/>
    <w:rsid w:val="1D203BBB"/>
    <w:rsid w:val="1D7F0C90"/>
    <w:rsid w:val="1DAF891A"/>
    <w:rsid w:val="1DF4B453"/>
    <w:rsid w:val="1E3F9DC9"/>
    <w:rsid w:val="1EBFC3FE"/>
    <w:rsid w:val="1EFBB41D"/>
    <w:rsid w:val="1EFECD63"/>
    <w:rsid w:val="1F7F0130"/>
    <w:rsid w:val="1F7F67C6"/>
    <w:rsid w:val="1F9BB5B2"/>
    <w:rsid w:val="1FBB85F4"/>
    <w:rsid w:val="1FED5EEE"/>
    <w:rsid w:val="1FF53B50"/>
    <w:rsid w:val="1FF75923"/>
    <w:rsid w:val="1FFA11D9"/>
    <w:rsid w:val="1FFF52BC"/>
    <w:rsid w:val="1FFF63E3"/>
    <w:rsid w:val="1FFFEC08"/>
    <w:rsid w:val="20CC50A8"/>
    <w:rsid w:val="20FF8A2E"/>
    <w:rsid w:val="210B22AC"/>
    <w:rsid w:val="22627005"/>
    <w:rsid w:val="23790901"/>
    <w:rsid w:val="237FB731"/>
    <w:rsid w:val="23B835E7"/>
    <w:rsid w:val="23BF0929"/>
    <w:rsid w:val="246430E5"/>
    <w:rsid w:val="24646193"/>
    <w:rsid w:val="256AEECB"/>
    <w:rsid w:val="25DC4E14"/>
    <w:rsid w:val="25FE780A"/>
    <w:rsid w:val="266D38A3"/>
    <w:rsid w:val="26F14514"/>
    <w:rsid w:val="26FE6946"/>
    <w:rsid w:val="27A54CE8"/>
    <w:rsid w:val="27DFF874"/>
    <w:rsid w:val="27FE3051"/>
    <w:rsid w:val="27FE9DAC"/>
    <w:rsid w:val="27FED097"/>
    <w:rsid w:val="28084732"/>
    <w:rsid w:val="28135B26"/>
    <w:rsid w:val="287AB881"/>
    <w:rsid w:val="28837859"/>
    <w:rsid w:val="28B17509"/>
    <w:rsid w:val="292A4865"/>
    <w:rsid w:val="295A2878"/>
    <w:rsid w:val="29774816"/>
    <w:rsid w:val="29FEDADC"/>
    <w:rsid w:val="2AD7057D"/>
    <w:rsid w:val="2ADC351E"/>
    <w:rsid w:val="2B173CE2"/>
    <w:rsid w:val="2B37FAF5"/>
    <w:rsid w:val="2B9ECB5A"/>
    <w:rsid w:val="2BEA1F2D"/>
    <w:rsid w:val="2BEBD3C2"/>
    <w:rsid w:val="2BEE193D"/>
    <w:rsid w:val="2BEFA7D6"/>
    <w:rsid w:val="2BFBC1AA"/>
    <w:rsid w:val="2CEB238A"/>
    <w:rsid w:val="2CEFD60D"/>
    <w:rsid w:val="2D0C5FD7"/>
    <w:rsid w:val="2D145C50"/>
    <w:rsid w:val="2D3B3FB1"/>
    <w:rsid w:val="2D7F2D8F"/>
    <w:rsid w:val="2DB274E9"/>
    <w:rsid w:val="2DE81100"/>
    <w:rsid w:val="2DFDECDE"/>
    <w:rsid w:val="2E9302D0"/>
    <w:rsid w:val="2EB60BCE"/>
    <w:rsid w:val="2EB6807E"/>
    <w:rsid w:val="2EEF454B"/>
    <w:rsid w:val="2EEF694A"/>
    <w:rsid w:val="2EF7A352"/>
    <w:rsid w:val="2F057303"/>
    <w:rsid w:val="2F5BD637"/>
    <w:rsid w:val="2F9D1559"/>
    <w:rsid w:val="2FB3A212"/>
    <w:rsid w:val="2FBFF7C9"/>
    <w:rsid w:val="2FDF41E0"/>
    <w:rsid w:val="2FDF854B"/>
    <w:rsid w:val="2FE513EE"/>
    <w:rsid w:val="2FE5FFC6"/>
    <w:rsid w:val="2FEFA5AB"/>
    <w:rsid w:val="2FF91F46"/>
    <w:rsid w:val="2FFD4134"/>
    <w:rsid w:val="2FFE0C1B"/>
    <w:rsid w:val="2FFF75FC"/>
    <w:rsid w:val="2FFF9BEB"/>
    <w:rsid w:val="30077C66"/>
    <w:rsid w:val="3013041F"/>
    <w:rsid w:val="301A0E6A"/>
    <w:rsid w:val="31CE99F4"/>
    <w:rsid w:val="31CFE6AB"/>
    <w:rsid w:val="31F9436D"/>
    <w:rsid w:val="32BE5BC9"/>
    <w:rsid w:val="32F347CF"/>
    <w:rsid w:val="33576316"/>
    <w:rsid w:val="338FD192"/>
    <w:rsid w:val="33CFE410"/>
    <w:rsid w:val="33D748C9"/>
    <w:rsid w:val="33E7F065"/>
    <w:rsid w:val="33FF0E7A"/>
    <w:rsid w:val="34372196"/>
    <w:rsid w:val="344DC1AC"/>
    <w:rsid w:val="34565170"/>
    <w:rsid w:val="34ED85FB"/>
    <w:rsid w:val="351D423D"/>
    <w:rsid w:val="354D43C2"/>
    <w:rsid w:val="35BF6AFC"/>
    <w:rsid w:val="35D7B9E1"/>
    <w:rsid w:val="35F7BB28"/>
    <w:rsid w:val="35FE59B8"/>
    <w:rsid w:val="361B6A53"/>
    <w:rsid w:val="364F4412"/>
    <w:rsid w:val="36579893"/>
    <w:rsid w:val="36740672"/>
    <w:rsid w:val="369B75DB"/>
    <w:rsid w:val="36FBDAF1"/>
    <w:rsid w:val="375B2B07"/>
    <w:rsid w:val="375F9984"/>
    <w:rsid w:val="37697665"/>
    <w:rsid w:val="376C6118"/>
    <w:rsid w:val="377D27C9"/>
    <w:rsid w:val="37A56AD0"/>
    <w:rsid w:val="37AE703A"/>
    <w:rsid w:val="37CC3E75"/>
    <w:rsid w:val="37DB0CD2"/>
    <w:rsid w:val="37DFAC27"/>
    <w:rsid w:val="37F7FC57"/>
    <w:rsid w:val="37F960C4"/>
    <w:rsid w:val="37FB2BD3"/>
    <w:rsid w:val="37FD0515"/>
    <w:rsid w:val="37FD1A4B"/>
    <w:rsid w:val="37FF7988"/>
    <w:rsid w:val="389E24D1"/>
    <w:rsid w:val="38E369BE"/>
    <w:rsid w:val="38FF9528"/>
    <w:rsid w:val="393609BF"/>
    <w:rsid w:val="396F13CB"/>
    <w:rsid w:val="39CD4409"/>
    <w:rsid w:val="39F76B62"/>
    <w:rsid w:val="3A356BDC"/>
    <w:rsid w:val="3A7243E3"/>
    <w:rsid w:val="3A771B79"/>
    <w:rsid w:val="3A9E6D95"/>
    <w:rsid w:val="3AC919C4"/>
    <w:rsid w:val="3ACDD6BD"/>
    <w:rsid w:val="3AFFA19C"/>
    <w:rsid w:val="3B267E7C"/>
    <w:rsid w:val="3B3D94B7"/>
    <w:rsid w:val="3B731E2E"/>
    <w:rsid w:val="3B75C3A7"/>
    <w:rsid w:val="3B7FA7AD"/>
    <w:rsid w:val="3B7FB13A"/>
    <w:rsid w:val="3B7FE854"/>
    <w:rsid w:val="3BB63F71"/>
    <w:rsid w:val="3BBD9860"/>
    <w:rsid w:val="3BBF6DA0"/>
    <w:rsid w:val="3BCD4F54"/>
    <w:rsid w:val="3BD78FE3"/>
    <w:rsid w:val="3BDFAE1F"/>
    <w:rsid w:val="3BF43544"/>
    <w:rsid w:val="3BF51BFD"/>
    <w:rsid w:val="3BF68F27"/>
    <w:rsid w:val="3BF90170"/>
    <w:rsid w:val="3BFB73C7"/>
    <w:rsid w:val="3BFDDE1C"/>
    <w:rsid w:val="3BFEFE2E"/>
    <w:rsid w:val="3C147DE0"/>
    <w:rsid w:val="3C207E34"/>
    <w:rsid w:val="3C3738FA"/>
    <w:rsid w:val="3C634E75"/>
    <w:rsid w:val="3C6D6DE8"/>
    <w:rsid w:val="3C7D13A6"/>
    <w:rsid w:val="3C7F891F"/>
    <w:rsid w:val="3CBB93CE"/>
    <w:rsid w:val="3CC96797"/>
    <w:rsid w:val="3CDFE697"/>
    <w:rsid w:val="3CFD53A7"/>
    <w:rsid w:val="3CFF2D2E"/>
    <w:rsid w:val="3CFF3D35"/>
    <w:rsid w:val="3D1D4B3C"/>
    <w:rsid w:val="3D2EAAA4"/>
    <w:rsid w:val="3D59CCDA"/>
    <w:rsid w:val="3D5F5E61"/>
    <w:rsid w:val="3D7B550A"/>
    <w:rsid w:val="3D7F9DF7"/>
    <w:rsid w:val="3DA3E919"/>
    <w:rsid w:val="3DB740FD"/>
    <w:rsid w:val="3DDB0697"/>
    <w:rsid w:val="3DDE2CEA"/>
    <w:rsid w:val="3DDE7DB7"/>
    <w:rsid w:val="3DDF19E0"/>
    <w:rsid w:val="3DE764FA"/>
    <w:rsid w:val="3DE76E8D"/>
    <w:rsid w:val="3DED2F6D"/>
    <w:rsid w:val="3DF2F538"/>
    <w:rsid w:val="3DF31102"/>
    <w:rsid w:val="3DF52AB8"/>
    <w:rsid w:val="3DF690AF"/>
    <w:rsid w:val="3DFD2AFE"/>
    <w:rsid w:val="3DFE13A4"/>
    <w:rsid w:val="3DFF64E3"/>
    <w:rsid w:val="3E359AA6"/>
    <w:rsid w:val="3E6B1B28"/>
    <w:rsid w:val="3E95439E"/>
    <w:rsid w:val="3E9EE038"/>
    <w:rsid w:val="3EBC1971"/>
    <w:rsid w:val="3ECBBC24"/>
    <w:rsid w:val="3ED70793"/>
    <w:rsid w:val="3EDF06F2"/>
    <w:rsid w:val="3EDFB935"/>
    <w:rsid w:val="3EDFC0FF"/>
    <w:rsid w:val="3EEAA6DC"/>
    <w:rsid w:val="3EEBCEDF"/>
    <w:rsid w:val="3EF7EEE6"/>
    <w:rsid w:val="3EFF74E8"/>
    <w:rsid w:val="3F184181"/>
    <w:rsid w:val="3F23E1B4"/>
    <w:rsid w:val="3F47D3B4"/>
    <w:rsid w:val="3F5A88B5"/>
    <w:rsid w:val="3F764185"/>
    <w:rsid w:val="3F777CE3"/>
    <w:rsid w:val="3F798A72"/>
    <w:rsid w:val="3F7BCBF6"/>
    <w:rsid w:val="3F7BEBC8"/>
    <w:rsid w:val="3F7FBC98"/>
    <w:rsid w:val="3F97FE48"/>
    <w:rsid w:val="3FB53C8E"/>
    <w:rsid w:val="3FB7FA44"/>
    <w:rsid w:val="3FBB4D67"/>
    <w:rsid w:val="3FBB9005"/>
    <w:rsid w:val="3FBF92B2"/>
    <w:rsid w:val="3FDDF307"/>
    <w:rsid w:val="3FDF7788"/>
    <w:rsid w:val="3FDFDA10"/>
    <w:rsid w:val="3FE65D79"/>
    <w:rsid w:val="3FE7ACDC"/>
    <w:rsid w:val="3FE9435B"/>
    <w:rsid w:val="3FEA4921"/>
    <w:rsid w:val="3FED5EF2"/>
    <w:rsid w:val="3FED9ED5"/>
    <w:rsid w:val="3FF3A1F6"/>
    <w:rsid w:val="3FF6F512"/>
    <w:rsid w:val="3FF70961"/>
    <w:rsid w:val="3FF7C8C8"/>
    <w:rsid w:val="3FF7F6EA"/>
    <w:rsid w:val="3FFAFBA8"/>
    <w:rsid w:val="3FFBB26D"/>
    <w:rsid w:val="3FFE82FB"/>
    <w:rsid w:val="3FFF017B"/>
    <w:rsid w:val="3FFF44C7"/>
    <w:rsid w:val="3FFFFD52"/>
    <w:rsid w:val="40832EB3"/>
    <w:rsid w:val="40E73EE4"/>
    <w:rsid w:val="420C519F"/>
    <w:rsid w:val="425B25EF"/>
    <w:rsid w:val="427A38AA"/>
    <w:rsid w:val="42A1293C"/>
    <w:rsid w:val="42A16BFA"/>
    <w:rsid w:val="42A52948"/>
    <w:rsid w:val="43CE2DA7"/>
    <w:rsid w:val="44B7CA29"/>
    <w:rsid w:val="44B91BB1"/>
    <w:rsid w:val="44DC66A1"/>
    <w:rsid w:val="456FFE8D"/>
    <w:rsid w:val="45EBCE60"/>
    <w:rsid w:val="46157D2B"/>
    <w:rsid w:val="46581CF1"/>
    <w:rsid w:val="46D1F7BB"/>
    <w:rsid w:val="46DC3EA3"/>
    <w:rsid w:val="47BE6982"/>
    <w:rsid w:val="47F35980"/>
    <w:rsid w:val="48384622"/>
    <w:rsid w:val="48FC0DFD"/>
    <w:rsid w:val="491F70FA"/>
    <w:rsid w:val="49E656E9"/>
    <w:rsid w:val="4AD6D732"/>
    <w:rsid w:val="4B284CD2"/>
    <w:rsid w:val="4B5F7387"/>
    <w:rsid w:val="4BCBA875"/>
    <w:rsid w:val="4BE90E3B"/>
    <w:rsid w:val="4C032FAE"/>
    <w:rsid w:val="4CFBF941"/>
    <w:rsid w:val="4D3ADD57"/>
    <w:rsid w:val="4D40385F"/>
    <w:rsid w:val="4D4D213E"/>
    <w:rsid w:val="4D84661B"/>
    <w:rsid w:val="4D891FDA"/>
    <w:rsid w:val="4D9407A7"/>
    <w:rsid w:val="4D99C30F"/>
    <w:rsid w:val="4DB9E1AC"/>
    <w:rsid w:val="4DBBF47B"/>
    <w:rsid w:val="4DBC1A64"/>
    <w:rsid w:val="4DD30CC7"/>
    <w:rsid w:val="4DFBDBD3"/>
    <w:rsid w:val="4E3A3764"/>
    <w:rsid w:val="4E3B3813"/>
    <w:rsid w:val="4EA7482D"/>
    <w:rsid w:val="4EBD78B5"/>
    <w:rsid w:val="4EBE9F53"/>
    <w:rsid w:val="4EBF8859"/>
    <w:rsid w:val="4ED732C6"/>
    <w:rsid w:val="4EFA3227"/>
    <w:rsid w:val="4F5D4FEB"/>
    <w:rsid w:val="4F724781"/>
    <w:rsid w:val="4F765944"/>
    <w:rsid w:val="4F8C61C8"/>
    <w:rsid w:val="4F92C368"/>
    <w:rsid w:val="4FAF157A"/>
    <w:rsid w:val="4FB11E15"/>
    <w:rsid w:val="4FCE5993"/>
    <w:rsid w:val="4FD7C1CF"/>
    <w:rsid w:val="4FF4BA0B"/>
    <w:rsid w:val="4FFA9A93"/>
    <w:rsid w:val="4FFB9710"/>
    <w:rsid w:val="513D9573"/>
    <w:rsid w:val="51975C59"/>
    <w:rsid w:val="51A25CF2"/>
    <w:rsid w:val="51B055F1"/>
    <w:rsid w:val="51E15EBF"/>
    <w:rsid w:val="523F1DE4"/>
    <w:rsid w:val="524316A6"/>
    <w:rsid w:val="52624F05"/>
    <w:rsid w:val="52D2383C"/>
    <w:rsid w:val="53A37B3E"/>
    <w:rsid w:val="53DF0EA3"/>
    <w:rsid w:val="53F876A5"/>
    <w:rsid w:val="53FE0D54"/>
    <w:rsid w:val="53FF8C90"/>
    <w:rsid w:val="545D5CF0"/>
    <w:rsid w:val="54CFDA31"/>
    <w:rsid w:val="54F57839"/>
    <w:rsid w:val="55C93B3C"/>
    <w:rsid w:val="567E6A7C"/>
    <w:rsid w:val="56BF1C44"/>
    <w:rsid w:val="56F6DFCA"/>
    <w:rsid w:val="56FE7F5B"/>
    <w:rsid w:val="56FFA052"/>
    <w:rsid w:val="570F2DED"/>
    <w:rsid w:val="577F1982"/>
    <w:rsid w:val="57887F8F"/>
    <w:rsid w:val="57AF770B"/>
    <w:rsid w:val="57B43952"/>
    <w:rsid w:val="57CF87DD"/>
    <w:rsid w:val="57E514A8"/>
    <w:rsid w:val="57E92985"/>
    <w:rsid w:val="57F5C589"/>
    <w:rsid w:val="57F7593A"/>
    <w:rsid w:val="57F769AC"/>
    <w:rsid w:val="57F78AC9"/>
    <w:rsid w:val="57FADCF1"/>
    <w:rsid w:val="5874668E"/>
    <w:rsid w:val="593A2D34"/>
    <w:rsid w:val="593FFEBE"/>
    <w:rsid w:val="594D5B7D"/>
    <w:rsid w:val="59C55412"/>
    <w:rsid w:val="59CF682E"/>
    <w:rsid w:val="59E8AB3C"/>
    <w:rsid w:val="59FED8D0"/>
    <w:rsid w:val="59FF9411"/>
    <w:rsid w:val="5A170152"/>
    <w:rsid w:val="5A3FA7DE"/>
    <w:rsid w:val="5A6DBC2E"/>
    <w:rsid w:val="5AB51522"/>
    <w:rsid w:val="5B4FACEE"/>
    <w:rsid w:val="5B693AA4"/>
    <w:rsid w:val="5B7D2F90"/>
    <w:rsid w:val="5B9FB915"/>
    <w:rsid w:val="5BB74C3B"/>
    <w:rsid w:val="5BDB320C"/>
    <w:rsid w:val="5BDDBA6A"/>
    <w:rsid w:val="5BE373B9"/>
    <w:rsid w:val="5BEDF2DC"/>
    <w:rsid w:val="5BFBFDD4"/>
    <w:rsid w:val="5BFF107B"/>
    <w:rsid w:val="5BFFA924"/>
    <w:rsid w:val="5BFFD025"/>
    <w:rsid w:val="5CC5AA5A"/>
    <w:rsid w:val="5CF7F1CF"/>
    <w:rsid w:val="5CFF6120"/>
    <w:rsid w:val="5D912E1C"/>
    <w:rsid w:val="5D9F487B"/>
    <w:rsid w:val="5DBDF4CB"/>
    <w:rsid w:val="5DBE1D55"/>
    <w:rsid w:val="5DBFC954"/>
    <w:rsid w:val="5DDE49D3"/>
    <w:rsid w:val="5DEC7424"/>
    <w:rsid w:val="5DF1244D"/>
    <w:rsid w:val="5DF78992"/>
    <w:rsid w:val="5DF7A7F1"/>
    <w:rsid w:val="5DFB055E"/>
    <w:rsid w:val="5DFDA5EB"/>
    <w:rsid w:val="5DFE1BA5"/>
    <w:rsid w:val="5DFF46BD"/>
    <w:rsid w:val="5DFFB9CA"/>
    <w:rsid w:val="5E5CD2B4"/>
    <w:rsid w:val="5E67AD75"/>
    <w:rsid w:val="5EA83F26"/>
    <w:rsid w:val="5ECF4875"/>
    <w:rsid w:val="5EE5E5BD"/>
    <w:rsid w:val="5EEB6D2C"/>
    <w:rsid w:val="5EEB977C"/>
    <w:rsid w:val="5EFE63D5"/>
    <w:rsid w:val="5F32BCA4"/>
    <w:rsid w:val="5F35E7DE"/>
    <w:rsid w:val="5F39E4B6"/>
    <w:rsid w:val="5F6D05A1"/>
    <w:rsid w:val="5F77F64B"/>
    <w:rsid w:val="5F9B0961"/>
    <w:rsid w:val="5FAB526F"/>
    <w:rsid w:val="5FB5BD71"/>
    <w:rsid w:val="5FBB3D08"/>
    <w:rsid w:val="5FCFFBB0"/>
    <w:rsid w:val="5FD56FC2"/>
    <w:rsid w:val="5FDBA3BF"/>
    <w:rsid w:val="5FDEBD5C"/>
    <w:rsid w:val="5FDF8298"/>
    <w:rsid w:val="5FE339DB"/>
    <w:rsid w:val="5FEF12BF"/>
    <w:rsid w:val="5FEF4FB7"/>
    <w:rsid w:val="5FEF6660"/>
    <w:rsid w:val="5FF3BD06"/>
    <w:rsid w:val="5FF40D00"/>
    <w:rsid w:val="5FF665A2"/>
    <w:rsid w:val="5FF7B731"/>
    <w:rsid w:val="5FF7BCE8"/>
    <w:rsid w:val="5FF7D9B0"/>
    <w:rsid w:val="5FF8AB8A"/>
    <w:rsid w:val="5FFA7D8B"/>
    <w:rsid w:val="5FFBEFA0"/>
    <w:rsid w:val="5FFD203F"/>
    <w:rsid w:val="5FFE3626"/>
    <w:rsid w:val="5FFFA7AF"/>
    <w:rsid w:val="5FFFC984"/>
    <w:rsid w:val="5FFFD6C4"/>
    <w:rsid w:val="5FFFE73D"/>
    <w:rsid w:val="601077B3"/>
    <w:rsid w:val="60EB054B"/>
    <w:rsid w:val="61174778"/>
    <w:rsid w:val="612FE800"/>
    <w:rsid w:val="613025B5"/>
    <w:rsid w:val="61610C60"/>
    <w:rsid w:val="61DBA294"/>
    <w:rsid w:val="621E675C"/>
    <w:rsid w:val="6252450F"/>
    <w:rsid w:val="62D32124"/>
    <w:rsid w:val="633412F9"/>
    <w:rsid w:val="633F8ADB"/>
    <w:rsid w:val="636C6D28"/>
    <w:rsid w:val="638F5872"/>
    <w:rsid w:val="6394407B"/>
    <w:rsid w:val="63D45786"/>
    <w:rsid w:val="63FFB7CF"/>
    <w:rsid w:val="642C604E"/>
    <w:rsid w:val="644EACB3"/>
    <w:rsid w:val="64601C26"/>
    <w:rsid w:val="64897A15"/>
    <w:rsid w:val="64DC31AC"/>
    <w:rsid w:val="65B974BF"/>
    <w:rsid w:val="65FDF064"/>
    <w:rsid w:val="65FF1299"/>
    <w:rsid w:val="664F1AD5"/>
    <w:rsid w:val="669F29C1"/>
    <w:rsid w:val="66AEF7D2"/>
    <w:rsid w:val="66C978D5"/>
    <w:rsid w:val="66DF2FD1"/>
    <w:rsid w:val="66EF23EB"/>
    <w:rsid w:val="66F72AE4"/>
    <w:rsid w:val="6707BF6B"/>
    <w:rsid w:val="670A2826"/>
    <w:rsid w:val="671F73A2"/>
    <w:rsid w:val="677102D7"/>
    <w:rsid w:val="678BB330"/>
    <w:rsid w:val="67972CD5"/>
    <w:rsid w:val="67A7DECA"/>
    <w:rsid w:val="67BFDA93"/>
    <w:rsid w:val="67DB3C11"/>
    <w:rsid w:val="67E20FB7"/>
    <w:rsid w:val="67EF729D"/>
    <w:rsid w:val="67EFEB09"/>
    <w:rsid w:val="67FB3265"/>
    <w:rsid w:val="67FB42EF"/>
    <w:rsid w:val="67FE7DB4"/>
    <w:rsid w:val="67FF7FCF"/>
    <w:rsid w:val="680BB3E1"/>
    <w:rsid w:val="68AA7332"/>
    <w:rsid w:val="68FF1501"/>
    <w:rsid w:val="69086C9F"/>
    <w:rsid w:val="6988A73E"/>
    <w:rsid w:val="69EFB287"/>
    <w:rsid w:val="6A421CB9"/>
    <w:rsid w:val="6A783458"/>
    <w:rsid w:val="6ADFC3AD"/>
    <w:rsid w:val="6ADFC75A"/>
    <w:rsid w:val="6B1A32DB"/>
    <w:rsid w:val="6B1E8582"/>
    <w:rsid w:val="6B43763E"/>
    <w:rsid w:val="6B72154A"/>
    <w:rsid w:val="6B9F6C77"/>
    <w:rsid w:val="6B9F8BCD"/>
    <w:rsid w:val="6BB6F1F0"/>
    <w:rsid w:val="6BBB934F"/>
    <w:rsid w:val="6BBF790F"/>
    <w:rsid w:val="6BDB5118"/>
    <w:rsid w:val="6BDB835E"/>
    <w:rsid w:val="6BDC05A4"/>
    <w:rsid w:val="6BEB12A7"/>
    <w:rsid w:val="6BEB7BA8"/>
    <w:rsid w:val="6BEE535E"/>
    <w:rsid w:val="6BF69B09"/>
    <w:rsid w:val="6BFF8DD8"/>
    <w:rsid w:val="6BFFE5DD"/>
    <w:rsid w:val="6CEB7557"/>
    <w:rsid w:val="6CFEAF7B"/>
    <w:rsid w:val="6D155CDD"/>
    <w:rsid w:val="6D390CAA"/>
    <w:rsid w:val="6D7D3F04"/>
    <w:rsid w:val="6D7DCB56"/>
    <w:rsid w:val="6D8D1129"/>
    <w:rsid w:val="6DA97D7C"/>
    <w:rsid w:val="6DAA3162"/>
    <w:rsid w:val="6DDA835B"/>
    <w:rsid w:val="6DEFEBD5"/>
    <w:rsid w:val="6DFB1288"/>
    <w:rsid w:val="6DFD932B"/>
    <w:rsid w:val="6E67021F"/>
    <w:rsid w:val="6E6767FA"/>
    <w:rsid w:val="6EA7B4F0"/>
    <w:rsid w:val="6EAE5A2D"/>
    <w:rsid w:val="6EBF860E"/>
    <w:rsid w:val="6EC74EAD"/>
    <w:rsid w:val="6EC90E50"/>
    <w:rsid w:val="6ECB7934"/>
    <w:rsid w:val="6EDB55DF"/>
    <w:rsid w:val="6EDFF5D9"/>
    <w:rsid w:val="6EE1EFBA"/>
    <w:rsid w:val="6EF76AFD"/>
    <w:rsid w:val="6EFFF976"/>
    <w:rsid w:val="6F1F1883"/>
    <w:rsid w:val="6F3F8B99"/>
    <w:rsid w:val="6F4FC376"/>
    <w:rsid w:val="6F532EC8"/>
    <w:rsid w:val="6F548FCF"/>
    <w:rsid w:val="6F5FD34E"/>
    <w:rsid w:val="6F691BDC"/>
    <w:rsid w:val="6F6A670D"/>
    <w:rsid w:val="6F6BD71A"/>
    <w:rsid w:val="6F6FE56F"/>
    <w:rsid w:val="6F7B7837"/>
    <w:rsid w:val="6F7E9247"/>
    <w:rsid w:val="6F7F4C48"/>
    <w:rsid w:val="6F7F8B94"/>
    <w:rsid w:val="6FA3B811"/>
    <w:rsid w:val="6FBFC606"/>
    <w:rsid w:val="6FC4269D"/>
    <w:rsid w:val="6FC4676F"/>
    <w:rsid w:val="6FC91F14"/>
    <w:rsid w:val="6FD70911"/>
    <w:rsid w:val="6FDE25D1"/>
    <w:rsid w:val="6FDF6937"/>
    <w:rsid w:val="6FEB1E42"/>
    <w:rsid w:val="6FEF0BA7"/>
    <w:rsid w:val="6FF34867"/>
    <w:rsid w:val="6FF51F11"/>
    <w:rsid w:val="6FF73D14"/>
    <w:rsid w:val="6FF7AC9B"/>
    <w:rsid w:val="6FFB24E1"/>
    <w:rsid w:val="6FFE1E54"/>
    <w:rsid w:val="6FFF2848"/>
    <w:rsid w:val="6FFF2C36"/>
    <w:rsid w:val="6FFF5EF7"/>
    <w:rsid w:val="6FFFC54C"/>
    <w:rsid w:val="6FFFD866"/>
    <w:rsid w:val="70FFE6DA"/>
    <w:rsid w:val="711C6EDD"/>
    <w:rsid w:val="713BCF43"/>
    <w:rsid w:val="715F2A64"/>
    <w:rsid w:val="71800327"/>
    <w:rsid w:val="71FDED23"/>
    <w:rsid w:val="71FF41DF"/>
    <w:rsid w:val="71FF81E1"/>
    <w:rsid w:val="72BA1048"/>
    <w:rsid w:val="72EBAA0D"/>
    <w:rsid w:val="73002C03"/>
    <w:rsid w:val="731B7A69"/>
    <w:rsid w:val="737BC746"/>
    <w:rsid w:val="73C03E29"/>
    <w:rsid w:val="73C3940C"/>
    <w:rsid w:val="73DD07B7"/>
    <w:rsid w:val="73E399CA"/>
    <w:rsid w:val="73EEAD95"/>
    <w:rsid w:val="73F7F539"/>
    <w:rsid w:val="73FF2DD7"/>
    <w:rsid w:val="73FF5E4A"/>
    <w:rsid w:val="74435624"/>
    <w:rsid w:val="74B530B7"/>
    <w:rsid w:val="74B78620"/>
    <w:rsid w:val="74BFB420"/>
    <w:rsid w:val="74FF0369"/>
    <w:rsid w:val="7556803E"/>
    <w:rsid w:val="755F8934"/>
    <w:rsid w:val="75B6ACDD"/>
    <w:rsid w:val="75B72F48"/>
    <w:rsid w:val="75BB5F29"/>
    <w:rsid w:val="75CA04E2"/>
    <w:rsid w:val="75CB4B5C"/>
    <w:rsid w:val="75CF592C"/>
    <w:rsid w:val="75E74381"/>
    <w:rsid w:val="75F71D64"/>
    <w:rsid w:val="75FD558B"/>
    <w:rsid w:val="75FDC643"/>
    <w:rsid w:val="75FE52CF"/>
    <w:rsid w:val="760B4200"/>
    <w:rsid w:val="76641462"/>
    <w:rsid w:val="766E386B"/>
    <w:rsid w:val="767A5388"/>
    <w:rsid w:val="767B2FFF"/>
    <w:rsid w:val="767D472D"/>
    <w:rsid w:val="769170E4"/>
    <w:rsid w:val="769B6D97"/>
    <w:rsid w:val="76BD767B"/>
    <w:rsid w:val="76F117DC"/>
    <w:rsid w:val="76F619EF"/>
    <w:rsid w:val="76FF1690"/>
    <w:rsid w:val="76FF6392"/>
    <w:rsid w:val="7721C25B"/>
    <w:rsid w:val="776709AE"/>
    <w:rsid w:val="777914A7"/>
    <w:rsid w:val="777DA521"/>
    <w:rsid w:val="777F245A"/>
    <w:rsid w:val="777F5786"/>
    <w:rsid w:val="777FB5BD"/>
    <w:rsid w:val="77AF18F9"/>
    <w:rsid w:val="77B7D397"/>
    <w:rsid w:val="77BE8181"/>
    <w:rsid w:val="77BFCFCE"/>
    <w:rsid w:val="77BFE5AE"/>
    <w:rsid w:val="77CD572E"/>
    <w:rsid w:val="77DD634A"/>
    <w:rsid w:val="77E1164C"/>
    <w:rsid w:val="77EEAB48"/>
    <w:rsid w:val="77EFC8EE"/>
    <w:rsid w:val="77F62696"/>
    <w:rsid w:val="77F73563"/>
    <w:rsid w:val="77F7A08E"/>
    <w:rsid w:val="77F7C1A2"/>
    <w:rsid w:val="77F7C535"/>
    <w:rsid w:val="77F9213F"/>
    <w:rsid w:val="77FBEBA1"/>
    <w:rsid w:val="77FBF74F"/>
    <w:rsid w:val="77FD1CF0"/>
    <w:rsid w:val="77FEE524"/>
    <w:rsid w:val="77FEE6F2"/>
    <w:rsid w:val="77FFBDBC"/>
    <w:rsid w:val="780F0E93"/>
    <w:rsid w:val="786F469A"/>
    <w:rsid w:val="788EE0B0"/>
    <w:rsid w:val="78949781"/>
    <w:rsid w:val="78B94796"/>
    <w:rsid w:val="78CF0F78"/>
    <w:rsid w:val="78F7527B"/>
    <w:rsid w:val="79278D9D"/>
    <w:rsid w:val="796D40C9"/>
    <w:rsid w:val="796F9E6C"/>
    <w:rsid w:val="797F6EEC"/>
    <w:rsid w:val="79A67277"/>
    <w:rsid w:val="79C6CEA0"/>
    <w:rsid w:val="79F45E3B"/>
    <w:rsid w:val="79FEEF1E"/>
    <w:rsid w:val="79FF0C44"/>
    <w:rsid w:val="79FF7ADA"/>
    <w:rsid w:val="79FFAE0C"/>
    <w:rsid w:val="79FFE5B3"/>
    <w:rsid w:val="7A225F63"/>
    <w:rsid w:val="7A346202"/>
    <w:rsid w:val="7A36307F"/>
    <w:rsid w:val="7A3A6673"/>
    <w:rsid w:val="7A4FC83D"/>
    <w:rsid w:val="7A7EF1F0"/>
    <w:rsid w:val="7A7FE7C8"/>
    <w:rsid w:val="7ADF1DE4"/>
    <w:rsid w:val="7AE1E31A"/>
    <w:rsid w:val="7AE4A00D"/>
    <w:rsid w:val="7AEBA369"/>
    <w:rsid w:val="7AECEA16"/>
    <w:rsid w:val="7AF327FD"/>
    <w:rsid w:val="7AFA4F02"/>
    <w:rsid w:val="7AFDE448"/>
    <w:rsid w:val="7AFFF6F6"/>
    <w:rsid w:val="7B0E0EDC"/>
    <w:rsid w:val="7B2B5E1D"/>
    <w:rsid w:val="7B4126CD"/>
    <w:rsid w:val="7B6F1823"/>
    <w:rsid w:val="7B773CF7"/>
    <w:rsid w:val="7B7BB024"/>
    <w:rsid w:val="7B7E283D"/>
    <w:rsid w:val="7B7F273F"/>
    <w:rsid w:val="7B81CC0B"/>
    <w:rsid w:val="7BBBD57A"/>
    <w:rsid w:val="7BBE9B84"/>
    <w:rsid w:val="7BCBCE79"/>
    <w:rsid w:val="7BD56C5E"/>
    <w:rsid w:val="7BDF426D"/>
    <w:rsid w:val="7BE75C4F"/>
    <w:rsid w:val="7BE78946"/>
    <w:rsid w:val="7BE8003A"/>
    <w:rsid w:val="7BEDCDDE"/>
    <w:rsid w:val="7BEF8EB8"/>
    <w:rsid w:val="7BF38DA4"/>
    <w:rsid w:val="7BF5096D"/>
    <w:rsid w:val="7BF70CAD"/>
    <w:rsid w:val="7BF77153"/>
    <w:rsid w:val="7BFB3DED"/>
    <w:rsid w:val="7BFDF3A9"/>
    <w:rsid w:val="7BFE7C81"/>
    <w:rsid w:val="7BFEEB68"/>
    <w:rsid w:val="7BFFE185"/>
    <w:rsid w:val="7BFFE96F"/>
    <w:rsid w:val="7BFFED39"/>
    <w:rsid w:val="7C074744"/>
    <w:rsid w:val="7C37E70F"/>
    <w:rsid w:val="7C679821"/>
    <w:rsid w:val="7C788BA4"/>
    <w:rsid w:val="7C83F53C"/>
    <w:rsid w:val="7CAD391A"/>
    <w:rsid w:val="7CCDC6DB"/>
    <w:rsid w:val="7CD01E69"/>
    <w:rsid w:val="7CE363C6"/>
    <w:rsid w:val="7CFB66E5"/>
    <w:rsid w:val="7D0E7C23"/>
    <w:rsid w:val="7D31E725"/>
    <w:rsid w:val="7D3786EA"/>
    <w:rsid w:val="7D3B7DCB"/>
    <w:rsid w:val="7D3BB8B0"/>
    <w:rsid w:val="7D65D22D"/>
    <w:rsid w:val="7D6F2E15"/>
    <w:rsid w:val="7D7DE748"/>
    <w:rsid w:val="7D7F2E67"/>
    <w:rsid w:val="7D8E1283"/>
    <w:rsid w:val="7DAB5EFB"/>
    <w:rsid w:val="7DAE0FCB"/>
    <w:rsid w:val="7DAF33B1"/>
    <w:rsid w:val="7DB72548"/>
    <w:rsid w:val="7DB776DD"/>
    <w:rsid w:val="7DBBF6CD"/>
    <w:rsid w:val="7DBF7D8F"/>
    <w:rsid w:val="7DC78571"/>
    <w:rsid w:val="7DCB092C"/>
    <w:rsid w:val="7DCC92B9"/>
    <w:rsid w:val="7DCCFDE7"/>
    <w:rsid w:val="7DF373AD"/>
    <w:rsid w:val="7DF6A0C7"/>
    <w:rsid w:val="7DF73CCC"/>
    <w:rsid w:val="7DF77481"/>
    <w:rsid w:val="7DF7901D"/>
    <w:rsid w:val="7DF8D08E"/>
    <w:rsid w:val="7DFD341D"/>
    <w:rsid w:val="7DFD6FB1"/>
    <w:rsid w:val="7DFD7367"/>
    <w:rsid w:val="7DFD8A8C"/>
    <w:rsid w:val="7DFF09E3"/>
    <w:rsid w:val="7DFF8EA3"/>
    <w:rsid w:val="7DFFCB79"/>
    <w:rsid w:val="7DFFCE5D"/>
    <w:rsid w:val="7DFFE4E7"/>
    <w:rsid w:val="7E1F04D6"/>
    <w:rsid w:val="7E3DF215"/>
    <w:rsid w:val="7E5F82E7"/>
    <w:rsid w:val="7E64C435"/>
    <w:rsid w:val="7E73E898"/>
    <w:rsid w:val="7E7B1C68"/>
    <w:rsid w:val="7E7BF797"/>
    <w:rsid w:val="7E7D590B"/>
    <w:rsid w:val="7E7FDFE0"/>
    <w:rsid w:val="7E8FD573"/>
    <w:rsid w:val="7E9DE841"/>
    <w:rsid w:val="7E9F8843"/>
    <w:rsid w:val="7EBEB2E2"/>
    <w:rsid w:val="7EDAA570"/>
    <w:rsid w:val="7EDD8D9D"/>
    <w:rsid w:val="7EDF3CD0"/>
    <w:rsid w:val="7EDF8303"/>
    <w:rsid w:val="7EE3B93E"/>
    <w:rsid w:val="7EE8A469"/>
    <w:rsid w:val="7EECE6BC"/>
    <w:rsid w:val="7EF3A179"/>
    <w:rsid w:val="7EF724D1"/>
    <w:rsid w:val="7EF85B33"/>
    <w:rsid w:val="7EFB9BE7"/>
    <w:rsid w:val="7EFBC61D"/>
    <w:rsid w:val="7EFD51F9"/>
    <w:rsid w:val="7EFE6214"/>
    <w:rsid w:val="7F0B208A"/>
    <w:rsid w:val="7F1ED372"/>
    <w:rsid w:val="7F2B3BD4"/>
    <w:rsid w:val="7F2E0B84"/>
    <w:rsid w:val="7F35E69F"/>
    <w:rsid w:val="7F3F90DF"/>
    <w:rsid w:val="7F3FDB7C"/>
    <w:rsid w:val="7F3FDD6B"/>
    <w:rsid w:val="7F4E9ABC"/>
    <w:rsid w:val="7F52E8AA"/>
    <w:rsid w:val="7F5606D5"/>
    <w:rsid w:val="7F5D2495"/>
    <w:rsid w:val="7F5FC425"/>
    <w:rsid w:val="7F63F134"/>
    <w:rsid w:val="7F6E3AFF"/>
    <w:rsid w:val="7F6EB7D4"/>
    <w:rsid w:val="7F75D9EC"/>
    <w:rsid w:val="7F76DF1F"/>
    <w:rsid w:val="7F7781F8"/>
    <w:rsid w:val="7F77B7C0"/>
    <w:rsid w:val="7F7A87AF"/>
    <w:rsid w:val="7F7B4A8E"/>
    <w:rsid w:val="7F7E34B3"/>
    <w:rsid w:val="7F7E57A7"/>
    <w:rsid w:val="7F7F39F9"/>
    <w:rsid w:val="7F7F8D25"/>
    <w:rsid w:val="7F7FB9D9"/>
    <w:rsid w:val="7F9D72F6"/>
    <w:rsid w:val="7F9F878E"/>
    <w:rsid w:val="7F9FA57E"/>
    <w:rsid w:val="7FA5B2D6"/>
    <w:rsid w:val="7FADBA50"/>
    <w:rsid w:val="7FAE541E"/>
    <w:rsid w:val="7FB37E3F"/>
    <w:rsid w:val="7FBA0C04"/>
    <w:rsid w:val="7FBBDFEE"/>
    <w:rsid w:val="7FBC28E6"/>
    <w:rsid w:val="7FBC947E"/>
    <w:rsid w:val="7FBC9C9C"/>
    <w:rsid w:val="7FBDE930"/>
    <w:rsid w:val="7FBE0E5C"/>
    <w:rsid w:val="7FBE5456"/>
    <w:rsid w:val="7FBEAF11"/>
    <w:rsid w:val="7FBF21A9"/>
    <w:rsid w:val="7FBF7987"/>
    <w:rsid w:val="7FBF7A1D"/>
    <w:rsid w:val="7FBF8565"/>
    <w:rsid w:val="7FBF9E44"/>
    <w:rsid w:val="7FBFB0D5"/>
    <w:rsid w:val="7FBFF661"/>
    <w:rsid w:val="7FC7787F"/>
    <w:rsid w:val="7FCBCD9B"/>
    <w:rsid w:val="7FCE03C9"/>
    <w:rsid w:val="7FD5C49F"/>
    <w:rsid w:val="7FD5DF48"/>
    <w:rsid w:val="7FD78681"/>
    <w:rsid w:val="7FD7D9F6"/>
    <w:rsid w:val="7FDB72C9"/>
    <w:rsid w:val="7FDC16B8"/>
    <w:rsid w:val="7FDCF8A1"/>
    <w:rsid w:val="7FDDE68A"/>
    <w:rsid w:val="7FDF4B61"/>
    <w:rsid w:val="7FDF777E"/>
    <w:rsid w:val="7FDF7D1F"/>
    <w:rsid w:val="7FDF95F9"/>
    <w:rsid w:val="7FDFBB64"/>
    <w:rsid w:val="7FDFC1BE"/>
    <w:rsid w:val="7FE6DCE2"/>
    <w:rsid w:val="7FE7B3AB"/>
    <w:rsid w:val="7FE7CDC0"/>
    <w:rsid w:val="7FEAA80B"/>
    <w:rsid w:val="7FEC7409"/>
    <w:rsid w:val="7FEF01D6"/>
    <w:rsid w:val="7FEF4820"/>
    <w:rsid w:val="7FEF72C1"/>
    <w:rsid w:val="7FEFD323"/>
    <w:rsid w:val="7FF201B1"/>
    <w:rsid w:val="7FF330C7"/>
    <w:rsid w:val="7FF3CF94"/>
    <w:rsid w:val="7FF64F9D"/>
    <w:rsid w:val="7FF68A21"/>
    <w:rsid w:val="7FF70D7C"/>
    <w:rsid w:val="7FF760A8"/>
    <w:rsid w:val="7FF760FA"/>
    <w:rsid w:val="7FF761BD"/>
    <w:rsid w:val="7FF7E88C"/>
    <w:rsid w:val="7FF9539D"/>
    <w:rsid w:val="7FFB733A"/>
    <w:rsid w:val="7FFB9201"/>
    <w:rsid w:val="7FFC21A6"/>
    <w:rsid w:val="7FFC41C5"/>
    <w:rsid w:val="7FFCDF19"/>
    <w:rsid w:val="7FFD23B9"/>
    <w:rsid w:val="7FFD3CE5"/>
    <w:rsid w:val="7FFD6383"/>
    <w:rsid w:val="7FFDA1F7"/>
    <w:rsid w:val="7FFDAE28"/>
    <w:rsid w:val="7FFDB102"/>
    <w:rsid w:val="7FFDC211"/>
    <w:rsid w:val="7FFDDF02"/>
    <w:rsid w:val="7FFDEBA7"/>
    <w:rsid w:val="7FFE199C"/>
    <w:rsid w:val="7FFECD48"/>
    <w:rsid w:val="7FFF2484"/>
    <w:rsid w:val="7FFF358A"/>
    <w:rsid w:val="7FFF3C5E"/>
    <w:rsid w:val="7FFF3E78"/>
    <w:rsid w:val="7FFF5FBA"/>
    <w:rsid w:val="7FFFA9AF"/>
    <w:rsid w:val="7FFFAA09"/>
    <w:rsid w:val="7FFFAFA0"/>
    <w:rsid w:val="7FFFB9D2"/>
    <w:rsid w:val="7FFFBA5E"/>
    <w:rsid w:val="7FFFC5CF"/>
    <w:rsid w:val="7FFFCFB7"/>
    <w:rsid w:val="7FFFE7DF"/>
    <w:rsid w:val="7FFFEFC3"/>
    <w:rsid w:val="81FCBAD0"/>
    <w:rsid w:val="85EF3854"/>
    <w:rsid w:val="869E7DA7"/>
    <w:rsid w:val="877F309B"/>
    <w:rsid w:val="89F68BD1"/>
    <w:rsid w:val="8BAE4E57"/>
    <w:rsid w:val="8BDA14DC"/>
    <w:rsid w:val="8CFDD701"/>
    <w:rsid w:val="8D77CFBB"/>
    <w:rsid w:val="8DFD8A55"/>
    <w:rsid w:val="8EB50656"/>
    <w:rsid w:val="8EBD16D9"/>
    <w:rsid w:val="8EF793B9"/>
    <w:rsid w:val="8FFD7C7D"/>
    <w:rsid w:val="8FFEBAC7"/>
    <w:rsid w:val="9377CC2C"/>
    <w:rsid w:val="956B01BB"/>
    <w:rsid w:val="95CFED90"/>
    <w:rsid w:val="95FA88DA"/>
    <w:rsid w:val="96FE935E"/>
    <w:rsid w:val="979F08FC"/>
    <w:rsid w:val="97ABA489"/>
    <w:rsid w:val="97B73278"/>
    <w:rsid w:val="97BBCC64"/>
    <w:rsid w:val="97E700B5"/>
    <w:rsid w:val="97FDC0C3"/>
    <w:rsid w:val="97FDD0BB"/>
    <w:rsid w:val="97FFC34B"/>
    <w:rsid w:val="99D37F07"/>
    <w:rsid w:val="99ED188C"/>
    <w:rsid w:val="9AA919E8"/>
    <w:rsid w:val="9BBF6A98"/>
    <w:rsid w:val="9BC37D76"/>
    <w:rsid w:val="9D6F36BB"/>
    <w:rsid w:val="9DBDD9F7"/>
    <w:rsid w:val="9DD9F774"/>
    <w:rsid w:val="9DEB3B94"/>
    <w:rsid w:val="9DF798B6"/>
    <w:rsid w:val="9DFF112B"/>
    <w:rsid w:val="9DFF7872"/>
    <w:rsid w:val="9E2F22BB"/>
    <w:rsid w:val="9E6D5FBB"/>
    <w:rsid w:val="9EAB74FA"/>
    <w:rsid w:val="9EDBA7C7"/>
    <w:rsid w:val="9EF98BE2"/>
    <w:rsid w:val="9EFFE1F1"/>
    <w:rsid w:val="9F3FAA82"/>
    <w:rsid w:val="9F4F4951"/>
    <w:rsid w:val="9F677271"/>
    <w:rsid w:val="9F77B6EC"/>
    <w:rsid w:val="9F7F071C"/>
    <w:rsid w:val="9F9BE958"/>
    <w:rsid w:val="9FA801E4"/>
    <w:rsid w:val="9FAF180F"/>
    <w:rsid w:val="9FDF465E"/>
    <w:rsid w:val="9FEBC12C"/>
    <w:rsid w:val="9FFB0EA0"/>
    <w:rsid w:val="9FFBA8FA"/>
    <w:rsid w:val="9FFDB206"/>
    <w:rsid w:val="9FFE4CA0"/>
    <w:rsid w:val="9FFF52D4"/>
    <w:rsid w:val="9FFFE74A"/>
    <w:rsid w:val="A3BF9C67"/>
    <w:rsid w:val="A3C70EEE"/>
    <w:rsid w:val="A3E6D1E1"/>
    <w:rsid w:val="A55FEEA4"/>
    <w:rsid w:val="A5ED64C5"/>
    <w:rsid w:val="A63C9FD8"/>
    <w:rsid w:val="A7BF01DD"/>
    <w:rsid w:val="A7FB9CAA"/>
    <w:rsid w:val="A9EDE295"/>
    <w:rsid w:val="AB17573C"/>
    <w:rsid w:val="AB7DC1DB"/>
    <w:rsid w:val="ABDE487E"/>
    <w:rsid w:val="ABFDA364"/>
    <w:rsid w:val="ABFFBC66"/>
    <w:rsid w:val="AC7FF54D"/>
    <w:rsid w:val="ADCF353F"/>
    <w:rsid w:val="ADD63B27"/>
    <w:rsid w:val="ADDCA3A7"/>
    <w:rsid w:val="ADE7E214"/>
    <w:rsid w:val="ADF5515D"/>
    <w:rsid w:val="ADFB0269"/>
    <w:rsid w:val="ADFD9279"/>
    <w:rsid w:val="AE63DD91"/>
    <w:rsid w:val="AE6F958D"/>
    <w:rsid w:val="AE7DAB34"/>
    <w:rsid w:val="AEBE11C5"/>
    <w:rsid w:val="AEBFEEAA"/>
    <w:rsid w:val="AEDDF35B"/>
    <w:rsid w:val="AF6B16F1"/>
    <w:rsid w:val="AF6FE980"/>
    <w:rsid w:val="AFBDB14C"/>
    <w:rsid w:val="AFCE2221"/>
    <w:rsid w:val="AFCF1C38"/>
    <w:rsid w:val="AFD927D9"/>
    <w:rsid w:val="AFDE69E6"/>
    <w:rsid w:val="AFF5174B"/>
    <w:rsid w:val="AFF67614"/>
    <w:rsid w:val="AFF710C6"/>
    <w:rsid w:val="AFFBD537"/>
    <w:rsid w:val="AFFDCBC5"/>
    <w:rsid w:val="AFFF4700"/>
    <w:rsid w:val="AFFF79B3"/>
    <w:rsid w:val="B16EEA38"/>
    <w:rsid w:val="B1BFED84"/>
    <w:rsid w:val="B1E70424"/>
    <w:rsid w:val="B1F8982C"/>
    <w:rsid w:val="B1FF33C2"/>
    <w:rsid w:val="B2EF536F"/>
    <w:rsid w:val="B32F8540"/>
    <w:rsid w:val="B33E9D64"/>
    <w:rsid w:val="B3F78D45"/>
    <w:rsid w:val="B477B65D"/>
    <w:rsid w:val="B4D50BAA"/>
    <w:rsid w:val="B4E38AA2"/>
    <w:rsid w:val="B4E777C6"/>
    <w:rsid w:val="B51B7E04"/>
    <w:rsid w:val="B5AFE7EB"/>
    <w:rsid w:val="B5BDD618"/>
    <w:rsid w:val="B5DD8109"/>
    <w:rsid w:val="B5E96A6E"/>
    <w:rsid w:val="B5FE89F7"/>
    <w:rsid w:val="B5FFEB7D"/>
    <w:rsid w:val="B6F61C32"/>
    <w:rsid w:val="B6F75812"/>
    <w:rsid w:val="B6FF4BD5"/>
    <w:rsid w:val="B7783793"/>
    <w:rsid w:val="B77B0C15"/>
    <w:rsid w:val="B77D1AA3"/>
    <w:rsid w:val="B77DEA5E"/>
    <w:rsid w:val="B77E2BAB"/>
    <w:rsid w:val="B77F7CF6"/>
    <w:rsid w:val="B7B95C92"/>
    <w:rsid w:val="B7CD3AEF"/>
    <w:rsid w:val="B7D76E40"/>
    <w:rsid w:val="B7EFB7EF"/>
    <w:rsid w:val="B7F7672D"/>
    <w:rsid w:val="B7FDF44B"/>
    <w:rsid w:val="B7FE9E66"/>
    <w:rsid w:val="B896E16A"/>
    <w:rsid w:val="B8B7BA94"/>
    <w:rsid w:val="B8FAB0B1"/>
    <w:rsid w:val="B927B65C"/>
    <w:rsid w:val="B9A91D9B"/>
    <w:rsid w:val="B9DAF8B6"/>
    <w:rsid w:val="B9F3E2E0"/>
    <w:rsid w:val="B9FF2EE5"/>
    <w:rsid w:val="B9FFA45E"/>
    <w:rsid w:val="B9FFD2A4"/>
    <w:rsid w:val="BABF303D"/>
    <w:rsid w:val="BABF90A5"/>
    <w:rsid w:val="BAE6567A"/>
    <w:rsid w:val="BAF4E3FB"/>
    <w:rsid w:val="BB7AB0B6"/>
    <w:rsid w:val="BBAE1AAE"/>
    <w:rsid w:val="BBAF64E8"/>
    <w:rsid w:val="BBEF7661"/>
    <w:rsid w:val="BBF4D609"/>
    <w:rsid w:val="BBFCE664"/>
    <w:rsid w:val="BBFD8E77"/>
    <w:rsid w:val="BBFFE1B3"/>
    <w:rsid w:val="BBFFE4EA"/>
    <w:rsid w:val="BC9DDB51"/>
    <w:rsid w:val="BCBF1E4B"/>
    <w:rsid w:val="BCDE0D29"/>
    <w:rsid w:val="BCFE2774"/>
    <w:rsid w:val="BD460129"/>
    <w:rsid w:val="BD6F4AA0"/>
    <w:rsid w:val="BD7DC114"/>
    <w:rsid w:val="BD7F64D3"/>
    <w:rsid w:val="BDBC4BBE"/>
    <w:rsid w:val="BDBD2928"/>
    <w:rsid w:val="BDD7B6BF"/>
    <w:rsid w:val="BDDF4FEC"/>
    <w:rsid w:val="BDF93769"/>
    <w:rsid w:val="BDFD2CD7"/>
    <w:rsid w:val="BE7BE88B"/>
    <w:rsid w:val="BE7D2B53"/>
    <w:rsid w:val="BE7F0FBC"/>
    <w:rsid w:val="BE7F6A4E"/>
    <w:rsid w:val="BE7FFE46"/>
    <w:rsid w:val="BE986B32"/>
    <w:rsid w:val="BEAD89A8"/>
    <w:rsid w:val="BEDE6223"/>
    <w:rsid w:val="BEDF9E3E"/>
    <w:rsid w:val="BEEB1F15"/>
    <w:rsid w:val="BEF3D2A9"/>
    <w:rsid w:val="BEF52BA7"/>
    <w:rsid w:val="BEFDA6A5"/>
    <w:rsid w:val="BEFE2391"/>
    <w:rsid w:val="BF3601D6"/>
    <w:rsid w:val="BF419FA2"/>
    <w:rsid w:val="BF4C6A68"/>
    <w:rsid w:val="BF5B6411"/>
    <w:rsid w:val="BF6E4E05"/>
    <w:rsid w:val="BF73E507"/>
    <w:rsid w:val="BF7A4C99"/>
    <w:rsid w:val="BF7AA841"/>
    <w:rsid w:val="BF8E1636"/>
    <w:rsid w:val="BF8F374A"/>
    <w:rsid w:val="BF9B9393"/>
    <w:rsid w:val="BF9D40EC"/>
    <w:rsid w:val="BFB116FE"/>
    <w:rsid w:val="BFB4B46F"/>
    <w:rsid w:val="BFBA161E"/>
    <w:rsid w:val="BFBB6917"/>
    <w:rsid w:val="BFBDB8B3"/>
    <w:rsid w:val="BFBDEEC8"/>
    <w:rsid w:val="BFD66288"/>
    <w:rsid w:val="BFDA27EC"/>
    <w:rsid w:val="BFDD9D11"/>
    <w:rsid w:val="BFDF00DF"/>
    <w:rsid w:val="BFDF40B4"/>
    <w:rsid w:val="BFDF4DC7"/>
    <w:rsid w:val="BFDFB59B"/>
    <w:rsid w:val="BFE24BE8"/>
    <w:rsid w:val="BFF5F3C8"/>
    <w:rsid w:val="BFFBA236"/>
    <w:rsid w:val="BFFD6F3B"/>
    <w:rsid w:val="BFFE3654"/>
    <w:rsid w:val="BFFF2B63"/>
    <w:rsid w:val="BFFF4B6E"/>
    <w:rsid w:val="BFFF925B"/>
    <w:rsid w:val="BFFFD570"/>
    <w:rsid w:val="C11CEE24"/>
    <w:rsid w:val="C132DF26"/>
    <w:rsid w:val="C2DB5D73"/>
    <w:rsid w:val="C3BEA96F"/>
    <w:rsid w:val="C3F6DC97"/>
    <w:rsid w:val="C77B40F3"/>
    <w:rsid w:val="C7B13207"/>
    <w:rsid w:val="C7B244A3"/>
    <w:rsid w:val="C7D7A3BF"/>
    <w:rsid w:val="C95FAAB8"/>
    <w:rsid w:val="C9918F33"/>
    <w:rsid w:val="CAF7A20A"/>
    <w:rsid w:val="CB728C37"/>
    <w:rsid w:val="CBED8B2F"/>
    <w:rsid w:val="CC492B29"/>
    <w:rsid w:val="CCF36771"/>
    <w:rsid w:val="CDCE809C"/>
    <w:rsid w:val="CDEB0DCF"/>
    <w:rsid w:val="CDEFB85F"/>
    <w:rsid w:val="CDF307DB"/>
    <w:rsid w:val="CDF56738"/>
    <w:rsid w:val="CEEB956D"/>
    <w:rsid w:val="CEF38C2C"/>
    <w:rsid w:val="CEF6CD99"/>
    <w:rsid w:val="CF6F03D0"/>
    <w:rsid w:val="CF7A19AD"/>
    <w:rsid w:val="CF7F1571"/>
    <w:rsid w:val="CF7F7419"/>
    <w:rsid w:val="CF8F57B0"/>
    <w:rsid w:val="CFAF19E3"/>
    <w:rsid w:val="CFC7FE93"/>
    <w:rsid w:val="CFEF60AD"/>
    <w:rsid w:val="CFFAAE1D"/>
    <w:rsid w:val="CFFE1246"/>
    <w:rsid w:val="CFFEE8E3"/>
    <w:rsid w:val="D2CB4324"/>
    <w:rsid w:val="D2DFEE51"/>
    <w:rsid w:val="D3337D5E"/>
    <w:rsid w:val="D3A519F2"/>
    <w:rsid w:val="D3BE7628"/>
    <w:rsid w:val="D3BF21D5"/>
    <w:rsid w:val="D3EC7F36"/>
    <w:rsid w:val="D57FF159"/>
    <w:rsid w:val="D59F33A4"/>
    <w:rsid w:val="D5D95E5A"/>
    <w:rsid w:val="D5FF48B9"/>
    <w:rsid w:val="D5FFD5FC"/>
    <w:rsid w:val="D6BF5BB6"/>
    <w:rsid w:val="D6F7E010"/>
    <w:rsid w:val="D77215E6"/>
    <w:rsid w:val="D783577D"/>
    <w:rsid w:val="D7AED659"/>
    <w:rsid w:val="D7BF7303"/>
    <w:rsid w:val="D7CA7AE0"/>
    <w:rsid w:val="D7D7CC61"/>
    <w:rsid w:val="D7E8E021"/>
    <w:rsid w:val="D7EA37A1"/>
    <w:rsid w:val="D7EBB2B2"/>
    <w:rsid w:val="D7F35514"/>
    <w:rsid w:val="D7F5AB00"/>
    <w:rsid w:val="D7FB8F00"/>
    <w:rsid w:val="D7FEBAD8"/>
    <w:rsid w:val="D8434AEE"/>
    <w:rsid w:val="D95D6F56"/>
    <w:rsid w:val="D97CD49B"/>
    <w:rsid w:val="D9BFC47F"/>
    <w:rsid w:val="D9BFDA02"/>
    <w:rsid w:val="D9F6320C"/>
    <w:rsid w:val="D9F7B186"/>
    <w:rsid w:val="DA67FB70"/>
    <w:rsid w:val="DA8371EE"/>
    <w:rsid w:val="DA97792F"/>
    <w:rsid w:val="DAAD4AB5"/>
    <w:rsid w:val="DABE275A"/>
    <w:rsid w:val="DAE76860"/>
    <w:rsid w:val="DAFB2A4A"/>
    <w:rsid w:val="DAFD71DE"/>
    <w:rsid w:val="DAFDE26D"/>
    <w:rsid w:val="DAFE79AF"/>
    <w:rsid w:val="DB7F7932"/>
    <w:rsid w:val="DB9B82C3"/>
    <w:rsid w:val="DBBD24D5"/>
    <w:rsid w:val="DBC2D83E"/>
    <w:rsid w:val="DBEA329A"/>
    <w:rsid w:val="DBEE212B"/>
    <w:rsid w:val="DBEF37B5"/>
    <w:rsid w:val="DBF982B4"/>
    <w:rsid w:val="DBFED733"/>
    <w:rsid w:val="DBFF45E4"/>
    <w:rsid w:val="DBFF5433"/>
    <w:rsid w:val="DC7789E0"/>
    <w:rsid w:val="DCFE1834"/>
    <w:rsid w:val="DD3E2953"/>
    <w:rsid w:val="DD5D7594"/>
    <w:rsid w:val="DD6AAF1E"/>
    <w:rsid w:val="DD8FB20C"/>
    <w:rsid w:val="DDA72189"/>
    <w:rsid w:val="DDA78ED8"/>
    <w:rsid w:val="DDBBDEC4"/>
    <w:rsid w:val="DDDF4F03"/>
    <w:rsid w:val="DDE70E0D"/>
    <w:rsid w:val="DDFF8B77"/>
    <w:rsid w:val="DDFFBF7E"/>
    <w:rsid w:val="DE2B061B"/>
    <w:rsid w:val="DE765930"/>
    <w:rsid w:val="DE780823"/>
    <w:rsid w:val="DEA983E8"/>
    <w:rsid w:val="DECF965F"/>
    <w:rsid w:val="DEE6C23E"/>
    <w:rsid w:val="DEE9C6BA"/>
    <w:rsid w:val="DEFF76A0"/>
    <w:rsid w:val="DF33F6EA"/>
    <w:rsid w:val="DF3C72D3"/>
    <w:rsid w:val="DF5F00B4"/>
    <w:rsid w:val="DF6FFE76"/>
    <w:rsid w:val="DF733DE8"/>
    <w:rsid w:val="DF7A3567"/>
    <w:rsid w:val="DF7B7C72"/>
    <w:rsid w:val="DF7CB26F"/>
    <w:rsid w:val="DF7CD943"/>
    <w:rsid w:val="DF7E4CB0"/>
    <w:rsid w:val="DF7FC6A3"/>
    <w:rsid w:val="DF9BC985"/>
    <w:rsid w:val="DF9DB796"/>
    <w:rsid w:val="DF9FBCCA"/>
    <w:rsid w:val="DFBB41DA"/>
    <w:rsid w:val="DFD5C5DB"/>
    <w:rsid w:val="DFD7B599"/>
    <w:rsid w:val="DFDBA1C6"/>
    <w:rsid w:val="DFDBA381"/>
    <w:rsid w:val="DFDF90ED"/>
    <w:rsid w:val="DFE80541"/>
    <w:rsid w:val="DFE93242"/>
    <w:rsid w:val="DFED9240"/>
    <w:rsid w:val="DFEE4365"/>
    <w:rsid w:val="DFEFD766"/>
    <w:rsid w:val="DFF76BA8"/>
    <w:rsid w:val="DFFB9346"/>
    <w:rsid w:val="DFFBC92E"/>
    <w:rsid w:val="DFFBD49D"/>
    <w:rsid w:val="DFFCA844"/>
    <w:rsid w:val="DFFD2DA0"/>
    <w:rsid w:val="DFFDA72F"/>
    <w:rsid w:val="DFFE3A23"/>
    <w:rsid w:val="DFFF0356"/>
    <w:rsid w:val="DFFF05B8"/>
    <w:rsid w:val="DFFF08FE"/>
    <w:rsid w:val="DFFF212E"/>
    <w:rsid w:val="DFFF5C32"/>
    <w:rsid w:val="DFFF8A47"/>
    <w:rsid w:val="E09A72B7"/>
    <w:rsid w:val="E1771BEC"/>
    <w:rsid w:val="E1A9E9CC"/>
    <w:rsid w:val="E1DF2043"/>
    <w:rsid w:val="E237F5C1"/>
    <w:rsid w:val="E31FB44A"/>
    <w:rsid w:val="E35D90D1"/>
    <w:rsid w:val="E3730B2C"/>
    <w:rsid w:val="E3CF8C60"/>
    <w:rsid w:val="E3E7A04A"/>
    <w:rsid w:val="E3EF29A4"/>
    <w:rsid w:val="E3FFE2F7"/>
    <w:rsid w:val="E4FB0BCA"/>
    <w:rsid w:val="E55A8AC4"/>
    <w:rsid w:val="E5D6F948"/>
    <w:rsid w:val="E5DE6256"/>
    <w:rsid w:val="E5FFE3E5"/>
    <w:rsid w:val="E63B127D"/>
    <w:rsid w:val="E6BB0C61"/>
    <w:rsid w:val="E6BFA889"/>
    <w:rsid w:val="E6DF46F8"/>
    <w:rsid w:val="E6FCE33E"/>
    <w:rsid w:val="E6FDB2BB"/>
    <w:rsid w:val="E71E35E8"/>
    <w:rsid w:val="E7374A33"/>
    <w:rsid w:val="E7DF24DB"/>
    <w:rsid w:val="E7DFEB29"/>
    <w:rsid w:val="E7EBBFB3"/>
    <w:rsid w:val="E7F308D7"/>
    <w:rsid w:val="E7F5E77E"/>
    <w:rsid w:val="E7FB3824"/>
    <w:rsid w:val="E7FDCBC1"/>
    <w:rsid w:val="E7FF24A0"/>
    <w:rsid w:val="E8FFCE7C"/>
    <w:rsid w:val="E907118B"/>
    <w:rsid w:val="E9476F74"/>
    <w:rsid w:val="E9B77FB0"/>
    <w:rsid w:val="E9CDB310"/>
    <w:rsid w:val="E9DD42FC"/>
    <w:rsid w:val="E9F5BD99"/>
    <w:rsid w:val="E9FD504D"/>
    <w:rsid w:val="EA4DF4F8"/>
    <w:rsid w:val="EA6F3F07"/>
    <w:rsid w:val="EAA389D0"/>
    <w:rsid w:val="EAF2ADC3"/>
    <w:rsid w:val="EAFF70C1"/>
    <w:rsid w:val="EB7733A8"/>
    <w:rsid w:val="EB7E6338"/>
    <w:rsid w:val="EB9525CF"/>
    <w:rsid w:val="EBBFE8CD"/>
    <w:rsid w:val="EBEF3723"/>
    <w:rsid w:val="EBF755CC"/>
    <w:rsid w:val="EBFD5FFB"/>
    <w:rsid w:val="EBFFA6B7"/>
    <w:rsid w:val="ECDA1369"/>
    <w:rsid w:val="ECF32949"/>
    <w:rsid w:val="ECFBC850"/>
    <w:rsid w:val="ECFE766D"/>
    <w:rsid w:val="ECFFD018"/>
    <w:rsid w:val="ED19867A"/>
    <w:rsid w:val="ED4F03FE"/>
    <w:rsid w:val="ED55763E"/>
    <w:rsid w:val="ED5FA7B6"/>
    <w:rsid w:val="ED6F0C79"/>
    <w:rsid w:val="ED7BA05A"/>
    <w:rsid w:val="ED7BAA1B"/>
    <w:rsid w:val="ED7C0F93"/>
    <w:rsid w:val="ED7F217A"/>
    <w:rsid w:val="EDBB0718"/>
    <w:rsid w:val="EDBDBE0A"/>
    <w:rsid w:val="EDC7F327"/>
    <w:rsid w:val="EDCF8F66"/>
    <w:rsid w:val="EDD8A76A"/>
    <w:rsid w:val="EDDDF85B"/>
    <w:rsid w:val="EDDF6846"/>
    <w:rsid w:val="EDF72F25"/>
    <w:rsid w:val="EDF75F23"/>
    <w:rsid w:val="EDFB9B24"/>
    <w:rsid w:val="EDFDE817"/>
    <w:rsid w:val="EE731824"/>
    <w:rsid w:val="EE76B8BE"/>
    <w:rsid w:val="EEAF3B69"/>
    <w:rsid w:val="EEAF40BE"/>
    <w:rsid w:val="EED7298E"/>
    <w:rsid w:val="EEDF0DA7"/>
    <w:rsid w:val="EEDF72B8"/>
    <w:rsid w:val="EEE7AD00"/>
    <w:rsid w:val="EEEF087F"/>
    <w:rsid w:val="EEFD847C"/>
    <w:rsid w:val="EEFF484C"/>
    <w:rsid w:val="EEFF5E3F"/>
    <w:rsid w:val="EF10A059"/>
    <w:rsid w:val="EF3F33D9"/>
    <w:rsid w:val="EF47971E"/>
    <w:rsid w:val="EF4E2D34"/>
    <w:rsid w:val="EF5AB207"/>
    <w:rsid w:val="EF5DB24E"/>
    <w:rsid w:val="EF694E4E"/>
    <w:rsid w:val="EF698AE2"/>
    <w:rsid w:val="EF6B5872"/>
    <w:rsid w:val="EF759F85"/>
    <w:rsid w:val="EF78D5DB"/>
    <w:rsid w:val="EF9F547D"/>
    <w:rsid w:val="EFA34A80"/>
    <w:rsid w:val="EFAD0343"/>
    <w:rsid w:val="EFB02DC3"/>
    <w:rsid w:val="EFBF4A41"/>
    <w:rsid w:val="EFBF92C2"/>
    <w:rsid w:val="EFBFC19C"/>
    <w:rsid w:val="EFCB0919"/>
    <w:rsid w:val="EFD6066D"/>
    <w:rsid w:val="EFD75769"/>
    <w:rsid w:val="EFD7900F"/>
    <w:rsid w:val="EFDB44D1"/>
    <w:rsid w:val="EFDD2D47"/>
    <w:rsid w:val="EFDDB7FD"/>
    <w:rsid w:val="EFDDEA58"/>
    <w:rsid w:val="EFDEC73D"/>
    <w:rsid w:val="EFDF2AC2"/>
    <w:rsid w:val="EFE311EF"/>
    <w:rsid w:val="EFE94001"/>
    <w:rsid w:val="EFEB439E"/>
    <w:rsid w:val="EFF250B9"/>
    <w:rsid w:val="EFF62ADC"/>
    <w:rsid w:val="EFF70A57"/>
    <w:rsid w:val="EFF71DEF"/>
    <w:rsid w:val="EFF760B7"/>
    <w:rsid w:val="EFF982D3"/>
    <w:rsid w:val="EFF98A62"/>
    <w:rsid w:val="EFFA5F8A"/>
    <w:rsid w:val="EFFA7E6F"/>
    <w:rsid w:val="EFFB0D4D"/>
    <w:rsid w:val="EFFB5B2B"/>
    <w:rsid w:val="EFFD6329"/>
    <w:rsid w:val="EFFE87E4"/>
    <w:rsid w:val="EFFEBE79"/>
    <w:rsid w:val="EFFF2303"/>
    <w:rsid w:val="F1E22865"/>
    <w:rsid w:val="F1FFD396"/>
    <w:rsid w:val="F35DE18C"/>
    <w:rsid w:val="F37831F0"/>
    <w:rsid w:val="F37EA5D5"/>
    <w:rsid w:val="F3B7C678"/>
    <w:rsid w:val="F3D6F0EA"/>
    <w:rsid w:val="F3E602E0"/>
    <w:rsid w:val="F3E6DB15"/>
    <w:rsid w:val="F3E94DA5"/>
    <w:rsid w:val="F3EF4643"/>
    <w:rsid w:val="F3F7E8A6"/>
    <w:rsid w:val="F3FECE85"/>
    <w:rsid w:val="F4DF7870"/>
    <w:rsid w:val="F4FFD21F"/>
    <w:rsid w:val="F55BD45F"/>
    <w:rsid w:val="F56F54BE"/>
    <w:rsid w:val="F56F99FB"/>
    <w:rsid w:val="F58E1C92"/>
    <w:rsid w:val="F5B5986B"/>
    <w:rsid w:val="F5CF0B54"/>
    <w:rsid w:val="F5D34160"/>
    <w:rsid w:val="F5D64AE1"/>
    <w:rsid w:val="F5D7773B"/>
    <w:rsid w:val="F5DF4EB4"/>
    <w:rsid w:val="F5EE1907"/>
    <w:rsid w:val="F5F33688"/>
    <w:rsid w:val="F5F33A04"/>
    <w:rsid w:val="F5FED495"/>
    <w:rsid w:val="F676AEA4"/>
    <w:rsid w:val="F6B51927"/>
    <w:rsid w:val="F6BFAD99"/>
    <w:rsid w:val="F6CF52FB"/>
    <w:rsid w:val="F6DD2E59"/>
    <w:rsid w:val="F6E6E8C0"/>
    <w:rsid w:val="F6E7AEFD"/>
    <w:rsid w:val="F6F5FBB9"/>
    <w:rsid w:val="F6FD0DE1"/>
    <w:rsid w:val="F7096F43"/>
    <w:rsid w:val="F72F50A2"/>
    <w:rsid w:val="F75F9A4C"/>
    <w:rsid w:val="F77DFA55"/>
    <w:rsid w:val="F77F9A35"/>
    <w:rsid w:val="F78EDAB8"/>
    <w:rsid w:val="F7AA2066"/>
    <w:rsid w:val="F7ABF7CD"/>
    <w:rsid w:val="F7AC19B5"/>
    <w:rsid w:val="F7ACBA9F"/>
    <w:rsid w:val="F7B72799"/>
    <w:rsid w:val="F7BD3076"/>
    <w:rsid w:val="F7BE3948"/>
    <w:rsid w:val="F7BF4335"/>
    <w:rsid w:val="F7C7D18B"/>
    <w:rsid w:val="F7D39CBA"/>
    <w:rsid w:val="F7DF3D4F"/>
    <w:rsid w:val="F7EE77D4"/>
    <w:rsid w:val="F7F68FC3"/>
    <w:rsid w:val="F7F730CD"/>
    <w:rsid w:val="F7F9F01A"/>
    <w:rsid w:val="F7FA77D3"/>
    <w:rsid w:val="F7FB4E31"/>
    <w:rsid w:val="F7FC27E6"/>
    <w:rsid w:val="F7FD8A2A"/>
    <w:rsid w:val="F7FDA0A4"/>
    <w:rsid w:val="F7FE7637"/>
    <w:rsid w:val="F7FE7BB1"/>
    <w:rsid w:val="F7FEB488"/>
    <w:rsid w:val="F7FF0891"/>
    <w:rsid w:val="F7FF89A2"/>
    <w:rsid w:val="F7FFFA4A"/>
    <w:rsid w:val="F8FC2B68"/>
    <w:rsid w:val="F9173866"/>
    <w:rsid w:val="F94DEC60"/>
    <w:rsid w:val="F9562D92"/>
    <w:rsid w:val="F97F6699"/>
    <w:rsid w:val="F9AB0E42"/>
    <w:rsid w:val="F9BBD98A"/>
    <w:rsid w:val="F9C9C763"/>
    <w:rsid w:val="F9D69134"/>
    <w:rsid w:val="F9D757DE"/>
    <w:rsid w:val="F9DBC126"/>
    <w:rsid w:val="F9FD51F7"/>
    <w:rsid w:val="F9FF10BC"/>
    <w:rsid w:val="F9FF54A0"/>
    <w:rsid w:val="F9FFAF56"/>
    <w:rsid w:val="F9FFD80A"/>
    <w:rsid w:val="FA7AC038"/>
    <w:rsid w:val="FA7F4BA4"/>
    <w:rsid w:val="FA7F7F7F"/>
    <w:rsid w:val="FA8FF211"/>
    <w:rsid w:val="FADFC84A"/>
    <w:rsid w:val="FAF1B536"/>
    <w:rsid w:val="FAF5A6CD"/>
    <w:rsid w:val="FAFA8ED8"/>
    <w:rsid w:val="FAFF0936"/>
    <w:rsid w:val="FB173918"/>
    <w:rsid w:val="FB3B05CE"/>
    <w:rsid w:val="FB4C7A56"/>
    <w:rsid w:val="FB5E02F9"/>
    <w:rsid w:val="FB65DF3E"/>
    <w:rsid w:val="FB6D37DB"/>
    <w:rsid w:val="FB6E0F9B"/>
    <w:rsid w:val="FB7C83BF"/>
    <w:rsid w:val="FB7F4E8A"/>
    <w:rsid w:val="FBAF4D99"/>
    <w:rsid w:val="FBAF6AEC"/>
    <w:rsid w:val="FBAFCD94"/>
    <w:rsid w:val="FBB3EAF9"/>
    <w:rsid w:val="FBB6275B"/>
    <w:rsid w:val="FBB777AD"/>
    <w:rsid w:val="FBBA4578"/>
    <w:rsid w:val="FBBB2706"/>
    <w:rsid w:val="FBBB7EC2"/>
    <w:rsid w:val="FBBBF4B8"/>
    <w:rsid w:val="FBBD597C"/>
    <w:rsid w:val="FBBF0BE9"/>
    <w:rsid w:val="FBDB161D"/>
    <w:rsid w:val="FBDCDCA7"/>
    <w:rsid w:val="FBDEC5D7"/>
    <w:rsid w:val="FBDED09E"/>
    <w:rsid w:val="FBE37864"/>
    <w:rsid w:val="FBE6233C"/>
    <w:rsid w:val="FBEBDEB5"/>
    <w:rsid w:val="FBEF2285"/>
    <w:rsid w:val="FBEF48C8"/>
    <w:rsid w:val="FBEF6697"/>
    <w:rsid w:val="FBF3F68D"/>
    <w:rsid w:val="FBF55F53"/>
    <w:rsid w:val="FBF7B17C"/>
    <w:rsid w:val="FBF83CC0"/>
    <w:rsid w:val="FBF93B4E"/>
    <w:rsid w:val="FBF9868D"/>
    <w:rsid w:val="FBFE881D"/>
    <w:rsid w:val="FBFEA3F4"/>
    <w:rsid w:val="FBFF1576"/>
    <w:rsid w:val="FBFF44A8"/>
    <w:rsid w:val="FBFF80A9"/>
    <w:rsid w:val="FBFFD5D6"/>
    <w:rsid w:val="FBFFF43E"/>
    <w:rsid w:val="FC1EF17A"/>
    <w:rsid w:val="FC4EA0EB"/>
    <w:rsid w:val="FCCE63CA"/>
    <w:rsid w:val="FCEA0B3C"/>
    <w:rsid w:val="FCEF8D9D"/>
    <w:rsid w:val="FCFFA38A"/>
    <w:rsid w:val="FCFFC785"/>
    <w:rsid w:val="FD3E76F3"/>
    <w:rsid w:val="FD7C0659"/>
    <w:rsid w:val="FD7F4552"/>
    <w:rsid w:val="FD8599A2"/>
    <w:rsid w:val="FD8F5856"/>
    <w:rsid w:val="FD9E4B44"/>
    <w:rsid w:val="FD9EBA82"/>
    <w:rsid w:val="FDB9615D"/>
    <w:rsid w:val="FDBC2631"/>
    <w:rsid w:val="FDBFDA2D"/>
    <w:rsid w:val="FDDDE36B"/>
    <w:rsid w:val="FDDE9976"/>
    <w:rsid w:val="FDDF1878"/>
    <w:rsid w:val="FDDFF000"/>
    <w:rsid w:val="FDE7F7F0"/>
    <w:rsid w:val="FDEDBB70"/>
    <w:rsid w:val="FDEF370B"/>
    <w:rsid w:val="FDEFB8A1"/>
    <w:rsid w:val="FDF15730"/>
    <w:rsid w:val="FDF5D296"/>
    <w:rsid w:val="FDF76FB0"/>
    <w:rsid w:val="FDF79965"/>
    <w:rsid w:val="FDF9BA22"/>
    <w:rsid w:val="FDFB0F64"/>
    <w:rsid w:val="FDFB5945"/>
    <w:rsid w:val="FDFC73C7"/>
    <w:rsid w:val="FDFDB1CF"/>
    <w:rsid w:val="FDFDCA57"/>
    <w:rsid w:val="FDFF3899"/>
    <w:rsid w:val="FDFFA644"/>
    <w:rsid w:val="FE168A84"/>
    <w:rsid w:val="FE2F741F"/>
    <w:rsid w:val="FE3A3557"/>
    <w:rsid w:val="FE53D296"/>
    <w:rsid w:val="FE793864"/>
    <w:rsid w:val="FE7A60F0"/>
    <w:rsid w:val="FE7F27C0"/>
    <w:rsid w:val="FE8FDC47"/>
    <w:rsid w:val="FE9BC465"/>
    <w:rsid w:val="FE9F3C5C"/>
    <w:rsid w:val="FEAB16E2"/>
    <w:rsid w:val="FEAB1C02"/>
    <w:rsid w:val="FEB360B2"/>
    <w:rsid w:val="FEB6E967"/>
    <w:rsid w:val="FEBB4663"/>
    <w:rsid w:val="FEBBE292"/>
    <w:rsid w:val="FEBD0E76"/>
    <w:rsid w:val="FEBF1449"/>
    <w:rsid w:val="FEBF9B04"/>
    <w:rsid w:val="FEBFAC37"/>
    <w:rsid w:val="FEBFED17"/>
    <w:rsid w:val="FECE0923"/>
    <w:rsid w:val="FEE16DC1"/>
    <w:rsid w:val="FEED325A"/>
    <w:rsid w:val="FEED82FB"/>
    <w:rsid w:val="FEED9775"/>
    <w:rsid w:val="FEEF11B3"/>
    <w:rsid w:val="FEEFA8EB"/>
    <w:rsid w:val="FEEFE54C"/>
    <w:rsid w:val="FEF0B055"/>
    <w:rsid w:val="FEF496C1"/>
    <w:rsid w:val="FEFA989B"/>
    <w:rsid w:val="FEFAD0BB"/>
    <w:rsid w:val="FEFBCA8C"/>
    <w:rsid w:val="FEFBCB97"/>
    <w:rsid w:val="FEFD3426"/>
    <w:rsid w:val="FEFE10C5"/>
    <w:rsid w:val="FEFE39EA"/>
    <w:rsid w:val="FEFE4C4A"/>
    <w:rsid w:val="FEFE94E0"/>
    <w:rsid w:val="FEFF73BB"/>
    <w:rsid w:val="FEFF9836"/>
    <w:rsid w:val="FF0BD44E"/>
    <w:rsid w:val="FF1F44E4"/>
    <w:rsid w:val="FF2BCAB4"/>
    <w:rsid w:val="FF2D056A"/>
    <w:rsid w:val="FF3AFCBD"/>
    <w:rsid w:val="FF3B5FF8"/>
    <w:rsid w:val="FF576D0E"/>
    <w:rsid w:val="FF5F523C"/>
    <w:rsid w:val="FF618D47"/>
    <w:rsid w:val="FF6F5B88"/>
    <w:rsid w:val="FF6F63B1"/>
    <w:rsid w:val="FF6FADD3"/>
    <w:rsid w:val="FF6FFCC1"/>
    <w:rsid w:val="FF73EA93"/>
    <w:rsid w:val="FF7516A8"/>
    <w:rsid w:val="FF766393"/>
    <w:rsid w:val="FF7B1B2E"/>
    <w:rsid w:val="FF7B3DE8"/>
    <w:rsid w:val="FF7DE231"/>
    <w:rsid w:val="FF7E2C6F"/>
    <w:rsid w:val="FF7E3457"/>
    <w:rsid w:val="FF7F48CF"/>
    <w:rsid w:val="FF7F9F54"/>
    <w:rsid w:val="FF7FDAA7"/>
    <w:rsid w:val="FF83A891"/>
    <w:rsid w:val="FF8BB468"/>
    <w:rsid w:val="FF8ED831"/>
    <w:rsid w:val="FF8FB63A"/>
    <w:rsid w:val="FF910AF5"/>
    <w:rsid w:val="FF95A462"/>
    <w:rsid w:val="FF9A24CB"/>
    <w:rsid w:val="FF9DE87F"/>
    <w:rsid w:val="FF9F4763"/>
    <w:rsid w:val="FFA3275B"/>
    <w:rsid w:val="FFA64D7A"/>
    <w:rsid w:val="FFAE7162"/>
    <w:rsid w:val="FFAF6F63"/>
    <w:rsid w:val="FFAFEE42"/>
    <w:rsid w:val="FFB39417"/>
    <w:rsid w:val="FFB5F660"/>
    <w:rsid w:val="FFBD2855"/>
    <w:rsid w:val="FFBD2C74"/>
    <w:rsid w:val="FFBD64C8"/>
    <w:rsid w:val="FFBDA264"/>
    <w:rsid w:val="FFBEE3BE"/>
    <w:rsid w:val="FFBEF704"/>
    <w:rsid w:val="FFBF2207"/>
    <w:rsid w:val="FFBF8656"/>
    <w:rsid w:val="FFBFBFFD"/>
    <w:rsid w:val="FFC23D8D"/>
    <w:rsid w:val="FFCB13D0"/>
    <w:rsid w:val="FFCB24F2"/>
    <w:rsid w:val="FFCF3B17"/>
    <w:rsid w:val="FFD64A16"/>
    <w:rsid w:val="FFD6E123"/>
    <w:rsid w:val="FFD785E3"/>
    <w:rsid w:val="FFDB308D"/>
    <w:rsid w:val="FFDB8BFC"/>
    <w:rsid w:val="FFDC548D"/>
    <w:rsid w:val="FFDEDBC9"/>
    <w:rsid w:val="FFDF6218"/>
    <w:rsid w:val="FFDF7146"/>
    <w:rsid w:val="FFDFA779"/>
    <w:rsid w:val="FFE5BF9D"/>
    <w:rsid w:val="FFE6424F"/>
    <w:rsid w:val="FFEB6A20"/>
    <w:rsid w:val="FFEBF174"/>
    <w:rsid w:val="FFEBF808"/>
    <w:rsid w:val="FFED4A9F"/>
    <w:rsid w:val="FFED5ACA"/>
    <w:rsid w:val="FFEF0204"/>
    <w:rsid w:val="FFEF8EB1"/>
    <w:rsid w:val="FFEFFCAF"/>
    <w:rsid w:val="FFF11337"/>
    <w:rsid w:val="FFF210E7"/>
    <w:rsid w:val="FFF29811"/>
    <w:rsid w:val="FFF37CC8"/>
    <w:rsid w:val="FFF39CF6"/>
    <w:rsid w:val="FFF3CB99"/>
    <w:rsid w:val="FFF42976"/>
    <w:rsid w:val="FFF521BB"/>
    <w:rsid w:val="FFF58C73"/>
    <w:rsid w:val="FFF713CD"/>
    <w:rsid w:val="FFF732EA"/>
    <w:rsid w:val="FFF7E514"/>
    <w:rsid w:val="FFF8B34C"/>
    <w:rsid w:val="FFF977B7"/>
    <w:rsid w:val="FFF9ED5C"/>
    <w:rsid w:val="FFFA130D"/>
    <w:rsid w:val="FFFAF6F0"/>
    <w:rsid w:val="FFFB5E91"/>
    <w:rsid w:val="FFFBD25A"/>
    <w:rsid w:val="FFFCA0F1"/>
    <w:rsid w:val="FFFD53DE"/>
    <w:rsid w:val="FFFD60EF"/>
    <w:rsid w:val="FFFD6E37"/>
    <w:rsid w:val="FFFDA487"/>
    <w:rsid w:val="FFFEE731"/>
    <w:rsid w:val="FFFF0E85"/>
    <w:rsid w:val="FFFF4362"/>
    <w:rsid w:val="FFFF64D9"/>
    <w:rsid w:val="FFFF8056"/>
    <w:rsid w:val="FFFF882E"/>
    <w:rsid w:val="FFFFB19C"/>
    <w:rsid w:val="FFFFB974"/>
    <w:rsid w:val="FFFFBED0"/>
    <w:rsid w:val="FFFFCD29"/>
    <w:rsid w:val="FFFFCDE4"/>
    <w:rsid w:val="FFFFCFEF"/>
    <w:rsid w:val="FFFFE2BC"/>
    <w:rsid w:val="FFFFED8F"/>
    <w:rsid w:val="FFFFF0B4"/>
    <w:rsid w:val="FFFFF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iPriority="99" w:semiHidden="0" w:name="endnote reference"/>
    <w:lsdException w:qFormat="1"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iPriority="0" w:semiHidden="0" w:name="HTML Preformatted"/>
    <w:lsdException w:qFormat="1" w:uiPriority="99" w:semiHidden="0" w:name="HTML Sample"/>
    <w:lsdException w:unhideWhenUsed="0" w:uiPriority="0" w:semiHidden="0"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2"/>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73"/>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74"/>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75"/>
    <w:qFormat/>
    <w:uiPriority w:val="0"/>
    <w:pPr>
      <w:keepNext/>
      <w:keepLines/>
      <w:widowControl/>
      <w:spacing w:before="120" w:after="120" w:line="360" w:lineRule="auto"/>
      <w:jc w:val="center"/>
      <w:outlineLvl w:val="3"/>
    </w:pPr>
    <w:rPr>
      <w:rFonts w:ascii="Arial" w:hAnsi="Arial" w:eastAsia="黑体"/>
      <w:kern w:val="0"/>
      <w:sz w:val="28"/>
      <w:szCs w:val="20"/>
    </w:rPr>
  </w:style>
  <w:style w:type="paragraph" w:styleId="7">
    <w:name w:val="heading 5"/>
    <w:basedOn w:val="1"/>
    <w:next w:val="8"/>
    <w:link w:val="76"/>
    <w:qFormat/>
    <w:uiPriority w:val="0"/>
    <w:pPr>
      <w:keepNext/>
      <w:keepLines/>
      <w:spacing w:before="280" w:after="290" w:line="376" w:lineRule="auto"/>
      <w:outlineLvl w:val="4"/>
    </w:pPr>
    <w:rPr>
      <w:b/>
      <w:sz w:val="28"/>
    </w:rPr>
  </w:style>
  <w:style w:type="paragraph" w:styleId="9">
    <w:name w:val="heading 6"/>
    <w:basedOn w:val="1"/>
    <w:next w:val="8"/>
    <w:link w:val="78"/>
    <w:qFormat/>
    <w:uiPriority w:val="0"/>
    <w:pPr>
      <w:keepNext/>
      <w:keepLines/>
      <w:spacing w:before="240" w:after="64" w:line="320" w:lineRule="auto"/>
      <w:outlineLvl w:val="5"/>
    </w:pPr>
    <w:rPr>
      <w:rFonts w:ascii="Arial" w:hAnsi="Arial" w:eastAsia="黑体"/>
      <w:b/>
      <w:sz w:val="24"/>
    </w:rPr>
  </w:style>
  <w:style w:type="paragraph" w:styleId="10">
    <w:name w:val="heading 7"/>
    <w:basedOn w:val="1"/>
    <w:next w:val="8"/>
    <w:link w:val="79"/>
    <w:qFormat/>
    <w:uiPriority w:val="0"/>
    <w:pPr>
      <w:keepNext/>
      <w:keepLines/>
      <w:spacing w:before="240" w:after="64" w:line="320" w:lineRule="auto"/>
      <w:outlineLvl w:val="6"/>
    </w:pPr>
    <w:rPr>
      <w:b/>
      <w:sz w:val="24"/>
    </w:rPr>
  </w:style>
  <w:style w:type="paragraph" w:styleId="11">
    <w:name w:val="heading 8"/>
    <w:basedOn w:val="1"/>
    <w:next w:val="8"/>
    <w:link w:val="80"/>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8"/>
    <w:link w:val="81"/>
    <w:qFormat/>
    <w:uiPriority w:val="0"/>
    <w:pPr>
      <w:keepNext/>
      <w:keepLines/>
      <w:spacing w:before="240" w:after="64" w:line="320" w:lineRule="auto"/>
      <w:outlineLvl w:val="8"/>
    </w:pPr>
    <w:rPr>
      <w:rFonts w:ascii="Arial" w:hAnsi="Arial" w:eastAsia="黑体"/>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8">
    <w:name w:val="Normal Indent"/>
    <w:basedOn w:val="1"/>
    <w:link w:val="77"/>
    <w:qFormat/>
    <w:uiPriority w:val="0"/>
    <w:pPr>
      <w:ind w:firstLine="420"/>
    </w:pPr>
    <w:rPr>
      <w:szCs w:val="20"/>
    </w:rPr>
  </w:style>
  <w:style w:type="paragraph" w:styleId="13">
    <w:name w:val="toc 7"/>
    <w:basedOn w:val="1"/>
    <w:next w:val="1"/>
    <w:qFormat/>
    <w:uiPriority w:val="0"/>
    <w:pPr>
      <w:tabs>
        <w:tab w:val="right" w:leader="dot" w:pos="9185"/>
      </w:tabs>
      <w:adjustRightInd w:val="0"/>
      <w:spacing w:line="312" w:lineRule="atLeast"/>
      <w:ind w:left="2520"/>
      <w:textAlignment w:val="baseline"/>
    </w:pPr>
    <w:rPr>
      <w:kern w:val="0"/>
      <w:szCs w:val="20"/>
    </w:rPr>
  </w:style>
  <w:style w:type="paragraph" w:styleId="14">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unhideWhenUsed/>
    <w:qFormat/>
    <w:uiPriority w:val="0"/>
    <w:pPr>
      <w:tabs>
        <w:tab w:val="left" w:pos="3300"/>
      </w:tabs>
    </w:pPr>
  </w:style>
  <w:style w:type="paragraph" w:styleId="17">
    <w:name w:val="Document Map"/>
    <w:basedOn w:val="1"/>
    <w:link w:val="82"/>
    <w:qFormat/>
    <w:uiPriority w:val="0"/>
    <w:pPr>
      <w:shd w:val="clear" w:color="auto" w:fill="000080"/>
    </w:pPr>
  </w:style>
  <w:style w:type="paragraph" w:styleId="18">
    <w:name w:val="annotation text"/>
    <w:basedOn w:val="1"/>
    <w:link w:val="83"/>
    <w:qFormat/>
    <w:uiPriority w:val="0"/>
    <w:pPr>
      <w:adjustRightInd w:val="0"/>
      <w:spacing w:line="360" w:lineRule="atLeast"/>
      <w:jc w:val="left"/>
      <w:textAlignment w:val="baseline"/>
    </w:pPr>
    <w:rPr>
      <w:kern w:val="0"/>
      <w:sz w:val="24"/>
      <w:szCs w:val="20"/>
    </w:rPr>
  </w:style>
  <w:style w:type="paragraph" w:styleId="19">
    <w:name w:val="Salutation"/>
    <w:basedOn w:val="1"/>
    <w:next w:val="1"/>
    <w:link w:val="84"/>
    <w:qFormat/>
    <w:uiPriority w:val="0"/>
    <w:rPr>
      <w:sz w:val="28"/>
    </w:rPr>
  </w:style>
  <w:style w:type="paragraph" w:styleId="20">
    <w:name w:val="Body Text 3"/>
    <w:basedOn w:val="1"/>
    <w:link w:val="85"/>
    <w:qFormat/>
    <w:uiPriority w:val="0"/>
    <w:pPr>
      <w:spacing w:line="500" w:lineRule="exact"/>
    </w:pPr>
    <w:rPr>
      <w:b/>
      <w:bCs/>
      <w:sz w:val="24"/>
    </w:rPr>
  </w:style>
  <w:style w:type="paragraph" w:styleId="21">
    <w:name w:val="Body Text"/>
    <w:basedOn w:val="1"/>
    <w:next w:val="1"/>
    <w:link w:val="86"/>
    <w:qFormat/>
    <w:uiPriority w:val="0"/>
    <w:pPr>
      <w:spacing w:line="380" w:lineRule="exact"/>
    </w:pPr>
    <w:rPr>
      <w:sz w:val="24"/>
    </w:rPr>
  </w:style>
  <w:style w:type="paragraph" w:styleId="22">
    <w:name w:val="Body Text Indent"/>
    <w:basedOn w:val="1"/>
    <w:next w:val="23"/>
    <w:link w:val="87"/>
    <w:qFormat/>
    <w:uiPriority w:val="0"/>
    <w:pPr>
      <w:ind w:firstLine="830" w:firstLineChars="352"/>
    </w:pPr>
    <w:rPr>
      <w:rFonts w:ascii="仿宋_GB2312" w:eastAsia="仿宋_GB2312"/>
      <w:sz w:val="32"/>
      <w:szCs w:val="20"/>
    </w:rPr>
  </w:style>
  <w:style w:type="paragraph" w:styleId="23">
    <w:name w:val="annotation subject"/>
    <w:basedOn w:val="18"/>
    <w:next w:val="1"/>
    <w:link w:val="88"/>
    <w:qFormat/>
    <w:uiPriority w:val="0"/>
    <w:pPr>
      <w:adjustRightInd/>
      <w:spacing w:line="240" w:lineRule="auto"/>
      <w:textAlignment w:val="auto"/>
    </w:pPr>
    <w:rPr>
      <w:b/>
      <w:bCs/>
      <w:kern w:val="2"/>
      <w:sz w:val="21"/>
      <w:szCs w:val="24"/>
    </w:rPr>
  </w:style>
  <w:style w:type="paragraph" w:styleId="24">
    <w:name w:val="List Number 3"/>
    <w:basedOn w:val="1"/>
    <w:qFormat/>
    <w:uiPriority w:val="0"/>
    <w:pPr>
      <w:tabs>
        <w:tab w:val="left" w:pos="360"/>
      </w:tabs>
      <w:ind w:left="360" w:hanging="360"/>
    </w:pPr>
  </w:style>
  <w:style w:type="paragraph" w:styleId="25">
    <w:name w:val="List 2"/>
    <w:basedOn w:val="1"/>
    <w:qFormat/>
    <w:uiPriority w:val="0"/>
    <w:pPr>
      <w:ind w:left="100" w:leftChars="200" w:hanging="200" w:hangingChars="200"/>
    </w:pPr>
    <w:rPr>
      <w:sz w:val="28"/>
    </w:rPr>
  </w:style>
  <w:style w:type="paragraph" w:styleId="26">
    <w:name w:val="Block Text"/>
    <w:basedOn w:val="1"/>
    <w:qFormat/>
    <w:uiPriority w:val="0"/>
    <w:pPr>
      <w:adjustRightInd w:val="0"/>
      <w:ind w:left="420" w:right="33"/>
      <w:jc w:val="left"/>
      <w:textAlignment w:val="baseline"/>
    </w:pPr>
    <w:rPr>
      <w:kern w:val="0"/>
      <w:sz w:val="24"/>
      <w:szCs w:val="20"/>
    </w:rPr>
  </w:style>
  <w:style w:type="paragraph" w:styleId="27">
    <w:name w:val="toc 5"/>
    <w:basedOn w:val="1"/>
    <w:next w:val="1"/>
    <w:qFormat/>
    <w:uiPriority w:val="0"/>
    <w:pPr>
      <w:tabs>
        <w:tab w:val="right" w:leader="dot" w:pos="9185"/>
      </w:tabs>
      <w:adjustRightInd w:val="0"/>
      <w:spacing w:line="312" w:lineRule="atLeast"/>
      <w:ind w:left="1680"/>
      <w:textAlignment w:val="baseline"/>
    </w:pPr>
    <w:rPr>
      <w:kern w:val="0"/>
      <w:szCs w:val="20"/>
    </w:rPr>
  </w:style>
  <w:style w:type="paragraph" w:styleId="28">
    <w:name w:val="toc 3"/>
    <w:basedOn w:val="1"/>
    <w:next w:val="1"/>
    <w:qFormat/>
    <w:uiPriority w:val="0"/>
    <w:pPr>
      <w:ind w:left="840" w:leftChars="400"/>
    </w:pPr>
  </w:style>
  <w:style w:type="paragraph" w:styleId="29">
    <w:name w:val="Plain Text"/>
    <w:basedOn w:val="1"/>
    <w:next w:val="6"/>
    <w:link w:val="89"/>
    <w:qFormat/>
    <w:uiPriority w:val="0"/>
    <w:rPr>
      <w:rFonts w:ascii="宋体" w:hAnsi="Courier New" w:cs="Courier New"/>
      <w:szCs w:val="21"/>
    </w:rPr>
  </w:style>
  <w:style w:type="paragraph" w:styleId="30">
    <w:name w:val="toc 8"/>
    <w:basedOn w:val="1"/>
    <w:next w:val="1"/>
    <w:qFormat/>
    <w:uiPriority w:val="0"/>
    <w:pPr>
      <w:tabs>
        <w:tab w:val="right" w:leader="dot" w:pos="9185"/>
      </w:tabs>
      <w:adjustRightInd w:val="0"/>
      <w:spacing w:line="312" w:lineRule="atLeast"/>
      <w:ind w:left="2940"/>
      <w:textAlignment w:val="baseline"/>
    </w:pPr>
    <w:rPr>
      <w:kern w:val="0"/>
      <w:szCs w:val="20"/>
    </w:rPr>
  </w:style>
  <w:style w:type="paragraph" w:styleId="31">
    <w:name w:val="Date"/>
    <w:basedOn w:val="1"/>
    <w:next w:val="1"/>
    <w:link w:val="90"/>
    <w:qFormat/>
    <w:uiPriority w:val="0"/>
    <w:pPr>
      <w:ind w:left="100" w:leftChars="2500"/>
    </w:pPr>
    <w:rPr>
      <w:rFonts w:ascii="宋体" w:hAnsi="Courier New" w:cs="Courier New"/>
      <w:szCs w:val="21"/>
    </w:rPr>
  </w:style>
  <w:style w:type="paragraph" w:styleId="32">
    <w:name w:val="Body Text Indent 2"/>
    <w:basedOn w:val="1"/>
    <w:link w:val="91"/>
    <w:qFormat/>
    <w:uiPriority w:val="0"/>
    <w:pPr>
      <w:ind w:firstLine="630"/>
    </w:pPr>
    <w:rPr>
      <w:sz w:val="32"/>
      <w:szCs w:val="20"/>
    </w:rPr>
  </w:style>
  <w:style w:type="paragraph" w:styleId="33">
    <w:name w:val="endnote text"/>
    <w:basedOn w:val="1"/>
    <w:link w:val="92"/>
    <w:unhideWhenUsed/>
    <w:qFormat/>
    <w:uiPriority w:val="0"/>
    <w:pPr>
      <w:snapToGrid w:val="0"/>
      <w:jc w:val="left"/>
    </w:pPr>
    <w:rPr>
      <w:rFonts w:ascii="Calibri" w:hAnsi="Calibri"/>
      <w:szCs w:val="22"/>
    </w:rPr>
  </w:style>
  <w:style w:type="paragraph" w:styleId="34">
    <w:name w:val="Balloon Text"/>
    <w:basedOn w:val="1"/>
    <w:link w:val="93"/>
    <w:qFormat/>
    <w:uiPriority w:val="0"/>
    <w:rPr>
      <w:sz w:val="18"/>
      <w:szCs w:val="18"/>
    </w:rPr>
  </w:style>
  <w:style w:type="paragraph" w:styleId="35">
    <w:name w:val="footer"/>
    <w:basedOn w:val="1"/>
    <w:link w:val="94"/>
    <w:qFormat/>
    <w:uiPriority w:val="0"/>
    <w:pPr>
      <w:tabs>
        <w:tab w:val="center" w:pos="4153"/>
        <w:tab w:val="right" w:pos="8306"/>
      </w:tabs>
      <w:snapToGrid w:val="0"/>
      <w:jc w:val="left"/>
    </w:pPr>
    <w:rPr>
      <w:sz w:val="18"/>
      <w:szCs w:val="18"/>
    </w:rPr>
  </w:style>
  <w:style w:type="paragraph" w:styleId="36">
    <w:name w:val="header"/>
    <w:basedOn w:val="1"/>
    <w:link w:val="95"/>
    <w:qFormat/>
    <w:uiPriority w:val="99"/>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0"/>
    <w:pPr>
      <w:tabs>
        <w:tab w:val="right" w:leader="dot" w:pos="8296"/>
        <w:tab w:val="right" w:leader="dot" w:pos="8398"/>
      </w:tabs>
      <w:spacing w:before="120" w:after="120" w:line="320" w:lineRule="exact"/>
      <w:ind w:firstLine="840" w:firstLineChars="400"/>
      <w:jc w:val="left"/>
    </w:pPr>
    <w:rPr>
      <w:rFonts w:ascii="仿宋_GB2312" w:hAnsi="宋体" w:eastAsia="仿宋_GB2312" w:cs="Courier New"/>
      <w:bCs/>
      <w:caps/>
      <w:szCs w:val="21"/>
    </w:rPr>
  </w:style>
  <w:style w:type="paragraph" w:styleId="38">
    <w:name w:val="toc 4"/>
    <w:basedOn w:val="1"/>
    <w:next w:val="1"/>
    <w:qFormat/>
    <w:uiPriority w:val="0"/>
    <w:pPr>
      <w:tabs>
        <w:tab w:val="right" w:leader="dot" w:pos="9185"/>
      </w:tabs>
      <w:adjustRightInd w:val="0"/>
      <w:spacing w:line="312" w:lineRule="atLeast"/>
      <w:ind w:left="1260"/>
      <w:textAlignment w:val="baseline"/>
    </w:pPr>
    <w:rPr>
      <w:kern w:val="0"/>
      <w:szCs w:val="20"/>
    </w:rPr>
  </w:style>
  <w:style w:type="paragraph" w:styleId="39">
    <w:name w:val="Subtitle"/>
    <w:basedOn w:val="1"/>
    <w:next w:val="1"/>
    <w:link w:val="96"/>
    <w:qFormat/>
    <w:uiPriority w:val="11"/>
    <w:pPr>
      <w:spacing w:before="240" w:after="60" w:line="312" w:lineRule="auto"/>
      <w:jc w:val="center"/>
      <w:outlineLvl w:val="1"/>
    </w:pPr>
    <w:rPr>
      <w:rFonts w:ascii="Calibri Light" w:hAnsi="Calibri Light"/>
      <w:b/>
      <w:bCs/>
      <w:kern w:val="28"/>
      <w:sz w:val="32"/>
      <w:szCs w:val="32"/>
    </w:rPr>
  </w:style>
  <w:style w:type="paragraph" w:styleId="40">
    <w:name w:val="List"/>
    <w:basedOn w:val="1"/>
    <w:qFormat/>
    <w:uiPriority w:val="0"/>
    <w:pPr>
      <w:ind w:left="200" w:hanging="200" w:hangingChars="200"/>
    </w:pPr>
    <w:rPr>
      <w:sz w:val="28"/>
    </w:rPr>
  </w:style>
  <w:style w:type="paragraph" w:styleId="41">
    <w:name w:val="footnote text"/>
    <w:basedOn w:val="1"/>
    <w:link w:val="97"/>
    <w:qFormat/>
    <w:uiPriority w:val="99"/>
    <w:pPr>
      <w:snapToGrid w:val="0"/>
      <w:jc w:val="left"/>
    </w:pPr>
    <w:rPr>
      <w:kern w:val="0"/>
      <w:sz w:val="18"/>
      <w:szCs w:val="18"/>
    </w:rPr>
  </w:style>
  <w:style w:type="paragraph" w:styleId="42">
    <w:name w:val="toc 6"/>
    <w:basedOn w:val="1"/>
    <w:next w:val="1"/>
    <w:qFormat/>
    <w:uiPriority w:val="0"/>
    <w:pPr>
      <w:tabs>
        <w:tab w:val="right" w:leader="dot" w:pos="9185"/>
      </w:tabs>
      <w:adjustRightInd w:val="0"/>
      <w:spacing w:line="312" w:lineRule="atLeast"/>
      <w:ind w:left="2100"/>
      <w:textAlignment w:val="baseline"/>
    </w:pPr>
    <w:rPr>
      <w:kern w:val="0"/>
      <w:szCs w:val="20"/>
    </w:rPr>
  </w:style>
  <w:style w:type="paragraph" w:styleId="43">
    <w:name w:val="List 5"/>
    <w:basedOn w:val="1"/>
    <w:qFormat/>
    <w:uiPriority w:val="0"/>
    <w:pPr>
      <w:ind w:left="2100" w:hanging="420"/>
    </w:pPr>
    <w:rPr>
      <w:szCs w:val="20"/>
    </w:rPr>
  </w:style>
  <w:style w:type="paragraph" w:styleId="44">
    <w:name w:val="Body Text Indent 3"/>
    <w:basedOn w:val="1"/>
    <w:link w:val="98"/>
    <w:qFormat/>
    <w:uiPriority w:val="0"/>
    <w:pPr>
      <w:spacing w:after="120"/>
      <w:ind w:left="420" w:leftChars="200"/>
    </w:pPr>
    <w:rPr>
      <w:sz w:val="16"/>
      <w:szCs w:val="16"/>
    </w:rPr>
  </w:style>
  <w:style w:type="paragraph" w:styleId="45">
    <w:name w:val="table of figures"/>
    <w:basedOn w:val="1"/>
    <w:next w:val="1"/>
    <w:qFormat/>
    <w:uiPriority w:val="0"/>
    <w:pPr>
      <w:ind w:left="200" w:leftChars="200" w:hanging="200" w:hangingChars="200"/>
    </w:pPr>
    <w:rPr>
      <w:rFonts w:ascii="Calibri" w:hAnsi="Calibri"/>
    </w:rPr>
  </w:style>
  <w:style w:type="paragraph" w:styleId="46">
    <w:name w:val="toc 2"/>
    <w:basedOn w:val="1"/>
    <w:next w:val="1"/>
    <w:qFormat/>
    <w:uiPriority w:val="0"/>
    <w:pPr>
      <w:ind w:left="420" w:leftChars="200"/>
    </w:pPr>
  </w:style>
  <w:style w:type="paragraph" w:styleId="47">
    <w:name w:val="toc 9"/>
    <w:basedOn w:val="1"/>
    <w:next w:val="1"/>
    <w:qFormat/>
    <w:uiPriority w:val="0"/>
    <w:pPr>
      <w:tabs>
        <w:tab w:val="right" w:leader="dot" w:pos="9185"/>
      </w:tabs>
      <w:adjustRightInd w:val="0"/>
      <w:spacing w:line="312" w:lineRule="atLeast"/>
      <w:ind w:left="3360"/>
      <w:textAlignment w:val="baseline"/>
    </w:pPr>
    <w:rPr>
      <w:kern w:val="0"/>
      <w:szCs w:val="20"/>
    </w:rPr>
  </w:style>
  <w:style w:type="paragraph" w:styleId="48">
    <w:name w:val="Body Text 2"/>
    <w:basedOn w:val="1"/>
    <w:link w:val="99"/>
    <w:qFormat/>
    <w:uiPriority w:val="0"/>
    <w:pPr>
      <w:spacing w:after="120" w:line="480" w:lineRule="auto"/>
    </w:pPr>
  </w:style>
  <w:style w:type="paragraph" w:styleId="49">
    <w:name w:val="HTML Preformatted"/>
    <w:basedOn w:val="1"/>
    <w:link w:val="10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50">
    <w:name w:val="Normal (Web)"/>
    <w:basedOn w:val="1"/>
    <w:qFormat/>
    <w:uiPriority w:val="99"/>
    <w:pPr>
      <w:widowControl/>
      <w:spacing w:before="100" w:beforeAutospacing="1" w:after="100" w:afterAutospacing="1"/>
      <w:jc w:val="left"/>
    </w:pPr>
    <w:rPr>
      <w:rFonts w:ascii="宋体" w:hAnsi="宋体"/>
      <w:kern w:val="0"/>
      <w:sz w:val="24"/>
    </w:rPr>
  </w:style>
  <w:style w:type="paragraph" w:styleId="51">
    <w:name w:val="index 1"/>
    <w:basedOn w:val="1"/>
    <w:next w:val="1"/>
    <w:semiHidden/>
    <w:qFormat/>
    <w:uiPriority w:val="0"/>
    <w:pPr>
      <w:spacing w:line="400" w:lineRule="exact"/>
      <w:ind w:firstLine="420" w:firstLineChars="200"/>
    </w:pPr>
    <w:rPr>
      <w:rFonts w:ascii="宋体" w:hAnsi="Courier New"/>
      <w:b/>
      <w:szCs w:val="20"/>
    </w:rPr>
  </w:style>
  <w:style w:type="paragraph" w:styleId="52">
    <w:name w:val="Title"/>
    <w:basedOn w:val="1"/>
    <w:next w:val="1"/>
    <w:link w:val="101"/>
    <w:qFormat/>
    <w:uiPriority w:val="0"/>
    <w:pPr>
      <w:spacing w:before="240" w:after="60"/>
      <w:jc w:val="center"/>
      <w:outlineLvl w:val="0"/>
    </w:pPr>
    <w:rPr>
      <w:rFonts w:ascii="Arial" w:hAnsi="Arial"/>
      <w:b/>
      <w:bCs/>
      <w:sz w:val="32"/>
      <w:szCs w:val="32"/>
    </w:rPr>
  </w:style>
  <w:style w:type="paragraph" w:styleId="53">
    <w:name w:val="Body Text First Indent"/>
    <w:basedOn w:val="21"/>
    <w:link w:val="102"/>
    <w:unhideWhenUsed/>
    <w:qFormat/>
    <w:uiPriority w:val="0"/>
    <w:pPr>
      <w:spacing w:after="120" w:line="240" w:lineRule="auto"/>
      <w:ind w:firstLine="420" w:firstLineChars="100"/>
    </w:pPr>
    <w:rPr>
      <w:sz w:val="21"/>
    </w:rPr>
  </w:style>
  <w:style w:type="paragraph" w:styleId="54">
    <w:name w:val="Body Text First Indent 2"/>
    <w:basedOn w:val="22"/>
    <w:link w:val="103"/>
    <w:qFormat/>
    <w:uiPriority w:val="0"/>
    <w:pPr>
      <w:spacing w:after="120"/>
      <w:ind w:left="420" w:leftChars="200" w:firstLine="420" w:firstLineChars="200"/>
    </w:pPr>
    <w:rPr>
      <w:sz w:val="21"/>
      <w:szCs w:val="24"/>
    </w:rPr>
  </w:style>
  <w:style w:type="table" w:styleId="56">
    <w:name w:val="Table Grid"/>
    <w:basedOn w:val="5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8">
    <w:name w:val="Strong"/>
    <w:qFormat/>
    <w:uiPriority w:val="22"/>
    <w:rPr>
      <w:b/>
      <w:bCs/>
    </w:rPr>
  </w:style>
  <w:style w:type="character" w:styleId="59">
    <w:name w:val="endnote reference"/>
    <w:unhideWhenUsed/>
    <w:qFormat/>
    <w:uiPriority w:val="99"/>
    <w:rPr>
      <w:vertAlign w:val="superscript"/>
    </w:rPr>
  </w:style>
  <w:style w:type="character" w:styleId="60">
    <w:name w:val="page number"/>
    <w:qFormat/>
    <w:uiPriority w:val="0"/>
  </w:style>
  <w:style w:type="character" w:styleId="61">
    <w:name w:val="FollowedHyperlink"/>
    <w:qFormat/>
    <w:uiPriority w:val="99"/>
    <w:rPr>
      <w:color w:val="800080"/>
      <w:u w:val="single"/>
    </w:rPr>
  </w:style>
  <w:style w:type="character" w:styleId="62">
    <w:name w:val="Emphasis"/>
    <w:qFormat/>
    <w:uiPriority w:val="0"/>
    <w:rPr>
      <w:color w:val="CC0000"/>
    </w:rPr>
  </w:style>
  <w:style w:type="character" w:styleId="63">
    <w:name w:val="HTML Definition"/>
    <w:unhideWhenUsed/>
    <w:qFormat/>
    <w:uiPriority w:val="0"/>
  </w:style>
  <w:style w:type="character" w:styleId="64">
    <w:name w:val="HTML Variable"/>
    <w:unhideWhenUsed/>
    <w:qFormat/>
    <w:uiPriority w:val="0"/>
  </w:style>
  <w:style w:type="character" w:styleId="65">
    <w:name w:val="Hyperlink"/>
    <w:qFormat/>
    <w:uiPriority w:val="0"/>
    <w:rPr>
      <w:color w:val="0000FF"/>
      <w:u w:val="single"/>
    </w:rPr>
  </w:style>
  <w:style w:type="character" w:styleId="66">
    <w:name w:val="HTML Code"/>
    <w:unhideWhenUsed/>
    <w:qFormat/>
    <w:uiPriority w:val="0"/>
    <w:rPr>
      <w:rFonts w:hint="default" w:ascii="Courier New" w:hAnsi="Courier New" w:eastAsia="Courier New" w:cs="Courier New"/>
      <w:sz w:val="24"/>
      <w:szCs w:val="24"/>
    </w:rPr>
  </w:style>
  <w:style w:type="character" w:styleId="67">
    <w:name w:val="annotation reference"/>
    <w:basedOn w:val="57"/>
    <w:qFormat/>
    <w:uiPriority w:val="0"/>
    <w:rPr>
      <w:sz w:val="21"/>
      <w:szCs w:val="21"/>
    </w:rPr>
  </w:style>
  <w:style w:type="character" w:styleId="68">
    <w:name w:val="HTML Cite"/>
    <w:unhideWhenUsed/>
    <w:qFormat/>
    <w:uiPriority w:val="0"/>
  </w:style>
  <w:style w:type="character" w:styleId="69">
    <w:name w:val="footnote reference"/>
    <w:unhideWhenUsed/>
    <w:qFormat/>
    <w:uiPriority w:val="99"/>
    <w:rPr>
      <w:vertAlign w:val="superscript"/>
    </w:rPr>
  </w:style>
  <w:style w:type="character" w:styleId="70">
    <w:name w:val="HTML Keyboard"/>
    <w:unhideWhenUsed/>
    <w:qFormat/>
    <w:uiPriority w:val="0"/>
    <w:rPr>
      <w:rFonts w:hint="default" w:ascii="Courier New" w:hAnsi="Courier New" w:eastAsia="Courier New" w:cs="Courier New"/>
      <w:sz w:val="24"/>
      <w:szCs w:val="24"/>
    </w:rPr>
  </w:style>
  <w:style w:type="character" w:styleId="71">
    <w:name w:val="HTML Sample"/>
    <w:unhideWhenUsed/>
    <w:qFormat/>
    <w:uiPriority w:val="99"/>
    <w:rPr>
      <w:rFonts w:hint="default" w:ascii="Courier New" w:hAnsi="Courier New" w:eastAsia="Times New Roman" w:cs="Courier New"/>
    </w:rPr>
  </w:style>
  <w:style w:type="character" w:customStyle="1" w:styleId="72">
    <w:name w:val="标题 1 Char1"/>
    <w:link w:val="3"/>
    <w:qFormat/>
    <w:uiPriority w:val="0"/>
    <w:rPr>
      <w:rFonts w:eastAsia="宋体"/>
      <w:b/>
      <w:bCs/>
      <w:kern w:val="44"/>
      <w:sz w:val="44"/>
      <w:szCs w:val="44"/>
      <w:lang w:val="en-US" w:eastAsia="zh-CN" w:bidi="ar-SA"/>
    </w:rPr>
  </w:style>
  <w:style w:type="character" w:customStyle="1" w:styleId="73">
    <w:name w:val="标题 2 Char1"/>
    <w:link w:val="4"/>
    <w:qFormat/>
    <w:uiPriority w:val="0"/>
    <w:rPr>
      <w:rFonts w:ascii="Arial" w:hAnsi="Arial" w:eastAsia="黑体"/>
      <w:b/>
      <w:bCs/>
      <w:sz w:val="32"/>
      <w:szCs w:val="32"/>
      <w:lang w:bidi="ar-SA"/>
    </w:rPr>
  </w:style>
  <w:style w:type="character" w:customStyle="1" w:styleId="74">
    <w:name w:val="标题 3 Char3"/>
    <w:link w:val="5"/>
    <w:qFormat/>
    <w:uiPriority w:val="0"/>
    <w:rPr>
      <w:rFonts w:eastAsia="宋体"/>
      <w:b/>
      <w:bCs/>
      <w:sz w:val="32"/>
      <w:szCs w:val="32"/>
      <w:lang w:bidi="ar-SA"/>
    </w:rPr>
  </w:style>
  <w:style w:type="character" w:customStyle="1" w:styleId="75">
    <w:name w:val="标题 4 Char1"/>
    <w:link w:val="6"/>
    <w:qFormat/>
    <w:uiPriority w:val="0"/>
    <w:rPr>
      <w:rFonts w:ascii="Arial" w:hAnsi="Arial" w:eastAsia="黑体"/>
      <w:sz w:val="28"/>
      <w:lang w:bidi="ar-SA"/>
    </w:rPr>
  </w:style>
  <w:style w:type="character" w:customStyle="1" w:styleId="76">
    <w:name w:val="标题 5 Char1"/>
    <w:link w:val="7"/>
    <w:qFormat/>
    <w:uiPriority w:val="0"/>
    <w:rPr>
      <w:rFonts w:eastAsia="宋体"/>
      <w:b/>
      <w:kern w:val="2"/>
      <w:sz w:val="28"/>
      <w:szCs w:val="24"/>
      <w:lang w:val="en-US" w:eastAsia="zh-CN" w:bidi="ar-SA"/>
    </w:rPr>
  </w:style>
  <w:style w:type="character" w:customStyle="1" w:styleId="77">
    <w:name w:val="正文缩进 Char"/>
    <w:link w:val="8"/>
    <w:qFormat/>
    <w:locked/>
    <w:uiPriority w:val="0"/>
    <w:rPr>
      <w:kern w:val="2"/>
      <w:sz w:val="21"/>
    </w:rPr>
  </w:style>
  <w:style w:type="character" w:customStyle="1" w:styleId="78">
    <w:name w:val="标题 6 Char1"/>
    <w:link w:val="9"/>
    <w:qFormat/>
    <w:uiPriority w:val="0"/>
    <w:rPr>
      <w:rFonts w:ascii="Arial" w:hAnsi="Arial" w:eastAsia="黑体"/>
      <w:b/>
      <w:kern w:val="2"/>
      <w:sz w:val="24"/>
      <w:szCs w:val="24"/>
      <w:lang w:val="en-US" w:eastAsia="zh-CN" w:bidi="ar-SA"/>
    </w:rPr>
  </w:style>
  <w:style w:type="character" w:customStyle="1" w:styleId="79">
    <w:name w:val="标题 7 Char1"/>
    <w:link w:val="10"/>
    <w:qFormat/>
    <w:uiPriority w:val="0"/>
    <w:rPr>
      <w:rFonts w:eastAsia="宋体"/>
      <w:b/>
      <w:kern w:val="2"/>
      <w:sz w:val="24"/>
      <w:szCs w:val="24"/>
      <w:lang w:val="en-US" w:eastAsia="zh-CN" w:bidi="ar-SA"/>
    </w:rPr>
  </w:style>
  <w:style w:type="character" w:customStyle="1" w:styleId="80">
    <w:name w:val="标题 8 Char1"/>
    <w:link w:val="11"/>
    <w:qFormat/>
    <w:uiPriority w:val="0"/>
    <w:rPr>
      <w:rFonts w:ascii="Arial" w:hAnsi="Arial" w:eastAsia="黑体"/>
      <w:kern w:val="2"/>
      <w:sz w:val="24"/>
      <w:szCs w:val="24"/>
      <w:lang w:val="en-US" w:eastAsia="zh-CN" w:bidi="ar-SA"/>
    </w:rPr>
  </w:style>
  <w:style w:type="character" w:customStyle="1" w:styleId="81">
    <w:name w:val="标题 9 Char1"/>
    <w:link w:val="12"/>
    <w:qFormat/>
    <w:uiPriority w:val="0"/>
    <w:rPr>
      <w:rFonts w:ascii="Arial" w:hAnsi="Arial" w:eastAsia="黑体"/>
      <w:kern w:val="2"/>
      <w:sz w:val="21"/>
      <w:szCs w:val="24"/>
      <w:lang w:val="en-US" w:eastAsia="zh-CN" w:bidi="ar-SA"/>
    </w:rPr>
  </w:style>
  <w:style w:type="character" w:customStyle="1" w:styleId="82">
    <w:name w:val="文档结构图 Char1"/>
    <w:link w:val="17"/>
    <w:qFormat/>
    <w:uiPriority w:val="0"/>
    <w:rPr>
      <w:rFonts w:eastAsia="宋体"/>
      <w:kern w:val="2"/>
      <w:sz w:val="21"/>
      <w:szCs w:val="24"/>
      <w:lang w:val="en-US" w:eastAsia="zh-CN" w:bidi="ar-SA"/>
    </w:rPr>
  </w:style>
  <w:style w:type="character" w:customStyle="1" w:styleId="83">
    <w:name w:val="批注文字 Char2"/>
    <w:link w:val="18"/>
    <w:qFormat/>
    <w:uiPriority w:val="0"/>
    <w:rPr>
      <w:rFonts w:eastAsia="宋体"/>
      <w:sz w:val="24"/>
      <w:lang w:bidi="ar-SA"/>
    </w:rPr>
  </w:style>
  <w:style w:type="character" w:customStyle="1" w:styleId="84">
    <w:name w:val="称呼 Char1"/>
    <w:link w:val="19"/>
    <w:qFormat/>
    <w:uiPriority w:val="0"/>
    <w:rPr>
      <w:kern w:val="2"/>
      <w:sz w:val="28"/>
      <w:szCs w:val="24"/>
    </w:rPr>
  </w:style>
  <w:style w:type="character" w:customStyle="1" w:styleId="85">
    <w:name w:val="正文文本 3 Char1"/>
    <w:link w:val="20"/>
    <w:qFormat/>
    <w:uiPriority w:val="0"/>
    <w:rPr>
      <w:rFonts w:eastAsia="宋体"/>
      <w:b/>
      <w:bCs/>
      <w:kern w:val="2"/>
      <w:sz w:val="24"/>
      <w:szCs w:val="24"/>
      <w:lang w:val="en-US" w:eastAsia="zh-CN" w:bidi="ar-SA"/>
    </w:rPr>
  </w:style>
  <w:style w:type="character" w:customStyle="1" w:styleId="86">
    <w:name w:val="正文文本 Char1"/>
    <w:link w:val="21"/>
    <w:qFormat/>
    <w:uiPriority w:val="0"/>
    <w:rPr>
      <w:rFonts w:eastAsia="宋体"/>
      <w:kern w:val="2"/>
      <w:sz w:val="24"/>
      <w:szCs w:val="24"/>
      <w:lang w:val="en-US" w:eastAsia="zh-CN" w:bidi="ar-SA"/>
    </w:rPr>
  </w:style>
  <w:style w:type="character" w:customStyle="1" w:styleId="87">
    <w:name w:val="正文文本缩进 Char2"/>
    <w:link w:val="22"/>
    <w:qFormat/>
    <w:uiPriority w:val="0"/>
    <w:rPr>
      <w:rFonts w:ascii="仿宋_GB2312" w:eastAsia="仿宋_GB2312"/>
      <w:kern w:val="2"/>
      <w:sz w:val="32"/>
      <w:lang w:val="en-US" w:eastAsia="zh-CN" w:bidi="ar-SA"/>
    </w:rPr>
  </w:style>
  <w:style w:type="character" w:customStyle="1" w:styleId="88">
    <w:name w:val="批注主题 Char1"/>
    <w:link w:val="23"/>
    <w:qFormat/>
    <w:uiPriority w:val="0"/>
    <w:rPr>
      <w:rFonts w:eastAsia="宋体"/>
      <w:b/>
      <w:bCs/>
      <w:kern w:val="2"/>
      <w:sz w:val="21"/>
      <w:szCs w:val="24"/>
      <w:lang w:bidi="ar-SA"/>
    </w:rPr>
  </w:style>
  <w:style w:type="character" w:customStyle="1" w:styleId="89">
    <w:name w:val="纯文本 Char3"/>
    <w:link w:val="29"/>
    <w:qFormat/>
    <w:uiPriority w:val="0"/>
    <w:rPr>
      <w:rFonts w:ascii="宋体" w:hAnsi="Courier New" w:eastAsia="宋体" w:cs="Courier New"/>
      <w:kern w:val="2"/>
      <w:sz w:val="21"/>
      <w:szCs w:val="21"/>
      <w:lang w:val="en-US" w:eastAsia="zh-CN" w:bidi="ar-SA"/>
    </w:rPr>
  </w:style>
  <w:style w:type="character" w:customStyle="1" w:styleId="90">
    <w:name w:val="日期 Char1"/>
    <w:link w:val="31"/>
    <w:qFormat/>
    <w:uiPriority w:val="0"/>
    <w:rPr>
      <w:rFonts w:ascii="宋体" w:hAnsi="Courier New" w:eastAsia="宋体" w:cs="Courier New"/>
      <w:kern w:val="2"/>
      <w:sz w:val="21"/>
      <w:szCs w:val="21"/>
      <w:lang w:val="en-US" w:eastAsia="zh-CN" w:bidi="ar-SA"/>
    </w:rPr>
  </w:style>
  <w:style w:type="character" w:customStyle="1" w:styleId="91">
    <w:name w:val="正文文本缩进 2 Char1"/>
    <w:link w:val="32"/>
    <w:qFormat/>
    <w:uiPriority w:val="0"/>
    <w:rPr>
      <w:rFonts w:eastAsia="宋体"/>
      <w:kern w:val="2"/>
      <w:sz w:val="32"/>
      <w:lang w:val="en-US" w:eastAsia="zh-CN" w:bidi="ar-SA"/>
    </w:rPr>
  </w:style>
  <w:style w:type="character" w:customStyle="1" w:styleId="92">
    <w:name w:val="尾注文本 Char1"/>
    <w:link w:val="33"/>
    <w:qFormat/>
    <w:uiPriority w:val="0"/>
    <w:rPr>
      <w:rFonts w:ascii="Calibri" w:hAnsi="Calibri"/>
      <w:kern w:val="2"/>
      <w:sz w:val="21"/>
      <w:szCs w:val="22"/>
    </w:rPr>
  </w:style>
  <w:style w:type="character" w:customStyle="1" w:styleId="93">
    <w:name w:val="批注框文本 Char1"/>
    <w:link w:val="34"/>
    <w:semiHidden/>
    <w:qFormat/>
    <w:uiPriority w:val="0"/>
    <w:rPr>
      <w:rFonts w:eastAsia="宋体"/>
      <w:kern w:val="2"/>
      <w:sz w:val="18"/>
      <w:szCs w:val="18"/>
      <w:lang w:val="en-US" w:eastAsia="zh-CN" w:bidi="ar-SA"/>
    </w:rPr>
  </w:style>
  <w:style w:type="character" w:customStyle="1" w:styleId="94">
    <w:name w:val="页脚 Char1"/>
    <w:link w:val="35"/>
    <w:qFormat/>
    <w:uiPriority w:val="0"/>
    <w:rPr>
      <w:rFonts w:eastAsia="宋体"/>
      <w:kern w:val="2"/>
      <w:sz w:val="18"/>
      <w:szCs w:val="18"/>
      <w:lang w:val="en-US" w:eastAsia="zh-CN" w:bidi="ar-SA"/>
    </w:rPr>
  </w:style>
  <w:style w:type="character" w:customStyle="1" w:styleId="95">
    <w:name w:val="页眉 Char1"/>
    <w:link w:val="36"/>
    <w:qFormat/>
    <w:uiPriority w:val="0"/>
    <w:rPr>
      <w:kern w:val="2"/>
      <w:sz w:val="18"/>
      <w:szCs w:val="18"/>
    </w:rPr>
  </w:style>
  <w:style w:type="character" w:customStyle="1" w:styleId="96">
    <w:name w:val="副标题 Char2"/>
    <w:link w:val="39"/>
    <w:qFormat/>
    <w:locked/>
    <w:uiPriority w:val="11"/>
    <w:rPr>
      <w:rFonts w:ascii="Calibri Light" w:hAnsi="Calibri Light"/>
      <w:b/>
      <w:bCs/>
      <w:kern w:val="28"/>
      <w:sz w:val="32"/>
      <w:szCs w:val="32"/>
    </w:rPr>
  </w:style>
  <w:style w:type="character" w:customStyle="1" w:styleId="97">
    <w:name w:val="脚注文本 Char"/>
    <w:link w:val="41"/>
    <w:qFormat/>
    <w:uiPriority w:val="99"/>
    <w:rPr>
      <w:sz w:val="18"/>
      <w:szCs w:val="18"/>
    </w:rPr>
  </w:style>
  <w:style w:type="character" w:customStyle="1" w:styleId="98">
    <w:name w:val="正文文本缩进 3 Char1"/>
    <w:link w:val="44"/>
    <w:qFormat/>
    <w:uiPriority w:val="0"/>
    <w:rPr>
      <w:rFonts w:eastAsia="宋体"/>
      <w:kern w:val="2"/>
      <w:sz w:val="16"/>
      <w:szCs w:val="16"/>
      <w:lang w:val="en-US" w:eastAsia="zh-CN" w:bidi="ar-SA"/>
    </w:rPr>
  </w:style>
  <w:style w:type="character" w:customStyle="1" w:styleId="99">
    <w:name w:val="正文文本 2 Char1"/>
    <w:link w:val="48"/>
    <w:qFormat/>
    <w:uiPriority w:val="0"/>
    <w:rPr>
      <w:rFonts w:eastAsia="宋体"/>
      <w:kern w:val="2"/>
      <w:sz w:val="21"/>
      <w:szCs w:val="24"/>
      <w:lang w:val="en-US" w:eastAsia="zh-CN" w:bidi="ar-SA"/>
    </w:rPr>
  </w:style>
  <w:style w:type="character" w:customStyle="1" w:styleId="100">
    <w:name w:val="HTML 预设格式 Char1"/>
    <w:link w:val="49"/>
    <w:qFormat/>
    <w:uiPriority w:val="0"/>
    <w:rPr>
      <w:rFonts w:ascii="黑体" w:hAnsi="Courier New" w:eastAsia="黑体" w:cs="Courier New"/>
      <w:lang w:val="en-US" w:eastAsia="zh-CN" w:bidi="ar-SA"/>
    </w:rPr>
  </w:style>
  <w:style w:type="character" w:customStyle="1" w:styleId="101">
    <w:name w:val="标题 Char2"/>
    <w:link w:val="52"/>
    <w:qFormat/>
    <w:uiPriority w:val="0"/>
    <w:rPr>
      <w:rFonts w:ascii="Arial" w:hAnsi="Arial" w:eastAsia="宋体"/>
      <w:b/>
      <w:bCs/>
      <w:kern w:val="2"/>
      <w:sz w:val="32"/>
      <w:szCs w:val="32"/>
      <w:lang w:bidi="ar-SA"/>
    </w:rPr>
  </w:style>
  <w:style w:type="character" w:customStyle="1" w:styleId="102">
    <w:name w:val="正文首行缩进 Char1"/>
    <w:link w:val="53"/>
    <w:qFormat/>
    <w:locked/>
    <w:uiPriority w:val="0"/>
    <w:rPr>
      <w:rFonts w:eastAsia="宋体"/>
      <w:kern w:val="2"/>
      <w:sz w:val="21"/>
      <w:szCs w:val="24"/>
      <w:lang w:val="en-US" w:eastAsia="zh-CN" w:bidi="ar-SA"/>
    </w:rPr>
  </w:style>
  <w:style w:type="character" w:customStyle="1" w:styleId="103">
    <w:name w:val="正文首行缩进 2 Char"/>
    <w:link w:val="54"/>
    <w:qFormat/>
    <w:uiPriority w:val="0"/>
    <w:rPr>
      <w:rFonts w:ascii="仿宋_GB2312" w:eastAsia="仿宋_GB2312"/>
      <w:kern w:val="2"/>
      <w:sz w:val="21"/>
      <w:szCs w:val="24"/>
      <w:lang w:val="en-US" w:eastAsia="zh-CN" w:bidi="ar-SA"/>
    </w:rPr>
  </w:style>
  <w:style w:type="character" w:customStyle="1" w:styleId="104">
    <w:name w:val="标题 3 Char"/>
    <w:qFormat/>
    <w:uiPriority w:val="9"/>
    <w:rPr>
      <w:b/>
      <w:bCs/>
      <w:sz w:val="32"/>
      <w:szCs w:val="32"/>
    </w:rPr>
  </w:style>
  <w:style w:type="character" w:customStyle="1" w:styleId="105">
    <w:name w:val="Char Char36"/>
    <w:qFormat/>
    <w:locked/>
    <w:uiPriority w:val="0"/>
    <w:rPr>
      <w:rFonts w:hint="eastAsia" w:ascii="宋体" w:hAnsi="宋体" w:eastAsia="宋体"/>
      <w:b/>
      <w:spacing w:val="-2"/>
      <w:sz w:val="24"/>
      <w:lang w:val="en-US" w:eastAsia="zh-CN" w:bidi="ar-SA"/>
    </w:rPr>
  </w:style>
  <w:style w:type="character" w:customStyle="1" w:styleId="106">
    <w:name w:val="页眉 字符"/>
    <w:qFormat/>
    <w:locked/>
    <w:uiPriority w:val="99"/>
    <w:rPr>
      <w:sz w:val="18"/>
      <w:szCs w:val="18"/>
    </w:rPr>
  </w:style>
  <w:style w:type="character" w:customStyle="1" w:styleId="107">
    <w:name w:val="Char Char Char Char Char2"/>
    <w:qFormat/>
    <w:uiPriority w:val="0"/>
    <w:rPr>
      <w:rFonts w:eastAsia="宋体"/>
      <w:b/>
      <w:bCs/>
      <w:kern w:val="44"/>
      <w:sz w:val="44"/>
      <w:szCs w:val="44"/>
      <w:lang w:val="en-US" w:eastAsia="zh-CN" w:bidi="ar-SA"/>
    </w:rPr>
  </w:style>
  <w:style w:type="character" w:customStyle="1" w:styleId="108">
    <w:name w:val="Char Char3"/>
    <w:qFormat/>
    <w:uiPriority w:val="0"/>
    <w:rPr>
      <w:rFonts w:hint="eastAsia" w:ascii="宋体" w:hAnsi="宋体" w:eastAsia="宋体"/>
      <w:kern w:val="2"/>
      <w:sz w:val="16"/>
      <w:szCs w:val="16"/>
      <w:lang w:val="en-US" w:eastAsia="zh-CN" w:bidi="ar-SA"/>
    </w:rPr>
  </w:style>
  <w:style w:type="character" w:customStyle="1" w:styleId="109">
    <w:name w:val="普通文字 Char Char5"/>
    <w:qFormat/>
    <w:uiPriority w:val="0"/>
    <w:rPr>
      <w:rFonts w:hint="eastAsia" w:ascii="宋体" w:hAnsi="Courier New" w:eastAsia="宋体" w:cs="Courier New"/>
      <w:kern w:val="2"/>
      <w:sz w:val="21"/>
      <w:szCs w:val="21"/>
    </w:rPr>
  </w:style>
  <w:style w:type="character" w:customStyle="1" w:styleId="110">
    <w:name w:val="p15 Char"/>
    <w:link w:val="111"/>
    <w:qFormat/>
    <w:uiPriority w:val="99"/>
    <w:rPr>
      <w:rFonts w:ascii="宋体" w:hAnsi="宋体" w:cs="宋体"/>
      <w:sz w:val="21"/>
      <w:szCs w:val="21"/>
    </w:rPr>
  </w:style>
  <w:style w:type="paragraph" w:customStyle="1" w:styleId="111">
    <w:name w:val="p15"/>
    <w:basedOn w:val="1"/>
    <w:link w:val="110"/>
    <w:qFormat/>
    <w:uiPriority w:val="99"/>
    <w:pPr>
      <w:widowControl/>
    </w:pPr>
    <w:rPr>
      <w:rFonts w:ascii="宋体" w:hAnsi="宋体"/>
      <w:kern w:val="0"/>
      <w:szCs w:val="21"/>
    </w:rPr>
  </w:style>
  <w:style w:type="character" w:customStyle="1" w:styleId="112">
    <w:name w:val="ca-5"/>
    <w:qFormat/>
    <w:uiPriority w:val="0"/>
  </w:style>
  <w:style w:type="character" w:customStyle="1" w:styleId="113">
    <w:name w:val="页码 New New New New New New New New"/>
    <w:qFormat/>
    <w:uiPriority w:val="0"/>
  </w:style>
  <w:style w:type="character" w:customStyle="1" w:styleId="114">
    <w:name w:val="正文（首行缩进2字符） Char"/>
    <w:link w:val="115"/>
    <w:qFormat/>
    <w:locked/>
    <w:uiPriority w:val="0"/>
    <w:rPr>
      <w:rFonts w:ascii="宋体" w:hAnsi="宋体"/>
      <w:kern w:val="2"/>
      <w:sz w:val="21"/>
      <w:szCs w:val="21"/>
    </w:rPr>
  </w:style>
  <w:style w:type="paragraph" w:customStyle="1" w:styleId="115">
    <w:name w:val="正文（首行缩进2字符）"/>
    <w:basedOn w:val="1"/>
    <w:link w:val="114"/>
    <w:qFormat/>
    <w:uiPriority w:val="0"/>
    <w:pPr>
      <w:spacing w:line="360" w:lineRule="auto"/>
      <w:ind w:firstLine="420" w:firstLineChars="200"/>
    </w:pPr>
    <w:rPr>
      <w:rFonts w:ascii="宋体" w:hAnsi="宋体"/>
      <w:szCs w:val="21"/>
    </w:rPr>
  </w:style>
  <w:style w:type="character" w:customStyle="1" w:styleId="116">
    <w:name w:val="ca-12"/>
    <w:qFormat/>
    <w:uiPriority w:val="0"/>
  </w:style>
  <w:style w:type="character" w:customStyle="1" w:styleId="117">
    <w:name w:val="普通文字 Char Char4"/>
    <w:qFormat/>
    <w:uiPriority w:val="0"/>
    <w:rPr>
      <w:rFonts w:ascii="宋体" w:hAnsi="Courier New" w:eastAsia="宋体" w:cs="Courier New"/>
      <w:kern w:val="2"/>
      <w:sz w:val="21"/>
      <w:szCs w:val="21"/>
      <w:lang w:val="en-US" w:eastAsia="zh-CN" w:bidi="ar-SA"/>
    </w:rPr>
  </w:style>
  <w:style w:type="character" w:customStyle="1" w:styleId="118">
    <w:name w:val="正文文本缩进 2 Char"/>
    <w:link w:val="119"/>
    <w:qFormat/>
    <w:uiPriority w:val="0"/>
    <w:rPr>
      <w:rFonts w:eastAsia="宋体"/>
      <w:kern w:val="2"/>
      <w:sz w:val="32"/>
      <w:lang w:val="en-US" w:eastAsia="zh-CN" w:bidi="ar-SA"/>
    </w:rPr>
  </w:style>
  <w:style w:type="paragraph" w:customStyle="1" w:styleId="119">
    <w:name w:val="正文文本缩进 21"/>
    <w:basedOn w:val="1"/>
    <w:link w:val="118"/>
    <w:qFormat/>
    <w:uiPriority w:val="0"/>
    <w:pPr>
      <w:ind w:firstLine="630"/>
    </w:pPr>
    <w:rPr>
      <w:sz w:val="32"/>
      <w:szCs w:val="20"/>
    </w:rPr>
  </w:style>
  <w:style w:type="character" w:customStyle="1" w:styleId="120">
    <w:name w:val="批注文字 Char3"/>
    <w:qFormat/>
    <w:locked/>
    <w:uiPriority w:val="0"/>
    <w:rPr>
      <w:rFonts w:hint="eastAsia" w:ascii="宋体" w:hAnsi="宋体" w:eastAsia="宋体"/>
      <w:kern w:val="2"/>
      <w:sz w:val="21"/>
      <w:szCs w:val="24"/>
    </w:rPr>
  </w:style>
  <w:style w:type="character" w:customStyle="1" w:styleId="121">
    <w:name w:val="正文文本缩进 3 Char"/>
    <w:link w:val="122"/>
    <w:qFormat/>
    <w:uiPriority w:val="0"/>
    <w:rPr>
      <w:rFonts w:eastAsia="宋体"/>
      <w:kern w:val="2"/>
      <w:sz w:val="16"/>
      <w:szCs w:val="16"/>
      <w:lang w:val="en-US" w:eastAsia="zh-CN" w:bidi="ar-SA"/>
    </w:rPr>
  </w:style>
  <w:style w:type="paragraph" w:customStyle="1" w:styleId="122">
    <w:name w:val="正文文本缩进 31"/>
    <w:basedOn w:val="1"/>
    <w:link w:val="121"/>
    <w:qFormat/>
    <w:uiPriority w:val="0"/>
    <w:pPr>
      <w:spacing w:after="120"/>
      <w:ind w:left="420" w:leftChars="200"/>
    </w:pPr>
    <w:rPr>
      <w:sz w:val="16"/>
      <w:szCs w:val="16"/>
    </w:rPr>
  </w:style>
  <w:style w:type="character" w:customStyle="1" w:styleId="123">
    <w:name w:val="页脚 Char2"/>
    <w:qFormat/>
    <w:locked/>
    <w:uiPriority w:val="0"/>
    <w:rPr>
      <w:rFonts w:hint="eastAsia" w:ascii="宋体" w:hAnsi="宋体" w:eastAsia="宋体"/>
      <w:kern w:val="2"/>
      <w:sz w:val="18"/>
      <w:szCs w:val="18"/>
    </w:rPr>
  </w:style>
  <w:style w:type="character" w:customStyle="1" w:styleId="124">
    <w:name w:val="style31"/>
    <w:qFormat/>
    <w:uiPriority w:val="0"/>
    <w:rPr>
      <w:sz w:val="18"/>
      <w:szCs w:val="18"/>
    </w:rPr>
  </w:style>
  <w:style w:type="character" w:customStyle="1" w:styleId="125">
    <w:name w:val="Body text|1_"/>
    <w:link w:val="126"/>
    <w:qFormat/>
    <w:uiPriority w:val="0"/>
    <w:rPr>
      <w:rFonts w:ascii="宋体" w:hAnsi="宋体" w:eastAsia="宋体" w:cs="宋体"/>
      <w:sz w:val="30"/>
      <w:szCs w:val="30"/>
    </w:rPr>
  </w:style>
  <w:style w:type="paragraph" w:customStyle="1" w:styleId="126">
    <w:name w:val="Body text|1"/>
    <w:basedOn w:val="1"/>
    <w:link w:val="125"/>
    <w:qFormat/>
    <w:uiPriority w:val="0"/>
    <w:pPr>
      <w:spacing w:line="353" w:lineRule="auto"/>
      <w:ind w:firstLine="400"/>
      <w:jc w:val="left"/>
    </w:pPr>
    <w:rPr>
      <w:rFonts w:ascii="宋体" w:hAnsi="宋体"/>
      <w:kern w:val="0"/>
      <w:sz w:val="30"/>
      <w:szCs w:val="30"/>
    </w:rPr>
  </w:style>
  <w:style w:type="character" w:customStyle="1" w:styleId="127">
    <w:name w:val="正文文本 Char2"/>
    <w:semiHidden/>
    <w:qFormat/>
    <w:uiPriority w:val="0"/>
    <w:rPr>
      <w:rFonts w:ascii="Times New Roman" w:hAnsi="Times New Roman"/>
      <w:kern w:val="2"/>
      <w:sz w:val="21"/>
      <w:szCs w:val="24"/>
    </w:rPr>
  </w:style>
  <w:style w:type="character" w:customStyle="1" w:styleId="128">
    <w:name w:val="批注文字 Char1"/>
    <w:qFormat/>
    <w:locked/>
    <w:uiPriority w:val="0"/>
    <w:rPr>
      <w:sz w:val="24"/>
    </w:rPr>
  </w:style>
  <w:style w:type="character" w:customStyle="1" w:styleId="129">
    <w:name w:val="Char Char28"/>
    <w:qFormat/>
    <w:locked/>
    <w:uiPriority w:val="0"/>
    <w:rPr>
      <w:rFonts w:hint="eastAsia" w:ascii="宋体" w:hAnsi="宋体" w:eastAsia="宋体"/>
      <w:b/>
      <w:kern w:val="2"/>
      <w:sz w:val="28"/>
      <w:szCs w:val="24"/>
      <w:lang w:val="en-US" w:eastAsia="zh-CN" w:bidi="ar-SA"/>
    </w:rPr>
  </w:style>
  <w:style w:type="character" w:customStyle="1" w:styleId="130">
    <w:name w:val="font51"/>
    <w:qFormat/>
    <w:uiPriority w:val="0"/>
    <w:rPr>
      <w:rFonts w:hint="eastAsia" w:ascii="黑体" w:hAnsi="宋体" w:eastAsia="黑体" w:cs="黑体"/>
      <w:b/>
      <w:color w:val="000000"/>
      <w:sz w:val="40"/>
      <w:szCs w:val="40"/>
      <w:u w:val="none"/>
    </w:rPr>
  </w:style>
  <w:style w:type="character" w:customStyle="1" w:styleId="131">
    <w:name w:val="尾注文本 Char"/>
    <w:qFormat/>
    <w:uiPriority w:val="0"/>
    <w:rPr>
      <w:rFonts w:ascii="Calibri" w:hAnsi="Calibri"/>
      <w:kern w:val="2"/>
      <w:sz w:val="21"/>
      <w:szCs w:val="22"/>
    </w:rPr>
  </w:style>
  <w:style w:type="character" w:customStyle="1" w:styleId="132">
    <w:name w:val="ca-6"/>
    <w:qFormat/>
    <w:uiPriority w:val="0"/>
  </w:style>
  <w:style w:type="character" w:customStyle="1" w:styleId="133">
    <w:name w:val="bookmark-item uuid-1595940673658 code-am01400034 addword numeric-input-box-cls"/>
    <w:qFormat/>
    <w:uiPriority w:val="0"/>
  </w:style>
  <w:style w:type="character" w:customStyle="1" w:styleId="134">
    <w:name w:val="bookmark-item uuid-1596004688403 code-00015 editdisable single-line-text-input-box-cls readonly"/>
    <w:qFormat/>
    <w:uiPriority w:val="0"/>
  </w:style>
  <w:style w:type="character" w:customStyle="1" w:styleId="135">
    <w:name w:val="qb-content2"/>
    <w:qFormat/>
    <w:uiPriority w:val="0"/>
  </w:style>
  <w:style w:type="character" w:customStyle="1" w:styleId="136">
    <w:name w:val="bookmark-item uuid-1593432150293 code-am014biditemname editdisable single-line-text-input-box-cls"/>
    <w:qFormat/>
    <w:uiPriority w:val="0"/>
  </w:style>
  <w:style w:type="character" w:customStyle="1" w:styleId="137">
    <w:name w:val="Body text|3_"/>
    <w:link w:val="138"/>
    <w:qFormat/>
    <w:uiPriority w:val="0"/>
    <w:rPr>
      <w:rFonts w:ascii="宋体" w:hAnsi="宋体" w:eastAsia="宋体" w:cs="宋体"/>
      <w:sz w:val="34"/>
      <w:szCs w:val="34"/>
    </w:rPr>
  </w:style>
  <w:style w:type="paragraph" w:customStyle="1" w:styleId="138">
    <w:name w:val="Body text|3"/>
    <w:basedOn w:val="1"/>
    <w:link w:val="137"/>
    <w:qFormat/>
    <w:uiPriority w:val="0"/>
    <w:pPr>
      <w:spacing w:after="460"/>
      <w:jc w:val="center"/>
    </w:pPr>
    <w:rPr>
      <w:rFonts w:ascii="宋体" w:hAnsi="宋体"/>
      <w:kern w:val="0"/>
      <w:sz w:val="34"/>
      <w:szCs w:val="34"/>
    </w:rPr>
  </w:style>
  <w:style w:type="character" w:customStyle="1" w:styleId="139">
    <w:name w:val="con"/>
    <w:qFormat/>
    <w:uiPriority w:val="0"/>
  </w:style>
  <w:style w:type="character" w:customStyle="1" w:styleId="140">
    <w:name w:val="纯文本 字符"/>
    <w:qFormat/>
    <w:uiPriority w:val="0"/>
    <w:rPr>
      <w:rFonts w:hint="eastAsia" w:ascii="宋体" w:hAnsi="Courier New" w:eastAsia="宋体" w:cs="Courier New"/>
      <w:szCs w:val="21"/>
    </w:rPr>
  </w:style>
  <w:style w:type="character" w:customStyle="1" w:styleId="141">
    <w:name w:val="bookmark-item uuid-1596004753055 code-00011 addword single-line-text-input-box-cls"/>
    <w:qFormat/>
    <w:uiPriority w:val="0"/>
  </w:style>
  <w:style w:type="character" w:customStyle="1" w:styleId="142">
    <w:name w:val="Char Char111"/>
    <w:qFormat/>
    <w:uiPriority w:val="0"/>
    <w:rPr>
      <w:rFonts w:hint="default" w:ascii="Times New Roman" w:hAnsi="Times New Roman" w:eastAsia="宋体" w:cs="Times New Roman"/>
      <w:sz w:val="30"/>
      <w:szCs w:val="24"/>
    </w:rPr>
  </w:style>
  <w:style w:type="character" w:customStyle="1" w:styleId="143">
    <w:name w:val="批注框文本 Char"/>
    <w:qFormat/>
    <w:uiPriority w:val="99"/>
    <w:rPr>
      <w:rFonts w:eastAsia="宋体"/>
      <w:kern w:val="2"/>
      <w:sz w:val="18"/>
      <w:szCs w:val="18"/>
      <w:lang w:val="en-US" w:eastAsia="zh-CN" w:bidi="ar-SA"/>
    </w:rPr>
  </w:style>
  <w:style w:type="character" w:customStyle="1" w:styleId="144">
    <w:name w:val="Char Char9"/>
    <w:qFormat/>
    <w:uiPriority w:val="0"/>
    <w:rPr>
      <w:rFonts w:hint="eastAsia" w:ascii="宋体" w:hAnsi="Courier New" w:eastAsia="宋体" w:cs="Courier New"/>
      <w:kern w:val="2"/>
      <w:sz w:val="21"/>
      <w:szCs w:val="21"/>
      <w:lang w:val="en-US" w:eastAsia="zh-CN" w:bidi="ar-SA"/>
    </w:rPr>
  </w:style>
  <w:style w:type="character" w:customStyle="1" w:styleId="145">
    <w:name w:val="标题 6 Char"/>
    <w:qFormat/>
    <w:uiPriority w:val="0"/>
    <w:rPr>
      <w:rFonts w:ascii="Arial" w:hAnsi="Arial" w:eastAsia="黑体"/>
      <w:b/>
      <w:kern w:val="2"/>
      <w:sz w:val="24"/>
      <w:szCs w:val="24"/>
      <w:lang w:val="en-US" w:eastAsia="zh-CN" w:bidi="ar-SA"/>
    </w:rPr>
  </w:style>
  <w:style w:type="character" w:customStyle="1" w:styleId="146">
    <w:name w:val="纯文本 Char1"/>
    <w:qFormat/>
    <w:uiPriority w:val="0"/>
    <w:rPr>
      <w:rFonts w:ascii="宋体" w:hAnsi="Courier New" w:eastAsia="宋体" w:cs="Courier New"/>
      <w:kern w:val="2"/>
      <w:sz w:val="21"/>
      <w:szCs w:val="21"/>
      <w:lang w:val="en-US" w:eastAsia="zh-CN" w:bidi="ar-SA"/>
    </w:rPr>
  </w:style>
  <w:style w:type="character" w:customStyle="1" w:styleId="147">
    <w:name w:val="bookmark-item uuid-1593432166973 code-am014remarks editdisable single-line-text-input-box-cls"/>
    <w:qFormat/>
    <w:uiPriority w:val="0"/>
  </w:style>
  <w:style w:type="character" w:customStyle="1" w:styleId="148">
    <w:name w:val="Char Char34"/>
    <w:qFormat/>
    <w:locked/>
    <w:uiPriority w:val="0"/>
    <w:rPr>
      <w:rFonts w:hint="eastAsia" w:ascii="宋体" w:hAnsi="宋体" w:eastAsia="宋体"/>
      <w:b/>
      <w:bCs/>
      <w:kern w:val="2"/>
      <w:sz w:val="32"/>
      <w:szCs w:val="32"/>
      <w:lang w:val="en-US" w:eastAsia="zh-CN" w:bidi="ar-SA"/>
    </w:rPr>
  </w:style>
  <w:style w:type="character" w:customStyle="1" w:styleId="149">
    <w:name w:val="Plain Text Char1"/>
    <w:semiHidden/>
    <w:qFormat/>
    <w:uiPriority w:val="99"/>
    <w:rPr>
      <w:rFonts w:ascii="宋体" w:hAnsi="Courier New" w:cs="Courier New"/>
      <w:szCs w:val="21"/>
    </w:rPr>
  </w:style>
  <w:style w:type="character" w:customStyle="1" w:styleId="150">
    <w:name w:val="apple-converted-space"/>
    <w:qFormat/>
    <w:uiPriority w:val="0"/>
  </w:style>
  <w:style w:type="character" w:customStyle="1" w:styleId="151">
    <w:name w:val="bookmark-item uuid-1588129973591 code-23015 addword single-line-text-input-box-cls readonly"/>
    <w:qFormat/>
    <w:uiPriority w:val="0"/>
  </w:style>
  <w:style w:type="character" w:customStyle="1" w:styleId="152">
    <w:name w:val="页码 New New New New New"/>
    <w:qFormat/>
    <w:uiPriority w:val="0"/>
  </w:style>
  <w:style w:type="character" w:customStyle="1" w:styleId="153">
    <w:name w:val="Char Char29"/>
    <w:qFormat/>
    <w:locked/>
    <w:uiPriority w:val="0"/>
    <w:rPr>
      <w:rFonts w:hint="default" w:ascii="Arial" w:hAnsi="Arial" w:eastAsia="黑体" w:cs="宋体"/>
      <w:b/>
      <w:bCs/>
      <w:kern w:val="2"/>
      <w:sz w:val="32"/>
      <w:szCs w:val="32"/>
      <w:lang w:val="en-US" w:eastAsia="zh-CN" w:bidi="ar-SA"/>
    </w:rPr>
  </w:style>
  <w:style w:type="character" w:customStyle="1" w:styleId="154">
    <w:name w:val="font11"/>
    <w:qFormat/>
    <w:uiPriority w:val="0"/>
    <w:rPr>
      <w:rFonts w:hint="eastAsia" w:ascii="宋体" w:hAnsi="宋体" w:eastAsia="宋体" w:cs="宋体"/>
      <w:color w:val="000000"/>
      <w:sz w:val="24"/>
      <w:szCs w:val="24"/>
      <w:u w:val="none"/>
    </w:rPr>
  </w:style>
  <w:style w:type="character" w:customStyle="1" w:styleId="155">
    <w:name w:val="Char Char8"/>
    <w:qFormat/>
    <w:locked/>
    <w:uiPriority w:val="0"/>
    <w:rPr>
      <w:rFonts w:ascii="仿宋_GB2312" w:eastAsia="仿宋_GB2312"/>
      <w:kern w:val="2"/>
      <w:sz w:val="32"/>
      <w:lang w:val="en-US" w:eastAsia="zh-CN" w:bidi="ar-SA"/>
    </w:rPr>
  </w:style>
  <w:style w:type="character" w:customStyle="1" w:styleId="156">
    <w:name w:val="Char Char23"/>
    <w:qFormat/>
    <w:uiPriority w:val="0"/>
    <w:rPr>
      <w:rFonts w:ascii="Times New Roman" w:hAnsi="Times New Roman" w:eastAsia="宋体" w:cs="Times New Roman"/>
      <w:b/>
      <w:bCs/>
      <w:kern w:val="44"/>
      <w:sz w:val="44"/>
      <w:szCs w:val="44"/>
    </w:rPr>
  </w:style>
  <w:style w:type="character" w:customStyle="1" w:styleId="157">
    <w:name w:val="ca-16"/>
    <w:qFormat/>
    <w:uiPriority w:val="0"/>
  </w:style>
  <w:style w:type="character" w:customStyle="1" w:styleId="158">
    <w:name w:val="ca-11"/>
    <w:qFormat/>
    <w:uiPriority w:val="0"/>
  </w:style>
  <w:style w:type="character" w:customStyle="1" w:styleId="159">
    <w:name w:val="bookmark-item uuid-1588129635457 code-23007 addword single-line-text-input-box-cls readonly"/>
    <w:qFormat/>
    <w:uiPriority w:val="0"/>
  </w:style>
  <w:style w:type="character" w:customStyle="1" w:styleId="160">
    <w:name w:val="正文文本缩进 Char"/>
    <w:qFormat/>
    <w:uiPriority w:val="0"/>
    <w:rPr>
      <w:rFonts w:ascii="仿宋_GB2312" w:eastAsia="仿宋_GB2312"/>
      <w:kern w:val="2"/>
      <w:sz w:val="32"/>
      <w:lang w:val="en-US" w:eastAsia="zh-CN" w:bidi="ar-SA"/>
    </w:rPr>
  </w:style>
  <w:style w:type="character" w:customStyle="1" w:styleId="161">
    <w:name w:val="Char Char20"/>
    <w:qFormat/>
    <w:uiPriority w:val="0"/>
    <w:rPr>
      <w:rFonts w:hint="eastAsia" w:ascii="仿宋_GB2312" w:eastAsia="仿宋_GB2312"/>
      <w:kern w:val="2"/>
      <w:sz w:val="32"/>
      <w:lang w:val="en-US" w:eastAsia="zh-CN" w:bidi="ar-SA"/>
    </w:rPr>
  </w:style>
  <w:style w:type="character" w:customStyle="1" w:styleId="162">
    <w:name w:val="PageNumber"/>
    <w:qFormat/>
    <w:uiPriority w:val="0"/>
  </w:style>
  <w:style w:type="character" w:customStyle="1" w:styleId="163">
    <w:name w:val="自定义标题一 Char Char"/>
    <w:qFormat/>
    <w:uiPriority w:val="0"/>
    <w:rPr>
      <w:rFonts w:ascii="黑体" w:hAnsi="黑体" w:eastAsia="黑体"/>
      <w:b/>
      <w:bCs/>
      <w:kern w:val="44"/>
      <w:sz w:val="44"/>
      <w:szCs w:val="44"/>
      <w:lang w:bidi="ar-SA"/>
      <w14:shadow w14:blurRad="50800" w14:dist="38100" w14:dir="2700000" w14:sx="100000" w14:sy="100000" w14:kx="0" w14:ky="0" w14:algn="tl">
        <w14:srgbClr w14:val="000000">
          <w14:alpha w14:val="60000"/>
        </w14:srgbClr>
      </w14:shadow>
    </w:rPr>
  </w:style>
  <w:style w:type="character" w:customStyle="1" w:styleId="164">
    <w:name w:val="正文文本 Char3"/>
    <w:qFormat/>
    <w:locked/>
    <w:uiPriority w:val="99"/>
    <w:rPr>
      <w:kern w:val="2"/>
      <w:sz w:val="21"/>
      <w:szCs w:val="24"/>
    </w:rPr>
  </w:style>
  <w:style w:type="character" w:customStyle="1" w:styleId="165">
    <w:name w:val="Char Char33"/>
    <w:qFormat/>
    <w:locked/>
    <w:uiPriority w:val="0"/>
    <w:rPr>
      <w:rFonts w:hint="default" w:ascii="Arial" w:hAnsi="Arial" w:eastAsia="黑体" w:cs="宋体"/>
      <w:sz w:val="28"/>
      <w:lang w:val="en-US" w:eastAsia="zh-CN" w:bidi="ar-SA"/>
    </w:rPr>
  </w:style>
  <w:style w:type="character" w:customStyle="1" w:styleId="166">
    <w:name w:val="bookmark-item"/>
    <w:qFormat/>
    <w:uiPriority w:val="0"/>
  </w:style>
  <w:style w:type="character" w:customStyle="1" w:styleId="167">
    <w:name w:val="标题 Char"/>
    <w:qFormat/>
    <w:uiPriority w:val="0"/>
    <w:rPr>
      <w:rFonts w:ascii="Arial" w:hAnsi="Arial" w:eastAsia="宋体"/>
      <w:b/>
      <w:bCs/>
      <w:kern w:val="2"/>
      <w:sz w:val="32"/>
      <w:szCs w:val="32"/>
      <w:lang w:bidi="ar-SA"/>
    </w:rPr>
  </w:style>
  <w:style w:type="character" w:customStyle="1" w:styleId="168">
    <w:name w:val="bookmark-item uuid-1595987359344 code-00004 addword single-line-text-input-box-cls"/>
    <w:qFormat/>
    <w:uiPriority w:val="0"/>
  </w:style>
  <w:style w:type="character" w:customStyle="1" w:styleId="169">
    <w:name w:val="标题 3 Char Char"/>
    <w:qFormat/>
    <w:locked/>
    <w:uiPriority w:val="0"/>
    <w:rPr>
      <w:rFonts w:hint="eastAsia" w:ascii="宋体" w:hAnsi="宋体" w:eastAsia="宋体"/>
      <w:b/>
      <w:bCs/>
      <w:kern w:val="2"/>
      <w:sz w:val="32"/>
      <w:szCs w:val="32"/>
      <w:lang w:val="en-US" w:eastAsia="zh-CN" w:bidi="ar-SA"/>
    </w:rPr>
  </w:style>
  <w:style w:type="character" w:customStyle="1" w:styleId="170">
    <w:name w:val="文档结构图 Char2"/>
    <w:semiHidden/>
    <w:qFormat/>
    <w:uiPriority w:val="0"/>
    <w:rPr>
      <w:rFonts w:ascii="宋体" w:hAnsi="Times New Roman"/>
      <w:kern w:val="2"/>
      <w:sz w:val="18"/>
      <w:szCs w:val="18"/>
    </w:rPr>
  </w:style>
  <w:style w:type="character" w:customStyle="1" w:styleId="171">
    <w:name w:val="纯文本 字符1"/>
    <w:qFormat/>
    <w:uiPriority w:val="0"/>
    <w:rPr>
      <w:rFonts w:ascii="Ђˎ̥" w:hAnsi="Verdana" w:eastAsia="Ђˎ̥" w:cs="Verdana"/>
      <w:szCs w:val="21"/>
    </w:rPr>
  </w:style>
  <w:style w:type="character" w:customStyle="1" w:styleId="172">
    <w:name w:val="Char Char11"/>
    <w:qFormat/>
    <w:uiPriority w:val="0"/>
    <w:rPr>
      <w:rFonts w:ascii="Times New Roman" w:hAnsi="Times New Roman" w:eastAsia="宋体" w:cs="Times New Roman"/>
      <w:sz w:val="30"/>
      <w:szCs w:val="24"/>
    </w:rPr>
  </w:style>
  <w:style w:type="character" w:customStyle="1" w:styleId="173">
    <w:name w:val="Char Char231"/>
    <w:qFormat/>
    <w:uiPriority w:val="0"/>
    <w:rPr>
      <w:rFonts w:hint="default" w:ascii="Times New Roman" w:hAnsi="Times New Roman" w:eastAsia="宋体" w:cs="Times New Roman"/>
      <w:b/>
      <w:bCs/>
      <w:kern w:val="44"/>
      <w:sz w:val="44"/>
      <w:szCs w:val="44"/>
    </w:rPr>
  </w:style>
  <w:style w:type="character" w:customStyle="1" w:styleId="174">
    <w:name w:val="style4"/>
    <w:qFormat/>
    <w:uiPriority w:val="0"/>
  </w:style>
  <w:style w:type="character" w:customStyle="1" w:styleId="175">
    <w:name w:val="ca-0"/>
    <w:qFormat/>
    <w:uiPriority w:val="0"/>
  </w:style>
  <w:style w:type="character" w:customStyle="1" w:styleId="176">
    <w:name w:val="普通文字 Char Char2"/>
    <w:qFormat/>
    <w:uiPriority w:val="0"/>
    <w:rPr>
      <w:rFonts w:ascii="宋体" w:hAnsi="Courier New" w:eastAsia="宋体"/>
      <w:kern w:val="2"/>
      <w:sz w:val="21"/>
      <w:lang w:val="en-US" w:eastAsia="zh-CN" w:bidi="ar-SA"/>
    </w:rPr>
  </w:style>
  <w:style w:type="character" w:customStyle="1" w:styleId="177">
    <w:name w:val="标题 Char1"/>
    <w:qFormat/>
    <w:uiPriority w:val="0"/>
    <w:rPr>
      <w:rFonts w:hint="default" w:ascii="Cambria" w:hAnsi="Cambria" w:cs="Times New Roman"/>
      <w:b/>
      <w:bCs/>
      <w:kern w:val="2"/>
      <w:sz w:val="32"/>
      <w:szCs w:val="32"/>
    </w:rPr>
  </w:style>
  <w:style w:type="character" w:customStyle="1" w:styleId="178">
    <w:name w:val="Char Char15"/>
    <w:qFormat/>
    <w:uiPriority w:val="0"/>
    <w:rPr>
      <w:sz w:val="18"/>
      <w:szCs w:val="18"/>
    </w:rPr>
  </w:style>
  <w:style w:type="character" w:customStyle="1" w:styleId="179">
    <w:name w:val="HTML 预设格式 Char"/>
    <w:qFormat/>
    <w:uiPriority w:val="0"/>
    <w:rPr>
      <w:rFonts w:ascii="黑体" w:hAnsi="Courier New" w:eastAsia="黑体" w:cs="Courier New"/>
      <w:lang w:val="en-US" w:eastAsia="zh-CN" w:bidi="ar-SA"/>
    </w:rPr>
  </w:style>
  <w:style w:type="character" w:customStyle="1" w:styleId="180">
    <w:name w:val="标题 8 Char"/>
    <w:qFormat/>
    <w:uiPriority w:val="0"/>
    <w:rPr>
      <w:rFonts w:ascii="Arial" w:hAnsi="Arial" w:eastAsia="黑体"/>
      <w:kern w:val="2"/>
      <w:sz w:val="24"/>
      <w:szCs w:val="24"/>
      <w:lang w:val="en-US" w:eastAsia="zh-CN" w:bidi="ar-SA"/>
    </w:rPr>
  </w:style>
  <w:style w:type="character" w:customStyle="1" w:styleId="181">
    <w:name w:val="段 Char"/>
    <w:link w:val="182"/>
    <w:qFormat/>
    <w:locked/>
    <w:uiPriority w:val="0"/>
    <w:rPr>
      <w:rFonts w:ascii="宋体"/>
      <w:sz w:val="21"/>
      <w:lang w:val="en-US" w:eastAsia="zh-CN" w:bidi="ar-SA"/>
    </w:rPr>
  </w:style>
  <w:style w:type="paragraph" w:customStyle="1" w:styleId="182">
    <w:name w:val="段"/>
    <w:link w:val="18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83">
    <w:name w:val="bookmark-item uuid-1594624443488 code-23013 addword date-time-selection-cls readonly"/>
    <w:qFormat/>
    <w:uiPriority w:val="0"/>
  </w:style>
  <w:style w:type="character" w:customStyle="1" w:styleId="184">
    <w:name w:val="bookmark-item uuid-1587980024345 code-23003 addword date-selection-cls"/>
    <w:qFormat/>
    <w:uiPriority w:val="0"/>
  </w:style>
  <w:style w:type="character" w:customStyle="1" w:styleId="185">
    <w:name w:val="列出段落 Char"/>
    <w:link w:val="186"/>
    <w:qFormat/>
    <w:uiPriority w:val="0"/>
    <w:rPr>
      <w:rFonts w:ascii="Calibri" w:hAnsi="Calibri" w:eastAsia="宋体"/>
      <w:kern w:val="2"/>
      <w:sz w:val="21"/>
      <w:szCs w:val="22"/>
      <w:lang w:val="en-US" w:eastAsia="zh-CN" w:bidi="ar-SA"/>
    </w:rPr>
  </w:style>
  <w:style w:type="paragraph" w:customStyle="1" w:styleId="186">
    <w:name w:val="列出段落1"/>
    <w:basedOn w:val="1"/>
    <w:link w:val="185"/>
    <w:qFormat/>
    <w:uiPriority w:val="99"/>
    <w:pPr>
      <w:ind w:firstLine="420" w:firstLineChars="200"/>
    </w:pPr>
    <w:rPr>
      <w:rFonts w:ascii="Calibri" w:hAnsi="Calibri"/>
      <w:szCs w:val="22"/>
    </w:rPr>
  </w:style>
  <w:style w:type="character" w:customStyle="1" w:styleId="187">
    <w:name w:val="Char Char16"/>
    <w:qFormat/>
    <w:uiPriority w:val="0"/>
    <w:rPr>
      <w:rFonts w:hint="default" w:ascii="Arial" w:hAnsi="Arial" w:eastAsia="黑体" w:cs="Arial"/>
      <w:b/>
      <w:kern w:val="2"/>
      <w:sz w:val="24"/>
      <w:szCs w:val="24"/>
    </w:rPr>
  </w:style>
  <w:style w:type="character" w:customStyle="1" w:styleId="188">
    <w:name w:val="不明显参考1"/>
    <w:qFormat/>
    <w:uiPriority w:val="31"/>
    <w:rPr>
      <w:smallCaps/>
      <w:color w:val="C0504D"/>
      <w:u w:val="single"/>
    </w:rPr>
  </w:style>
  <w:style w:type="character" w:customStyle="1" w:styleId="189">
    <w:name w:val="副标题 Char3"/>
    <w:qFormat/>
    <w:uiPriority w:val="11"/>
    <w:rPr>
      <w:rFonts w:hint="default" w:ascii="Cambria" w:hAnsi="Cambria" w:cs="Times New Roman"/>
      <w:b/>
      <w:bCs/>
      <w:kern w:val="28"/>
      <w:sz w:val="32"/>
      <w:szCs w:val="32"/>
    </w:rPr>
  </w:style>
  <w:style w:type="character" w:customStyle="1" w:styleId="190">
    <w:name w:val="bookmark-item uuid-1596276761070 code-22002 editdisable multi-line-text-input-box-cls readonly"/>
    <w:basedOn w:val="57"/>
    <w:qFormat/>
    <w:uiPriority w:val="0"/>
  </w:style>
  <w:style w:type="character" w:customStyle="1" w:styleId="191">
    <w:name w:val="15"/>
    <w:qFormat/>
    <w:uiPriority w:val="0"/>
    <w:rPr>
      <w:rFonts w:hint="default" w:ascii="Times New Roman" w:hAnsi="Times New Roman" w:cs="Times New Roman"/>
      <w:color w:val="0000FF"/>
      <w:u w:val="single"/>
    </w:rPr>
  </w:style>
  <w:style w:type="character" w:customStyle="1" w:styleId="192">
    <w:name w:val="bookmark-item uuid-1594624424199 code-23012 addword single-line-text-input-box-cls readonly"/>
    <w:qFormat/>
    <w:uiPriority w:val="0"/>
  </w:style>
  <w:style w:type="character" w:customStyle="1" w:styleId="193">
    <w:name w:val="Char Char5"/>
    <w:qFormat/>
    <w:uiPriority w:val="0"/>
    <w:rPr>
      <w:rFonts w:hint="eastAsia" w:ascii="宋体" w:hAnsi="Courier New" w:eastAsia="宋体" w:cs="Courier New"/>
      <w:kern w:val="2"/>
      <w:sz w:val="21"/>
      <w:szCs w:val="21"/>
      <w:lang w:val="en-US" w:eastAsia="zh-CN" w:bidi="ar-SA"/>
    </w:rPr>
  </w:style>
  <w:style w:type="character" w:customStyle="1" w:styleId="194">
    <w:name w:val="不明显强调1"/>
    <w:qFormat/>
    <w:uiPriority w:val="0"/>
    <w:rPr>
      <w:i/>
      <w:iCs/>
      <w:color w:val="808080"/>
    </w:rPr>
  </w:style>
  <w:style w:type="character" w:customStyle="1" w:styleId="195">
    <w:name w:val="HTML 预设格式 Char2"/>
    <w:qFormat/>
    <w:locked/>
    <w:uiPriority w:val="0"/>
    <w:rPr>
      <w:rFonts w:hint="eastAsia" w:ascii="黑体" w:hAnsi="Courier New" w:eastAsia="黑体" w:cs="Courier New"/>
    </w:rPr>
  </w:style>
  <w:style w:type="character" w:customStyle="1" w:styleId="196">
    <w:name w:val="标题 7 Char"/>
    <w:qFormat/>
    <w:uiPriority w:val="0"/>
    <w:rPr>
      <w:rFonts w:eastAsia="宋体"/>
      <w:b/>
      <w:kern w:val="2"/>
      <w:sz w:val="24"/>
      <w:szCs w:val="24"/>
      <w:lang w:val="en-US" w:eastAsia="zh-CN" w:bidi="ar-SA"/>
    </w:rPr>
  </w:style>
  <w:style w:type="character" w:customStyle="1" w:styleId="197">
    <w:name w:val="Char Char Char Char Char"/>
    <w:qFormat/>
    <w:uiPriority w:val="0"/>
    <w:rPr>
      <w:rFonts w:hint="eastAsia" w:ascii="宋体" w:hAnsi="宋体" w:eastAsia="宋体"/>
      <w:b/>
      <w:bCs/>
      <w:kern w:val="44"/>
      <w:sz w:val="44"/>
      <w:szCs w:val="44"/>
      <w:lang w:val="en-US" w:eastAsia="zh-CN" w:bidi="ar-SA"/>
    </w:rPr>
  </w:style>
  <w:style w:type="character" w:customStyle="1" w:styleId="198">
    <w:name w:val="标题 5 Char"/>
    <w:qFormat/>
    <w:uiPriority w:val="0"/>
    <w:rPr>
      <w:rFonts w:eastAsia="宋体"/>
      <w:b/>
      <w:kern w:val="2"/>
      <w:sz w:val="28"/>
      <w:szCs w:val="24"/>
      <w:lang w:val="en-US" w:eastAsia="zh-CN" w:bidi="ar-SA"/>
    </w:rPr>
  </w:style>
  <w:style w:type="character" w:customStyle="1" w:styleId="199">
    <w:name w:val="访问过的超链接1"/>
    <w:qFormat/>
    <w:uiPriority w:val="99"/>
    <w:rPr>
      <w:color w:val="800080"/>
      <w:u w:val="single"/>
    </w:rPr>
  </w:style>
  <w:style w:type="character" w:customStyle="1" w:styleId="200">
    <w:name w:val="无间隔 Char"/>
    <w:link w:val="201"/>
    <w:qFormat/>
    <w:uiPriority w:val="0"/>
    <w:rPr>
      <w:sz w:val="22"/>
      <w:szCs w:val="22"/>
      <w:lang w:val="en-US" w:eastAsia="zh-CN" w:bidi="ar-SA"/>
    </w:rPr>
  </w:style>
  <w:style w:type="paragraph" w:styleId="201">
    <w:name w:val="No Spacing"/>
    <w:link w:val="200"/>
    <w:qFormat/>
    <w:uiPriority w:val="0"/>
    <w:rPr>
      <w:rFonts w:ascii="Times New Roman" w:hAnsi="Times New Roman" w:eastAsia="宋体" w:cs="Times New Roman"/>
      <w:sz w:val="22"/>
      <w:szCs w:val="22"/>
      <w:lang w:val="en-US" w:eastAsia="zh-CN" w:bidi="ar-SA"/>
    </w:rPr>
  </w:style>
  <w:style w:type="character" w:customStyle="1" w:styleId="202">
    <w:name w:val="font41"/>
    <w:qFormat/>
    <w:uiPriority w:val="0"/>
    <w:rPr>
      <w:rFonts w:hint="eastAsia" w:ascii="仿宋_GB2312" w:eastAsia="仿宋_GB2312" w:cs="仿宋_GB2312"/>
      <w:color w:val="000000"/>
      <w:sz w:val="20"/>
      <w:szCs w:val="20"/>
      <w:u w:val="none"/>
    </w:rPr>
  </w:style>
  <w:style w:type="character" w:customStyle="1" w:styleId="203">
    <w:name w:val="Char Char27"/>
    <w:qFormat/>
    <w:uiPriority w:val="0"/>
    <w:rPr>
      <w:rFonts w:hint="eastAsia" w:ascii="宋体" w:hAnsi="宋体" w:eastAsia="宋体"/>
      <w:b/>
      <w:bCs/>
      <w:kern w:val="44"/>
      <w:sz w:val="44"/>
      <w:szCs w:val="44"/>
      <w:lang w:val="en-US" w:eastAsia="zh-CN" w:bidi="ar-SA"/>
    </w:rPr>
  </w:style>
  <w:style w:type="character" w:customStyle="1" w:styleId="204">
    <w:name w:val="页脚 Char"/>
    <w:qFormat/>
    <w:uiPriority w:val="99"/>
    <w:rPr>
      <w:rFonts w:eastAsia="宋体"/>
      <w:kern w:val="2"/>
      <w:sz w:val="18"/>
      <w:szCs w:val="18"/>
      <w:lang w:val="en-US" w:eastAsia="zh-CN" w:bidi="ar-SA"/>
    </w:rPr>
  </w:style>
  <w:style w:type="character" w:customStyle="1" w:styleId="205">
    <w:name w:val="页码 New New New New New New"/>
    <w:qFormat/>
    <w:uiPriority w:val="0"/>
  </w:style>
  <w:style w:type="character" w:customStyle="1" w:styleId="206">
    <w:name w:val="样式1 正文（首行缩进两字） Char + Times New Roman Char Char"/>
    <w:qFormat/>
    <w:uiPriority w:val="0"/>
    <w:rPr>
      <w:rFonts w:hint="default" w:ascii="Arial" w:hAnsi="Arial" w:eastAsia="宋体" w:cs="Arial"/>
      <w:bCs/>
      <w:kern w:val="2"/>
      <w:sz w:val="21"/>
      <w:szCs w:val="21"/>
      <w:lang w:val="en-US" w:eastAsia="zh-CN" w:bidi="ar-SA"/>
    </w:rPr>
  </w:style>
  <w:style w:type="character" w:customStyle="1" w:styleId="207">
    <w:name w:val="正文文本缩进 Char3"/>
    <w:qFormat/>
    <w:locked/>
    <w:uiPriority w:val="0"/>
    <w:rPr>
      <w:rFonts w:hint="eastAsia" w:ascii="仿宋_GB2312" w:eastAsia="仿宋_GB2312"/>
      <w:kern w:val="2"/>
      <w:sz w:val="32"/>
    </w:rPr>
  </w:style>
  <w:style w:type="character" w:customStyle="1" w:styleId="208">
    <w:name w:val="ca-4"/>
    <w:qFormat/>
    <w:uiPriority w:val="0"/>
  </w:style>
  <w:style w:type="character" w:customStyle="1" w:styleId="209">
    <w:name w:val="正文文本 2 Char2"/>
    <w:qFormat/>
    <w:locked/>
    <w:uiPriority w:val="0"/>
    <w:rPr>
      <w:kern w:val="2"/>
      <w:sz w:val="21"/>
      <w:szCs w:val="24"/>
    </w:rPr>
  </w:style>
  <w:style w:type="character" w:customStyle="1" w:styleId="210">
    <w:name w:val="Char Char12"/>
    <w:qFormat/>
    <w:uiPriority w:val="0"/>
    <w:rPr>
      <w:rFonts w:hint="eastAsia" w:ascii="宋体" w:hAnsi="Courier New" w:eastAsia="宋体" w:cs="Courier New"/>
      <w:kern w:val="2"/>
      <w:sz w:val="21"/>
      <w:szCs w:val="21"/>
      <w:lang w:val="en-US" w:eastAsia="zh-CN" w:bidi="ar-SA"/>
    </w:rPr>
  </w:style>
  <w:style w:type="character" w:customStyle="1" w:styleId="211">
    <w:name w:val="ca-9"/>
    <w:qFormat/>
    <w:uiPriority w:val="0"/>
  </w:style>
  <w:style w:type="character" w:customStyle="1" w:styleId="212">
    <w:name w:val="Char Char152"/>
    <w:qFormat/>
    <w:uiPriority w:val="0"/>
    <w:rPr>
      <w:sz w:val="18"/>
      <w:szCs w:val="18"/>
    </w:rPr>
  </w:style>
  <w:style w:type="character" w:customStyle="1" w:styleId="213">
    <w:name w:val="font31"/>
    <w:qFormat/>
    <w:uiPriority w:val="0"/>
    <w:rPr>
      <w:rFonts w:hint="eastAsia" w:ascii="宋体" w:hAnsi="宋体" w:eastAsia="宋体"/>
      <w:color w:val="004A6F"/>
      <w:sz w:val="18"/>
      <w:szCs w:val="18"/>
    </w:rPr>
  </w:style>
  <w:style w:type="character" w:customStyle="1" w:styleId="214">
    <w:name w:val="正文文本 2 Char"/>
    <w:link w:val="215"/>
    <w:qFormat/>
    <w:uiPriority w:val="0"/>
    <w:rPr>
      <w:rFonts w:eastAsia="宋体"/>
      <w:kern w:val="2"/>
      <w:sz w:val="21"/>
      <w:szCs w:val="24"/>
      <w:lang w:val="en-US" w:eastAsia="zh-CN" w:bidi="ar-SA"/>
    </w:rPr>
  </w:style>
  <w:style w:type="paragraph" w:customStyle="1" w:styleId="215">
    <w:name w:val="正文文本 21"/>
    <w:basedOn w:val="1"/>
    <w:link w:val="214"/>
    <w:qFormat/>
    <w:uiPriority w:val="0"/>
    <w:pPr>
      <w:spacing w:after="120" w:line="480" w:lineRule="auto"/>
    </w:pPr>
  </w:style>
  <w:style w:type="character" w:customStyle="1" w:styleId="216">
    <w:name w:val="批注主题 Char"/>
    <w:link w:val="217"/>
    <w:qFormat/>
    <w:uiPriority w:val="99"/>
    <w:rPr>
      <w:rFonts w:eastAsia="宋体"/>
      <w:b/>
      <w:bCs/>
      <w:kern w:val="2"/>
      <w:sz w:val="21"/>
      <w:szCs w:val="24"/>
      <w:lang w:bidi="ar-SA"/>
    </w:rPr>
  </w:style>
  <w:style w:type="paragraph" w:customStyle="1" w:styleId="217">
    <w:name w:val="批注主题1"/>
    <w:basedOn w:val="18"/>
    <w:next w:val="18"/>
    <w:link w:val="216"/>
    <w:qFormat/>
    <w:uiPriority w:val="99"/>
    <w:pPr>
      <w:adjustRightInd/>
      <w:spacing w:line="240" w:lineRule="auto"/>
      <w:textAlignment w:val="auto"/>
    </w:pPr>
    <w:rPr>
      <w:b/>
      <w:bCs/>
      <w:kern w:val="2"/>
      <w:sz w:val="21"/>
      <w:szCs w:val="24"/>
    </w:rPr>
  </w:style>
  <w:style w:type="character" w:customStyle="1" w:styleId="218">
    <w:name w:val="Char Char2321"/>
    <w:qFormat/>
    <w:uiPriority w:val="0"/>
    <w:rPr>
      <w:rFonts w:hint="default" w:ascii="Times New Roman" w:hAnsi="Times New Roman" w:eastAsia="宋体" w:cs="Times New Roman"/>
      <w:b/>
      <w:bCs/>
      <w:kern w:val="44"/>
      <w:sz w:val="44"/>
      <w:szCs w:val="44"/>
    </w:rPr>
  </w:style>
  <w:style w:type="character" w:customStyle="1" w:styleId="219">
    <w:name w:val="标题 3 Char1"/>
    <w:qFormat/>
    <w:uiPriority w:val="0"/>
    <w:rPr>
      <w:rFonts w:eastAsia="宋体"/>
      <w:b/>
      <w:bCs/>
      <w:sz w:val="32"/>
      <w:szCs w:val="32"/>
      <w:lang w:bidi="ar-SA"/>
    </w:rPr>
  </w:style>
  <w:style w:type="character" w:customStyle="1" w:styleId="220">
    <w:name w:val="Char Char241"/>
    <w:qFormat/>
    <w:uiPriority w:val="0"/>
    <w:rPr>
      <w:rFonts w:hint="default" w:ascii="Arial" w:hAnsi="Arial" w:eastAsia="黑体" w:cs="Arial"/>
      <w:sz w:val="28"/>
      <w:lang w:bidi="ar-SA"/>
    </w:rPr>
  </w:style>
  <w:style w:type="character" w:customStyle="1" w:styleId="221">
    <w:name w:val="ca-32"/>
    <w:qFormat/>
    <w:uiPriority w:val="0"/>
  </w:style>
  <w:style w:type="character" w:customStyle="1" w:styleId="222">
    <w:name w:val="正文文本缩进 Char1"/>
    <w:qFormat/>
    <w:uiPriority w:val="0"/>
    <w:rPr>
      <w:kern w:val="2"/>
      <w:sz w:val="21"/>
      <w:szCs w:val="22"/>
    </w:rPr>
  </w:style>
  <w:style w:type="character" w:customStyle="1" w:styleId="223">
    <w:name w:val="H1 Char3"/>
    <w:qFormat/>
    <w:locked/>
    <w:uiPriority w:val="0"/>
    <w:rPr>
      <w:rFonts w:hint="eastAsia" w:ascii="宋体" w:hAnsi="宋体" w:eastAsia="宋体"/>
      <w:b/>
      <w:bCs/>
      <w:kern w:val="44"/>
      <w:sz w:val="44"/>
      <w:szCs w:val="44"/>
      <w:lang w:val="en-US" w:eastAsia="zh-CN" w:bidi="ar-SA"/>
    </w:rPr>
  </w:style>
  <w:style w:type="character" w:customStyle="1" w:styleId="224">
    <w:name w:val="Heading 2 Hidden Char1"/>
    <w:qFormat/>
    <w:locked/>
    <w:uiPriority w:val="0"/>
    <w:rPr>
      <w:rFonts w:hint="default" w:ascii="Arial" w:hAnsi="Arial" w:eastAsia="黑体" w:cs="宋体"/>
      <w:b/>
      <w:bCs/>
      <w:kern w:val="2"/>
      <w:sz w:val="32"/>
      <w:szCs w:val="32"/>
      <w:lang w:val="en-US" w:eastAsia="zh-CN" w:bidi="ar-SA"/>
    </w:rPr>
  </w:style>
  <w:style w:type="character" w:customStyle="1" w:styleId="225">
    <w:name w:val="Char Char Char Char Char Char Char1"/>
    <w:qFormat/>
    <w:uiPriority w:val="0"/>
    <w:rPr>
      <w:rFonts w:hint="eastAsia" w:ascii="宋体" w:hAnsi="宋体" w:eastAsia="宋体"/>
      <w:kern w:val="2"/>
      <w:sz w:val="24"/>
      <w:szCs w:val="24"/>
      <w:lang w:val="en-US" w:eastAsia="zh-CN" w:bidi="ar-SA"/>
    </w:rPr>
  </w:style>
  <w:style w:type="character" w:customStyle="1" w:styleId="226">
    <w:name w:val="标题 9 Char"/>
    <w:qFormat/>
    <w:uiPriority w:val="0"/>
    <w:rPr>
      <w:rFonts w:ascii="Arial" w:hAnsi="Arial" w:eastAsia="黑体"/>
      <w:kern w:val="2"/>
      <w:sz w:val="21"/>
      <w:szCs w:val="24"/>
      <w:lang w:val="en-US" w:eastAsia="zh-CN" w:bidi="ar-SA"/>
    </w:rPr>
  </w:style>
  <w:style w:type="character" w:customStyle="1" w:styleId="227">
    <w:name w:val="bookmark-item uuid-1595940727161 code-23008 addword numeric-input-box-cls"/>
    <w:qFormat/>
    <w:uiPriority w:val="0"/>
  </w:style>
  <w:style w:type="character" w:customStyle="1" w:styleId="228">
    <w:name w:val="正文无缩进 Char Char"/>
    <w:link w:val="229"/>
    <w:qFormat/>
    <w:locked/>
    <w:uiPriority w:val="0"/>
    <w:rPr>
      <w:rFonts w:ascii="宋体" w:hAnsi="宋体"/>
      <w:color w:val="000000"/>
      <w:kern w:val="2"/>
      <w:sz w:val="24"/>
      <w:szCs w:val="24"/>
    </w:rPr>
  </w:style>
  <w:style w:type="paragraph" w:customStyle="1" w:styleId="229">
    <w:name w:val="正文无缩进"/>
    <w:basedOn w:val="1"/>
    <w:link w:val="228"/>
    <w:qFormat/>
    <w:uiPriority w:val="0"/>
    <w:pPr>
      <w:spacing w:line="360" w:lineRule="auto"/>
    </w:pPr>
    <w:rPr>
      <w:rFonts w:ascii="宋体" w:hAnsi="宋体"/>
      <w:color w:val="000000"/>
      <w:sz w:val="24"/>
    </w:rPr>
  </w:style>
  <w:style w:type="character" w:customStyle="1" w:styleId="230">
    <w:name w:val="副标题 Char"/>
    <w:qFormat/>
    <w:uiPriority w:val="0"/>
    <w:rPr>
      <w:rFonts w:ascii="Cambria" w:hAnsi="Cambria" w:cs="Times New Roman"/>
      <w:b/>
      <w:bCs/>
      <w:kern w:val="28"/>
      <w:sz w:val="32"/>
      <w:szCs w:val="32"/>
    </w:rPr>
  </w:style>
  <w:style w:type="character" w:customStyle="1" w:styleId="231">
    <w:name w:val="p1"/>
    <w:qFormat/>
    <w:uiPriority w:val="0"/>
  </w:style>
  <w:style w:type="character" w:customStyle="1" w:styleId="232">
    <w:name w:val="Char Char Char Char Char1"/>
    <w:qFormat/>
    <w:uiPriority w:val="0"/>
    <w:rPr>
      <w:rFonts w:hint="eastAsia" w:ascii="宋体" w:hAnsi="宋体" w:eastAsia="宋体"/>
      <w:b/>
      <w:bCs/>
      <w:kern w:val="44"/>
      <w:sz w:val="44"/>
      <w:szCs w:val="44"/>
      <w:lang w:val="en-US" w:eastAsia="zh-CN" w:bidi="ar-SA"/>
    </w:rPr>
  </w:style>
  <w:style w:type="character" w:customStyle="1" w:styleId="233">
    <w:name w:val="bookmark-item uuid-1596004721081 code-00009 addword interval-text-box-cls"/>
    <w:qFormat/>
    <w:uiPriority w:val="0"/>
  </w:style>
  <w:style w:type="character" w:customStyle="1" w:styleId="234">
    <w:name w:val="mark16"/>
    <w:qFormat/>
    <w:uiPriority w:val="0"/>
  </w:style>
  <w:style w:type="character" w:customStyle="1" w:styleId="235">
    <w:name w:val="标题 Char4"/>
    <w:qFormat/>
    <w:uiPriority w:val="0"/>
    <w:rPr>
      <w:rFonts w:hint="default" w:ascii="Cambria" w:hAnsi="Cambria" w:cs="Times New Roman"/>
      <w:b/>
      <w:bCs/>
      <w:kern w:val="2"/>
      <w:sz w:val="32"/>
      <w:szCs w:val="32"/>
    </w:rPr>
  </w:style>
  <w:style w:type="character" w:customStyle="1" w:styleId="236">
    <w:name w:val="style161"/>
    <w:qFormat/>
    <w:uiPriority w:val="0"/>
    <w:rPr>
      <w:color w:val="666666"/>
    </w:rPr>
  </w:style>
  <w:style w:type="character" w:customStyle="1" w:styleId="237">
    <w:name w:val="Char Char30"/>
    <w:qFormat/>
    <w:locked/>
    <w:uiPriority w:val="0"/>
    <w:rPr>
      <w:rFonts w:hint="eastAsia" w:ascii="宋体" w:hAnsi="宋体" w:eastAsia="宋体"/>
      <w:b/>
      <w:spacing w:val="-2"/>
      <w:sz w:val="24"/>
      <w:lang w:val="en-US" w:eastAsia="zh-CN" w:bidi="ar-SA"/>
    </w:rPr>
  </w:style>
  <w:style w:type="character" w:customStyle="1" w:styleId="238">
    <w:name w:val="标题 3 Char2"/>
    <w:qFormat/>
    <w:locked/>
    <w:uiPriority w:val="0"/>
    <w:rPr>
      <w:b/>
      <w:bCs/>
      <w:sz w:val="32"/>
      <w:szCs w:val="32"/>
    </w:rPr>
  </w:style>
  <w:style w:type="character" w:customStyle="1" w:styleId="239">
    <w:name w:val="页码 New New New"/>
    <w:qFormat/>
    <w:uiPriority w:val="0"/>
  </w:style>
  <w:style w:type="character" w:customStyle="1" w:styleId="240">
    <w:name w:val="Char Char101"/>
    <w:qFormat/>
    <w:uiPriority w:val="0"/>
    <w:rPr>
      <w:rFonts w:hint="eastAsia" w:ascii="宋体" w:hAnsi="宋体" w:eastAsia="宋体"/>
      <w:kern w:val="2"/>
      <w:sz w:val="21"/>
      <w:szCs w:val="24"/>
      <w:lang w:val="en-US" w:eastAsia="zh-CN" w:bidi="ar-SA"/>
    </w:rPr>
  </w:style>
  <w:style w:type="character" w:customStyle="1" w:styleId="241">
    <w:name w:val="unnamed3"/>
    <w:qFormat/>
    <w:uiPriority w:val="0"/>
  </w:style>
  <w:style w:type="character" w:customStyle="1" w:styleId="242">
    <w:name w:val="纯文本 Char"/>
    <w:qFormat/>
    <w:uiPriority w:val="0"/>
    <w:rPr>
      <w:rFonts w:ascii="宋体" w:hAnsi="Courier New" w:eastAsia="宋体" w:cs="Courier New"/>
      <w:kern w:val="2"/>
      <w:sz w:val="21"/>
      <w:szCs w:val="21"/>
      <w:lang w:val="en-US" w:eastAsia="zh-CN" w:bidi="ar-SA"/>
    </w:rPr>
  </w:style>
  <w:style w:type="character" w:customStyle="1" w:styleId="243">
    <w:name w:val="正文文本 3 Char2"/>
    <w:qFormat/>
    <w:locked/>
    <w:uiPriority w:val="0"/>
    <w:rPr>
      <w:rFonts w:hint="eastAsia" w:ascii="宋体" w:hAnsi="宋体" w:eastAsia="宋体"/>
      <w:b/>
      <w:bCs/>
      <w:kern w:val="2"/>
      <w:sz w:val="24"/>
      <w:szCs w:val="24"/>
    </w:rPr>
  </w:style>
  <w:style w:type="character" w:customStyle="1" w:styleId="244">
    <w:name w:val="Char Char31"/>
    <w:qFormat/>
    <w:locked/>
    <w:uiPriority w:val="0"/>
    <w:rPr>
      <w:rFonts w:hint="default" w:ascii="Arial" w:hAnsi="Arial" w:eastAsia="黑体" w:cs="宋体"/>
      <w:b/>
      <w:kern w:val="2"/>
      <w:sz w:val="24"/>
      <w:szCs w:val="24"/>
      <w:lang w:val="en-US" w:eastAsia="zh-CN" w:bidi="ar-SA"/>
    </w:rPr>
  </w:style>
  <w:style w:type="character" w:customStyle="1" w:styleId="245">
    <w:name w:val="纯文本 Char2"/>
    <w:qFormat/>
    <w:uiPriority w:val="0"/>
    <w:rPr>
      <w:rFonts w:ascii="宋体" w:hAnsi="Courier New" w:eastAsia="宋体" w:cs="Courier New"/>
      <w:kern w:val="2"/>
      <w:sz w:val="21"/>
      <w:szCs w:val="21"/>
      <w:lang w:val="en-US" w:eastAsia="zh-CN" w:bidi="ar-SA"/>
    </w:rPr>
  </w:style>
  <w:style w:type="character" w:customStyle="1" w:styleId="246">
    <w:name w:val="h Char1"/>
    <w:qFormat/>
    <w:locked/>
    <w:uiPriority w:val="0"/>
    <w:rPr>
      <w:rFonts w:hint="eastAsia" w:ascii="宋体" w:hAnsi="宋体" w:eastAsia="宋体"/>
      <w:kern w:val="2"/>
      <w:sz w:val="18"/>
      <w:szCs w:val="18"/>
      <w:lang w:val="en-US" w:eastAsia="zh-CN" w:bidi="ar-SA"/>
    </w:rPr>
  </w:style>
  <w:style w:type="character" w:customStyle="1" w:styleId="247">
    <w:name w:val="bookmark-item uuid-1593421137256 code-am014budgetprice editdisable single-line-text-input-box-cls"/>
    <w:qFormat/>
    <w:uiPriority w:val="0"/>
  </w:style>
  <w:style w:type="character" w:customStyle="1" w:styleId="248">
    <w:name w:val="正文文本 Char"/>
    <w:qFormat/>
    <w:uiPriority w:val="0"/>
    <w:rPr>
      <w:rFonts w:eastAsia="宋体"/>
      <w:kern w:val="2"/>
      <w:sz w:val="24"/>
      <w:szCs w:val="24"/>
      <w:lang w:val="en-US" w:eastAsia="zh-CN" w:bidi="ar-SA"/>
    </w:rPr>
  </w:style>
  <w:style w:type="character" w:customStyle="1" w:styleId="249">
    <w:name w:val="sel9"/>
    <w:qFormat/>
    <w:uiPriority w:val="0"/>
    <w:rPr>
      <w:rFonts w:hint="eastAsia" w:ascii="宋体" w:hAnsi="宋体" w:eastAsia="宋体"/>
      <w:b/>
      <w:bCs/>
      <w:sz w:val="21"/>
      <w:szCs w:val="21"/>
    </w:rPr>
  </w:style>
  <w:style w:type="character" w:customStyle="1" w:styleId="250">
    <w:name w:val="无间隔 Char Char"/>
    <w:qFormat/>
    <w:uiPriority w:val="0"/>
    <w:rPr>
      <w:rFonts w:ascii="Calibri" w:hAnsi="Calibri" w:eastAsia="宋体"/>
      <w:sz w:val="22"/>
      <w:szCs w:val="22"/>
      <w:lang w:val="en-US" w:eastAsia="zh-CN" w:bidi="ar-SA"/>
    </w:rPr>
  </w:style>
  <w:style w:type="character" w:customStyle="1" w:styleId="251">
    <w:name w:val="标题 2 Char2"/>
    <w:qFormat/>
    <w:locked/>
    <w:uiPriority w:val="0"/>
    <w:rPr>
      <w:rFonts w:hint="default" w:ascii="Arial" w:hAnsi="Arial" w:eastAsia="黑体" w:cs="Arial"/>
      <w:b/>
      <w:bCs/>
      <w:sz w:val="32"/>
      <w:szCs w:val="32"/>
    </w:rPr>
  </w:style>
  <w:style w:type="character" w:customStyle="1" w:styleId="252">
    <w:name w:val="font01"/>
    <w:qFormat/>
    <w:uiPriority w:val="0"/>
    <w:rPr>
      <w:rFonts w:hint="default" w:ascii="Times New Roman" w:hAnsi="Times New Roman" w:cs="Times New Roman"/>
      <w:color w:val="000000"/>
      <w:sz w:val="24"/>
      <w:szCs w:val="24"/>
      <w:u w:val="none"/>
    </w:rPr>
  </w:style>
  <w:style w:type="character" w:customStyle="1" w:styleId="253">
    <w:name w:val="1ji Char Char"/>
    <w:qFormat/>
    <w:locked/>
    <w:uiPriority w:val="0"/>
    <w:rPr>
      <w:rFonts w:ascii="宋体" w:hAnsi="宋体" w:eastAsia="宋体"/>
      <w:b/>
      <w:bCs/>
      <w:kern w:val="44"/>
      <w:sz w:val="36"/>
      <w:szCs w:val="44"/>
    </w:rPr>
  </w:style>
  <w:style w:type="character" w:customStyle="1" w:styleId="254">
    <w:name w:val="bookmark-item uuid-1595940760210 code-23011 addword date-time-selection-cls"/>
    <w:qFormat/>
    <w:uiPriority w:val="0"/>
  </w:style>
  <w:style w:type="character" w:customStyle="1" w:styleId="255">
    <w:name w:val="标题 2 Char"/>
    <w:qFormat/>
    <w:uiPriority w:val="0"/>
    <w:rPr>
      <w:rFonts w:ascii="Arial" w:hAnsi="Arial" w:eastAsia="黑体"/>
      <w:b/>
      <w:bCs/>
      <w:sz w:val="32"/>
      <w:szCs w:val="32"/>
      <w:lang w:bidi="ar-SA"/>
    </w:rPr>
  </w:style>
  <w:style w:type="character" w:customStyle="1" w:styleId="256">
    <w:name w:val="Char Char Char2"/>
    <w:qFormat/>
    <w:uiPriority w:val="0"/>
    <w:rPr>
      <w:rFonts w:hint="eastAsia" w:ascii="宋体" w:hAnsi="宋体" w:eastAsia="宋体"/>
      <w:kern w:val="2"/>
      <w:sz w:val="18"/>
      <w:szCs w:val="18"/>
      <w:lang w:val="en-US" w:eastAsia="zh-CN" w:bidi="ar-SA"/>
    </w:rPr>
  </w:style>
  <w:style w:type="character" w:customStyle="1" w:styleId="257">
    <w:name w:val="NormalCharacter"/>
    <w:qFormat/>
    <w:uiPriority w:val="0"/>
  </w:style>
  <w:style w:type="character" w:customStyle="1" w:styleId="258">
    <w:name w:val="ca-2"/>
    <w:qFormat/>
    <w:uiPriority w:val="0"/>
  </w:style>
  <w:style w:type="character" w:customStyle="1" w:styleId="259">
    <w:name w:val="bookmark-item uuid-1594624027756 code-23005 addword morning-time-section-selection-cls"/>
    <w:qFormat/>
    <w:uiPriority w:val="0"/>
  </w:style>
  <w:style w:type="character" w:customStyle="1" w:styleId="260">
    <w:name w:val="Char Char143"/>
    <w:qFormat/>
    <w:uiPriority w:val="0"/>
    <w:rPr>
      <w:sz w:val="18"/>
      <w:szCs w:val="18"/>
    </w:rPr>
  </w:style>
  <w:style w:type="character" w:customStyle="1" w:styleId="261">
    <w:name w:val="标题 4 Char"/>
    <w:qFormat/>
    <w:uiPriority w:val="0"/>
    <w:rPr>
      <w:rFonts w:ascii="Arial" w:hAnsi="Arial" w:eastAsia="黑体"/>
      <w:sz w:val="28"/>
      <w:lang w:bidi="ar-SA"/>
    </w:rPr>
  </w:style>
  <w:style w:type="character" w:customStyle="1" w:styleId="262">
    <w:name w:val="脚注文本 Char2"/>
    <w:qFormat/>
    <w:uiPriority w:val="99"/>
    <w:rPr>
      <w:kern w:val="2"/>
      <w:sz w:val="18"/>
      <w:szCs w:val="18"/>
    </w:rPr>
  </w:style>
  <w:style w:type="character" w:customStyle="1" w:styleId="263">
    <w:name w:val="文档结构图 Char"/>
    <w:link w:val="264"/>
    <w:qFormat/>
    <w:uiPriority w:val="0"/>
    <w:rPr>
      <w:rFonts w:eastAsia="宋体"/>
      <w:kern w:val="2"/>
      <w:sz w:val="21"/>
      <w:szCs w:val="24"/>
      <w:lang w:val="en-US" w:eastAsia="zh-CN" w:bidi="ar-SA"/>
    </w:rPr>
  </w:style>
  <w:style w:type="paragraph" w:customStyle="1" w:styleId="264">
    <w:name w:val="文档结构图1"/>
    <w:basedOn w:val="1"/>
    <w:link w:val="263"/>
    <w:qFormat/>
    <w:uiPriority w:val="0"/>
    <w:pPr>
      <w:shd w:val="clear" w:color="auto" w:fill="000080"/>
    </w:pPr>
  </w:style>
  <w:style w:type="character" w:customStyle="1" w:styleId="265">
    <w:name w:val="bookmark-item uuid-1589194982864 code-31006 addword multi-line-text-input-box-cls"/>
    <w:basedOn w:val="57"/>
    <w:qFormat/>
    <w:uiPriority w:val="0"/>
  </w:style>
  <w:style w:type="character" w:customStyle="1" w:styleId="266">
    <w:name w:val="Char Char13"/>
    <w:qFormat/>
    <w:uiPriority w:val="0"/>
    <w:rPr>
      <w:rFonts w:hint="eastAsia" w:ascii="仿宋_GB2312" w:eastAsia="仿宋_GB2312"/>
      <w:kern w:val="2"/>
      <w:sz w:val="32"/>
      <w:lang w:val="en-US" w:eastAsia="zh-CN" w:bidi="ar-SA"/>
    </w:rPr>
  </w:style>
  <w:style w:type="character" w:customStyle="1" w:styleId="267">
    <w:name w:val="ca-3"/>
    <w:qFormat/>
    <w:uiPriority w:val="0"/>
  </w:style>
  <w:style w:type="character" w:customStyle="1" w:styleId="268">
    <w:name w:val="标题 Char3"/>
    <w:qFormat/>
    <w:locked/>
    <w:uiPriority w:val="10"/>
    <w:rPr>
      <w:rFonts w:hint="default" w:ascii="Arial" w:hAnsi="Arial" w:cs="Arial"/>
      <w:b/>
      <w:bCs/>
      <w:kern w:val="2"/>
      <w:sz w:val="32"/>
      <w:szCs w:val="32"/>
    </w:rPr>
  </w:style>
  <w:style w:type="character" w:customStyle="1" w:styleId="269">
    <w:name w:val="bookmark-item uuid-1596277470067 code-23002 editdisable multi-line-text-input-box-cls readonly"/>
    <w:qFormat/>
    <w:uiPriority w:val="0"/>
  </w:style>
  <w:style w:type="character" w:customStyle="1" w:styleId="270">
    <w:name w:val="脚注文本 Char1"/>
    <w:qFormat/>
    <w:uiPriority w:val="99"/>
    <w:rPr>
      <w:kern w:val="2"/>
      <w:sz w:val="18"/>
      <w:szCs w:val="18"/>
    </w:rPr>
  </w:style>
  <w:style w:type="character" w:customStyle="1" w:styleId="271">
    <w:name w:val="Char Char17"/>
    <w:qFormat/>
    <w:uiPriority w:val="0"/>
    <w:rPr>
      <w:rFonts w:hint="default" w:ascii="Times New Roman" w:hAnsi="Times New Roman" w:cs="Times New Roman"/>
      <w:b/>
      <w:bCs/>
      <w:kern w:val="2"/>
      <w:sz w:val="21"/>
      <w:szCs w:val="24"/>
    </w:rPr>
  </w:style>
  <w:style w:type="character" w:customStyle="1" w:styleId="272">
    <w:name w:val="bookmark-item uuid-1596004695990 code-00016 editdisable single-line-text-input-box-cls readonly"/>
    <w:qFormat/>
    <w:uiPriority w:val="0"/>
  </w:style>
  <w:style w:type="character" w:customStyle="1" w:styleId="273">
    <w:name w:val="ca-15"/>
    <w:qFormat/>
    <w:uiPriority w:val="0"/>
  </w:style>
  <w:style w:type="character" w:customStyle="1" w:styleId="274">
    <w:name w:val="bookmark-item uuid-1596004728442 code-00013 editdisable single-line-text-input-box-cls readonly"/>
    <w:qFormat/>
    <w:uiPriority w:val="0"/>
  </w:style>
  <w:style w:type="character" w:customStyle="1" w:styleId="275">
    <w:name w:val="llyf92"/>
    <w:qFormat/>
    <w:uiPriority w:val="0"/>
    <w:rPr>
      <w:sz w:val="18"/>
      <w:szCs w:val="18"/>
    </w:rPr>
  </w:style>
  <w:style w:type="character" w:customStyle="1" w:styleId="276">
    <w:name w:val="Char Char25"/>
    <w:qFormat/>
    <w:uiPriority w:val="0"/>
    <w:rPr>
      <w:rFonts w:hint="eastAsia" w:ascii="宋体" w:hAnsi="宋体" w:eastAsia="宋体"/>
      <w:b/>
      <w:bCs/>
      <w:sz w:val="32"/>
      <w:szCs w:val="32"/>
      <w:lang w:bidi="ar-SA"/>
    </w:rPr>
  </w:style>
  <w:style w:type="character" w:customStyle="1" w:styleId="277">
    <w:name w:val="H1 Char"/>
    <w:qFormat/>
    <w:uiPriority w:val="0"/>
    <w:rPr>
      <w:rFonts w:eastAsia="宋体"/>
      <w:b/>
      <w:bCs/>
      <w:kern w:val="44"/>
      <w:sz w:val="44"/>
      <w:szCs w:val="44"/>
      <w:lang w:val="en-US" w:eastAsia="zh-CN" w:bidi="ar-SA"/>
    </w:rPr>
  </w:style>
  <w:style w:type="character" w:customStyle="1" w:styleId="278">
    <w:name w:val="正文文本缩进 2 Char2"/>
    <w:qFormat/>
    <w:locked/>
    <w:uiPriority w:val="0"/>
    <w:rPr>
      <w:kern w:val="2"/>
      <w:sz w:val="32"/>
    </w:rPr>
  </w:style>
  <w:style w:type="character" w:customStyle="1" w:styleId="279">
    <w:name w:val="value"/>
    <w:qFormat/>
    <w:uiPriority w:val="0"/>
  </w:style>
  <w:style w:type="character" w:customStyle="1" w:styleId="280">
    <w:name w:val="日期 Char2"/>
    <w:qFormat/>
    <w:locked/>
    <w:uiPriority w:val="0"/>
    <w:rPr>
      <w:kern w:val="2"/>
      <w:sz w:val="21"/>
      <w:szCs w:val="24"/>
    </w:rPr>
  </w:style>
  <w:style w:type="character" w:customStyle="1" w:styleId="281">
    <w:name w:val="font21"/>
    <w:qFormat/>
    <w:uiPriority w:val="0"/>
    <w:rPr>
      <w:rFonts w:hint="eastAsia" w:ascii="宋体" w:hAnsi="宋体" w:eastAsia="宋体" w:cs="宋体"/>
      <w:color w:val="000000"/>
      <w:sz w:val="24"/>
      <w:szCs w:val="24"/>
      <w:u w:val="none"/>
    </w:rPr>
  </w:style>
  <w:style w:type="character" w:customStyle="1" w:styleId="282">
    <w:name w:val="row08"/>
    <w:qFormat/>
    <w:uiPriority w:val="0"/>
    <w:rPr>
      <w:rFonts w:hint="default" w:ascii="Times New Roman" w:hAnsi="Times New Roman" w:cs="Times New Roman"/>
    </w:rPr>
  </w:style>
  <w:style w:type="character" w:customStyle="1" w:styleId="283">
    <w:name w:val="Char Char21"/>
    <w:qFormat/>
    <w:uiPriority w:val="0"/>
    <w:rPr>
      <w:rFonts w:hint="default" w:ascii="Arial" w:hAnsi="Arial" w:eastAsia="黑体" w:cs="Arial"/>
      <w:b/>
      <w:kern w:val="2"/>
      <w:sz w:val="24"/>
      <w:szCs w:val="24"/>
      <w:lang w:val="en-US" w:eastAsia="zh-CN" w:bidi="ar-SA"/>
    </w:rPr>
  </w:style>
  <w:style w:type="character" w:customStyle="1" w:styleId="284">
    <w:name w:val="页眉 Char"/>
    <w:qFormat/>
    <w:uiPriority w:val="99"/>
    <w:rPr>
      <w:rFonts w:eastAsia="宋体"/>
      <w:kern w:val="2"/>
      <w:sz w:val="18"/>
      <w:szCs w:val="18"/>
      <w:lang w:val="en-US" w:eastAsia="zh-CN" w:bidi="ar-SA"/>
    </w:rPr>
  </w:style>
  <w:style w:type="character" w:customStyle="1" w:styleId="285">
    <w:name w:val="bookmark-item uuid-1595987425520 code-23021 editdisable multi-line-text-input-box-cls readonly"/>
    <w:qFormat/>
    <w:uiPriority w:val="0"/>
  </w:style>
  <w:style w:type="character" w:customStyle="1" w:styleId="286">
    <w:name w:val="自定义标题一 Char"/>
    <w:link w:val="287"/>
    <w:qFormat/>
    <w:uiPriority w:val="0"/>
    <w:rPr>
      <w:rFonts w:ascii="黑体" w:hAnsi="黑体" w:eastAsia="黑体"/>
      <w:b/>
      <w:bCs/>
      <w:kern w:val="44"/>
      <w:sz w:val="44"/>
      <w:szCs w:val="44"/>
      <w:lang w:bidi="ar-SA"/>
      <w14:shadow w14:blurRad="50800" w14:dist="38100" w14:dir="2700000" w14:sx="100000" w14:sy="100000" w14:kx="0" w14:ky="0" w14:algn="tl">
        <w14:srgbClr w14:val="000000">
          <w14:alpha w14:val="60000"/>
        </w14:srgbClr>
      </w14:shadow>
    </w:rPr>
  </w:style>
  <w:style w:type="paragraph" w:customStyle="1" w:styleId="287">
    <w:name w:val="自定义标题一"/>
    <w:basedOn w:val="3"/>
    <w:link w:val="286"/>
    <w:qFormat/>
    <w:uiPriority w:val="0"/>
    <w:pPr>
      <w:pageBreakBefore/>
      <w:tabs>
        <w:tab w:val="left" w:pos="144"/>
      </w:tabs>
      <w:spacing w:before="0" w:after="0" w:line="360" w:lineRule="auto"/>
      <w:ind w:left="144" w:hanging="144"/>
      <w:jc w:val="center"/>
    </w:pPr>
    <w:rPr>
      <w:rFonts w:ascii="黑体" w:hAnsi="黑体" w:eastAsia="黑体"/>
      <w14:shadow w14:blurRad="50800" w14:dist="38100" w14:dir="2700000" w14:sx="100000" w14:sy="100000" w14:kx="0" w14:ky="0" w14:algn="tl">
        <w14:srgbClr w14:val="000000">
          <w14:alpha w14:val="60000"/>
        </w14:srgbClr>
      </w14:shadow>
    </w:rPr>
  </w:style>
  <w:style w:type="character" w:customStyle="1" w:styleId="288">
    <w:name w:val="Char Char2"/>
    <w:qFormat/>
    <w:uiPriority w:val="0"/>
    <w:rPr>
      <w:rFonts w:hint="eastAsia" w:ascii="宋体" w:hAnsi="Courier New" w:eastAsia="宋体"/>
      <w:szCs w:val="21"/>
      <w:lang w:bidi="ar-SA"/>
    </w:rPr>
  </w:style>
  <w:style w:type="character" w:customStyle="1" w:styleId="289">
    <w:name w:val="Char Char Char Char Char3"/>
    <w:qFormat/>
    <w:uiPriority w:val="0"/>
    <w:rPr>
      <w:rFonts w:eastAsia="宋体"/>
      <w:b/>
      <w:bCs/>
      <w:kern w:val="44"/>
      <w:sz w:val="44"/>
      <w:szCs w:val="44"/>
      <w:lang w:val="en-US" w:eastAsia="zh-CN" w:bidi="ar-SA"/>
    </w:rPr>
  </w:style>
  <w:style w:type="character" w:customStyle="1" w:styleId="290">
    <w:name w:val="bookmark-item uuid-1596015939851 code-00003 addword single-line-text-input-box-cls"/>
    <w:qFormat/>
    <w:uiPriority w:val="0"/>
  </w:style>
  <w:style w:type="character" w:customStyle="1" w:styleId="291">
    <w:name w:val="bookmark-item uuid-1595940643756 code-00004 addword single-line-text-input-box-cls"/>
    <w:qFormat/>
    <w:uiPriority w:val="0"/>
  </w:style>
  <w:style w:type="character" w:customStyle="1" w:styleId="292">
    <w:name w:val="标题 4 Char2"/>
    <w:qFormat/>
    <w:locked/>
    <w:uiPriority w:val="0"/>
    <w:rPr>
      <w:rFonts w:hint="default" w:ascii="Arial" w:hAnsi="Arial" w:eastAsia="黑体" w:cs="Arial"/>
      <w:sz w:val="28"/>
    </w:rPr>
  </w:style>
  <w:style w:type="character" w:customStyle="1" w:styleId="293">
    <w:name w:val="页眉 Char2"/>
    <w:qFormat/>
    <w:locked/>
    <w:uiPriority w:val="0"/>
    <w:rPr>
      <w:rFonts w:hint="eastAsia" w:ascii="宋体" w:hAnsi="宋体" w:eastAsia="宋体"/>
      <w:kern w:val="2"/>
      <w:sz w:val="18"/>
      <w:szCs w:val="18"/>
    </w:rPr>
  </w:style>
  <w:style w:type="character" w:customStyle="1" w:styleId="294">
    <w:name w:val="日期 Char"/>
    <w:link w:val="295"/>
    <w:qFormat/>
    <w:uiPriority w:val="0"/>
    <w:rPr>
      <w:rFonts w:ascii="宋体" w:hAnsi="Courier New" w:eastAsia="宋体" w:cs="Courier New"/>
      <w:kern w:val="2"/>
      <w:sz w:val="21"/>
      <w:szCs w:val="21"/>
      <w:lang w:val="en-US" w:eastAsia="zh-CN" w:bidi="ar-SA"/>
    </w:rPr>
  </w:style>
  <w:style w:type="paragraph" w:customStyle="1" w:styleId="295">
    <w:name w:val="日期1"/>
    <w:basedOn w:val="1"/>
    <w:next w:val="1"/>
    <w:link w:val="294"/>
    <w:qFormat/>
    <w:uiPriority w:val="0"/>
    <w:pPr>
      <w:ind w:left="100" w:leftChars="2500"/>
    </w:pPr>
    <w:rPr>
      <w:rFonts w:ascii="宋体" w:hAnsi="Courier New" w:cs="Courier New"/>
      <w:szCs w:val="21"/>
    </w:rPr>
  </w:style>
  <w:style w:type="character" w:customStyle="1" w:styleId="296">
    <w:name w:val="正文文本缩进 3 Char2"/>
    <w:qFormat/>
    <w:locked/>
    <w:uiPriority w:val="0"/>
    <w:rPr>
      <w:kern w:val="2"/>
      <w:sz w:val="16"/>
      <w:szCs w:val="16"/>
    </w:rPr>
  </w:style>
  <w:style w:type="character" w:customStyle="1" w:styleId="297">
    <w:name w:val="Char Char1511"/>
    <w:qFormat/>
    <w:uiPriority w:val="0"/>
    <w:rPr>
      <w:sz w:val="18"/>
      <w:szCs w:val="18"/>
    </w:rPr>
  </w:style>
  <w:style w:type="character" w:customStyle="1" w:styleId="298">
    <w:name w:val="Char Char112"/>
    <w:qFormat/>
    <w:uiPriority w:val="0"/>
    <w:rPr>
      <w:rFonts w:hint="default" w:ascii="Times New Roman" w:hAnsi="Times New Roman" w:eastAsia="宋体" w:cs="Times New Roman"/>
      <w:sz w:val="30"/>
      <w:szCs w:val="24"/>
    </w:rPr>
  </w:style>
  <w:style w:type="character" w:customStyle="1" w:styleId="299">
    <w:name w:val="页码 New New New New New New New"/>
    <w:qFormat/>
    <w:uiPriority w:val="0"/>
  </w:style>
  <w:style w:type="character" w:customStyle="1" w:styleId="300">
    <w:name w:val="Char Char10"/>
    <w:semiHidden/>
    <w:qFormat/>
    <w:uiPriority w:val="0"/>
    <w:rPr>
      <w:rFonts w:hint="eastAsia" w:ascii="宋体" w:hAnsi="宋体" w:eastAsia="宋体"/>
      <w:kern w:val="2"/>
      <w:sz w:val="24"/>
      <w:szCs w:val="24"/>
      <w:lang w:val="en-US" w:eastAsia="zh-CN" w:bidi="ar-SA"/>
    </w:rPr>
  </w:style>
  <w:style w:type="character" w:customStyle="1" w:styleId="301">
    <w:name w:val="bookmark-item uuid-1596004663203 code-00014 editdisable interval-text-box-cls readonly"/>
    <w:qFormat/>
    <w:uiPriority w:val="0"/>
  </w:style>
  <w:style w:type="character" w:customStyle="1" w:styleId="302">
    <w:name w:val="批注框文本 Char2"/>
    <w:qFormat/>
    <w:locked/>
    <w:uiPriority w:val="0"/>
    <w:rPr>
      <w:kern w:val="2"/>
      <w:sz w:val="18"/>
      <w:szCs w:val="18"/>
    </w:rPr>
  </w:style>
  <w:style w:type="character" w:customStyle="1" w:styleId="303">
    <w:name w:val="标题 3 字符"/>
    <w:qFormat/>
    <w:uiPriority w:val="0"/>
    <w:rPr>
      <w:b/>
      <w:bCs/>
      <w:kern w:val="2"/>
      <w:sz w:val="32"/>
      <w:szCs w:val="32"/>
    </w:rPr>
  </w:style>
  <w:style w:type="character" w:customStyle="1" w:styleId="304">
    <w:name w:val="Char Char7"/>
    <w:qFormat/>
    <w:locked/>
    <w:uiPriority w:val="0"/>
    <w:rPr>
      <w:rFonts w:hint="eastAsia" w:ascii="宋体" w:hAnsi="宋体" w:eastAsia="宋体"/>
      <w:kern w:val="2"/>
      <w:sz w:val="21"/>
      <w:szCs w:val="24"/>
      <w:lang w:val="en-US" w:eastAsia="zh-CN" w:bidi="ar-SA"/>
    </w:rPr>
  </w:style>
  <w:style w:type="character" w:customStyle="1" w:styleId="305">
    <w:name w:val="apple-style-span"/>
    <w:qFormat/>
    <w:uiPriority w:val="0"/>
  </w:style>
  <w:style w:type="character" w:customStyle="1" w:styleId="306">
    <w:name w:val="Char Char141"/>
    <w:qFormat/>
    <w:uiPriority w:val="0"/>
    <w:rPr>
      <w:sz w:val="18"/>
      <w:szCs w:val="18"/>
    </w:rPr>
  </w:style>
  <w:style w:type="character" w:customStyle="1" w:styleId="307">
    <w:name w:val="正文文本 3 Char"/>
    <w:link w:val="308"/>
    <w:qFormat/>
    <w:uiPriority w:val="0"/>
    <w:rPr>
      <w:rFonts w:eastAsia="宋体"/>
      <w:b/>
      <w:bCs/>
      <w:kern w:val="2"/>
      <w:sz w:val="24"/>
      <w:szCs w:val="24"/>
      <w:lang w:val="en-US" w:eastAsia="zh-CN" w:bidi="ar-SA"/>
    </w:rPr>
  </w:style>
  <w:style w:type="paragraph" w:customStyle="1" w:styleId="308">
    <w:name w:val="正文文本 31"/>
    <w:basedOn w:val="1"/>
    <w:link w:val="307"/>
    <w:qFormat/>
    <w:uiPriority w:val="0"/>
    <w:pPr>
      <w:spacing w:line="500" w:lineRule="exact"/>
    </w:pPr>
    <w:rPr>
      <w:b/>
      <w:bCs/>
      <w:sz w:val="24"/>
    </w:rPr>
  </w:style>
  <w:style w:type="character" w:customStyle="1" w:styleId="309">
    <w:name w:val="ca-7"/>
    <w:qFormat/>
    <w:uiPriority w:val="0"/>
  </w:style>
  <w:style w:type="character" w:customStyle="1" w:styleId="310">
    <w:name w:val="Char Char18"/>
    <w:qFormat/>
    <w:uiPriority w:val="0"/>
    <w:rPr>
      <w:rFonts w:hint="default" w:ascii="Arial" w:hAnsi="Arial" w:eastAsia="黑体" w:cs="Arial"/>
      <w:kern w:val="2"/>
      <w:sz w:val="21"/>
      <w:szCs w:val="24"/>
      <w:lang w:val="en-US" w:eastAsia="zh-CN" w:bidi="ar-SA"/>
    </w:rPr>
  </w:style>
  <w:style w:type="character" w:customStyle="1" w:styleId="311">
    <w:name w:val="Comment Text Char"/>
    <w:qFormat/>
    <w:locked/>
    <w:uiPriority w:val="0"/>
    <w:rPr>
      <w:rFonts w:eastAsia="宋体"/>
      <w:sz w:val="24"/>
    </w:rPr>
  </w:style>
  <w:style w:type="character" w:customStyle="1" w:styleId="312">
    <w:name w:val="rili1"/>
    <w:qFormat/>
    <w:uiPriority w:val="0"/>
  </w:style>
  <w:style w:type="character" w:customStyle="1" w:styleId="313">
    <w:name w:val="FA正文 Char"/>
    <w:link w:val="314"/>
    <w:semiHidden/>
    <w:qFormat/>
    <w:locked/>
    <w:uiPriority w:val="0"/>
    <w:rPr>
      <w:rFonts w:ascii="宋体" w:hAnsi="宋体"/>
      <w:spacing w:val="10"/>
      <w:kern w:val="2"/>
      <w:sz w:val="24"/>
      <w:szCs w:val="22"/>
    </w:rPr>
  </w:style>
  <w:style w:type="paragraph" w:customStyle="1" w:styleId="314">
    <w:name w:val="FA正文"/>
    <w:basedOn w:val="1"/>
    <w:link w:val="313"/>
    <w:semiHidden/>
    <w:qFormat/>
    <w:uiPriority w:val="0"/>
    <w:pPr>
      <w:tabs>
        <w:tab w:val="left" w:pos="3375"/>
      </w:tabs>
      <w:spacing w:line="360" w:lineRule="auto"/>
      <w:ind w:firstLine="520"/>
    </w:pPr>
    <w:rPr>
      <w:rFonts w:ascii="宋体" w:hAnsi="宋体"/>
      <w:spacing w:val="10"/>
      <w:sz w:val="24"/>
      <w:szCs w:val="22"/>
    </w:rPr>
  </w:style>
  <w:style w:type="character" w:customStyle="1" w:styleId="315">
    <w:name w:val="bookmark-item uuid-1588129524349 code-23004 addword date-selection-cls readonly"/>
    <w:qFormat/>
    <w:uiPriority w:val="0"/>
  </w:style>
  <w:style w:type="character" w:customStyle="1" w:styleId="316">
    <w:name w:val="称呼 Char"/>
    <w:qFormat/>
    <w:uiPriority w:val="0"/>
    <w:rPr>
      <w:kern w:val="2"/>
      <w:sz w:val="28"/>
      <w:szCs w:val="24"/>
    </w:rPr>
  </w:style>
  <w:style w:type="character" w:customStyle="1" w:styleId="317">
    <w:name w:val="批注文字 Char"/>
    <w:qFormat/>
    <w:uiPriority w:val="0"/>
    <w:rPr>
      <w:rFonts w:eastAsia="宋体"/>
      <w:sz w:val="24"/>
      <w:lang w:bidi="ar-SA"/>
    </w:rPr>
  </w:style>
  <w:style w:type="character" w:customStyle="1" w:styleId="318">
    <w:name w:val="Body Text Char"/>
    <w:qFormat/>
    <w:locked/>
    <w:uiPriority w:val="0"/>
    <w:rPr>
      <w:rFonts w:eastAsia="宋体"/>
      <w:kern w:val="2"/>
      <w:sz w:val="24"/>
      <w:szCs w:val="24"/>
      <w:lang w:val="en-US" w:eastAsia="zh-CN" w:bidi="ar-SA"/>
    </w:rPr>
  </w:style>
  <w:style w:type="character" w:customStyle="1" w:styleId="319">
    <w:name w:val="Char Char26"/>
    <w:qFormat/>
    <w:uiPriority w:val="0"/>
    <w:rPr>
      <w:rFonts w:hint="default" w:ascii="Arial" w:hAnsi="Arial" w:eastAsia="黑体" w:cs="Arial"/>
      <w:b/>
      <w:bCs/>
      <w:sz w:val="32"/>
      <w:szCs w:val="32"/>
      <w:lang w:bidi="ar-SA"/>
    </w:rPr>
  </w:style>
  <w:style w:type="character" w:customStyle="1" w:styleId="320">
    <w:name w:val="细化要求 Char"/>
    <w:link w:val="321"/>
    <w:qFormat/>
    <w:locked/>
    <w:uiPriority w:val="0"/>
    <w:rPr>
      <w:rFonts w:ascii="楷体_GB2312" w:hAnsi="Calibri" w:eastAsia="楷体_GB2312"/>
      <w:b/>
      <w:color w:val="FF0000"/>
      <w:sz w:val="24"/>
    </w:rPr>
  </w:style>
  <w:style w:type="paragraph" w:customStyle="1" w:styleId="321">
    <w:name w:val="细化要求"/>
    <w:basedOn w:val="1"/>
    <w:link w:val="320"/>
    <w:qFormat/>
    <w:uiPriority w:val="0"/>
    <w:pPr>
      <w:ind w:firstLine="200" w:firstLineChars="200"/>
    </w:pPr>
    <w:rPr>
      <w:rFonts w:ascii="楷体_GB2312" w:hAnsi="Calibri" w:eastAsia="楷体_GB2312"/>
      <w:b/>
      <w:color w:val="FF0000"/>
      <w:kern w:val="0"/>
      <w:sz w:val="24"/>
      <w:szCs w:val="20"/>
    </w:rPr>
  </w:style>
  <w:style w:type="character" w:customStyle="1" w:styleId="322">
    <w:name w:val="text11"/>
    <w:qFormat/>
    <w:uiPriority w:val="0"/>
    <w:rPr>
      <w:rFonts w:hint="default" w:ascii="Verdana" w:hAnsi="Verdana"/>
      <w:color w:val="4E4E4E"/>
      <w:sz w:val="18"/>
      <w:szCs w:val="18"/>
    </w:rPr>
  </w:style>
  <w:style w:type="character" w:customStyle="1" w:styleId="323">
    <w:name w:val="Char Char14"/>
    <w:qFormat/>
    <w:uiPriority w:val="0"/>
    <w:rPr>
      <w:sz w:val="18"/>
      <w:szCs w:val="18"/>
    </w:rPr>
  </w:style>
  <w:style w:type="character" w:customStyle="1" w:styleId="324">
    <w:name w:val="Char Char32"/>
    <w:qFormat/>
    <w:locked/>
    <w:uiPriority w:val="0"/>
    <w:rPr>
      <w:rFonts w:hint="eastAsia" w:ascii="宋体" w:hAnsi="宋体" w:eastAsia="宋体"/>
      <w:b/>
      <w:kern w:val="2"/>
      <w:sz w:val="28"/>
      <w:szCs w:val="24"/>
      <w:lang w:val="en-US" w:eastAsia="zh-CN" w:bidi="ar-SA"/>
    </w:rPr>
  </w:style>
  <w:style w:type="character" w:customStyle="1" w:styleId="325">
    <w:name w:val="页码 New"/>
    <w:qFormat/>
    <w:uiPriority w:val="0"/>
  </w:style>
  <w:style w:type="character" w:customStyle="1" w:styleId="326">
    <w:name w:val="Char Char Char Char Char Char"/>
    <w:qFormat/>
    <w:uiPriority w:val="0"/>
    <w:rPr>
      <w:rFonts w:hint="eastAsia" w:ascii="宋体" w:hAnsi="宋体" w:eastAsia="宋体"/>
      <w:b/>
      <w:bCs/>
      <w:kern w:val="44"/>
      <w:sz w:val="44"/>
      <w:szCs w:val="44"/>
      <w:lang w:val="en-US" w:eastAsia="zh-CN" w:bidi="ar-SA"/>
    </w:rPr>
  </w:style>
  <w:style w:type="character" w:customStyle="1" w:styleId="327">
    <w:name w:val="Char Char232"/>
    <w:qFormat/>
    <w:uiPriority w:val="0"/>
    <w:rPr>
      <w:rFonts w:ascii="Times New Roman" w:hAnsi="Times New Roman" w:eastAsia="宋体" w:cs="Times New Roman"/>
      <w:b/>
      <w:bCs/>
      <w:kern w:val="44"/>
      <w:sz w:val="44"/>
      <w:szCs w:val="44"/>
    </w:rPr>
  </w:style>
  <w:style w:type="character" w:customStyle="1" w:styleId="328">
    <w:name w:val="副标题 Char1"/>
    <w:qFormat/>
    <w:uiPriority w:val="11"/>
    <w:rPr>
      <w:rFonts w:hint="default" w:ascii="Cambria" w:hAnsi="Cambria" w:cs="Times New Roman"/>
      <w:b/>
      <w:bCs/>
      <w:kern w:val="28"/>
      <w:sz w:val="32"/>
      <w:szCs w:val="32"/>
    </w:rPr>
  </w:style>
  <w:style w:type="character" w:customStyle="1" w:styleId="329">
    <w:name w:val="style21"/>
    <w:qFormat/>
    <w:uiPriority w:val="0"/>
    <w:rPr>
      <w:sz w:val="18"/>
      <w:szCs w:val="18"/>
    </w:rPr>
  </w:style>
  <w:style w:type="character" w:customStyle="1" w:styleId="330">
    <w:name w:val="手改 Char Char1"/>
    <w:qFormat/>
    <w:locked/>
    <w:uiPriority w:val="0"/>
    <w:rPr>
      <w:rFonts w:hint="eastAsia" w:ascii="宋体" w:hAnsi="宋体" w:eastAsia="宋体"/>
      <w:sz w:val="24"/>
      <w:szCs w:val="24"/>
      <w:lang w:bidi="ar-SA"/>
    </w:rPr>
  </w:style>
  <w:style w:type="character" w:customStyle="1" w:styleId="331">
    <w:name w:val="Char Char Char1"/>
    <w:qFormat/>
    <w:uiPriority w:val="0"/>
    <w:rPr>
      <w:rFonts w:hint="eastAsia" w:ascii="宋体" w:hAnsi="宋体" w:eastAsia="宋体"/>
      <w:kern w:val="2"/>
      <w:sz w:val="18"/>
      <w:szCs w:val="18"/>
      <w:lang w:val="en-US" w:eastAsia="zh-CN" w:bidi="ar-SA"/>
    </w:rPr>
  </w:style>
  <w:style w:type="character" w:customStyle="1" w:styleId="332">
    <w:name w:val="Char Char1421"/>
    <w:qFormat/>
    <w:uiPriority w:val="0"/>
    <w:rPr>
      <w:sz w:val="18"/>
      <w:szCs w:val="18"/>
    </w:rPr>
  </w:style>
  <w:style w:type="character" w:customStyle="1" w:styleId="333">
    <w:name w:val="页脚 字符"/>
    <w:qFormat/>
    <w:locked/>
    <w:uiPriority w:val="99"/>
    <w:rPr>
      <w:sz w:val="18"/>
      <w:szCs w:val="18"/>
    </w:rPr>
  </w:style>
  <w:style w:type="character" w:customStyle="1" w:styleId="334">
    <w:name w:val="Char Char142"/>
    <w:qFormat/>
    <w:uiPriority w:val="0"/>
    <w:rPr>
      <w:sz w:val="18"/>
      <w:szCs w:val="18"/>
    </w:rPr>
  </w:style>
  <w:style w:type="character" w:customStyle="1" w:styleId="335">
    <w:name w:val="ca-10"/>
    <w:qFormat/>
    <w:uiPriority w:val="0"/>
  </w:style>
  <w:style w:type="character" w:customStyle="1" w:styleId="336">
    <w:name w:val="Char Char102"/>
    <w:semiHidden/>
    <w:qFormat/>
    <w:uiPriority w:val="0"/>
    <w:rPr>
      <w:rFonts w:eastAsia="宋体"/>
      <w:kern w:val="2"/>
      <w:sz w:val="24"/>
      <w:szCs w:val="24"/>
      <w:lang w:val="en-US" w:eastAsia="zh-CN" w:bidi="ar-SA"/>
    </w:rPr>
  </w:style>
  <w:style w:type="character" w:customStyle="1" w:styleId="337">
    <w:name w:val="手改 Char Char"/>
    <w:qFormat/>
    <w:uiPriority w:val="0"/>
    <w:rPr>
      <w:rFonts w:hint="eastAsia" w:ascii="宋体" w:hAnsi="宋体" w:eastAsia="宋体"/>
      <w:kern w:val="2"/>
      <w:sz w:val="24"/>
      <w:szCs w:val="24"/>
      <w:lang w:val="en-US" w:eastAsia="zh-CN" w:bidi="ar-SA"/>
    </w:rPr>
  </w:style>
  <w:style w:type="character" w:customStyle="1" w:styleId="338">
    <w:name w:val="H1 Char2"/>
    <w:qFormat/>
    <w:uiPriority w:val="0"/>
    <w:rPr>
      <w:rFonts w:eastAsia="宋体"/>
      <w:b/>
      <w:bCs/>
      <w:kern w:val="44"/>
      <w:sz w:val="44"/>
      <w:szCs w:val="44"/>
      <w:lang w:val="en-US" w:eastAsia="zh-CN" w:bidi="ar-SA"/>
    </w:rPr>
  </w:style>
  <w:style w:type="character" w:customStyle="1" w:styleId="339">
    <w:name w:val="Char Char19"/>
    <w:qFormat/>
    <w:uiPriority w:val="0"/>
    <w:rPr>
      <w:rFonts w:hint="default" w:ascii="Arial" w:hAnsi="Arial" w:eastAsia="黑体" w:cs="Arial"/>
      <w:kern w:val="2"/>
      <w:sz w:val="24"/>
      <w:szCs w:val="24"/>
      <w:lang w:val="en-US" w:eastAsia="zh-CN" w:bidi="ar-SA"/>
    </w:rPr>
  </w:style>
  <w:style w:type="character" w:customStyle="1" w:styleId="340">
    <w:name w:val="副标题 Char4"/>
    <w:qFormat/>
    <w:uiPriority w:val="11"/>
    <w:rPr>
      <w:rFonts w:hint="default" w:ascii="Cambria" w:hAnsi="Cambria" w:cs="Times New Roman"/>
      <w:b/>
      <w:bCs/>
      <w:kern w:val="28"/>
      <w:sz w:val="32"/>
      <w:szCs w:val="32"/>
    </w:rPr>
  </w:style>
  <w:style w:type="character" w:customStyle="1" w:styleId="341">
    <w:name w:val="已访问的超链接1"/>
    <w:qFormat/>
    <w:uiPriority w:val="99"/>
    <w:rPr>
      <w:color w:val="800080"/>
      <w:u w:val="single"/>
    </w:rPr>
  </w:style>
  <w:style w:type="character" w:customStyle="1" w:styleId="342">
    <w:name w:val="prodname"/>
    <w:qFormat/>
    <w:uiPriority w:val="0"/>
  </w:style>
  <w:style w:type="character" w:customStyle="1" w:styleId="343">
    <w:name w:val="正文首行缩进 Char"/>
    <w:qFormat/>
    <w:uiPriority w:val="0"/>
    <w:rPr>
      <w:rFonts w:eastAsia="宋体"/>
      <w:kern w:val="2"/>
      <w:sz w:val="21"/>
      <w:szCs w:val="24"/>
      <w:lang w:val="en-US" w:eastAsia="zh-CN" w:bidi="ar-SA"/>
    </w:rPr>
  </w:style>
  <w:style w:type="character" w:customStyle="1" w:styleId="344">
    <w:name w:val="Char Char1111"/>
    <w:qFormat/>
    <w:uiPriority w:val="0"/>
    <w:rPr>
      <w:rFonts w:hint="default" w:ascii="Times New Roman" w:hAnsi="Times New Roman" w:eastAsia="宋体" w:cs="Times New Roman"/>
      <w:sz w:val="30"/>
      <w:szCs w:val="24"/>
    </w:rPr>
  </w:style>
  <w:style w:type="character" w:customStyle="1" w:styleId="345">
    <w:name w:val="正文首行缩进 Char2"/>
    <w:qFormat/>
    <w:uiPriority w:val="99"/>
    <w:rPr>
      <w:rFonts w:hint="eastAsia" w:ascii="宋体" w:hAnsi="宋体" w:eastAsia="宋体"/>
      <w:kern w:val="2"/>
      <w:sz w:val="21"/>
      <w:szCs w:val="24"/>
      <w:lang w:val="en-US" w:eastAsia="zh-CN" w:bidi="ar-SA"/>
    </w:rPr>
  </w:style>
  <w:style w:type="character" w:customStyle="1" w:styleId="346">
    <w:name w:val="Char Char35"/>
    <w:qFormat/>
    <w:locked/>
    <w:uiPriority w:val="0"/>
    <w:rPr>
      <w:rFonts w:hint="default" w:ascii="Arial" w:hAnsi="Arial" w:eastAsia="黑体" w:cs="宋体"/>
      <w:b/>
      <w:bCs/>
      <w:kern w:val="2"/>
      <w:sz w:val="32"/>
      <w:szCs w:val="32"/>
      <w:lang w:val="en-US" w:eastAsia="zh-CN" w:bidi="ar-SA"/>
    </w:rPr>
  </w:style>
  <w:style w:type="character" w:customStyle="1" w:styleId="347">
    <w:name w:val="case31"/>
    <w:qFormat/>
    <w:uiPriority w:val="0"/>
    <w:rPr>
      <w:rFonts w:hint="default"/>
      <w:sz w:val="21"/>
      <w:szCs w:val="21"/>
    </w:rPr>
  </w:style>
  <w:style w:type="character" w:customStyle="1" w:styleId="348">
    <w:name w:val="页码 New New New New"/>
    <w:qFormat/>
    <w:uiPriority w:val="0"/>
  </w:style>
  <w:style w:type="character" w:customStyle="1" w:styleId="349">
    <w:name w:val="bookmark-item uuid-1596004745033 code-00010 editdisable single-line-text-input-box-cls readonly"/>
    <w:qFormat/>
    <w:uiPriority w:val="0"/>
  </w:style>
  <w:style w:type="character" w:customStyle="1" w:styleId="350">
    <w:name w:val="H1 Char1"/>
    <w:qFormat/>
    <w:uiPriority w:val="0"/>
    <w:rPr>
      <w:rFonts w:eastAsia="宋体"/>
      <w:b/>
      <w:bCs/>
      <w:kern w:val="44"/>
      <w:sz w:val="44"/>
      <w:szCs w:val="44"/>
      <w:lang w:val="en-US" w:eastAsia="zh-CN" w:bidi="ar-SA"/>
    </w:rPr>
  </w:style>
  <w:style w:type="character" w:customStyle="1" w:styleId="351">
    <w:name w:val="bookmark-item uuid-1595940687802 code-23021 editdisable multi-line-text-input-box-cls readonly"/>
    <w:qFormat/>
    <w:uiPriority w:val="0"/>
  </w:style>
  <w:style w:type="character" w:customStyle="1" w:styleId="352">
    <w:name w:val="1ji Char"/>
    <w:link w:val="353"/>
    <w:qFormat/>
    <w:uiPriority w:val="0"/>
    <w:rPr>
      <w:rFonts w:ascii="宋体" w:hAnsi="宋体" w:eastAsia="宋体"/>
      <w:b/>
      <w:bCs/>
      <w:kern w:val="44"/>
      <w:sz w:val="36"/>
      <w:szCs w:val="44"/>
      <w:lang w:val="en-US" w:eastAsia="zh-CN" w:bidi="ar-SA"/>
    </w:rPr>
  </w:style>
  <w:style w:type="paragraph" w:customStyle="1" w:styleId="353">
    <w:name w:val="1ji"/>
    <w:basedOn w:val="3"/>
    <w:link w:val="352"/>
    <w:qFormat/>
    <w:uiPriority w:val="0"/>
    <w:pPr>
      <w:keepLines w:val="0"/>
      <w:widowControl/>
      <w:spacing w:before="0" w:after="0" w:line="240" w:lineRule="auto"/>
      <w:jc w:val="center"/>
    </w:pPr>
    <w:rPr>
      <w:rFonts w:ascii="宋体" w:hAnsi="宋体"/>
      <w:sz w:val="36"/>
    </w:rPr>
  </w:style>
  <w:style w:type="character" w:customStyle="1" w:styleId="354">
    <w:name w:val="bookmark-item uuid-1595941076685 code-am014biditemcount editdisable single-line-text-input-box-cls"/>
    <w:qFormat/>
    <w:uiPriority w:val="0"/>
  </w:style>
  <w:style w:type="character" w:customStyle="1" w:styleId="355">
    <w:name w:val="bookmark-item uuid-1593421202487 code-am014briefspecificationdesc editdisable single-line-text-input-box-cls"/>
    <w:qFormat/>
    <w:uiPriority w:val="0"/>
  </w:style>
  <w:style w:type="character" w:customStyle="1" w:styleId="356">
    <w:name w:val="标题 1 Char"/>
    <w:qFormat/>
    <w:uiPriority w:val="0"/>
    <w:rPr>
      <w:rFonts w:eastAsia="宋体"/>
      <w:b/>
      <w:bCs/>
      <w:kern w:val="44"/>
      <w:sz w:val="44"/>
      <w:szCs w:val="44"/>
      <w:lang w:val="en-US" w:eastAsia="zh-CN" w:bidi="ar-SA"/>
    </w:rPr>
  </w:style>
  <w:style w:type="character" w:customStyle="1" w:styleId="357">
    <w:name w:val="ca-13"/>
    <w:qFormat/>
    <w:uiPriority w:val="0"/>
  </w:style>
  <w:style w:type="character" w:customStyle="1" w:styleId="358">
    <w:name w:val="Char Char113"/>
    <w:qFormat/>
    <w:uiPriority w:val="0"/>
    <w:rPr>
      <w:rFonts w:hint="default" w:ascii="Times New Roman" w:hAnsi="Times New Roman" w:eastAsia="宋体" w:cs="Times New Roman"/>
      <w:sz w:val="30"/>
      <w:szCs w:val="24"/>
    </w:rPr>
  </w:style>
  <w:style w:type="character" w:customStyle="1" w:styleId="359">
    <w:name w:val="ca-14"/>
    <w:qFormat/>
    <w:uiPriority w:val="0"/>
  </w:style>
  <w:style w:type="character" w:customStyle="1" w:styleId="360">
    <w:name w:val="批注主题 Char2"/>
    <w:qFormat/>
    <w:uiPriority w:val="0"/>
    <w:rPr>
      <w:rFonts w:hint="eastAsia" w:ascii="宋体" w:hAnsi="宋体" w:eastAsia="宋体"/>
      <w:b/>
      <w:bCs/>
      <w:kern w:val="2"/>
      <w:sz w:val="21"/>
      <w:szCs w:val="24"/>
    </w:rPr>
  </w:style>
  <w:style w:type="character" w:customStyle="1" w:styleId="361">
    <w:name w:val="列出段落 Char1"/>
    <w:qFormat/>
    <w:locked/>
    <w:uiPriority w:val="0"/>
    <w:rPr>
      <w:rFonts w:hint="default" w:ascii="Calibri" w:hAnsi="Calibri" w:cs="Calibri"/>
      <w:kern w:val="2"/>
      <w:sz w:val="21"/>
      <w:szCs w:val="22"/>
    </w:rPr>
  </w:style>
  <w:style w:type="character" w:customStyle="1" w:styleId="362">
    <w:name w:val="页码 New New New New New New New New New"/>
    <w:qFormat/>
    <w:uiPriority w:val="0"/>
  </w:style>
  <w:style w:type="character" w:customStyle="1" w:styleId="363">
    <w:name w:val="列出段落 字符"/>
    <w:qFormat/>
    <w:uiPriority w:val="99"/>
    <w:rPr>
      <w:rFonts w:ascii="Calibri" w:hAnsi="Calibri" w:eastAsia="宋体"/>
      <w:kern w:val="2"/>
      <w:sz w:val="21"/>
      <w:szCs w:val="22"/>
      <w:lang w:val="en-US" w:eastAsia="zh-CN" w:bidi="ar-SA"/>
    </w:rPr>
  </w:style>
  <w:style w:type="character" w:customStyle="1" w:styleId="364">
    <w:name w:val="ca-8"/>
    <w:qFormat/>
    <w:uiPriority w:val="0"/>
  </w:style>
  <w:style w:type="character" w:customStyle="1" w:styleId="365">
    <w:name w:val="Char Char"/>
    <w:qFormat/>
    <w:uiPriority w:val="0"/>
    <w:rPr>
      <w:rFonts w:hint="eastAsia" w:ascii="宋体" w:hAnsi="宋体" w:eastAsia="宋体"/>
      <w:kern w:val="2"/>
      <w:sz w:val="16"/>
      <w:szCs w:val="16"/>
      <w:lang w:val="en-US" w:eastAsia="zh-CN" w:bidi="ar-SA"/>
    </w:rPr>
  </w:style>
  <w:style w:type="character" w:customStyle="1" w:styleId="366">
    <w:name w:val="bookmark-item uuid-1595940713919 code-am01400046 editdisable single-line-text-input-box-cls readonly"/>
    <w:qFormat/>
    <w:uiPriority w:val="0"/>
  </w:style>
  <w:style w:type="character" w:customStyle="1" w:styleId="367">
    <w:name w:val="cubane_hilight1"/>
    <w:qFormat/>
    <w:uiPriority w:val="0"/>
    <w:rPr>
      <w:color w:val="CC0000"/>
    </w:rPr>
  </w:style>
  <w:style w:type="character" w:customStyle="1" w:styleId="368">
    <w:name w:val="bookmark-item uuid-1594624265677 code-23006 addword afternoon-time-section-selection-cls"/>
    <w:qFormat/>
    <w:uiPriority w:val="0"/>
  </w:style>
  <w:style w:type="character" w:customStyle="1" w:styleId="369">
    <w:name w:val="Char Char6"/>
    <w:qFormat/>
    <w:locked/>
    <w:uiPriority w:val="0"/>
    <w:rPr>
      <w:rFonts w:hint="eastAsia" w:ascii="宋体" w:hAnsi="Courier New" w:eastAsia="宋体" w:cs="Courier New"/>
      <w:kern w:val="2"/>
      <w:sz w:val="21"/>
      <w:szCs w:val="21"/>
      <w:lang w:val="en-US" w:eastAsia="zh-CN" w:bidi="ar-SA"/>
    </w:rPr>
  </w:style>
  <w:style w:type="character" w:customStyle="1" w:styleId="370">
    <w:name w:val="页码 New New"/>
    <w:qFormat/>
    <w:uiPriority w:val="0"/>
  </w:style>
  <w:style w:type="character" w:customStyle="1" w:styleId="371">
    <w:name w:val="正文文字首行缩进 Char"/>
    <w:qFormat/>
    <w:locked/>
    <w:uiPriority w:val="0"/>
    <w:rPr>
      <w:rFonts w:ascii="仿宋_GB2312" w:eastAsia="仿宋_GB2312"/>
      <w:kern w:val="2"/>
      <w:sz w:val="32"/>
    </w:rPr>
  </w:style>
  <w:style w:type="character" w:customStyle="1" w:styleId="372">
    <w:name w:val="font61"/>
    <w:qFormat/>
    <w:uiPriority w:val="0"/>
    <w:rPr>
      <w:rFonts w:hint="eastAsia" w:ascii="黑体" w:hAnsi="宋体" w:eastAsia="黑体" w:cs="黑体"/>
      <w:b/>
      <w:color w:val="000000"/>
      <w:sz w:val="40"/>
      <w:szCs w:val="40"/>
      <w:u w:val="single"/>
    </w:rPr>
  </w:style>
  <w:style w:type="character" w:customStyle="1" w:styleId="373">
    <w:name w:val="font81"/>
    <w:qFormat/>
    <w:uiPriority w:val="0"/>
    <w:rPr>
      <w:rFonts w:hint="default" w:ascii="华文宋体" w:hAnsi="华文宋体" w:eastAsia="华文宋体" w:cs="华文宋体"/>
      <w:color w:val="000000"/>
      <w:sz w:val="24"/>
      <w:szCs w:val="24"/>
      <w:u w:val="none"/>
    </w:rPr>
  </w:style>
  <w:style w:type="character" w:customStyle="1" w:styleId="374">
    <w:name w:val="Char Char22"/>
    <w:qFormat/>
    <w:uiPriority w:val="0"/>
    <w:rPr>
      <w:rFonts w:hint="eastAsia" w:ascii="宋体" w:hAnsi="宋体" w:eastAsia="宋体"/>
      <w:b/>
      <w:kern w:val="2"/>
      <w:sz w:val="28"/>
      <w:szCs w:val="24"/>
      <w:lang w:val="en-US" w:eastAsia="zh-CN" w:bidi="ar-SA"/>
    </w:rPr>
  </w:style>
  <w:style w:type="character" w:customStyle="1" w:styleId="375">
    <w:name w:val="mark13"/>
    <w:qFormat/>
    <w:uiPriority w:val="0"/>
  </w:style>
  <w:style w:type="character" w:customStyle="1" w:styleId="376">
    <w:name w:val="Plain Text Char"/>
    <w:link w:val="377"/>
    <w:qFormat/>
    <w:locked/>
    <w:uiPriority w:val="0"/>
    <w:rPr>
      <w:rFonts w:ascii="宋体" w:hAnsi="Courier New" w:eastAsia="宋体"/>
      <w:kern w:val="2"/>
      <w:sz w:val="21"/>
    </w:rPr>
  </w:style>
  <w:style w:type="paragraph" w:customStyle="1" w:styleId="377">
    <w:name w:val="纯文本1"/>
    <w:basedOn w:val="1"/>
    <w:link w:val="376"/>
    <w:qFormat/>
    <w:uiPriority w:val="0"/>
    <w:rPr>
      <w:rFonts w:ascii="宋体" w:hAnsi="Courier New"/>
      <w:szCs w:val="20"/>
    </w:rPr>
  </w:style>
  <w:style w:type="character" w:customStyle="1" w:styleId="378">
    <w:name w:val="Char Char151"/>
    <w:qFormat/>
    <w:uiPriority w:val="0"/>
    <w:rPr>
      <w:sz w:val="18"/>
      <w:szCs w:val="18"/>
    </w:rPr>
  </w:style>
  <w:style w:type="character" w:customStyle="1" w:styleId="379">
    <w:name w:val="bookmark-item uuid-1596004672274 code-00018 addword single-line-text-input-box-cls"/>
    <w:qFormat/>
    <w:uiPriority w:val="0"/>
  </w:style>
  <w:style w:type="paragraph" w:customStyle="1" w:styleId="38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2">
    <w:name w:val="Char Char Char Char Char Char Char Char Char"/>
    <w:basedOn w:val="1"/>
    <w:qFormat/>
    <w:uiPriority w:val="0"/>
    <w:pPr>
      <w:widowControl/>
      <w:spacing w:after="160" w:line="240" w:lineRule="exact"/>
      <w:jc w:val="left"/>
    </w:pPr>
    <w:rPr>
      <w:szCs w:val="20"/>
    </w:rPr>
  </w:style>
  <w:style w:type="paragraph" w:customStyle="1" w:styleId="383">
    <w:name w:val="xl12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384">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385">
    <w:name w:val="我的正文"/>
    <w:basedOn w:val="1"/>
    <w:qFormat/>
    <w:uiPriority w:val="0"/>
    <w:pPr>
      <w:spacing w:line="520" w:lineRule="exact"/>
      <w:ind w:firstLine="192" w:firstLineChars="192"/>
    </w:pPr>
    <w:rPr>
      <w:sz w:val="28"/>
      <w:szCs w:val="28"/>
    </w:rPr>
  </w:style>
  <w:style w:type="paragraph" w:customStyle="1" w:styleId="386">
    <w:name w:val="一级条标题"/>
    <w:next w:val="1"/>
    <w:qFormat/>
    <w:uiPriority w:val="0"/>
    <w:pPr>
      <w:ind w:left="2310"/>
      <w:outlineLvl w:val="2"/>
    </w:pPr>
    <w:rPr>
      <w:rFonts w:ascii="Times New Roman" w:hAnsi="Times New Roman" w:eastAsia="黑体" w:cs="Times New Roman"/>
      <w:sz w:val="21"/>
      <w:lang w:val="en-US" w:eastAsia="zh-CN" w:bidi="ar-SA"/>
    </w:rPr>
  </w:style>
  <w:style w:type="paragraph" w:customStyle="1" w:styleId="387">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8">
    <w:name w:val="Char"/>
    <w:basedOn w:val="17"/>
    <w:qFormat/>
    <w:uiPriority w:val="0"/>
    <w:pPr>
      <w:widowControl/>
      <w:ind w:firstLine="454"/>
      <w:jc w:val="left"/>
    </w:pPr>
    <w:rPr>
      <w:rFonts w:ascii="Tahoma" w:hAnsi="Tahoma" w:cs="宋体"/>
      <w:kern w:val="0"/>
      <w:sz w:val="24"/>
      <w:szCs w:val="20"/>
    </w:rPr>
  </w:style>
  <w:style w:type="paragraph" w:customStyle="1" w:styleId="389">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90">
    <w:name w:val="纯文本2"/>
    <w:basedOn w:val="1"/>
    <w:qFormat/>
    <w:uiPriority w:val="0"/>
    <w:rPr>
      <w:rFonts w:ascii="宋体" w:hAnsi="Courier New"/>
      <w:szCs w:val="20"/>
    </w:rPr>
  </w:style>
  <w:style w:type="paragraph" w:customStyle="1" w:styleId="391">
    <w:name w:val="纯文本 New New"/>
    <w:basedOn w:val="392"/>
    <w:qFormat/>
    <w:uiPriority w:val="0"/>
    <w:rPr>
      <w:rFonts w:ascii="宋体" w:hAnsi="Courier New" w:cs="Courier New"/>
      <w:szCs w:val="21"/>
    </w:rPr>
  </w:style>
  <w:style w:type="paragraph" w:customStyle="1" w:styleId="392">
    <w:name w:val="正文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3">
    <w:name w:val="修订1"/>
    <w:semiHidden/>
    <w:qFormat/>
    <w:uiPriority w:val="99"/>
    <w:rPr>
      <w:rFonts w:ascii="Times New Roman" w:hAnsi="Times New Roman" w:eastAsia="宋体" w:cs="Times New Roman"/>
      <w:kern w:val="2"/>
      <w:sz w:val="24"/>
      <w:szCs w:val="24"/>
      <w:lang w:val="en-US" w:eastAsia="zh-CN" w:bidi="ar-SA"/>
    </w:rPr>
  </w:style>
  <w:style w:type="paragraph" w:customStyle="1" w:styleId="39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395">
    <w:name w:val="样式 标题 3标题1.1二级节名h33rd level3l3Level 3 HeadH3heading 3 +..."/>
    <w:basedOn w:val="5"/>
    <w:qFormat/>
    <w:uiPriority w:val="0"/>
    <w:pPr>
      <w:spacing w:before="0" w:after="0" w:line="360" w:lineRule="auto"/>
      <w:jc w:val="left"/>
    </w:pPr>
    <w:rPr>
      <w:sz w:val="28"/>
      <w:szCs w:val="20"/>
    </w:rPr>
  </w:style>
  <w:style w:type="paragraph" w:customStyle="1" w:styleId="396">
    <w:name w:val="目录4"/>
    <w:basedOn w:val="1"/>
    <w:next w:val="1"/>
    <w:qFormat/>
    <w:uiPriority w:val="0"/>
    <w:pPr>
      <w:widowControl/>
      <w:tabs>
        <w:tab w:val="left" w:leader="dot" w:pos="8503"/>
      </w:tabs>
      <w:spacing w:line="317" w:lineRule="atLeast"/>
      <w:ind w:firstLine="629"/>
      <w:textAlignment w:val="baseline"/>
    </w:pPr>
    <w:rPr>
      <w:color w:val="000000"/>
      <w:kern w:val="0"/>
      <w:szCs w:val="20"/>
    </w:rPr>
  </w:style>
  <w:style w:type="paragraph" w:customStyle="1" w:styleId="39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98">
    <w:name w:val="xl14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399">
    <w:name w:val="页眉 New"/>
    <w:basedOn w:val="400"/>
    <w:qFormat/>
    <w:uiPriority w:val="0"/>
    <w:pPr>
      <w:pBdr>
        <w:bottom w:val="single" w:color="auto" w:sz="6" w:space="1"/>
      </w:pBdr>
      <w:tabs>
        <w:tab w:val="center" w:pos="4153"/>
        <w:tab w:val="right" w:pos="8306"/>
      </w:tabs>
      <w:snapToGrid w:val="0"/>
      <w:jc w:val="center"/>
    </w:pPr>
    <w:rPr>
      <w:sz w:val="18"/>
      <w:szCs w:val="18"/>
    </w:rPr>
  </w:style>
  <w:style w:type="paragraph" w:customStyle="1" w:styleId="400">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1">
    <w:name w:val="Char4"/>
    <w:basedOn w:val="17"/>
    <w:qFormat/>
    <w:uiPriority w:val="0"/>
    <w:pPr>
      <w:widowControl/>
      <w:ind w:firstLine="454"/>
      <w:jc w:val="left"/>
    </w:pPr>
    <w:rPr>
      <w:rFonts w:ascii="Tahoma" w:hAnsi="Tahoma" w:cs="宋体"/>
      <w:kern w:val="0"/>
      <w:sz w:val="24"/>
      <w:szCs w:val="20"/>
    </w:rPr>
  </w:style>
  <w:style w:type="paragraph" w:customStyle="1" w:styleId="402">
    <w:name w:val="表格题注"/>
    <w:next w:val="1"/>
    <w:qFormat/>
    <w:uiPriority w:val="0"/>
    <w:pPr>
      <w:keepLines/>
      <w:spacing w:before="312" w:beforeLines="100"/>
      <w:ind w:left="1089" w:hanging="369"/>
      <w:jc w:val="center"/>
    </w:pPr>
    <w:rPr>
      <w:rFonts w:ascii="Arial" w:hAnsi="Arial" w:eastAsia="宋体" w:cs="Times New Roman"/>
      <w:sz w:val="18"/>
      <w:szCs w:val="18"/>
      <w:lang w:val="en-US" w:eastAsia="zh-CN" w:bidi="ar-SA"/>
    </w:rPr>
  </w:style>
  <w:style w:type="paragraph" w:customStyle="1" w:styleId="403">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4">
    <w:name w:val="Char1 Char Char Char Char Char Char"/>
    <w:basedOn w:val="1"/>
    <w:qFormat/>
    <w:uiPriority w:val="0"/>
    <w:rPr>
      <w:rFonts w:ascii="Tahoma" w:hAnsi="Tahoma"/>
      <w:sz w:val="24"/>
      <w:szCs w:val="20"/>
    </w:rPr>
  </w:style>
  <w:style w:type="paragraph" w:customStyle="1" w:styleId="405">
    <w:name w:val="p0"/>
    <w:basedOn w:val="1"/>
    <w:qFormat/>
    <w:uiPriority w:val="0"/>
    <w:pPr>
      <w:widowControl/>
    </w:pPr>
    <w:rPr>
      <w:kern w:val="0"/>
      <w:szCs w:val="21"/>
    </w:rPr>
  </w:style>
  <w:style w:type="paragraph" w:customStyle="1" w:styleId="406">
    <w:name w:val="Char Char1 Char Char Char Char Char Char"/>
    <w:basedOn w:val="1"/>
    <w:qFormat/>
    <w:uiPriority w:val="0"/>
    <w:pPr>
      <w:widowControl/>
      <w:spacing w:after="160" w:line="240" w:lineRule="exact"/>
      <w:jc w:val="left"/>
    </w:pPr>
    <w:rPr>
      <w:rFonts w:ascii="宋体" w:hAnsi="Courier New"/>
      <w:szCs w:val="20"/>
    </w:rPr>
  </w:style>
  <w:style w:type="paragraph" w:customStyle="1" w:styleId="407">
    <w:name w:val="Header Odd"/>
    <w:basedOn w:val="36"/>
    <w:qFormat/>
    <w:uiPriority w:val="0"/>
    <w:pPr>
      <w:keepLines/>
      <w:widowControl/>
      <w:pBdr>
        <w:bottom w:val="none" w:color="auto" w:sz="0" w:space="0"/>
      </w:pBdr>
      <w:tabs>
        <w:tab w:val="right" w:pos="0"/>
        <w:tab w:val="center" w:pos="4320"/>
        <w:tab w:val="right" w:pos="8640"/>
        <w:tab w:val="clear" w:pos="4153"/>
        <w:tab w:val="clear" w:pos="8306"/>
      </w:tabs>
      <w:snapToGrid/>
      <w:jc w:val="right"/>
    </w:pPr>
    <w:rPr>
      <w:kern w:val="0"/>
      <w:sz w:val="20"/>
      <w:szCs w:val="10"/>
      <w:lang w:eastAsia="en-US"/>
    </w:rPr>
  </w:style>
  <w:style w:type="paragraph" w:customStyle="1" w:styleId="408">
    <w:name w:val="pa-7"/>
    <w:basedOn w:val="1"/>
    <w:qFormat/>
    <w:uiPriority w:val="0"/>
    <w:pPr>
      <w:widowControl/>
      <w:spacing w:before="169" w:after="169"/>
      <w:jc w:val="left"/>
    </w:pPr>
    <w:rPr>
      <w:rFonts w:ascii="宋体" w:hAnsi="宋体" w:cs="宋体"/>
      <w:kern w:val="0"/>
      <w:sz w:val="24"/>
    </w:rPr>
  </w:style>
  <w:style w:type="paragraph" w:customStyle="1" w:styleId="409">
    <w:name w:val="插图题注"/>
    <w:next w:val="1"/>
    <w:qFormat/>
    <w:uiPriority w:val="0"/>
    <w:pPr>
      <w:spacing w:after="312" w:afterLines="100"/>
      <w:ind w:left="1089" w:hanging="369"/>
      <w:jc w:val="center"/>
    </w:pPr>
    <w:rPr>
      <w:rFonts w:ascii="Arial" w:hAnsi="Arial" w:eastAsia="宋体" w:cs="Times New Roman"/>
      <w:sz w:val="18"/>
      <w:szCs w:val="18"/>
      <w:lang w:val="en-US" w:eastAsia="zh-CN" w:bidi="ar-SA"/>
    </w:rPr>
  </w:style>
  <w:style w:type="paragraph" w:customStyle="1" w:styleId="410">
    <w:name w:val="Char1"/>
    <w:basedOn w:val="1"/>
    <w:qFormat/>
    <w:uiPriority w:val="0"/>
    <w:rPr>
      <w:szCs w:val="21"/>
    </w:rPr>
  </w:style>
  <w:style w:type="paragraph" w:customStyle="1" w:styleId="411">
    <w:name w:val="xl1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20"/>
      <w:szCs w:val="20"/>
    </w:rPr>
  </w:style>
  <w:style w:type="paragraph" w:customStyle="1" w:styleId="412">
    <w:name w:val="纯文本 New"/>
    <w:basedOn w:val="1"/>
    <w:qFormat/>
    <w:uiPriority w:val="0"/>
    <w:rPr>
      <w:rFonts w:ascii="宋体" w:hAnsi="Courier New" w:cs="Courier New"/>
      <w:szCs w:val="21"/>
    </w:rPr>
  </w:style>
  <w:style w:type="paragraph" w:customStyle="1" w:styleId="413">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14">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15">
    <w:name w:val="正文1"/>
    <w:basedOn w:val="1"/>
    <w:qFormat/>
    <w:uiPriority w:val="0"/>
    <w:rPr>
      <w:rFonts w:eastAsia="Times New Roman" w:cs="宋体"/>
      <w:kern w:val="0"/>
      <w:szCs w:val="20"/>
      <w:lang w:eastAsia="en-US"/>
    </w:rPr>
  </w:style>
  <w:style w:type="paragraph" w:customStyle="1" w:styleId="416">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17">
    <w:name w:val="页眉 New New New New New New New New New"/>
    <w:basedOn w:val="418"/>
    <w:qFormat/>
    <w:uiPriority w:val="0"/>
    <w:pPr>
      <w:pBdr>
        <w:bottom w:val="single" w:color="auto" w:sz="6" w:space="1"/>
      </w:pBdr>
      <w:tabs>
        <w:tab w:val="center" w:pos="4153"/>
        <w:tab w:val="right" w:pos="8306"/>
      </w:tabs>
      <w:snapToGrid w:val="0"/>
      <w:jc w:val="center"/>
    </w:pPr>
    <w:rPr>
      <w:sz w:val="18"/>
      <w:szCs w:val="18"/>
    </w:rPr>
  </w:style>
  <w:style w:type="paragraph" w:customStyle="1" w:styleId="418">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9">
    <w:name w:val="Char Char Char1 Char Char Char Char Char Char Char Char Char Char Char Char Char Char Char"/>
    <w:basedOn w:val="1"/>
    <w:qFormat/>
    <w:uiPriority w:val="0"/>
    <w:pPr>
      <w:widowControl/>
      <w:adjustRightInd w:val="0"/>
      <w:spacing w:after="160" w:line="240" w:lineRule="exact"/>
      <w:jc w:val="left"/>
    </w:pPr>
    <w:rPr>
      <w:rFonts w:ascii="Verdana" w:hAnsi="Verdana"/>
      <w:kern w:val="0"/>
      <w:sz w:val="20"/>
      <w:szCs w:val="20"/>
      <w:lang w:eastAsia="en-US"/>
    </w:rPr>
  </w:style>
  <w:style w:type="paragraph" w:customStyle="1" w:styleId="420">
    <w:name w:val="正文首行缩进两字符"/>
    <w:basedOn w:val="1"/>
    <w:qFormat/>
    <w:uiPriority w:val="0"/>
    <w:pPr>
      <w:spacing w:line="360" w:lineRule="auto"/>
      <w:ind w:firstLine="200" w:firstLineChars="200"/>
    </w:pPr>
  </w:style>
  <w:style w:type="paragraph" w:customStyle="1" w:styleId="421">
    <w:name w:val="pa-6"/>
    <w:basedOn w:val="1"/>
    <w:qFormat/>
    <w:uiPriority w:val="0"/>
    <w:pPr>
      <w:widowControl/>
      <w:spacing w:before="169" w:after="169"/>
      <w:jc w:val="left"/>
    </w:pPr>
    <w:rPr>
      <w:rFonts w:ascii="宋体" w:hAnsi="宋体" w:cs="宋体"/>
      <w:kern w:val="0"/>
      <w:sz w:val="24"/>
    </w:rPr>
  </w:style>
  <w:style w:type="paragraph" w:customStyle="1" w:styleId="422">
    <w:name w:val="UserStyle_156"/>
    <w:basedOn w:val="1"/>
    <w:qFormat/>
    <w:uiPriority w:val="0"/>
    <w:pPr>
      <w:ind w:firstLine="420" w:firstLineChars="200"/>
    </w:pPr>
    <w:rPr>
      <w:rFonts w:ascii="Calibri" w:hAnsi="Calibri"/>
      <w:szCs w:val="22"/>
    </w:rPr>
  </w:style>
  <w:style w:type="paragraph" w:customStyle="1" w:styleId="423">
    <w:name w:val="目录3"/>
    <w:basedOn w:val="1"/>
    <w:next w:val="1"/>
    <w:qFormat/>
    <w:uiPriority w:val="0"/>
    <w:pPr>
      <w:widowControl/>
      <w:tabs>
        <w:tab w:val="left" w:leader="dot" w:pos="8503"/>
      </w:tabs>
      <w:spacing w:line="317" w:lineRule="atLeast"/>
      <w:ind w:firstLine="419"/>
      <w:textAlignment w:val="baseline"/>
    </w:pPr>
    <w:rPr>
      <w:color w:val="000000"/>
      <w:kern w:val="0"/>
      <w:szCs w:val="20"/>
    </w:rPr>
  </w:style>
  <w:style w:type="paragraph" w:customStyle="1" w:styleId="424">
    <w:name w:val="Char2"/>
    <w:basedOn w:val="1"/>
    <w:qFormat/>
    <w:uiPriority w:val="0"/>
    <w:rPr>
      <w:szCs w:val="20"/>
    </w:rPr>
  </w:style>
  <w:style w:type="paragraph" w:customStyle="1" w:styleId="425">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26">
    <w:name w:val="pa-4"/>
    <w:basedOn w:val="1"/>
    <w:qFormat/>
    <w:uiPriority w:val="0"/>
    <w:pPr>
      <w:widowControl/>
      <w:spacing w:before="169" w:after="169"/>
      <w:jc w:val="left"/>
    </w:pPr>
    <w:rPr>
      <w:rFonts w:ascii="宋体" w:hAnsi="宋体" w:cs="宋体"/>
      <w:kern w:val="0"/>
      <w:sz w:val="24"/>
    </w:rPr>
  </w:style>
  <w:style w:type="paragraph" w:customStyle="1" w:styleId="42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28">
    <w:name w:val="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29">
    <w:name w:val="附录表标题"/>
    <w:next w:val="1"/>
    <w:qFormat/>
    <w:uiPriority w:val="0"/>
    <w:pPr>
      <w:jc w:val="center"/>
    </w:pPr>
    <w:rPr>
      <w:rFonts w:ascii="黑体" w:hAnsi="Times New Roman" w:eastAsia="黑体" w:cs="Times New Roman"/>
      <w:kern w:val="21"/>
      <w:sz w:val="21"/>
      <w:lang w:val="en-US" w:eastAsia="zh-CN" w:bidi="ar-SA"/>
    </w:rPr>
  </w:style>
  <w:style w:type="paragraph" w:customStyle="1" w:styleId="430">
    <w:name w:val="Char22"/>
    <w:basedOn w:val="1"/>
    <w:qFormat/>
    <w:uiPriority w:val="0"/>
    <w:rPr>
      <w:szCs w:val="20"/>
    </w:rPr>
  </w:style>
  <w:style w:type="paragraph" w:customStyle="1" w:styleId="431">
    <w:name w:val="招标标题1"/>
    <w:basedOn w:val="5"/>
    <w:qFormat/>
    <w:uiPriority w:val="0"/>
    <w:pPr>
      <w:numPr>
        <w:ilvl w:val="0"/>
        <w:numId w:val="1"/>
      </w:numPr>
      <w:tabs>
        <w:tab w:val="left" w:pos="950"/>
      </w:tabs>
      <w:adjustRightInd w:val="0"/>
      <w:spacing w:before="240" w:after="120" w:line="300" w:lineRule="auto"/>
      <w:jc w:val="left"/>
    </w:pPr>
    <w:rPr>
      <w:rFonts w:ascii="楷体_GB2312" w:eastAsia="楷体_GB2312"/>
      <w:bCs w:val="0"/>
      <w:kern w:val="2"/>
      <w:sz w:val="24"/>
      <w:szCs w:val="24"/>
    </w:rPr>
  </w:style>
  <w:style w:type="paragraph" w:customStyle="1" w:styleId="432">
    <w:name w:val="表格文字"/>
    <w:basedOn w:val="1"/>
    <w:qFormat/>
    <w:uiPriority w:val="99"/>
    <w:pPr>
      <w:spacing w:before="25" w:after="25"/>
      <w:jc w:val="left"/>
    </w:pPr>
    <w:rPr>
      <w:bCs/>
      <w:spacing w:val="10"/>
      <w:kern w:val="0"/>
      <w:sz w:val="24"/>
    </w:rPr>
  </w:style>
  <w:style w:type="paragraph" w:customStyle="1" w:styleId="433">
    <w:name w:val="Char21"/>
    <w:basedOn w:val="1"/>
    <w:qFormat/>
    <w:uiPriority w:val="0"/>
    <w:pPr>
      <w:widowControl/>
      <w:spacing w:line="240" w:lineRule="exact"/>
      <w:jc w:val="left"/>
    </w:pPr>
    <w:rPr>
      <w:rFonts w:ascii="Verdana" w:hAnsi="Verdana"/>
      <w:kern w:val="0"/>
      <w:szCs w:val="20"/>
      <w:lang w:eastAsia="en-US"/>
    </w:rPr>
  </w:style>
  <w:style w:type="paragraph" w:customStyle="1" w:styleId="434">
    <w:name w:val="目录标题"/>
    <w:basedOn w:val="1"/>
    <w:next w:val="1"/>
    <w:qFormat/>
    <w:uiPriority w:val="0"/>
    <w:pPr>
      <w:widowControl/>
      <w:spacing w:before="566" w:after="544" w:line="566" w:lineRule="atLeast"/>
      <w:ind w:firstLine="419"/>
      <w:jc w:val="center"/>
      <w:textAlignment w:val="baseline"/>
    </w:pPr>
    <w:rPr>
      <w:rFonts w:ascii="Arial" w:eastAsia="黑体"/>
      <w:color w:val="000000"/>
      <w:spacing w:val="566"/>
      <w:kern w:val="0"/>
      <w:sz w:val="54"/>
      <w:szCs w:val="20"/>
    </w:rPr>
  </w:style>
  <w:style w:type="paragraph" w:customStyle="1" w:styleId="435">
    <w:name w:val="Char Char1 Char Char Char Char"/>
    <w:basedOn w:val="17"/>
    <w:qFormat/>
    <w:uiPriority w:val="0"/>
    <w:rPr>
      <w:rFonts w:ascii="Tahoma" w:hAnsi="Tahoma"/>
      <w:sz w:val="24"/>
    </w:rPr>
  </w:style>
  <w:style w:type="paragraph" w:customStyle="1" w:styleId="43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438">
    <w:name w:val="unnamed1"/>
    <w:basedOn w:val="1"/>
    <w:qFormat/>
    <w:uiPriority w:val="0"/>
    <w:pPr>
      <w:widowControl/>
      <w:spacing w:before="100" w:beforeAutospacing="1" w:after="100" w:afterAutospacing="1" w:line="288" w:lineRule="auto"/>
      <w:jc w:val="left"/>
    </w:pPr>
    <w:rPr>
      <w:rFonts w:ascii="宋体" w:hAnsi="宋体"/>
      <w:kern w:val="0"/>
      <w:szCs w:val="21"/>
    </w:rPr>
  </w:style>
  <w:style w:type="paragraph" w:customStyle="1" w:styleId="43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40">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top"/>
    </w:pPr>
    <w:rPr>
      <w:kern w:val="0"/>
      <w:szCs w:val="21"/>
    </w:rPr>
  </w:style>
  <w:style w:type="paragraph" w:customStyle="1" w:styleId="442">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443">
    <w:name w:val="列表段落1"/>
    <w:basedOn w:val="1"/>
    <w:qFormat/>
    <w:uiPriority w:val="0"/>
    <w:pPr>
      <w:ind w:firstLine="420" w:firstLineChars="200"/>
    </w:pPr>
    <w:rPr>
      <w:rFonts w:ascii="Calibri" w:hAnsi="Calibri"/>
      <w:szCs w:val="22"/>
    </w:rPr>
  </w:style>
  <w:style w:type="paragraph" w:customStyle="1" w:styleId="444">
    <w:name w:val="pa-11"/>
    <w:basedOn w:val="1"/>
    <w:qFormat/>
    <w:uiPriority w:val="0"/>
    <w:pPr>
      <w:widowControl/>
      <w:spacing w:before="169" w:after="169"/>
      <w:jc w:val="left"/>
    </w:pPr>
    <w:rPr>
      <w:rFonts w:ascii="宋体" w:hAnsi="宋体" w:cs="宋体"/>
      <w:kern w:val="0"/>
      <w:sz w:val="24"/>
    </w:rPr>
  </w:style>
  <w:style w:type="paragraph" w:customStyle="1" w:styleId="445">
    <w:name w:val="paragraph1"/>
    <w:basedOn w:val="1"/>
    <w:qFormat/>
    <w:uiPriority w:val="0"/>
    <w:pPr>
      <w:spacing w:line="300" w:lineRule="auto"/>
      <w:ind w:firstLine="200" w:firstLineChars="200"/>
    </w:pPr>
    <w:rPr>
      <w:sz w:val="24"/>
    </w:rPr>
  </w:style>
  <w:style w:type="paragraph" w:customStyle="1" w:styleId="446">
    <w:name w:val="xl15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FF0000"/>
      <w:kern w:val="0"/>
      <w:sz w:val="20"/>
      <w:szCs w:val="20"/>
    </w:rPr>
  </w:style>
  <w:style w:type="paragraph" w:customStyle="1" w:styleId="447">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448">
    <w:name w:val="Char Char1 Char Char Char Char1"/>
    <w:basedOn w:val="17"/>
    <w:qFormat/>
    <w:uiPriority w:val="0"/>
    <w:rPr>
      <w:rFonts w:ascii="Tahoma" w:hAnsi="Tahoma"/>
      <w:sz w:val="24"/>
    </w:rPr>
  </w:style>
  <w:style w:type="paragraph" w:customStyle="1" w:styleId="449">
    <w:name w:val="节标题"/>
    <w:basedOn w:val="1"/>
    <w:next w:val="450"/>
    <w:qFormat/>
    <w:uiPriority w:val="0"/>
    <w:pPr>
      <w:widowControl/>
      <w:spacing w:line="289" w:lineRule="atLeast"/>
      <w:jc w:val="center"/>
      <w:textAlignment w:val="baseline"/>
    </w:pPr>
    <w:rPr>
      <w:color w:val="000000"/>
      <w:kern w:val="0"/>
      <w:sz w:val="28"/>
      <w:szCs w:val="20"/>
    </w:rPr>
  </w:style>
  <w:style w:type="paragraph" w:customStyle="1" w:styleId="450">
    <w:name w:val="小节标题"/>
    <w:basedOn w:val="1"/>
    <w:next w:val="1"/>
    <w:qFormat/>
    <w:uiPriority w:val="0"/>
    <w:pPr>
      <w:widowControl/>
      <w:spacing w:before="175" w:after="102" w:line="351" w:lineRule="atLeast"/>
      <w:textAlignment w:val="baseline"/>
    </w:pPr>
    <w:rPr>
      <w:rFonts w:eastAsia="黑体"/>
      <w:color w:val="000000"/>
      <w:kern w:val="0"/>
      <w:szCs w:val="20"/>
    </w:rPr>
  </w:style>
  <w:style w:type="paragraph" w:customStyle="1" w:styleId="451">
    <w:name w:val="页眉 New New New New New New New New"/>
    <w:basedOn w:val="452"/>
    <w:qFormat/>
    <w:uiPriority w:val="0"/>
    <w:pPr>
      <w:pBdr>
        <w:bottom w:val="single" w:color="auto" w:sz="6" w:space="1"/>
      </w:pBdr>
      <w:tabs>
        <w:tab w:val="center" w:pos="4153"/>
        <w:tab w:val="right" w:pos="8306"/>
      </w:tabs>
      <w:snapToGrid w:val="0"/>
      <w:jc w:val="center"/>
    </w:pPr>
    <w:rPr>
      <w:sz w:val="18"/>
      <w:szCs w:val="18"/>
    </w:rPr>
  </w:style>
  <w:style w:type="paragraph" w:customStyle="1" w:styleId="452">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3">
    <w:name w:val="xl1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0"/>
      <w:szCs w:val="20"/>
    </w:rPr>
  </w:style>
  <w:style w:type="paragraph" w:customStyle="1" w:styleId="454">
    <w:name w:val="Plain Text1"/>
    <w:basedOn w:val="1"/>
    <w:qFormat/>
    <w:uiPriority w:val="0"/>
    <w:pPr>
      <w:autoSpaceDE w:val="0"/>
      <w:autoSpaceDN w:val="0"/>
      <w:adjustRightInd w:val="0"/>
    </w:pPr>
    <w:rPr>
      <w:rFonts w:ascii="宋体" w:hAnsi="Tms Rmn"/>
      <w:kern w:val="0"/>
      <w:szCs w:val="20"/>
    </w:rPr>
  </w:style>
  <w:style w:type="paragraph" w:customStyle="1" w:styleId="455">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56">
    <w:name w:val="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5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58">
    <w:name w:val="p16"/>
    <w:basedOn w:val="1"/>
    <w:qFormat/>
    <w:uiPriority w:val="0"/>
    <w:pPr>
      <w:widowControl/>
    </w:pPr>
    <w:rPr>
      <w:rFonts w:ascii="宋体" w:hAnsi="宋体" w:cs="宋体"/>
      <w:kern w:val="0"/>
      <w:szCs w:val="21"/>
    </w:rPr>
  </w:style>
  <w:style w:type="paragraph" w:customStyle="1" w:styleId="459">
    <w:name w:val="TOC 标题2"/>
    <w:next w:val="1"/>
    <w:qFormat/>
    <w:uiPriority w:val="99"/>
    <w:pPr>
      <w:wordWrap w:val="0"/>
    </w:pPr>
    <w:rPr>
      <w:rFonts w:ascii="Calibri" w:hAnsi="Calibri" w:eastAsia="宋体" w:cs="Times New Roman"/>
      <w:sz w:val="32"/>
      <w:lang w:val="en-US" w:eastAsia="zh-CN" w:bidi="ar-SA"/>
    </w:rPr>
  </w:style>
  <w:style w:type="paragraph" w:customStyle="1" w:styleId="460">
    <w:name w:val="pa-0"/>
    <w:basedOn w:val="1"/>
    <w:qFormat/>
    <w:uiPriority w:val="0"/>
    <w:pPr>
      <w:widowControl/>
      <w:spacing w:before="100" w:beforeAutospacing="1" w:after="100" w:afterAutospacing="1"/>
      <w:jc w:val="left"/>
    </w:pPr>
    <w:rPr>
      <w:rFonts w:ascii="宋体" w:hAnsi="宋体" w:cs="宋体"/>
      <w:kern w:val="0"/>
      <w:sz w:val="24"/>
    </w:rPr>
  </w:style>
  <w:style w:type="paragraph" w:customStyle="1" w:styleId="461">
    <w:name w:val="xl1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462">
    <w:name w:val="Char23"/>
    <w:basedOn w:val="1"/>
    <w:qFormat/>
    <w:uiPriority w:val="0"/>
    <w:pPr>
      <w:widowControl/>
      <w:spacing w:after="160" w:line="240" w:lineRule="exact"/>
      <w:jc w:val="left"/>
    </w:pPr>
    <w:rPr>
      <w:rFonts w:ascii="Verdana" w:hAnsi="Verdana"/>
      <w:kern w:val="0"/>
      <w:szCs w:val="20"/>
      <w:lang w:eastAsia="en-US"/>
    </w:rPr>
  </w:style>
  <w:style w:type="paragraph" w:customStyle="1" w:styleId="463">
    <w:name w:val="Normal0"/>
    <w:qFormat/>
    <w:uiPriority w:val="0"/>
    <w:rPr>
      <w:rFonts w:ascii="Times New Roman" w:hAnsi="Times New Roman" w:eastAsia="宋体" w:cs="Times New Roman"/>
      <w:lang w:val="en-US" w:eastAsia="en-US" w:bidi="ar-SA"/>
    </w:rPr>
  </w:style>
  <w:style w:type="paragraph" w:customStyle="1" w:styleId="464">
    <w:name w:val="xl8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465">
    <w:name w:val="xl11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466">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标题3"/>
    <w:basedOn w:val="5"/>
    <w:qFormat/>
    <w:uiPriority w:val="0"/>
    <w:pPr>
      <w:keepLines w:val="0"/>
      <w:widowControl/>
      <w:tabs>
        <w:tab w:val="left" w:pos="1247"/>
      </w:tabs>
      <w:spacing w:before="240" w:after="120" w:line="360" w:lineRule="auto"/>
      <w:ind w:left="1247" w:hanging="1247"/>
      <w:jc w:val="left"/>
    </w:pPr>
    <w:rPr>
      <w:rFonts w:ascii="Arial" w:hAnsi="Arial"/>
      <w:sz w:val="52"/>
      <w:szCs w:val="52"/>
    </w:rPr>
  </w:style>
  <w:style w:type="paragraph" w:customStyle="1" w:styleId="468">
    <w:name w:val="正文表标题"/>
    <w:next w:val="1"/>
    <w:qFormat/>
    <w:uiPriority w:val="0"/>
    <w:pPr>
      <w:tabs>
        <w:tab w:val="left" w:pos="1200"/>
      </w:tabs>
      <w:jc w:val="center"/>
    </w:pPr>
    <w:rPr>
      <w:rFonts w:ascii="黑体" w:hAnsi="Times New Roman" w:eastAsia="黑体" w:cs="Times New Roman"/>
      <w:sz w:val="21"/>
      <w:lang w:val="en-US" w:eastAsia="zh-CN" w:bidi="ar-SA"/>
    </w:rPr>
  </w:style>
  <w:style w:type="paragraph" w:customStyle="1" w:styleId="469">
    <w:name w:val="页脚 New New New New"/>
    <w:basedOn w:val="440"/>
    <w:qFormat/>
    <w:uiPriority w:val="0"/>
    <w:pPr>
      <w:tabs>
        <w:tab w:val="center" w:pos="4153"/>
        <w:tab w:val="right" w:pos="8306"/>
      </w:tabs>
      <w:snapToGrid w:val="0"/>
      <w:jc w:val="left"/>
    </w:pPr>
    <w:rPr>
      <w:sz w:val="18"/>
      <w:szCs w:val="18"/>
    </w:rPr>
  </w:style>
  <w:style w:type="paragraph" w:customStyle="1" w:styleId="470">
    <w:name w:val="xl11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471">
    <w:name w:val="Char Char1 Char Char Char Char2"/>
    <w:basedOn w:val="17"/>
    <w:qFormat/>
    <w:uiPriority w:val="0"/>
  </w:style>
  <w:style w:type="paragraph" w:customStyle="1" w:styleId="472">
    <w:name w:val="Char Char Char Char Char Char Char Char Char Char Char Char Char Char Char Char1"/>
    <w:basedOn w:val="1"/>
    <w:qFormat/>
    <w:uiPriority w:val="0"/>
    <w:pPr>
      <w:tabs>
        <w:tab w:val="left" w:pos="360"/>
      </w:tabs>
      <w:spacing w:line="360" w:lineRule="auto"/>
      <w:ind w:left="482" w:firstLine="200" w:firstLineChars="200"/>
    </w:pPr>
    <w:rPr>
      <w:rFonts w:ascii="宋体"/>
      <w:sz w:val="24"/>
    </w:rPr>
  </w:style>
  <w:style w:type="paragraph" w:customStyle="1" w:styleId="473">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74">
    <w:name w:val="页脚 New New New New New New New"/>
    <w:basedOn w:val="392"/>
    <w:qFormat/>
    <w:uiPriority w:val="0"/>
    <w:pPr>
      <w:tabs>
        <w:tab w:val="center" w:pos="4153"/>
        <w:tab w:val="right" w:pos="8306"/>
      </w:tabs>
      <w:snapToGrid w:val="0"/>
      <w:jc w:val="left"/>
    </w:pPr>
    <w:rPr>
      <w:sz w:val="18"/>
      <w:szCs w:val="18"/>
    </w:rPr>
  </w:style>
  <w:style w:type="paragraph" w:customStyle="1" w:styleId="475">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476">
    <w:name w:val="Bullets"/>
    <w:basedOn w:val="1"/>
    <w:qFormat/>
    <w:uiPriority w:val="0"/>
    <w:pPr>
      <w:widowControl/>
      <w:adjustRightInd w:val="0"/>
      <w:snapToGrid w:val="0"/>
      <w:spacing w:before="60" w:after="60"/>
    </w:pPr>
    <w:rPr>
      <w:kern w:val="0"/>
      <w:sz w:val="24"/>
      <w:lang w:val="en-GB"/>
    </w:rPr>
  </w:style>
  <w:style w:type="paragraph" w:customStyle="1" w:styleId="477">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333333"/>
      <w:kern w:val="0"/>
      <w:sz w:val="20"/>
      <w:szCs w:val="20"/>
    </w:rPr>
  </w:style>
  <w:style w:type="paragraph" w:customStyle="1" w:styleId="478">
    <w:name w:val="无间隔1"/>
    <w:qFormat/>
    <w:uiPriority w:val="0"/>
    <w:rPr>
      <w:rFonts w:ascii="Times New Roman" w:hAnsi="Times New Roman" w:eastAsia="宋体" w:cs="Times New Roman"/>
      <w:sz w:val="22"/>
      <w:szCs w:val="22"/>
      <w:lang w:val="en-US" w:eastAsia="zh-CN" w:bidi="ar-SA"/>
    </w:rPr>
  </w:style>
  <w:style w:type="paragraph" w:customStyle="1" w:styleId="479">
    <w:name w:val="纯文本11"/>
    <w:basedOn w:val="1"/>
    <w:qFormat/>
    <w:uiPriority w:val="0"/>
    <w:rPr>
      <w:rFonts w:ascii="宋体" w:hAnsi="Courier New"/>
      <w:kern w:val="0"/>
      <w:sz w:val="20"/>
      <w:szCs w:val="20"/>
    </w:rPr>
  </w:style>
  <w:style w:type="paragraph" w:customStyle="1" w:styleId="480">
    <w:name w:val="font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481">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82">
    <w:name w:val="样式 标题 1H1标题 1 Char Char Char Char Char Char Char Char + 四号 加粗"/>
    <w:basedOn w:val="1"/>
    <w:qFormat/>
    <w:uiPriority w:val="0"/>
    <w:pPr>
      <w:outlineLvl w:val="0"/>
    </w:pPr>
    <w:rPr>
      <w:rFonts w:ascii="仿宋_GB2312" w:hAnsi="宋体" w:eastAsia="仿宋_GB2312"/>
      <w:sz w:val="28"/>
      <w:szCs w:val="28"/>
    </w:rPr>
  </w:style>
  <w:style w:type="paragraph" w:customStyle="1" w:styleId="483">
    <w:name w:val="列出段落11"/>
    <w:qFormat/>
    <w:uiPriority w:val="0"/>
    <w:pPr>
      <w:ind w:firstLine="420" w:firstLineChars="200"/>
    </w:pPr>
    <w:rPr>
      <w:rFonts w:ascii="Times New Roman" w:hAnsi="Times New Roman" w:eastAsia="宋体" w:cs="Times New Roman"/>
      <w:szCs w:val="22"/>
      <w:lang w:val="en-US" w:eastAsia="zh-CN" w:bidi="ar-SA"/>
    </w:rPr>
  </w:style>
  <w:style w:type="paragraph" w:customStyle="1" w:styleId="484">
    <w:name w:val="xl9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485">
    <w:name w:val="Char Char Char3"/>
    <w:basedOn w:val="1"/>
    <w:qFormat/>
    <w:uiPriority w:val="0"/>
  </w:style>
  <w:style w:type="paragraph" w:customStyle="1" w:styleId="486">
    <w:name w:val="正文文本缩进 Char Char Char Char"/>
    <w:basedOn w:val="1"/>
    <w:qFormat/>
    <w:uiPriority w:val="0"/>
    <w:pPr>
      <w:ind w:firstLine="540"/>
    </w:pPr>
    <w:rPr>
      <w:rFonts w:hint="eastAsia" w:ascii="宋体" w:hAnsi="Courier New"/>
      <w:szCs w:val="20"/>
    </w:rPr>
  </w:style>
  <w:style w:type="paragraph" w:customStyle="1" w:styleId="487">
    <w:name w:val="xl14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488">
    <w:name w:val="样式 正文文字 + 小四 段后: 0 磅 行距: 1.5 倍行距"/>
    <w:basedOn w:val="21"/>
    <w:qFormat/>
    <w:uiPriority w:val="0"/>
    <w:pPr>
      <w:spacing w:line="360" w:lineRule="auto"/>
      <w:ind w:firstLine="480" w:firstLineChars="200"/>
    </w:pPr>
    <w:rPr>
      <w:rFonts w:cs="宋体"/>
      <w:szCs w:val="20"/>
    </w:rPr>
  </w:style>
  <w:style w:type="paragraph" w:customStyle="1" w:styleId="489">
    <w:name w:val="Body"/>
    <w:basedOn w:val="1"/>
    <w:qFormat/>
    <w:uiPriority w:val="0"/>
    <w:pPr>
      <w:widowControl/>
      <w:tabs>
        <w:tab w:val="left" w:pos="1980"/>
      </w:tabs>
      <w:spacing w:before="80" w:after="80" w:line="360" w:lineRule="auto"/>
      <w:jc w:val="center"/>
    </w:pPr>
    <w:rPr>
      <w:szCs w:val="21"/>
    </w:rPr>
  </w:style>
  <w:style w:type="paragraph" w:customStyle="1" w:styleId="490">
    <w:name w:val="xl12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491">
    <w:name w:val="179"/>
    <w:basedOn w:val="1"/>
    <w:qFormat/>
    <w:uiPriority w:val="0"/>
    <w:pPr>
      <w:ind w:firstLine="420" w:firstLineChars="200"/>
    </w:pPr>
    <w:rPr>
      <w:rFonts w:ascii="Calibri" w:hAnsi="Calibri"/>
      <w:szCs w:val="22"/>
    </w:rPr>
  </w:style>
  <w:style w:type="paragraph" w:customStyle="1" w:styleId="492">
    <w:name w:val="列出段落22"/>
    <w:basedOn w:val="1"/>
    <w:qFormat/>
    <w:uiPriority w:val="0"/>
    <w:pPr>
      <w:ind w:firstLine="420" w:firstLineChars="200"/>
    </w:pPr>
    <w:rPr>
      <w:sz w:val="24"/>
    </w:rPr>
  </w:style>
  <w:style w:type="paragraph" w:customStyle="1" w:styleId="49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4">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49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496">
    <w:name w:val="页眉 New New New New New New"/>
    <w:basedOn w:val="497"/>
    <w:qFormat/>
    <w:uiPriority w:val="0"/>
    <w:pPr>
      <w:pBdr>
        <w:bottom w:val="single" w:color="auto" w:sz="6" w:space="1"/>
      </w:pBdr>
      <w:tabs>
        <w:tab w:val="center" w:pos="4153"/>
        <w:tab w:val="right" w:pos="8306"/>
      </w:tabs>
      <w:snapToGrid w:val="0"/>
      <w:jc w:val="center"/>
    </w:pPr>
    <w:rPr>
      <w:sz w:val="18"/>
      <w:szCs w:val="18"/>
    </w:rPr>
  </w:style>
  <w:style w:type="paragraph" w:customStyle="1" w:styleId="497">
    <w:name w:val="正文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8">
    <w:name w:val="_Style 35"/>
    <w:basedOn w:val="17"/>
    <w:qFormat/>
    <w:uiPriority w:val="0"/>
    <w:pPr>
      <w:widowControl/>
      <w:ind w:firstLine="454"/>
      <w:jc w:val="left"/>
    </w:pPr>
  </w:style>
  <w:style w:type="paragraph" w:customStyle="1" w:styleId="499">
    <w:name w:val="pa-10"/>
    <w:basedOn w:val="1"/>
    <w:qFormat/>
    <w:uiPriority w:val="0"/>
    <w:pPr>
      <w:widowControl/>
      <w:spacing w:before="169" w:after="169"/>
      <w:jc w:val="left"/>
    </w:pPr>
    <w:rPr>
      <w:rFonts w:ascii="宋体" w:hAnsi="宋体" w:cs="宋体"/>
      <w:kern w:val="0"/>
      <w:sz w:val="24"/>
    </w:rPr>
  </w:style>
  <w:style w:type="paragraph" w:customStyle="1" w:styleId="500">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501">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502">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503">
    <w:name w:val="文章总标题"/>
    <w:basedOn w:val="1"/>
    <w:next w:val="504"/>
    <w:qFormat/>
    <w:uiPriority w:val="0"/>
    <w:pPr>
      <w:widowControl/>
      <w:spacing w:before="566" w:after="544" w:line="566" w:lineRule="atLeast"/>
      <w:jc w:val="center"/>
      <w:textAlignment w:val="baseline"/>
    </w:pPr>
    <w:rPr>
      <w:rFonts w:ascii="Arial" w:eastAsia="黑体"/>
      <w:color w:val="000000"/>
      <w:kern w:val="0"/>
      <w:sz w:val="54"/>
      <w:szCs w:val="20"/>
    </w:rPr>
  </w:style>
  <w:style w:type="paragraph" w:customStyle="1" w:styleId="504">
    <w:name w:val="文章附标题"/>
    <w:basedOn w:val="1"/>
    <w:next w:val="3"/>
    <w:qFormat/>
    <w:uiPriority w:val="0"/>
    <w:pPr>
      <w:widowControl/>
      <w:spacing w:before="187" w:after="175" w:line="374" w:lineRule="atLeast"/>
      <w:jc w:val="center"/>
      <w:textAlignment w:val="baseline"/>
    </w:pPr>
    <w:rPr>
      <w:color w:val="000000"/>
      <w:kern w:val="0"/>
      <w:sz w:val="36"/>
      <w:szCs w:val="20"/>
    </w:rPr>
  </w:style>
  <w:style w:type="paragraph" w:customStyle="1" w:styleId="505">
    <w:name w:val="列出段落2"/>
    <w:basedOn w:val="1"/>
    <w:qFormat/>
    <w:uiPriority w:val="0"/>
    <w:pPr>
      <w:ind w:firstLine="420" w:firstLineChars="200"/>
    </w:pPr>
    <w:rPr>
      <w:kern w:val="0"/>
      <w:sz w:val="20"/>
      <w:szCs w:val="20"/>
    </w:rPr>
  </w:style>
  <w:style w:type="paragraph" w:customStyle="1" w:styleId="506">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7">
    <w:name w:val="pa-1"/>
    <w:basedOn w:val="1"/>
    <w:qFormat/>
    <w:uiPriority w:val="0"/>
    <w:pPr>
      <w:widowControl/>
      <w:spacing w:before="100" w:beforeAutospacing="1" w:after="100" w:afterAutospacing="1"/>
      <w:jc w:val="left"/>
    </w:pPr>
    <w:rPr>
      <w:rFonts w:ascii="宋体" w:hAnsi="宋体" w:cs="宋体"/>
      <w:kern w:val="0"/>
      <w:sz w:val="24"/>
    </w:rPr>
  </w:style>
  <w:style w:type="paragraph" w:customStyle="1" w:styleId="508">
    <w:name w:val="xl1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09">
    <w:name w:val="页眉 New New New New New"/>
    <w:basedOn w:val="466"/>
    <w:qFormat/>
    <w:uiPriority w:val="0"/>
    <w:pPr>
      <w:pBdr>
        <w:bottom w:val="single" w:color="auto" w:sz="6" w:space="1"/>
      </w:pBdr>
      <w:tabs>
        <w:tab w:val="center" w:pos="4153"/>
        <w:tab w:val="right" w:pos="8306"/>
      </w:tabs>
      <w:snapToGrid w:val="0"/>
      <w:jc w:val="center"/>
    </w:pPr>
    <w:rPr>
      <w:sz w:val="18"/>
      <w:szCs w:val="18"/>
    </w:rPr>
  </w:style>
  <w:style w:type="paragraph" w:customStyle="1" w:styleId="510">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1">
    <w:name w:val="Char Char Char Char Char Char Char Char Char 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12">
    <w:name w:val="标准正文"/>
    <w:basedOn w:val="1"/>
    <w:next w:val="1"/>
    <w:qFormat/>
    <w:uiPriority w:val="0"/>
    <w:pPr>
      <w:widowControl/>
      <w:spacing w:after="50"/>
      <w:ind w:firstLine="200"/>
    </w:pPr>
    <w:rPr>
      <w:color w:val="000000"/>
      <w:sz w:val="24"/>
      <w:szCs w:val="20"/>
    </w:rPr>
  </w:style>
  <w:style w:type="paragraph" w:customStyle="1" w:styleId="513">
    <w:name w:val="Char Char1"/>
    <w:basedOn w:val="1"/>
    <w:qFormat/>
    <w:uiPriority w:val="0"/>
    <w:pPr>
      <w:widowControl/>
      <w:spacing w:after="160" w:line="240" w:lineRule="exact"/>
      <w:jc w:val="left"/>
    </w:pPr>
    <w:rPr>
      <w:rFonts w:ascii="Verdana" w:hAnsi="Verdana" w:eastAsia="楷体_GB2312" w:cs="宋体"/>
      <w:b/>
      <w:i/>
      <w:iCs/>
      <w:color w:val="000000"/>
      <w:kern w:val="0"/>
      <w:sz w:val="20"/>
      <w:lang w:eastAsia="en-US"/>
    </w:rPr>
  </w:style>
  <w:style w:type="paragraph" w:customStyle="1" w:styleId="514">
    <w:name w:val="默认段落字体 Para Char"/>
    <w:basedOn w:val="1"/>
    <w:qFormat/>
    <w:uiPriority w:val="0"/>
    <w:pPr>
      <w:adjustRightInd w:val="0"/>
      <w:spacing w:line="360" w:lineRule="auto"/>
    </w:pPr>
    <w:rPr>
      <w:szCs w:val="20"/>
    </w:rPr>
  </w:style>
  <w:style w:type="paragraph" w:customStyle="1" w:styleId="515">
    <w:name w:val="Char3"/>
    <w:basedOn w:val="17"/>
    <w:qFormat/>
    <w:uiPriority w:val="0"/>
    <w:pPr>
      <w:widowControl/>
      <w:ind w:firstLine="454"/>
      <w:jc w:val="left"/>
    </w:pPr>
    <w:rPr>
      <w:rFonts w:ascii="Tahoma" w:hAnsi="Tahoma" w:cs="宋体"/>
      <w:kern w:val="0"/>
      <w:sz w:val="24"/>
      <w:szCs w:val="20"/>
    </w:rPr>
  </w:style>
  <w:style w:type="paragraph" w:customStyle="1" w:styleId="516">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517">
    <w:name w:val="444"/>
    <w:basedOn w:val="1"/>
    <w:qFormat/>
    <w:uiPriority w:val="0"/>
    <w:pPr>
      <w:adjustRightInd w:val="0"/>
      <w:spacing w:line="312" w:lineRule="atLeast"/>
      <w:jc w:val="center"/>
      <w:textAlignment w:val="baseline"/>
    </w:pPr>
    <w:rPr>
      <w:b/>
      <w:kern w:val="0"/>
      <w:sz w:val="36"/>
      <w:szCs w:val="36"/>
    </w:rPr>
  </w:style>
  <w:style w:type="paragraph" w:customStyle="1" w:styleId="518">
    <w:name w:val="样式 宋体 小四 行距: 1.5 倍行距1 Char"/>
    <w:basedOn w:val="1"/>
    <w:qFormat/>
    <w:uiPriority w:val="0"/>
    <w:pPr>
      <w:spacing w:line="360" w:lineRule="auto"/>
      <w:ind w:firstLine="540" w:firstLineChars="225"/>
    </w:pPr>
    <w:rPr>
      <w:rFonts w:ascii="宋体" w:hAnsi="宋体"/>
      <w:sz w:val="24"/>
    </w:rPr>
  </w:style>
  <w:style w:type="paragraph" w:customStyle="1" w:styleId="519">
    <w:name w:val="页眉 New New"/>
    <w:basedOn w:val="520"/>
    <w:qFormat/>
    <w:uiPriority w:val="0"/>
    <w:pPr>
      <w:pBdr>
        <w:bottom w:val="single" w:color="auto" w:sz="6" w:space="1"/>
      </w:pBdr>
      <w:tabs>
        <w:tab w:val="center" w:pos="4153"/>
        <w:tab w:val="right" w:pos="8306"/>
      </w:tabs>
      <w:snapToGrid w:val="0"/>
      <w:jc w:val="center"/>
    </w:pPr>
    <w:rPr>
      <w:sz w:val="18"/>
      <w:szCs w:val="18"/>
    </w:rPr>
  </w:style>
  <w:style w:type="paragraph" w:customStyle="1" w:styleId="520">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1">
    <w:name w:val="_Style 150"/>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2">
    <w:name w:val="页脚 New New New New New New New New New"/>
    <w:basedOn w:val="418"/>
    <w:qFormat/>
    <w:uiPriority w:val="0"/>
    <w:pPr>
      <w:tabs>
        <w:tab w:val="center" w:pos="4153"/>
        <w:tab w:val="right" w:pos="8306"/>
      </w:tabs>
      <w:snapToGrid w:val="0"/>
      <w:jc w:val="left"/>
    </w:pPr>
    <w:rPr>
      <w:sz w:val="18"/>
      <w:szCs w:val="18"/>
    </w:rPr>
  </w:style>
  <w:style w:type="paragraph" w:customStyle="1" w:styleId="523">
    <w:name w:val="样式 标题 2H2h22nd levelTitre2l22Header 2节标题一级节名Level 2 He..."/>
    <w:basedOn w:val="4"/>
    <w:qFormat/>
    <w:uiPriority w:val="0"/>
    <w:pPr>
      <w:adjustRightInd w:val="0"/>
      <w:snapToGrid w:val="0"/>
      <w:spacing w:before="0" w:after="0" w:line="360" w:lineRule="auto"/>
    </w:pPr>
    <w:rPr>
      <w:sz w:val="21"/>
      <w:szCs w:val="20"/>
    </w:rPr>
  </w:style>
  <w:style w:type="paragraph" w:customStyle="1" w:styleId="524">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5">
    <w:name w:val="pa-9"/>
    <w:basedOn w:val="1"/>
    <w:qFormat/>
    <w:uiPriority w:val="0"/>
    <w:pPr>
      <w:widowControl/>
      <w:spacing w:before="169" w:after="169"/>
      <w:jc w:val="left"/>
    </w:pPr>
    <w:rPr>
      <w:rFonts w:ascii="宋体" w:hAnsi="宋体" w:cs="宋体"/>
      <w:kern w:val="0"/>
      <w:sz w:val="24"/>
    </w:rPr>
  </w:style>
  <w:style w:type="paragraph" w:customStyle="1" w:styleId="52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27">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528">
    <w:name w:val="Char Char Char Char Char Char1 Char"/>
    <w:basedOn w:val="1"/>
    <w:qFormat/>
    <w:uiPriority w:val="0"/>
    <w:pPr>
      <w:widowControl/>
      <w:spacing w:after="160" w:line="240" w:lineRule="exact"/>
      <w:jc w:val="left"/>
    </w:pPr>
  </w:style>
  <w:style w:type="paragraph" w:customStyle="1" w:styleId="52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30">
    <w:name w:val="表项"/>
    <w:next w:val="1"/>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531">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532">
    <w:name w:val="表格"/>
    <w:basedOn w:val="1"/>
    <w:qFormat/>
    <w:uiPriority w:val="0"/>
    <w:pPr>
      <w:spacing w:line="400" w:lineRule="exact"/>
    </w:pPr>
    <w:rPr>
      <w:sz w:val="24"/>
    </w:rPr>
  </w:style>
  <w:style w:type="paragraph" w:customStyle="1" w:styleId="533">
    <w:name w:val="Char Char Char Char Char Char Char Char Char Char Char Char Char Char Char Char21"/>
    <w:basedOn w:val="1"/>
    <w:qFormat/>
    <w:uiPriority w:val="0"/>
    <w:pPr>
      <w:tabs>
        <w:tab w:val="left" w:pos="360"/>
      </w:tabs>
      <w:spacing w:line="360" w:lineRule="auto"/>
      <w:ind w:left="482" w:firstLine="200" w:firstLineChars="200"/>
    </w:pPr>
    <w:rPr>
      <w:rFonts w:ascii="宋体"/>
      <w:sz w:val="24"/>
    </w:rPr>
  </w:style>
  <w:style w:type="paragraph" w:customStyle="1" w:styleId="534">
    <w:name w:val="样式 首行缩进:  2 字符"/>
    <w:basedOn w:val="1"/>
    <w:qFormat/>
    <w:uiPriority w:val="0"/>
    <w:pPr>
      <w:spacing w:line="400" w:lineRule="exact"/>
      <w:ind w:firstLine="200" w:firstLineChars="200"/>
    </w:pPr>
    <w:rPr>
      <w:rFonts w:cs="宋体"/>
      <w:sz w:val="24"/>
    </w:rPr>
  </w:style>
  <w:style w:type="paragraph" w:customStyle="1" w:styleId="535">
    <w:name w:val="样式1 正文（首行缩进两字） Char + Times New Roman"/>
    <w:qFormat/>
    <w:uiPriority w:val="0"/>
    <w:pPr>
      <w:spacing w:line="360" w:lineRule="auto"/>
      <w:ind w:firstLine="420"/>
    </w:pPr>
    <w:rPr>
      <w:rFonts w:ascii="Arial" w:hAnsi="Arial" w:eastAsia="宋体" w:cs="Arial"/>
      <w:bCs/>
      <w:kern w:val="2"/>
      <w:sz w:val="24"/>
      <w:szCs w:val="24"/>
      <w:lang w:val="en-US" w:eastAsia="zh-CN" w:bidi="ar-SA"/>
    </w:rPr>
  </w:style>
  <w:style w:type="paragraph" w:customStyle="1" w:styleId="53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537">
    <w:name w:val="pa-14"/>
    <w:basedOn w:val="1"/>
    <w:qFormat/>
    <w:uiPriority w:val="0"/>
    <w:pPr>
      <w:widowControl/>
      <w:spacing w:before="169" w:after="169"/>
      <w:jc w:val="left"/>
    </w:pPr>
    <w:rPr>
      <w:rFonts w:ascii="宋体" w:hAnsi="宋体" w:cs="宋体"/>
      <w:kern w:val="0"/>
      <w:sz w:val="24"/>
    </w:rPr>
  </w:style>
  <w:style w:type="paragraph" w:customStyle="1" w:styleId="538">
    <w:name w:val="xl1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539">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540">
    <w:name w:val="页脚 New New New New New New"/>
    <w:basedOn w:val="497"/>
    <w:qFormat/>
    <w:uiPriority w:val="0"/>
    <w:pPr>
      <w:tabs>
        <w:tab w:val="center" w:pos="4153"/>
        <w:tab w:val="right" w:pos="8306"/>
      </w:tabs>
      <w:snapToGrid w:val="0"/>
      <w:jc w:val="left"/>
    </w:pPr>
    <w:rPr>
      <w:sz w:val="18"/>
      <w:szCs w:val="18"/>
    </w:rPr>
  </w:style>
  <w:style w:type="paragraph" w:customStyle="1" w:styleId="541">
    <w:name w:val="bb"/>
    <w:basedOn w:val="1"/>
    <w:qFormat/>
    <w:uiPriority w:val="0"/>
    <w:pPr>
      <w:widowControl/>
      <w:spacing w:before="100" w:beforeAutospacing="1" w:after="100" w:afterAutospacing="1"/>
      <w:jc w:val="left"/>
    </w:pPr>
    <w:rPr>
      <w:rFonts w:ascii="宋体" w:hAnsi="宋体"/>
      <w:kern w:val="0"/>
      <w:sz w:val="24"/>
    </w:rPr>
  </w:style>
  <w:style w:type="paragraph" w:customStyle="1" w:styleId="542">
    <w:name w:val="正文11"/>
    <w:qFormat/>
    <w:uiPriority w:val="0"/>
    <w:pPr>
      <w:jc w:val="both"/>
    </w:pPr>
    <w:rPr>
      <w:rFonts w:ascii="Times New Roman" w:hAnsi="Times New Roman" w:eastAsia="宋体" w:cs="Times New Roman"/>
      <w:lang w:val="en-US" w:eastAsia="zh-CN" w:bidi="ar-SA"/>
    </w:rPr>
  </w:style>
  <w:style w:type="paragraph" w:customStyle="1" w:styleId="543">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44">
    <w:name w:val="4"/>
    <w:basedOn w:val="1"/>
    <w:next w:val="32"/>
    <w:qFormat/>
    <w:uiPriority w:val="0"/>
    <w:pPr>
      <w:spacing w:line="420" w:lineRule="exact"/>
      <w:ind w:firstLine="409" w:firstLineChars="195"/>
    </w:pPr>
  </w:style>
  <w:style w:type="paragraph" w:customStyle="1" w:styleId="54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46">
    <w:name w:val="样式 标题 2 + (西文) 宋体 非加粗 居中"/>
    <w:basedOn w:val="4"/>
    <w:qFormat/>
    <w:uiPriority w:val="0"/>
    <w:pPr>
      <w:jc w:val="center"/>
    </w:pPr>
    <w:rPr>
      <w:rFonts w:ascii="宋体" w:hAnsi="宋体" w:cs="宋体"/>
      <w:b w:val="0"/>
      <w:bCs w:val="0"/>
      <w:spacing w:val="2"/>
      <w:sz w:val="28"/>
      <w:szCs w:val="20"/>
    </w:rPr>
  </w:style>
  <w:style w:type="paragraph" w:customStyle="1" w:styleId="547">
    <w:name w:val="Char Char1 Char Char Char Char3"/>
    <w:basedOn w:val="17"/>
    <w:qFormat/>
    <w:uiPriority w:val="0"/>
    <w:rPr>
      <w:rFonts w:ascii="Tahoma" w:hAnsi="Tahoma"/>
      <w:sz w:val="24"/>
    </w:rPr>
  </w:style>
  <w:style w:type="paragraph" w:customStyle="1" w:styleId="548">
    <w:name w:val="Char Char Char Char Char Char Char Char Char Char Char Char Char Char Char Char2"/>
    <w:basedOn w:val="1"/>
    <w:qFormat/>
    <w:uiPriority w:val="0"/>
    <w:pPr>
      <w:tabs>
        <w:tab w:val="left" w:pos="360"/>
      </w:tabs>
      <w:spacing w:line="360" w:lineRule="auto"/>
      <w:ind w:left="482" w:firstLine="200" w:firstLineChars="200"/>
    </w:pPr>
    <w:rPr>
      <w:rFonts w:ascii="宋体"/>
      <w:sz w:val="24"/>
    </w:rPr>
  </w:style>
  <w:style w:type="paragraph" w:customStyle="1" w:styleId="549">
    <w:name w:val="pa-12"/>
    <w:basedOn w:val="1"/>
    <w:qFormat/>
    <w:uiPriority w:val="0"/>
    <w:pPr>
      <w:widowControl/>
      <w:spacing w:before="169" w:after="169"/>
      <w:jc w:val="left"/>
    </w:pPr>
    <w:rPr>
      <w:rFonts w:ascii="宋体" w:hAnsi="宋体" w:cs="宋体"/>
      <w:kern w:val="0"/>
      <w:sz w:val="24"/>
    </w:rPr>
  </w:style>
  <w:style w:type="paragraph" w:customStyle="1" w:styleId="550">
    <w:name w:val="标题2"/>
    <w:basedOn w:val="4"/>
    <w:qFormat/>
    <w:uiPriority w:val="0"/>
    <w:pPr>
      <w:snapToGrid w:val="0"/>
      <w:spacing w:line="410" w:lineRule="auto"/>
    </w:pPr>
    <w:rPr>
      <w:rFonts w:eastAsia="宋体"/>
      <w:b w:val="0"/>
    </w:rPr>
  </w:style>
  <w:style w:type="paragraph" w:customStyle="1" w:styleId="5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52">
    <w:name w:val="样式 样式 样式 样式 正文首行缩进 + 首行缩进:  1 字符5 + Times New Roman + 首行缩进:  2 字..."/>
    <w:basedOn w:val="1"/>
    <w:qFormat/>
    <w:uiPriority w:val="0"/>
    <w:pPr>
      <w:snapToGrid w:val="0"/>
      <w:spacing w:line="360" w:lineRule="auto"/>
      <w:ind w:firstLine="420" w:firstLineChars="200"/>
    </w:pPr>
    <w:rPr>
      <w:color w:val="000000"/>
      <w:szCs w:val="20"/>
    </w:rPr>
  </w:style>
  <w:style w:type="paragraph" w:customStyle="1" w:styleId="553">
    <w:name w:val="文档标题"/>
    <w:basedOn w:val="1"/>
    <w:qFormat/>
    <w:uiPriority w:val="0"/>
    <w:pPr>
      <w:widowControl/>
      <w:spacing w:line="360" w:lineRule="auto"/>
      <w:ind w:firstLine="1120" w:firstLineChars="200"/>
      <w:jc w:val="right"/>
    </w:pPr>
    <w:rPr>
      <w:rFonts w:eastAsia="黑体"/>
      <w:bCs/>
      <w:kern w:val="0"/>
      <w:sz w:val="56"/>
      <w:szCs w:val="56"/>
    </w:rPr>
  </w:style>
  <w:style w:type="paragraph" w:customStyle="1" w:styleId="554">
    <w:name w:val="xl14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555">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556">
    <w:name w:val="5 Char Char Char Char Char Char Char Char Char Char"/>
    <w:basedOn w:val="1"/>
    <w:qFormat/>
    <w:uiPriority w:val="0"/>
  </w:style>
  <w:style w:type="paragraph" w:customStyle="1" w:styleId="557">
    <w:name w:val="xl31"/>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558">
    <w:name w:val="页眉 New New New"/>
    <w:basedOn w:val="524"/>
    <w:qFormat/>
    <w:uiPriority w:val="0"/>
    <w:pPr>
      <w:pBdr>
        <w:bottom w:val="single" w:color="auto" w:sz="6" w:space="1"/>
      </w:pBdr>
      <w:tabs>
        <w:tab w:val="center" w:pos="4153"/>
        <w:tab w:val="right" w:pos="8306"/>
      </w:tabs>
      <w:snapToGrid w:val="0"/>
      <w:jc w:val="center"/>
    </w:pPr>
    <w:rPr>
      <w:sz w:val="18"/>
      <w:szCs w:val="18"/>
    </w:rPr>
  </w:style>
  <w:style w:type="paragraph" w:customStyle="1" w:styleId="55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0">
    <w:name w:val="_Style 70"/>
    <w:unhideWhenUsed/>
    <w:qFormat/>
    <w:uiPriority w:val="99"/>
    <w:rPr>
      <w:rFonts w:ascii="Times New Roman" w:hAnsi="Times New Roman" w:eastAsia="宋体" w:cs="Times New Roman"/>
      <w:kern w:val="2"/>
      <w:sz w:val="21"/>
      <w:szCs w:val="24"/>
      <w:lang w:val="en-US" w:eastAsia="zh-CN" w:bidi="ar-SA"/>
    </w:rPr>
  </w:style>
  <w:style w:type="paragraph" w:customStyle="1" w:styleId="561">
    <w:name w:val="xl8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62">
    <w:name w:val="列出段落12"/>
    <w:qFormat/>
    <w:uiPriority w:val="99"/>
    <w:pPr>
      <w:ind w:firstLine="420" w:firstLineChars="200"/>
    </w:pPr>
    <w:rPr>
      <w:rFonts w:ascii="Times New Roman" w:hAnsi="Times New Roman" w:eastAsia="宋体" w:cs="Times New Roman"/>
      <w:szCs w:val="22"/>
      <w:lang w:val="en-US" w:eastAsia="zh-CN" w:bidi="ar-SA"/>
    </w:rPr>
  </w:style>
  <w:style w:type="paragraph" w:customStyle="1" w:styleId="563">
    <w:name w:val="样式 0正文 + 首行缩进:  2 字符1"/>
    <w:basedOn w:val="1"/>
    <w:qFormat/>
    <w:uiPriority w:val="99"/>
    <w:pPr>
      <w:spacing w:line="360" w:lineRule="auto"/>
      <w:ind w:firstLine="200" w:firstLineChars="200"/>
    </w:pPr>
    <w:rPr>
      <w:szCs w:val="20"/>
    </w:rPr>
  </w:style>
  <w:style w:type="paragraph" w:customStyle="1" w:styleId="564">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565">
    <w:name w:val="页眉 New New New New"/>
    <w:basedOn w:val="440"/>
    <w:qFormat/>
    <w:uiPriority w:val="0"/>
    <w:pPr>
      <w:pBdr>
        <w:bottom w:val="single" w:color="auto" w:sz="6" w:space="1"/>
      </w:pBdr>
      <w:tabs>
        <w:tab w:val="center" w:pos="4153"/>
        <w:tab w:val="right" w:pos="8306"/>
      </w:tabs>
      <w:snapToGrid w:val="0"/>
      <w:jc w:val="center"/>
    </w:pPr>
    <w:rPr>
      <w:sz w:val="18"/>
      <w:szCs w:val="18"/>
    </w:rPr>
  </w:style>
  <w:style w:type="paragraph" w:customStyle="1" w:styleId="566">
    <w:name w:val="1"/>
    <w:basedOn w:val="1"/>
    <w:next w:val="29"/>
    <w:qFormat/>
    <w:uiPriority w:val="0"/>
    <w:rPr>
      <w:rFonts w:ascii="宋体" w:hAnsi="Courier New"/>
      <w:szCs w:val="20"/>
    </w:rPr>
  </w:style>
  <w:style w:type="paragraph" w:customStyle="1" w:styleId="567">
    <w:name w:val="页脚 New"/>
    <w:basedOn w:val="400"/>
    <w:qFormat/>
    <w:uiPriority w:val="0"/>
    <w:pPr>
      <w:tabs>
        <w:tab w:val="center" w:pos="4153"/>
        <w:tab w:val="right" w:pos="8306"/>
      </w:tabs>
      <w:snapToGrid w:val="0"/>
      <w:jc w:val="left"/>
    </w:pPr>
    <w:rPr>
      <w:sz w:val="18"/>
      <w:szCs w:val="18"/>
    </w:rPr>
  </w:style>
  <w:style w:type="paragraph" w:customStyle="1" w:styleId="568">
    <w:name w:val="页脚 New New New New New New New New"/>
    <w:basedOn w:val="452"/>
    <w:qFormat/>
    <w:uiPriority w:val="0"/>
    <w:pPr>
      <w:tabs>
        <w:tab w:val="center" w:pos="4153"/>
        <w:tab w:val="right" w:pos="8306"/>
      </w:tabs>
      <w:snapToGrid w:val="0"/>
      <w:jc w:val="left"/>
    </w:pPr>
    <w:rPr>
      <w:sz w:val="18"/>
      <w:szCs w:val="18"/>
    </w:rPr>
  </w:style>
  <w:style w:type="paragraph" w:customStyle="1" w:styleId="569">
    <w:name w:val="正文文本缩进1"/>
    <w:basedOn w:val="1"/>
    <w:qFormat/>
    <w:uiPriority w:val="0"/>
    <w:pPr>
      <w:ind w:firstLine="830" w:firstLineChars="352"/>
    </w:pPr>
    <w:rPr>
      <w:rFonts w:ascii="宋体" w:hAnsi="Courier New"/>
      <w:szCs w:val="20"/>
    </w:rPr>
  </w:style>
  <w:style w:type="paragraph" w:customStyle="1" w:styleId="570">
    <w:name w:val="xl1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571">
    <w:name w:val="xl15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572">
    <w:name w:val="font10"/>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573">
    <w:name w:val="Char Char Char Char 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574">
    <w:name w:val="xl11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color w:val="000000"/>
      <w:kern w:val="0"/>
      <w:sz w:val="20"/>
      <w:szCs w:val="20"/>
    </w:rPr>
  </w:style>
  <w:style w:type="paragraph" w:customStyle="1" w:styleId="575">
    <w:name w:val="标题1"/>
    <w:basedOn w:val="3"/>
    <w:qFormat/>
    <w:uiPriority w:val="0"/>
    <w:pPr>
      <w:keepLines w:val="0"/>
      <w:widowControl/>
      <w:pBdr>
        <w:bottom w:val="single" w:color="auto" w:sz="8" w:space="6"/>
      </w:pBdr>
      <w:tabs>
        <w:tab w:val="left" w:pos="0"/>
      </w:tabs>
      <w:spacing w:before="480" w:after="240" w:line="360" w:lineRule="auto"/>
      <w:ind w:left="567" w:hanging="567"/>
      <w:jc w:val="left"/>
    </w:pPr>
    <w:rPr>
      <w:rFonts w:ascii="宋体" w:hAnsi="宋体"/>
      <w:smallCaps/>
      <w:color w:val="000000"/>
      <w:spacing w:val="10"/>
      <w:kern w:val="20"/>
      <w:sz w:val="21"/>
      <w:szCs w:val="21"/>
    </w:rPr>
  </w:style>
  <w:style w:type="paragraph" w:customStyle="1" w:styleId="57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7">
    <w:name w:val="样式1"/>
    <w:basedOn w:val="1"/>
    <w:qFormat/>
    <w:uiPriority w:val="0"/>
    <w:pPr>
      <w:spacing w:before="120" w:after="120" w:line="300" w:lineRule="auto"/>
    </w:pPr>
    <w:rPr>
      <w:rFonts w:ascii="宋体" w:hAnsi="宋体"/>
      <w:b/>
      <w:sz w:val="24"/>
      <w:szCs w:val="20"/>
    </w:rPr>
  </w:style>
  <w:style w:type="paragraph" w:customStyle="1" w:styleId="578">
    <w:name w:val="xl9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579">
    <w:name w:val="样式3"/>
    <w:basedOn w:val="1"/>
    <w:qFormat/>
    <w:uiPriority w:val="0"/>
    <w:pPr>
      <w:tabs>
        <w:tab w:val="left" w:pos="560"/>
        <w:tab w:val="left" w:pos="1120"/>
      </w:tabs>
      <w:spacing w:line="480" w:lineRule="atLeast"/>
    </w:pPr>
    <w:rPr>
      <w:rFonts w:ascii="宋体" w:eastAsia="创艺简黑体"/>
      <w:szCs w:val="20"/>
    </w:rPr>
  </w:style>
  <w:style w:type="paragraph" w:customStyle="1" w:styleId="580">
    <w:name w:val="Char5"/>
    <w:basedOn w:val="17"/>
    <w:qFormat/>
    <w:uiPriority w:val="0"/>
    <w:pPr>
      <w:widowControl/>
      <w:ind w:firstLine="454"/>
      <w:jc w:val="left"/>
    </w:pPr>
    <w:rPr>
      <w:rFonts w:ascii="Tahoma" w:hAnsi="Tahoma" w:cs="宋体"/>
      <w:kern w:val="0"/>
      <w:sz w:val="24"/>
      <w:szCs w:val="20"/>
    </w:rPr>
  </w:style>
  <w:style w:type="paragraph" w:customStyle="1" w:styleId="581">
    <w:name w:val="页脚 New New New"/>
    <w:basedOn w:val="524"/>
    <w:qFormat/>
    <w:uiPriority w:val="0"/>
    <w:pPr>
      <w:tabs>
        <w:tab w:val="center" w:pos="4153"/>
        <w:tab w:val="right" w:pos="8306"/>
      </w:tabs>
      <w:snapToGrid w:val="0"/>
      <w:jc w:val="left"/>
    </w:pPr>
    <w:rPr>
      <w:sz w:val="18"/>
      <w:szCs w:val="18"/>
    </w:rPr>
  </w:style>
  <w:style w:type="paragraph" w:customStyle="1" w:styleId="58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583">
    <w:name w:val="Char Char Char Char"/>
    <w:basedOn w:val="17"/>
    <w:qFormat/>
    <w:uiPriority w:val="0"/>
    <w:pPr>
      <w:adjustRightInd w:val="0"/>
      <w:snapToGrid w:val="0"/>
      <w:spacing w:line="360" w:lineRule="auto"/>
    </w:pPr>
    <w:rPr>
      <w:rFonts w:ascii="Tahoma" w:hAnsi="Tahoma"/>
      <w:sz w:val="24"/>
    </w:rPr>
  </w:style>
  <w:style w:type="paragraph" w:customStyle="1" w:styleId="58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85">
    <w:name w:val="F2"/>
    <w:basedOn w:val="1"/>
    <w:qFormat/>
    <w:uiPriority w:val="0"/>
    <w:pPr>
      <w:autoSpaceDE w:val="0"/>
      <w:autoSpaceDN w:val="0"/>
      <w:adjustRightInd w:val="0"/>
      <w:ind w:firstLine="601"/>
    </w:pPr>
    <w:rPr>
      <w:kern w:val="0"/>
      <w:sz w:val="24"/>
      <w:szCs w:val="20"/>
    </w:rPr>
  </w:style>
  <w:style w:type="paragraph" w:customStyle="1" w:styleId="586">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7">
    <w:name w:val="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588">
    <w:name w:val="Table Paragraph"/>
    <w:basedOn w:val="1"/>
    <w:qFormat/>
    <w:uiPriority w:val="0"/>
    <w:rPr>
      <w:rFonts w:ascii="仿宋" w:hAnsi="仿宋" w:eastAsia="仿宋" w:cs="仿宋"/>
      <w:lang w:val="zh-CN" w:bidi="zh-CN"/>
    </w:rPr>
  </w:style>
  <w:style w:type="paragraph" w:customStyle="1" w:styleId="589">
    <w:name w:val="Char Char24"/>
    <w:basedOn w:val="1"/>
    <w:qFormat/>
    <w:uiPriority w:val="0"/>
    <w:pPr>
      <w:widowControl/>
      <w:spacing w:after="160" w:line="240" w:lineRule="exact"/>
      <w:jc w:val="left"/>
    </w:pPr>
  </w:style>
  <w:style w:type="paragraph" w:customStyle="1" w:styleId="590">
    <w:name w:val="页脚 New New"/>
    <w:basedOn w:val="520"/>
    <w:qFormat/>
    <w:uiPriority w:val="0"/>
    <w:pPr>
      <w:tabs>
        <w:tab w:val="center" w:pos="4153"/>
        <w:tab w:val="right" w:pos="8306"/>
      </w:tabs>
      <w:snapToGrid w:val="0"/>
      <w:jc w:val="left"/>
    </w:pPr>
    <w:rPr>
      <w:sz w:val="18"/>
      <w:szCs w:val="18"/>
    </w:rPr>
  </w:style>
  <w:style w:type="paragraph" w:customStyle="1" w:styleId="591">
    <w:name w:val="正文段"/>
    <w:basedOn w:val="1"/>
    <w:qFormat/>
    <w:uiPriority w:val="0"/>
    <w:pPr>
      <w:widowControl/>
      <w:snapToGrid w:val="0"/>
      <w:spacing w:after="156" w:afterLines="50"/>
      <w:ind w:firstLine="200" w:firstLineChars="200"/>
    </w:pPr>
    <w:rPr>
      <w:kern w:val="0"/>
      <w:sz w:val="24"/>
      <w:szCs w:val="20"/>
    </w:rPr>
  </w:style>
  <w:style w:type="paragraph" w:customStyle="1" w:styleId="59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593">
    <w:name w:val="列出段落3"/>
    <w:basedOn w:val="1"/>
    <w:qFormat/>
    <w:uiPriority w:val="34"/>
    <w:pPr>
      <w:ind w:firstLine="420" w:firstLineChars="200"/>
    </w:pPr>
    <w:rPr>
      <w:rFonts w:ascii="Calibri" w:hAnsi="Calibri"/>
      <w:szCs w:val="22"/>
    </w:rPr>
  </w:style>
  <w:style w:type="paragraph" w:customStyle="1" w:styleId="594">
    <w:name w:val="公文一级"/>
    <w:basedOn w:val="5"/>
    <w:qFormat/>
    <w:uiPriority w:val="0"/>
    <w:pPr>
      <w:jc w:val="center"/>
    </w:pPr>
    <w:rPr>
      <w:rFonts w:ascii="黑体" w:hAnsi="黑体" w:eastAsia="黑体"/>
      <w:b w:val="0"/>
    </w:rPr>
  </w:style>
  <w:style w:type="paragraph" w:customStyle="1" w:styleId="595">
    <w:name w:val="Default Paragraph Font Para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96">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20"/>
      <w:szCs w:val="20"/>
    </w:rPr>
  </w:style>
  <w:style w:type="paragraph" w:customStyle="1" w:styleId="597">
    <w:name w:val="项目5"/>
    <w:basedOn w:val="1"/>
    <w:qFormat/>
    <w:uiPriority w:val="0"/>
    <w:pPr>
      <w:tabs>
        <w:tab w:val="left" w:pos="360"/>
        <w:tab w:val="left" w:pos="874"/>
      </w:tabs>
      <w:spacing w:line="400" w:lineRule="exact"/>
      <w:jc w:val="left"/>
    </w:pPr>
    <w:rPr>
      <w:szCs w:val="20"/>
    </w:rPr>
  </w:style>
  <w:style w:type="paragraph" w:customStyle="1" w:styleId="598">
    <w:name w:val="页脚 New New New New New"/>
    <w:basedOn w:val="466"/>
    <w:qFormat/>
    <w:uiPriority w:val="0"/>
    <w:pPr>
      <w:tabs>
        <w:tab w:val="center" w:pos="4153"/>
        <w:tab w:val="right" w:pos="8306"/>
      </w:tabs>
      <w:snapToGrid w:val="0"/>
      <w:jc w:val="left"/>
    </w:pPr>
    <w:rPr>
      <w:sz w:val="18"/>
      <w:szCs w:val="18"/>
    </w:rPr>
  </w:style>
  <w:style w:type="paragraph" w:customStyle="1" w:styleId="599">
    <w:name w:val="表内文字"/>
    <w:basedOn w:val="1"/>
    <w:qFormat/>
    <w:uiPriority w:val="0"/>
    <w:pPr>
      <w:snapToGrid w:val="0"/>
      <w:spacing w:before="50" w:after="50" w:line="360" w:lineRule="exact"/>
    </w:pPr>
    <w:rPr>
      <w:rFonts w:ascii="宋体" w:hAnsi="宋体"/>
      <w:b/>
      <w:color w:val="0000FF"/>
      <w:szCs w:val="21"/>
    </w:rPr>
  </w:style>
  <w:style w:type="paragraph" w:customStyle="1" w:styleId="600">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601">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602">
    <w:name w:val="2-2ji"/>
    <w:basedOn w:val="4"/>
    <w:qFormat/>
    <w:uiPriority w:val="0"/>
    <w:pPr>
      <w:adjustRightInd w:val="0"/>
      <w:spacing w:before="0" w:after="0" w:line="360" w:lineRule="auto"/>
      <w:jc w:val="center"/>
      <w:textAlignment w:val="baseline"/>
    </w:pPr>
    <w:rPr>
      <w:rFonts w:ascii="宋体" w:hAnsi="宋体" w:eastAsia="宋体"/>
      <w:bCs w:val="0"/>
      <w:sz w:val="36"/>
    </w:rPr>
  </w:style>
  <w:style w:type="paragraph" w:customStyle="1" w:styleId="603">
    <w:name w:val="_Style 301"/>
    <w:next w:val="1"/>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4">
    <w:name w:val="pa-8"/>
    <w:basedOn w:val="1"/>
    <w:qFormat/>
    <w:uiPriority w:val="0"/>
    <w:pPr>
      <w:widowControl/>
      <w:spacing w:before="169" w:after="169"/>
      <w:jc w:val="left"/>
    </w:pPr>
    <w:rPr>
      <w:rFonts w:ascii="宋体" w:hAnsi="宋体" w:cs="宋体"/>
      <w:kern w:val="0"/>
      <w:sz w:val="24"/>
    </w:rPr>
  </w:style>
  <w:style w:type="paragraph" w:customStyle="1" w:styleId="605">
    <w:name w:val="xl14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606">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607">
    <w:name w:val="目录1"/>
    <w:basedOn w:val="1"/>
    <w:next w:val="1"/>
    <w:qFormat/>
    <w:uiPriority w:val="0"/>
    <w:pPr>
      <w:widowControl/>
      <w:tabs>
        <w:tab w:val="left" w:leader="dot" w:pos="8503"/>
      </w:tabs>
      <w:spacing w:after="136" w:line="289" w:lineRule="atLeast"/>
      <w:jc w:val="left"/>
      <w:textAlignment w:val="baseline"/>
    </w:pPr>
    <w:rPr>
      <w:rFonts w:ascii="Arial" w:eastAsia="黑体"/>
      <w:color w:val="000000"/>
      <w:kern w:val="0"/>
      <w:sz w:val="28"/>
      <w:szCs w:val="20"/>
    </w:rPr>
  </w:style>
  <w:style w:type="paragraph" w:customStyle="1" w:styleId="608">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609">
    <w:name w:val="font8"/>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10">
    <w:name w:val="Char Char Char1 Char Char Char1 Char Char Char Char Char Char"/>
    <w:basedOn w:val="1"/>
    <w:qFormat/>
    <w:uiPriority w:val="0"/>
    <w:pPr>
      <w:ind w:firstLine="200" w:firstLineChars="200"/>
    </w:pPr>
    <w:rPr>
      <w:rFonts w:ascii="Tahoma" w:hAnsi="Tahoma"/>
      <w:sz w:val="24"/>
      <w:szCs w:val="20"/>
    </w:rPr>
  </w:style>
  <w:style w:type="paragraph" w:customStyle="1" w:styleId="61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612">
    <w:name w:val="xl11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613">
    <w:name w:val="正中"/>
    <w:basedOn w:val="1"/>
    <w:qFormat/>
    <w:uiPriority w:val="0"/>
    <w:pPr>
      <w:spacing w:line="360" w:lineRule="auto"/>
      <w:ind w:firstLine="200" w:firstLineChars="200"/>
    </w:pPr>
    <w:rPr>
      <w:rFonts w:ascii="楷体_GB2312" w:hAnsi="宋体" w:eastAsia="楷体_GB2312"/>
      <w:bCs/>
      <w:color w:val="000000"/>
      <w:sz w:val="24"/>
    </w:rPr>
  </w:style>
  <w:style w:type="paragraph" w:customStyle="1" w:styleId="61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15">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0"/>
      <w:szCs w:val="20"/>
    </w:rPr>
  </w:style>
  <w:style w:type="paragraph" w:customStyle="1" w:styleId="616">
    <w:name w:val="pa-15"/>
    <w:basedOn w:val="1"/>
    <w:qFormat/>
    <w:uiPriority w:val="0"/>
    <w:pPr>
      <w:widowControl/>
      <w:spacing w:before="169" w:after="169"/>
      <w:jc w:val="left"/>
    </w:pPr>
    <w:rPr>
      <w:rFonts w:ascii="宋体" w:hAnsi="宋体" w:cs="宋体"/>
      <w:kern w:val="0"/>
      <w:sz w:val="24"/>
    </w:rPr>
  </w:style>
  <w:style w:type="paragraph" w:customStyle="1" w:styleId="617">
    <w:name w:val="font6"/>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618">
    <w:name w:val="目录2"/>
    <w:basedOn w:val="1"/>
    <w:next w:val="1"/>
    <w:qFormat/>
    <w:uiPriority w:val="0"/>
    <w:pPr>
      <w:widowControl/>
      <w:tabs>
        <w:tab w:val="left" w:leader="dot" w:pos="8503"/>
      </w:tabs>
      <w:spacing w:line="317" w:lineRule="atLeast"/>
      <w:ind w:firstLine="209"/>
      <w:textAlignment w:val="baseline"/>
    </w:pPr>
    <w:rPr>
      <w:color w:val="000000"/>
      <w:kern w:val="0"/>
      <w:szCs w:val="20"/>
    </w:rPr>
  </w:style>
  <w:style w:type="paragraph" w:customStyle="1" w:styleId="619">
    <w:name w:val="页眉 New New New New New New New"/>
    <w:basedOn w:val="392"/>
    <w:qFormat/>
    <w:uiPriority w:val="0"/>
    <w:pPr>
      <w:pBdr>
        <w:bottom w:val="single" w:color="auto" w:sz="6" w:space="1"/>
      </w:pBdr>
      <w:tabs>
        <w:tab w:val="center" w:pos="4153"/>
        <w:tab w:val="right" w:pos="8306"/>
      </w:tabs>
      <w:snapToGrid w:val="0"/>
      <w:jc w:val="center"/>
    </w:pPr>
    <w:rPr>
      <w:sz w:val="18"/>
      <w:szCs w:val="18"/>
    </w:rPr>
  </w:style>
  <w:style w:type="paragraph" w:customStyle="1" w:styleId="620">
    <w:name w:val="默认段落字体 Para Char Char Char Char Char Char Char Char Char1 Char Char Char Char"/>
    <w:basedOn w:val="1"/>
    <w:qFormat/>
    <w:uiPriority w:val="0"/>
    <w:rPr>
      <w:rFonts w:ascii="Tahoma" w:hAnsi="Tahoma"/>
      <w:sz w:val="24"/>
      <w:szCs w:val="20"/>
    </w:rPr>
  </w:style>
  <w:style w:type="paragraph" w:customStyle="1" w:styleId="621">
    <w:name w:val="TOC 标题1"/>
    <w:basedOn w:val="3"/>
    <w:next w:val="1"/>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622">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23">
    <w:name w:val="样式1正文（首行缩进两字） Char +"/>
    <w:qFormat/>
    <w:uiPriority w:val="0"/>
    <w:pPr>
      <w:spacing w:line="276" w:lineRule="auto"/>
      <w:ind w:left="420"/>
    </w:pPr>
    <w:rPr>
      <w:rFonts w:ascii="Times New Roman" w:hAnsi="Times New Roman" w:eastAsia="宋体" w:cs="Times New Roman"/>
      <w:kern w:val="2"/>
      <w:sz w:val="24"/>
      <w:szCs w:val="24"/>
      <w:lang w:val="en-US" w:eastAsia="zh-CN" w:bidi="ar-SA"/>
    </w:rPr>
  </w:style>
  <w:style w:type="paragraph" w:customStyle="1" w:styleId="624">
    <w:name w:val="列出段落4"/>
    <w:basedOn w:val="1"/>
    <w:qFormat/>
    <w:uiPriority w:val="99"/>
    <w:pPr>
      <w:ind w:firstLine="420" w:firstLineChars="200"/>
    </w:pPr>
    <w:rPr>
      <w:rFonts w:ascii="Calibri" w:hAnsi="Calibri"/>
      <w:szCs w:val="22"/>
    </w:rPr>
  </w:style>
  <w:style w:type="paragraph" w:customStyle="1" w:styleId="625">
    <w:name w:val="2ji"/>
    <w:basedOn w:val="4"/>
    <w:qFormat/>
    <w:uiPriority w:val="0"/>
    <w:pPr>
      <w:adjustRightInd w:val="0"/>
      <w:spacing w:before="0" w:after="0" w:line="360" w:lineRule="auto"/>
      <w:textAlignment w:val="baseline"/>
    </w:pPr>
    <w:rPr>
      <w:rFonts w:ascii="宋体" w:hAnsi="宋体" w:eastAsia="宋体"/>
      <w:sz w:val="21"/>
      <w:szCs w:val="21"/>
    </w:rPr>
  </w:style>
  <w:style w:type="paragraph" w:customStyle="1" w:styleId="626">
    <w:name w:val="Char Char Char4"/>
    <w:basedOn w:val="1"/>
    <w:qFormat/>
    <w:uiPriority w:val="0"/>
    <w:pPr>
      <w:widowControl/>
      <w:spacing w:after="160" w:line="240" w:lineRule="exact"/>
      <w:jc w:val="left"/>
    </w:pPr>
    <w:rPr>
      <w:rFonts w:ascii="Verdana" w:hAnsi="Verdana"/>
      <w:kern w:val="0"/>
      <w:sz w:val="20"/>
      <w:szCs w:val="20"/>
      <w:lang w:eastAsia="en-US"/>
    </w:rPr>
  </w:style>
  <w:style w:type="paragraph" w:customStyle="1" w:styleId="627">
    <w:name w:val="xl11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62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29">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20"/>
      <w:szCs w:val="20"/>
    </w:rPr>
  </w:style>
  <w:style w:type="paragraph" w:customStyle="1" w:styleId="630">
    <w:name w:val="_Style 33"/>
    <w:basedOn w:val="1"/>
    <w:qFormat/>
    <w:uiPriority w:val="0"/>
    <w:pPr>
      <w:widowControl/>
      <w:spacing w:after="160" w:line="240" w:lineRule="exact"/>
      <w:jc w:val="left"/>
    </w:pPr>
  </w:style>
  <w:style w:type="paragraph" w:customStyle="1" w:styleId="631">
    <w:name w:val="纯文本12"/>
    <w:basedOn w:val="1"/>
    <w:qFormat/>
    <w:uiPriority w:val="0"/>
    <w:rPr>
      <w:rFonts w:ascii="宋体" w:hAnsi="Courier New"/>
      <w:szCs w:val="21"/>
    </w:rPr>
  </w:style>
  <w:style w:type="paragraph" w:customStyle="1" w:styleId="632">
    <w:name w:val="列表段落11"/>
    <w:basedOn w:val="1"/>
    <w:qFormat/>
    <w:uiPriority w:val="0"/>
    <w:pPr>
      <w:ind w:firstLine="420" w:firstLineChars="200"/>
    </w:pPr>
    <w:rPr>
      <w:rFonts w:ascii="Calibri" w:hAnsi="Calibri"/>
      <w:szCs w:val="22"/>
    </w:rPr>
  </w:style>
  <w:style w:type="paragraph" w:customStyle="1" w:styleId="633">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333333"/>
      <w:kern w:val="0"/>
      <w:sz w:val="20"/>
      <w:szCs w:val="20"/>
    </w:rPr>
  </w:style>
  <w:style w:type="paragraph" w:customStyle="1" w:styleId="634">
    <w:name w:val="Char Char Char1 Char"/>
    <w:basedOn w:val="1"/>
    <w:qFormat/>
    <w:uiPriority w:val="0"/>
    <w:pPr>
      <w:tabs>
        <w:tab w:val="left" w:pos="360"/>
      </w:tabs>
      <w:spacing w:line="360" w:lineRule="auto"/>
      <w:ind w:left="482" w:firstLine="200" w:firstLineChars="200"/>
    </w:pPr>
    <w:rPr>
      <w:rFonts w:ascii="宋体"/>
      <w:sz w:val="24"/>
      <w:szCs w:val="20"/>
    </w:rPr>
  </w:style>
  <w:style w:type="paragraph" w:customStyle="1" w:styleId="635">
    <w:name w:val="PlainText"/>
    <w:basedOn w:val="1"/>
    <w:qFormat/>
    <w:uiPriority w:val="0"/>
    <w:pPr>
      <w:widowControl/>
      <w:textAlignment w:val="baseline"/>
    </w:pPr>
    <w:rPr>
      <w:rFonts w:ascii="宋体" w:hAnsi="Courier New"/>
      <w:szCs w:val="21"/>
    </w:rPr>
  </w:style>
  <w:style w:type="character" w:customStyle="1" w:styleId="636">
    <w:name w:val="17"/>
    <w:qFormat/>
    <w:uiPriority w:val="0"/>
    <w:rPr>
      <w:rFonts w:hint="default" w:ascii="Times New Roman" w:hAnsi="Times New Roman" w:eastAsia="宋体" w:cs="Times New Roman"/>
      <w:color w:val="CC000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71</Pages>
  <Words>5143</Words>
  <Characters>6161</Characters>
  <Lines>510</Lines>
  <Paragraphs>143</Paragraphs>
  <TotalTime>9</TotalTime>
  <ScaleCrop>false</ScaleCrop>
  <LinksUpToDate>false</LinksUpToDate>
  <CharactersWithSpaces>6684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2026-09-10T18:25:00Z</dcterms:created>
  <dc:creator>聂泉源</dc:creator>
  <cp:lastModifiedBy>WPS_1601457356</cp:lastModifiedBy>
  <cp:lastPrinted>2025-06-08T04:09:00Z</cp:lastPrinted>
  <dcterms:modified xsi:type="dcterms:W3CDTF">2026-09-12T08:40:04Z</dcterms:modified>
  <dc:title>3</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069CFF63868848A79E7075D23DDBAEEF_13</vt:lpwstr>
  </property>
  <property fmtid="{D5CDD505-2E9C-101B-9397-08002B2CF9AE}" pid="4" name="KSOTemplateDocerSaveRecord">
    <vt:lpwstr>eyJoZGlkIjoiNjZmYzkwMjE2NmRhNGYyYTFlMzRjMjllMjIzZDEwZjEiLCJ1c2VySWQiOiIxMTI2MDU1MTkwIn0=</vt:lpwstr>
  </property>
</Properties>
</file>